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388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September 30, 2019</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0-12255</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60" w:type="dxa"/>
        <w:tblCellMar>
          <w:top w:w="0" w:type="dxa"/>
          <w:left w:w="0" w:type="dxa"/>
          <w:bottom w:w="0" w:type="dxa"/>
          <w:right w:w="0" w:type="dxa"/>
        </w:tblCellMar>
      </w:tblPr>
      <w:tr>
        <w:trPr>
          <w:trHeight w:val="217"/>
        </w:trPr>
        <w:tc>
          <w:tcPr>
            <w:tcW w:w="3960" w:type="dxa"/>
            <w:vAlign w:val="bottom"/>
          </w:tcPr>
          <w:p>
            <w:pPr>
              <w:jc w:val="center"/>
              <w:ind w:left="1442"/>
              <w:spacing w:after="0"/>
              <w:rPr>
                <w:sz w:val="20"/>
                <w:szCs w:val="20"/>
                <w:color w:val="auto"/>
              </w:rPr>
            </w:pPr>
            <w:r>
              <w:rPr>
                <w:rFonts w:ascii="Arial" w:cs="Arial" w:eastAsia="Arial" w:hAnsi="Arial"/>
                <w:sz w:val="17"/>
                <w:szCs w:val="17"/>
                <w:b w:val="1"/>
                <w:bCs w:val="1"/>
                <w:color w:val="auto"/>
                <w:w w:val="91"/>
              </w:rPr>
              <w:t>Delaware</w:t>
            </w: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tcPr>
          <w:p>
            <w:pPr>
              <w:jc w:val="right"/>
              <w:ind w:right="2343"/>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3960" w:type="dxa"/>
            <w:vAlign w:val="bottom"/>
          </w:tcPr>
          <w:p>
            <w:pPr>
              <w:jc w:val="center"/>
              <w:ind w:left="1442"/>
              <w:spacing w:after="0"/>
              <w:rPr>
                <w:sz w:val="20"/>
                <w:szCs w:val="20"/>
                <w:color w:val="auto"/>
              </w:rPr>
            </w:pPr>
            <w:r>
              <w:rPr>
                <w:rFonts w:ascii="Arial" w:cs="Arial" w:eastAsia="Arial" w:hAnsi="Arial"/>
                <w:sz w:val="13"/>
                <w:szCs w:val="13"/>
                <w:b w:val="1"/>
                <w:bCs w:val="1"/>
                <w:color w:val="auto"/>
                <w:w w:val="94"/>
              </w:rPr>
              <w:t>(State or other jurisdiction of</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960" w:type="dxa"/>
            <w:vAlign w:val="bottom"/>
          </w:tcPr>
          <w:p>
            <w:pPr>
              <w:jc w:val="center"/>
              <w:ind w:left="1422"/>
              <w:spacing w:after="0"/>
              <w:rPr>
                <w:sz w:val="20"/>
                <w:szCs w:val="20"/>
                <w:color w:val="auto"/>
              </w:rPr>
            </w:pPr>
            <w:r>
              <w:rPr>
                <w:rFonts w:ascii="Arial" w:cs="Arial" w:eastAsia="Arial" w:hAnsi="Arial"/>
                <w:sz w:val="13"/>
                <w:szCs w:val="13"/>
                <w:b w:val="1"/>
                <w:bCs w:val="1"/>
                <w:color w:val="auto"/>
                <w:w w:val="93"/>
              </w:rPr>
              <w:t>incorporation or organization)</w:t>
            </w:r>
          </w:p>
        </w:tc>
        <w:tc>
          <w:tcPr>
            <w:tcW w:w="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7360" w:type="dxa"/>
            <w:vAlign w:val="bottom"/>
            <w:gridSpan w:val="5"/>
          </w:tcPr>
          <w:p>
            <w:pPr>
              <w:jc w:val="center"/>
              <w:ind w:right="1880"/>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3960" w:type="dxa"/>
            <w:vAlign w:val="bottom"/>
          </w:tcPr>
          <w:p>
            <w:pPr>
              <w:jc w:val="right"/>
              <w:ind w:right="2543"/>
              <w:spacing w:after="0"/>
              <w:rPr>
                <w:sz w:val="20"/>
                <w:szCs w:val="20"/>
                <w:color w:val="auto"/>
              </w:rPr>
            </w:pPr>
            <w:r>
              <w:rPr>
                <w:rFonts w:ascii="Arial" w:cs="Arial" w:eastAsia="Arial" w:hAnsi="Arial"/>
                <w:sz w:val="17"/>
                <w:szCs w:val="17"/>
                <w:b w:val="1"/>
                <w:bCs w:val="1"/>
                <w:color w:val="auto"/>
              </w:rPr>
              <w:t>66211</w:t>
            </w:r>
          </w:p>
        </w:tc>
      </w:tr>
      <w:tr>
        <w:trPr>
          <w:trHeight w:val="204"/>
        </w:trPr>
        <w:tc>
          <w:tcPr>
            <w:tcW w:w="3960" w:type="dxa"/>
            <w:vAlign w:val="bottom"/>
          </w:tcPr>
          <w:p>
            <w:pPr>
              <w:jc w:val="center"/>
              <w:ind w:left="1422"/>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3960" w:type="dxa"/>
            <w:vAlign w:val="bottom"/>
          </w:tcPr>
          <w:p>
            <w:pPr>
              <w:spacing w:after="0"/>
              <w:rPr>
                <w:sz w:val="24"/>
                <w:szCs w:val="24"/>
                <w:color w:val="auto"/>
              </w:rPr>
            </w:pPr>
          </w:p>
        </w:tc>
        <w:tc>
          <w:tcPr>
            <w:tcW w:w="2480" w:type="dxa"/>
            <w:vAlign w:val="bottom"/>
            <w:gridSpan w:val="2"/>
          </w:tcPr>
          <w:p>
            <w:pPr>
              <w:jc w:val="center"/>
              <w:ind w:left="845"/>
              <w:spacing w:after="0"/>
              <w:rPr>
                <w:sz w:val="20"/>
                <w:szCs w:val="20"/>
                <w:color w:val="auto"/>
              </w:rPr>
            </w:pPr>
            <w:r>
              <w:rPr>
                <w:rFonts w:ascii="Arial" w:cs="Arial" w:eastAsia="Arial" w:hAnsi="Arial"/>
                <w:sz w:val="17"/>
                <w:szCs w:val="17"/>
                <w:b w:val="1"/>
                <w:bCs w:val="1"/>
                <w:color w:val="auto"/>
                <w:w w:val="89"/>
              </w:rPr>
              <w:t>(913) 696-6100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79"/>
        </w:trPr>
        <w:tc>
          <w:tcPr>
            <w:tcW w:w="3960" w:type="dxa"/>
            <w:vAlign w:val="bottom"/>
          </w:tcPr>
          <w:p>
            <w:pPr>
              <w:spacing w:after="0"/>
              <w:rPr>
                <w:sz w:val="15"/>
                <w:szCs w:val="15"/>
                <w:color w:val="auto"/>
              </w:rPr>
            </w:pPr>
          </w:p>
        </w:tc>
        <w:tc>
          <w:tcPr>
            <w:tcW w:w="34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960" w:type="dxa"/>
            <w:vAlign w:val="bottom"/>
          </w:tcPr>
          <w:p>
            <w:pPr>
              <w:spacing w:after="0"/>
              <w:rPr>
                <w:sz w:val="15"/>
                <w:szCs w:val="15"/>
                <w:color w:val="auto"/>
              </w:rPr>
            </w:pPr>
          </w:p>
        </w:tc>
      </w:tr>
      <w:tr>
        <w:trPr>
          <w:trHeight w:val="400"/>
        </w:trPr>
        <w:tc>
          <w:tcPr>
            <w:tcW w:w="11320" w:type="dxa"/>
            <w:vAlign w:val="bottom"/>
            <w:gridSpan w:val="6"/>
          </w:tcPr>
          <w:p>
            <w:pPr>
              <w:jc w:val="center"/>
              <w:spacing w:after="0"/>
              <w:rPr>
                <w:sz w:val="20"/>
                <w:szCs w:val="20"/>
                <w:color w:val="auto"/>
              </w:rPr>
            </w:pPr>
            <w:r>
              <w:rPr>
                <w:rFonts w:ascii="Arial" w:cs="Arial" w:eastAsia="Arial" w:hAnsi="Arial"/>
                <w:sz w:val="17"/>
                <w:szCs w:val="17"/>
                <w:b w:val="1"/>
                <w:bCs w:val="1"/>
                <w:color w:val="auto"/>
                <w:w w:val="87"/>
              </w:rPr>
              <w:t>Securities registered pursuant to Section 12(b) of the Act:</w:t>
            </w:r>
          </w:p>
        </w:tc>
      </w:tr>
      <w:tr>
        <w:trPr>
          <w:trHeight w:val="378"/>
        </w:trPr>
        <w:tc>
          <w:tcPr>
            <w:tcW w:w="3960" w:type="dxa"/>
            <w:vAlign w:val="bottom"/>
          </w:tcPr>
          <w:p>
            <w:pPr>
              <w:jc w:val="center"/>
              <w:spacing w:after="0"/>
              <w:rPr>
                <w:sz w:val="20"/>
                <w:szCs w:val="20"/>
                <w:color w:val="auto"/>
              </w:rPr>
            </w:pPr>
            <w:r>
              <w:rPr>
                <w:rFonts w:ascii="Arial" w:cs="Arial" w:eastAsia="Arial" w:hAnsi="Arial"/>
                <w:sz w:val="17"/>
                <w:szCs w:val="17"/>
                <w:color w:val="auto"/>
                <w:w w:val="89"/>
              </w:rPr>
              <w:t>Title of each class</w:t>
            </w:r>
          </w:p>
        </w:tc>
        <w:tc>
          <w:tcPr>
            <w:tcW w:w="340" w:type="dxa"/>
            <w:vAlign w:val="bottom"/>
          </w:tcPr>
          <w:p>
            <w:pPr>
              <w:spacing w:after="0"/>
              <w:rPr>
                <w:sz w:val="24"/>
                <w:szCs w:val="24"/>
                <w:color w:val="auto"/>
              </w:rPr>
            </w:pPr>
          </w:p>
        </w:tc>
        <w:tc>
          <w:tcPr>
            <w:tcW w:w="3060" w:type="dxa"/>
            <w:vAlign w:val="bottom"/>
            <w:gridSpan w:val="3"/>
          </w:tcPr>
          <w:p>
            <w:pPr>
              <w:jc w:val="center"/>
              <w:ind w:right="920"/>
              <w:spacing w:after="0"/>
              <w:rPr>
                <w:sz w:val="20"/>
                <w:szCs w:val="20"/>
                <w:color w:val="auto"/>
              </w:rPr>
            </w:pPr>
            <w:r>
              <w:rPr>
                <w:rFonts w:ascii="Arial" w:cs="Arial" w:eastAsia="Arial" w:hAnsi="Arial"/>
                <w:sz w:val="17"/>
                <w:szCs w:val="17"/>
                <w:color w:val="auto"/>
                <w:w w:val="90"/>
              </w:rPr>
              <w:t>Trading Symbol(s)</w:t>
            </w:r>
          </w:p>
        </w:tc>
        <w:tc>
          <w:tcPr>
            <w:tcW w:w="3960" w:type="dxa"/>
            <w:vAlign w:val="bottom"/>
          </w:tcPr>
          <w:p>
            <w:pPr>
              <w:jc w:val="center"/>
              <w:ind w:right="503"/>
              <w:spacing w:after="0"/>
              <w:rPr>
                <w:sz w:val="20"/>
                <w:szCs w:val="20"/>
                <w:color w:val="auto"/>
              </w:rPr>
            </w:pPr>
            <w:r>
              <w:rPr>
                <w:rFonts w:ascii="Arial" w:cs="Arial" w:eastAsia="Arial" w:hAnsi="Arial"/>
                <w:sz w:val="17"/>
                <w:szCs w:val="17"/>
                <w:color w:val="auto"/>
                <w:w w:val="88"/>
              </w:rPr>
              <w:t>Name of each exchange on which registered</w:t>
            </w:r>
          </w:p>
        </w:tc>
      </w:tr>
      <w:tr>
        <w:trPr>
          <w:trHeight w:val="31"/>
        </w:trPr>
        <w:tc>
          <w:tcPr>
            <w:tcW w:w="3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6"/>
        </w:trPr>
        <w:tc>
          <w:tcPr>
            <w:tcW w:w="3960" w:type="dxa"/>
            <w:vAlign w:val="bottom"/>
          </w:tcPr>
          <w:p>
            <w:pPr>
              <w:jc w:val="center"/>
              <w:spacing w:after="0"/>
              <w:rPr>
                <w:sz w:val="20"/>
                <w:szCs w:val="20"/>
                <w:color w:val="auto"/>
              </w:rPr>
            </w:pPr>
            <w:r>
              <w:rPr>
                <w:rFonts w:ascii="Arial" w:cs="Arial" w:eastAsia="Arial" w:hAnsi="Arial"/>
                <w:sz w:val="17"/>
                <w:szCs w:val="17"/>
                <w:color w:val="auto"/>
                <w:w w:val="88"/>
              </w:rPr>
              <w:t>Common Stock, $0.01 par value per share</w:t>
            </w:r>
          </w:p>
        </w:tc>
        <w:tc>
          <w:tcPr>
            <w:tcW w:w="340" w:type="dxa"/>
            <w:vAlign w:val="bottom"/>
          </w:tcPr>
          <w:p>
            <w:pPr>
              <w:spacing w:after="0"/>
              <w:rPr>
                <w:sz w:val="19"/>
                <w:szCs w:val="19"/>
                <w:color w:val="auto"/>
              </w:rPr>
            </w:pPr>
          </w:p>
        </w:tc>
        <w:tc>
          <w:tcPr>
            <w:tcW w:w="3060" w:type="dxa"/>
            <w:vAlign w:val="bottom"/>
            <w:gridSpan w:val="3"/>
          </w:tcPr>
          <w:p>
            <w:pPr>
              <w:jc w:val="center"/>
              <w:ind w:right="920"/>
              <w:spacing w:after="0"/>
              <w:rPr>
                <w:sz w:val="20"/>
                <w:szCs w:val="20"/>
                <w:color w:val="auto"/>
              </w:rPr>
            </w:pPr>
            <w:r>
              <w:rPr>
                <w:rFonts w:ascii="Arial" w:cs="Arial" w:eastAsia="Arial" w:hAnsi="Arial"/>
                <w:sz w:val="17"/>
                <w:szCs w:val="17"/>
                <w:color w:val="auto"/>
                <w:w w:val="96"/>
              </w:rPr>
              <w:t>YRCW</w:t>
            </w:r>
          </w:p>
        </w:tc>
        <w:tc>
          <w:tcPr>
            <w:tcW w:w="3960" w:type="dxa"/>
            <w:vAlign w:val="bottom"/>
          </w:tcPr>
          <w:p>
            <w:pPr>
              <w:jc w:val="center"/>
              <w:ind w:right="503"/>
              <w:spacing w:after="0"/>
              <w:rPr>
                <w:sz w:val="20"/>
                <w:szCs w:val="20"/>
                <w:color w:val="auto"/>
              </w:rPr>
            </w:pPr>
            <w:r>
              <w:rPr>
                <w:rFonts w:ascii="Arial" w:cs="Arial" w:eastAsia="Arial" w:hAnsi="Arial"/>
                <w:sz w:val="17"/>
                <w:szCs w:val="17"/>
                <w:color w:val="auto"/>
                <w:w w:val="93"/>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407670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2" w:right="239" w:bottom="1440" w:gutter="0" w:footer="0" w:header="0"/>
        </w:sectPr>
      </w:pPr>
    </w:p>
    <w:p>
      <w:pPr>
        <w:spacing w:after="0" w:line="125"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15"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2"/>
              </w:rPr>
              <w:t>Class</w:t>
            </w:r>
          </w:p>
        </w:tc>
        <w:tc>
          <w:tcPr>
            <w:tcW w:w="3000" w:type="dxa"/>
            <w:vAlign w:val="bottom"/>
          </w:tcPr>
          <w:p>
            <w:pPr>
              <w:spacing w:after="0"/>
              <w:rPr>
                <w:sz w:val="13"/>
                <w:szCs w:val="13"/>
                <w:color w:val="auto"/>
              </w:rPr>
            </w:pPr>
          </w:p>
        </w:tc>
        <w:tc>
          <w:tcPr>
            <w:tcW w:w="3480" w:type="dxa"/>
            <w:vAlign w:val="bottom"/>
            <w:gridSpan w:val="2"/>
          </w:tcPr>
          <w:p>
            <w:pPr>
              <w:jc w:val="center"/>
              <w:ind w:left="1673"/>
              <w:spacing w:after="0"/>
              <w:rPr>
                <w:sz w:val="20"/>
                <w:szCs w:val="20"/>
                <w:color w:val="auto"/>
              </w:rPr>
            </w:pPr>
            <w:r>
              <w:rPr>
                <w:rFonts w:ascii="Arial" w:cs="Arial" w:eastAsia="Arial" w:hAnsi="Arial"/>
                <w:sz w:val="13"/>
                <w:szCs w:val="13"/>
                <w:color w:val="auto"/>
                <w:w w:val="92"/>
              </w:rPr>
              <w:t>Outstanding at October 25, 2019</w:t>
            </w:r>
          </w:p>
        </w:tc>
      </w:tr>
      <w:tr>
        <w:trPr>
          <w:trHeight w:val="20"/>
        </w:trPr>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244"/>
        </w:trPr>
        <w:tc>
          <w:tcPr>
            <w:tcW w:w="4560" w:type="dxa"/>
            <w:vAlign w:val="bottom"/>
            <w:gridSpan w:val="3"/>
          </w:tcPr>
          <w:p>
            <w:pPr>
              <w:jc w:val="center"/>
              <w:ind w:right="1740"/>
              <w:spacing w:after="0"/>
              <w:rPr>
                <w:sz w:val="20"/>
                <w:szCs w:val="20"/>
                <w:color w:val="auto"/>
              </w:rPr>
            </w:pPr>
            <w:r>
              <w:rPr>
                <w:rFonts w:ascii="Arial" w:cs="Arial" w:eastAsia="Arial" w:hAnsi="Arial"/>
                <w:sz w:val="17"/>
                <w:szCs w:val="17"/>
                <w:color w:val="auto"/>
                <w:w w:val="88"/>
              </w:rPr>
              <w:t>Common Stock, $0.01 par value per share</w:t>
            </w:r>
          </w:p>
        </w:tc>
        <w:tc>
          <w:tcPr>
            <w:tcW w:w="17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6"/>
              </w:rPr>
              <w:t>36,251,688 shares</w:t>
            </w:r>
          </w:p>
        </w:tc>
      </w:tr>
    </w:tbl>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10"/>
          </w:tcPr>
          <w:p>
            <w:pPr>
              <w:jc w:val="center"/>
              <w:ind w:right="3820"/>
              <w:spacing w:after="0" w:line="176" w:lineRule="exact"/>
              <w:rPr>
                <w:rFonts w:ascii="Arial" w:cs="Arial" w:eastAsia="Arial" w:hAnsi="Arial"/>
                <w:sz w:val="17"/>
                <w:szCs w:val="17"/>
                <w:color w:val="0000FF"/>
                <w:w w:val="96"/>
              </w:rPr>
            </w:pPr>
            <w:hyperlink w:anchor="page4">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4"/>
          </w:tcPr>
          <w:p>
            <w:pPr>
              <w:spacing w:after="0"/>
              <w:rPr>
                <w:rFonts w:ascii="Arial" w:cs="Arial" w:eastAsia="Arial" w:hAnsi="Arial"/>
                <w:sz w:val="17"/>
                <w:szCs w:val="17"/>
                <w:color w:val="0000FF"/>
                <w:w w:val="86"/>
              </w:rPr>
            </w:pPr>
            <w:hyperlink w:anchor="page4">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7"/>
          </w:tcPr>
          <w:p>
            <w:pPr>
              <w:spacing w:after="0"/>
              <w:rPr>
                <w:sz w:val="21"/>
                <w:szCs w:val="21"/>
                <w:color w:val="auto"/>
              </w:rPr>
            </w:pPr>
          </w:p>
        </w:tc>
        <w:tc>
          <w:tcPr>
            <w:tcW w:w="382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gridSpan w:val="9"/>
          </w:tcPr>
          <w:p>
            <w:pPr>
              <w:spacing w:after="0"/>
              <w:rPr>
                <w:rFonts w:ascii="Arial" w:cs="Arial" w:eastAsia="Arial" w:hAnsi="Arial"/>
                <w:sz w:val="17"/>
                <w:szCs w:val="17"/>
                <w:color w:val="0000EE"/>
                <w:w w:val="87"/>
              </w:rPr>
            </w:pPr>
            <w:hyperlink w:anchor="page4">
              <w:r>
                <w:rPr>
                  <w:rFonts w:ascii="Arial" w:cs="Arial" w:eastAsia="Arial" w:hAnsi="Arial"/>
                  <w:sz w:val="17"/>
                  <w:szCs w:val="17"/>
                  <w:color w:val="0000EE"/>
                  <w:w w:val="87"/>
                </w:rPr>
                <w:t>Consolidated Balance Sheets - September 30, 2019 and December 31, 2018</w:t>
              </w:r>
            </w:hyperlink>
          </w:p>
        </w:tc>
        <w:tc>
          <w:tcPr>
            <w:tcW w:w="5060" w:type="dxa"/>
            <w:vAlign w:val="bottom"/>
            <w:gridSpan w:val="7"/>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gridSpan w:val="15"/>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Statements of Consolidated Comprehensive Income (Loss) - Three and Nine Months Ended September 30, 2019 and 2018</w:t>
              </w:r>
            </w:hyperlink>
          </w:p>
        </w:tc>
        <w:tc>
          <w:tcPr>
            <w:tcW w:w="192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20" w:type="dxa"/>
            <w:vAlign w:val="bottom"/>
            <w:gridSpan w:val="12"/>
          </w:tcPr>
          <w:p>
            <w:pPr>
              <w:spacing w:after="0"/>
              <w:rPr>
                <w:rFonts w:ascii="Arial" w:cs="Arial" w:eastAsia="Arial" w:hAnsi="Arial"/>
                <w:sz w:val="17"/>
                <w:szCs w:val="17"/>
                <w:color w:val="0000EE"/>
                <w:w w:val="88"/>
              </w:rPr>
            </w:pPr>
            <w:hyperlink w:anchor="page6">
              <w:r>
                <w:rPr>
                  <w:rFonts w:ascii="Arial" w:cs="Arial" w:eastAsia="Arial" w:hAnsi="Arial"/>
                  <w:sz w:val="17"/>
                  <w:szCs w:val="17"/>
                  <w:color w:val="0000EE"/>
                  <w:w w:val="88"/>
                </w:rPr>
                <w:t>Statements of Consolidated Cash Flows - Nine Months Ended September 30, 2019 and 2018</w:t>
              </w:r>
            </w:hyperlink>
          </w:p>
        </w:tc>
        <w:tc>
          <w:tcPr>
            <w:tcW w:w="2000" w:type="dxa"/>
            <w:vAlign w:val="bottom"/>
            <w:gridSpan w:val="3"/>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Statements of Consolidated Shareholders’ Deficit - Nine Months Ended September 30, 2019 and 2018</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spacing w:after="0"/>
              <w:rPr>
                <w:rFonts w:ascii="Arial" w:cs="Arial" w:eastAsia="Arial" w:hAnsi="Arial"/>
                <w:sz w:val="17"/>
                <w:szCs w:val="17"/>
                <w:color w:val="0000FF"/>
                <w:w w:val="88"/>
              </w:rPr>
            </w:pPr>
            <w:hyperlink w:anchor="page9">
              <w:r>
                <w:rPr>
                  <w:rFonts w:ascii="Arial" w:cs="Arial" w:eastAsia="Arial" w:hAnsi="Arial"/>
                  <w:sz w:val="17"/>
                  <w:szCs w:val="17"/>
                  <w:color w:val="0000FF"/>
                  <w:w w:val="88"/>
                </w:rPr>
                <w:t>Notes to Consolidated Financial Statements</w:t>
              </w:r>
            </w:hyperlink>
          </w:p>
        </w:tc>
        <w:tc>
          <w:tcPr>
            <w:tcW w:w="3920" w:type="dxa"/>
            <w:vAlign w:val="bottom"/>
            <w:gridSpan w:val="9"/>
          </w:tcPr>
          <w:p>
            <w:pPr>
              <w:spacing w:after="0"/>
              <w:rPr>
                <w:sz w:val="20"/>
                <w:szCs w:val="20"/>
                <w:color w:val="auto"/>
              </w:rPr>
            </w:pPr>
          </w:p>
        </w:tc>
        <w:tc>
          <w:tcPr>
            <w:tcW w:w="3280" w:type="dxa"/>
            <w:vAlign w:val="bottom"/>
            <w:gridSpan w:val="2"/>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9">
              <w:r>
                <w:rPr>
                  <w:rFonts w:ascii="Arial" w:cs="Arial" w:eastAsia="Arial" w:hAnsi="Arial"/>
                  <w:sz w:val="17"/>
                  <w:szCs w:val="17"/>
                  <w:color w:val="0000EE"/>
                </w:rPr>
                <w:t>9</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400" w:type="dxa"/>
            <w:vAlign w:val="bottom"/>
            <w:gridSpan w:val="12"/>
          </w:tcPr>
          <w:p>
            <w:pPr>
              <w:spacing w:after="0"/>
              <w:rPr>
                <w:rFonts w:ascii="Arial" w:cs="Arial" w:eastAsia="Arial" w:hAnsi="Arial"/>
                <w:sz w:val="17"/>
                <w:szCs w:val="17"/>
                <w:color w:val="0000FF"/>
                <w:w w:val="95"/>
              </w:rPr>
            </w:pPr>
            <w:hyperlink w:anchor="page19">
              <w:r>
                <w:rPr>
                  <w:rFonts w:ascii="Arial" w:cs="Arial" w:eastAsia="Arial" w:hAnsi="Arial"/>
                  <w:sz w:val="17"/>
                  <w:szCs w:val="17"/>
                  <w:color w:val="0000FF"/>
                  <w:w w:val="95"/>
                </w:rPr>
                <w:t>Management’s Discussion and Analysis of Financial Condition and Results of Operations</w:t>
              </w:r>
            </w:hyperlink>
          </w:p>
        </w:tc>
        <w:tc>
          <w:tcPr>
            <w:tcW w:w="396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4060" w:type="dxa"/>
            <w:vAlign w:val="bottom"/>
            <w:gridSpan w:val="9"/>
          </w:tcPr>
          <w:p>
            <w:pPr>
              <w:spacing w:after="0"/>
              <w:rPr>
                <w:rFonts w:ascii="Arial" w:cs="Arial" w:eastAsia="Arial" w:hAnsi="Arial"/>
                <w:sz w:val="17"/>
                <w:szCs w:val="17"/>
                <w:color w:val="0000FF"/>
                <w:w w:val="90"/>
              </w:rPr>
            </w:pPr>
            <w:hyperlink w:anchor="page40">
              <w:r>
                <w:rPr>
                  <w:rFonts w:ascii="Arial" w:cs="Arial" w:eastAsia="Arial" w:hAnsi="Arial"/>
                  <w:sz w:val="17"/>
                  <w:szCs w:val="17"/>
                  <w:color w:val="0000FF"/>
                  <w:w w:val="90"/>
                </w:rPr>
                <w:t>Quantitative and Qualitative Disclosures About Market Risk</w:t>
              </w:r>
            </w:hyperlink>
          </w:p>
        </w:tc>
        <w:tc>
          <w:tcPr>
            <w:tcW w:w="2340" w:type="dxa"/>
            <w:vAlign w:val="bottom"/>
            <w:gridSpan w:val="3"/>
          </w:tcPr>
          <w:p>
            <w:pPr>
              <w:spacing w:after="0"/>
              <w:rPr>
                <w:sz w:val="20"/>
                <w:szCs w:val="20"/>
                <w:color w:val="auto"/>
              </w:rPr>
            </w:pPr>
          </w:p>
        </w:tc>
        <w:tc>
          <w:tcPr>
            <w:tcW w:w="396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4060" w:type="dxa"/>
            <w:vAlign w:val="bottom"/>
            <w:gridSpan w:val="9"/>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Controls and Procedures</w:t>
              </w:r>
            </w:hyperlink>
          </w:p>
        </w:tc>
        <w:tc>
          <w:tcPr>
            <w:tcW w:w="6300" w:type="dxa"/>
            <w:vAlign w:val="bottom"/>
            <w:gridSpan w:val="8"/>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9"/>
          </w:tcPr>
          <w:p>
            <w:pPr>
              <w:jc w:val="center"/>
              <w:ind w:right="3960"/>
              <w:spacing w:after="0"/>
              <w:rPr>
                <w:rFonts w:ascii="Arial" w:cs="Arial" w:eastAsia="Arial" w:hAnsi="Arial"/>
                <w:sz w:val="17"/>
                <w:szCs w:val="17"/>
                <w:color w:val="0000FF"/>
                <w:w w:val="94"/>
              </w:rPr>
            </w:pPr>
            <w:hyperlink w:anchor="page41">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3920" w:type="dxa"/>
            <w:vAlign w:val="bottom"/>
            <w:gridSpan w:val="8"/>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Legal Proceedings</w:t>
              </w:r>
            </w:hyperlink>
          </w:p>
        </w:tc>
        <w:tc>
          <w:tcPr>
            <w:tcW w:w="2480" w:type="dxa"/>
            <w:vAlign w:val="bottom"/>
            <w:tcBorders>
              <w:top w:val="single" w:sz="8" w:color="0000FF"/>
            </w:tcBorders>
            <w:gridSpan w:val="4"/>
          </w:tcPr>
          <w:p>
            <w:pPr>
              <w:spacing w:after="0"/>
              <w:rPr>
                <w:sz w:val="20"/>
                <w:szCs w:val="20"/>
                <w:color w:val="auto"/>
              </w:rPr>
            </w:pPr>
          </w:p>
        </w:tc>
        <w:tc>
          <w:tcPr>
            <w:tcW w:w="396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520" w:type="dxa"/>
            <w:vAlign w:val="bottom"/>
            <w:gridSpan w:val="1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2"/>
          </w:tcPr>
          <w:p>
            <w:pPr>
              <w:spacing w:after="0"/>
              <w:rPr>
                <w:rFonts w:ascii="Arial" w:cs="Arial" w:eastAsia="Arial" w:hAnsi="Arial"/>
                <w:sz w:val="17"/>
                <w:szCs w:val="17"/>
                <w:color w:val="0000EE"/>
                <w:w w:val="86"/>
              </w:rPr>
            </w:pPr>
            <w:hyperlink w:anchor="page41">
              <w:r>
                <w:rPr>
                  <w:rFonts w:ascii="Arial" w:cs="Arial" w:eastAsia="Arial" w:hAnsi="Arial"/>
                  <w:sz w:val="17"/>
                  <w:szCs w:val="17"/>
                  <w:color w:val="0000EE"/>
                  <w:w w:val="86"/>
                </w:rPr>
                <w:t>Risk Factors</w:t>
              </w:r>
            </w:hyperlink>
          </w:p>
        </w:tc>
        <w:tc>
          <w:tcPr>
            <w:tcW w:w="9520" w:type="dxa"/>
            <w:vAlign w:val="bottom"/>
            <w:gridSpan w:val="1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500" w:hanging="474"/>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4</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5"/>
          <w:szCs w:val="15"/>
          <w:u w:val="single" w:color="auto"/>
          <w:color w:val="0000EE"/>
        </w:rPr>
      </w:pPr>
      <w:r>
        <w:rPr>
          <w:rFonts w:ascii="Arial" w:cs="Arial" w:eastAsia="Arial" w:hAnsi="Arial"/>
          <w:sz w:val="17"/>
          <w:szCs w:val="17"/>
          <w:color w:val="auto"/>
        </w:rPr>
        <w:t>5</w:t>
      </w:r>
      <w:hyperlink w:anchor="page42">
        <w:r>
          <w:rPr>
            <w:rFonts w:ascii="Arial" w:cs="Arial" w:eastAsia="Arial" w:hAnsi="Arial"/>
            <w:sz w:val="15"/>
            <w:szCs w:val="15"/>
            <w:u w:val="single" w:color="auto"/>
            <w:color w:val="0000EE"/>
          </w:rPr>
          <w:t>Not Applicable</w:t>
        </w:r>
      </w:hyperlink>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6</w:t>
            </w:r>
          </w:p>
        </w:tc>
        <w:tc>
          <w:tcPr>
            <w:tcW w:w="560" w:type="dxa"/>
            <w:vAlign w:val="bottom"/>
          </w:tcPr>
          <w:p>
            <w:pPr>
              <w:spacing w:after="0"/>
              <w:rPr>
                <w:rFonts w:ascii="Arial" w:cs="Arial" w:eastAsia="Arial" w:hAnsi="Arial"/>
                <w:sz w:val="17"/>
                <w:szCs w:val="17"/>
                <w:color w:val="0000FF"/>
                <w:w w:val="90"/>
              </w:rPr>
            </w:pPr>
            <w:hyperlink w:anchor="page43">
              <w:r>
                <w:rPr>
                  <w:rFonts w:ascii="Arial" w:cs="Arial" w:eastAsia="Arial" w:hAnsi="Arial"/>
                  <w:sz w:val="17"/>
                  <w:szCs w:val="17"/>
                  <w:color w:val="0000FF"/>
                  <w:w w:val="90"/>
                </w:rPr>
                <w:t>Exhibits</w:t>
              </w:r>
            </w:hyperlink>
          </w:p>
        </w:tc>
        <w:tc>
          <w:tcPr>
            <w:tcW w:w="2380" w:type="dxa"/>
            <w:vAlign w:val="bottom"/>
            <w:gridSpan w:val="2"/>
          </w:tcPr>
          <w:p>
            <w:pPr>
              <w:spacing w:after="0"/>
              <w:rPr>
                <w:sz w:val="16"/>
                <w:szCs w:val="16"/>
                <w:color w:val="auto"/>
              </w:rPr>
            </w:pPr>
          </w:p>
        </w:tc>
        <w:tc>
          <w:tcPr>
            <w:tcW w:w="7960" w:type="dxa"/>
            <w:vAlign w:val="bottom"/>
            <w:gridSpan w:val="2"/>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43</w:t>
              </w:r>
            </w:hyperlink>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940" w:type="dxa"/>
            <w:vAlign w:val="bottom"/>
            <w:gridSpan w:val="3"/>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Signatures</w:t>
              </w:r>
            </w:hyperlink>
          </w:p>
        </w:tc>
        <w:tc>
          <w:tcPr>
            <w:tcW w:w="7960" w:type="dxa"/>
            <w:vAlign w:val="bottom"/>
            <w:gridSpan w:val="2"/>
          </w:tcPr>
          <w:p>
            <w:pPr>
              <w:jc w:val="right"/>
              <w:spacing w:after="0"/>
              <w:rPr>
                <w:rFonts w:ascii="Arial" w:cs="Arial" w:eastAsia="Arial" w:hAnsi="Arial"/>
                <w:sz w:val="17"/>
                <w:szCs w:val="17"/>
                <w:color w:val="0000FF"/>
              </w:rPr>
            </w:pPr>
            <w:hyperlink w:anchor="page44">
              <w:r>
                <w:rPr>
                  <w:rFonts w:ascii="Arial" w:cs="Arial" w:eastAsia="Arial" w:hAnsi="Arial"/>
                  <w:sz w:val="17"/>
                  <w:szCs w:val="17"/>
                  <w:color w:val="0000FF"/>
                </w:rPr>
                <w:t>44</w:t>
              </w:r>
            </w:hyperlink>
          </w:p>
        </w:tc>
      </w:tr>
      <w:tr>
        <w:trPr>
          <w:trHeight w:val="672"/>
        </w:trPr>
        <w:tc>
          <w:tcPr>
            <w:tcW w:w="48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7800" w:type="dxa"/>
            <w:vAlign w:val="bottom"/>
          </w:tcPr>
          <w:p>
            <w:pPr>
              <w:jc w:val="right"/>
              <w:ind w:right="5396"/>
              <w:spacing w:after="0"/>
              <w:rPr>
                <w:sz w:val="20"/>
                <w:szCs w:val="20"/>
                <w:color w:val="auto"/>
              </w:rPr>
            </w:pPr>
            <w:r>
              <w:rPr>
                <w:rFonts w:ascii="Arial" w:cs="Arial" w:eastAsia="Arial" w:hAnsi="Arial"/>
                <w:sz w:val="17"/>
                <w:szCs w:val="17"/>
                <w:color w:val="auto"/>
              </w:rPr>
              <w:t>3</w:t>
            </w:r>
          </w:p>
        </w:tc>
        <w:tc>
          <w:tcPr>
            <w:tcW w:w="16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September 30,</w:t>
            </w:r>
          </w:p>
        </w:tc>
        <w:tc>
          <w:tcPr>
            <w:tcW w:w="220" w:type="dxa"/>
            <w:vAlign w:val="bottom"/>
          </w:tcPr>
          <w:p>
            <w:pPr>
              <w:spacing w:after="0"/>
              <w:rPr>
                <w:sz w:val="13"/>
                <w:szCs w:val="13"/>
                <w:color w:val="auto"/>
              </w:rPr>
            </w:pP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color w:val="auto"/>
                <w:w w:val="89"/>
              </w:rPr>
              <w:t>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232"/>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227.6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Restricted amounts held in escrow</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470.3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Prepaid expenses and other</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44.3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2,769.9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2,765.9</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Less – accumulated depreciation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(1,987.5)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(1,969.8)</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property and equipment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796.1</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400.4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19"/>
        </w:trPr>
        <w:tc>
          <w:tcPr>
            <w:tcW w:w="8320" w:type="dxa"/>
            <w:vAlign w:val="bottom"/>
          </w:tcPr>
          <w:p>
            <w:pPr>
              <w:ind w:left="640"/>
              <w:spacing w:after="0"/>
              <w:rPr>
                <w:sz w:val="20"/>
                <w:szCs w:val="20"/>
                <w:color w:val="auto"/>
              </w:rPr>
            </w:pPr>
            <w:r>
              <w:rPr>
                <w:rFonts w:ascii="Arial" w:cs="Arial" w:eastAsia="Arial" w:hAnsi="Arial"/>
                <w:sz w:val="17"/>
                <w:szCs w:val="17"/>
                <w:b w:val="1"/>
                <w:bCs w:val="1"/>
                <w:color w:val="auto"/>
              </w:rPr>
              <w:t>Total Assets</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1,917.1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66"/>
        </w:trPr>
        <w:tc>
          <w:tcPr>
            <w:tcW w:w="8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7"/>
                <w:szCs w:val="17"/>
                <w:b w:val="1"/>
                <w:bCs w:val="1"/>
                <w:color w:val="auto"/>
              </w:rPr>
              <w:t>Liabilities and Shareholders’ Deficit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178.0</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Wages, vacations and employee benefits</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230.0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Current operating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Claims and insurance accruals</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118.4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accrued taxes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Other current and accrued liabilities</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Current maturities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19"/>
        </w:trPr>
        <w:tc>
          <w:tcPr>
            <w:tcW w:w="8320" w:type="dxa"/>
            <w:vAlign w:val="bottom"/>
          </w:tcPr>
          <w:p>
            <w:pPr>
              <w:ind w:left="64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699.9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592.4</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Long-term debt, less current portion</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860.7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854.2</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Deferred income taxes, net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Pension and postretirement</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189.2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202.9</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Claims and other liabilities</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280.7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Shareholders’ Deficit: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Preferred stock, $1 par value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Common stock, $0.01 par value per share</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Capital surplus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2,332.0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2,327.6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(2,297.1)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(2,208.4)</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Treasury stock, at cost (410 shares)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shareholders’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19"/>
        </w:trPr>
        <w:tc>
          <w:tcPr>
            <w:tcW w:w="8320" w:type="dxa"/>
            <w:vAlign w:val="bottom"/>
          </w:tcPr>
          <w:p>
            <w:pPr>
              <w:ind w:left="640"/>
              <w:spacing w:after="0"/>
              <w:rPr>
                <w:sz w:val="20"/>
                <w:szCs w:val="20"/>
                <w:color w:val="auto"/>
              </w:rPr>
            </w:pPr>
            <w:r>
              <w:rPr>
                <w:rFonts w:ascii="Arial" w:cs="Arial" w:eastAsia="Arial" w:hAnsi="Arial"/>
                <w:sz w:val="17"/>
                <w:szCs w:val="17"/>
                <w:b w:val="1"/>
                <w:bCs w:val="1"/>
                <w:color w:val="auto"/>
              </w:rPr>
              <w:t>Total Liabilities and Shareholders’ Deficit</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1,917.1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6"/>
        </w:trPr>
        <w:tc>
          <w:tcPr>
            <w:tcW w:w="8320" w:type="dxa"/>
            <w:vAlign w:val="bottom"/>
            <w:vMerge w:val="restart"/>
          </w:tcPr>
          <w:p>
            <w:pPr>
              <w:ind w:left="352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8320" w:type="dxa"/>
            <w:vAlign w:val="bottom"/>
          </w:tcPr>
          <w:p>
            <w:pPr>
              <w:ind w:left="566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3040"/>
        <w:spacing w:after="0"/>
        <w:rPr>
          <w:sz w:val="20"/>
          <w:szCs w:val="20"/>
          <w:color w:val="auto"/>
        </w:rPr>
      </w:pPr>
      <w:r>
        <w:rPr>
          <w:rFonts w:ascii="Arial" w:cs="Arial" w:eastAsia="Arial" w:hAnsi="Arial"/>
          <w:sz w:val="15"/>
          <w:szCs w:val="15"/>
          <w:color w:val="auto"/>
        </w:rPr>
        <w:t>STATEMENTS OF CONSOLIDATED COMPREHENSIVE INCOME (LOSS)</w:t>
      </w:r>
    </w:p>
    <w:p>
      <w:pPr>
        <w:spacing w:after="0" w:line="41"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For the Three and Nine Months Ended September 30</w:t>
      </w:r>
    </w:p>
    <w:p>
      <w:pPr>
        <w:spacing w:after="0" w:line="6"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(Amounts in millions except per share data, shares in thousands)</w:t>
      </w:r>
    </w:p>
    <w:p>
      <w:pPr>
        <w:spacing w:after="0" w:line="6"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2120" w:type="dxa"/>
        <w:tblCellMar>
          <w:top w:w="0" w:type="dxa"/>
          <w:left w:w="0" w:type="dxa"/>
          <w:bottom w:w="0" w:type="dxa"/>
          <w:right w:w="0" w:type="dxa"/>
        </w:tblCellMar>
      </w:tblPr>
      <w:tr>
        <w:trPr>
          <w:trHeight w:val="177"/>
        </w:trPr>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Nine Months</w:t>
            </w:r>
          </w:p>
        </w:tc>
        <w:tc>
          <w:tcPr>
            <w:tcW w:w="1020" w:type="dxa"/>
            <w:vAlign w:val="bottom"/>
            <w:tcBorders>
              <w:bottom w:val="single" w:sz="8" w:color="auto"/>
            </w:tcBorders>
          </w:tcPr>
          <w:p>
            <w:pPr>
              <w:spacing w:after="0"/>
              <w:rPr>
                <w:sz w:val="15"/>
                <w:szCs w:val="15"/>
                <w:color w:val="auto"/>
              </w:rPr>
            </w:pPr>
          </w:p>
        </w:tc>
      </w:tr>
      <w:tr>
        <w:trPr>
          <w:trHeight w:val="244"/>
        </w:trPr>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color w:val="auto"/>
              </w:rPr>
              <w:t>2018</w:t>
            </w:r>
          </w:p>
        </w:tc>
      </w:tr>
      <w:tr>
        <w:trPr>
          <w:trHeight w:val="224"/>
        </w:trPr>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67"/>
              <w:spacing w:after="0"/>
              <w:rPr>
                <w:sz w:val="20"/>
                <w:szCs w:val="20"/>
                <w:color w:val="auto"/>
              </w:rPr>
            </w:pPr>
            <w:r>
              <w:rPr>
                <w:rFonts w:ascii="Arial" w:cs="Arial" w:eastAsia="Arial" w:hAnsi="Arial"/>
                <w:sz w:val="17"/>
                <w:szCs w:val="17"/>
                <w:color w:val="auto"/>
              </w:rPr>
              <w:t>1,256.8</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1,303.6</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7"/>
              <w:spacing w:after="0"/>
              <w:rPr>
                <w:sz w:val="20"/>
                <w:szCs w:val="20"/>
                <w:color w:val="auto"/>
              </w:rPr>
            </w:pPr>
            <w:r>
              <w:rPr>
                <w:rFonts w:ascii="Arial" w:cs="Arial" w:eastAsia="Arial" w:hAnsi="Arial"/>
                <w:sz w:val="17"/>
                <w:szCs w:val="17"/>
                <w:color w:val="auto"/>
              </w:rPr>
              <w:t>3,711.7</w:t>
            </w:r>
          </w:p>
        </w:tc>
        <w:tc>
          <w:tcPr>
            <w:tcW w:w="120" w:type="dxa"/>
            <w:vAlign w:val="bottom"/>
          </w:tcPr>
          <w:p>
            <w:pPr>
              <w:spacing w:after="0"/>
              <w:rPr>
                <w:sz w:val="19"/>
                <w:szCs w:val="19"/>
                <w:color w:val="auto"/>
              </w:rPr>
            </w:pP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3,844.6</w:t>
            </w:r>
          </w:p>
        </w:tc>
      </w:tr>
      <w:tr>
        <w:trPr>
          <w:trHeight w:val="26"/>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-175260</wp:posOffset>
            </wp:positionV>
            <wp:extent cx="7247890" cy="167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16764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320" w:space="720"/>
            <w:col w:w="8380"/>
          </w:cols>
          <w:pgMar w:left="240" w:top="122" w:right="239" w:bottom="1440" w:gutter="0" w:footer="0" w:header="0"/>
        </w:sectPr>
      </w:pPr>
    </w:p>
    <w:tbl>
      <w:tblPr>
        <w:tblLayout w:type="fixed"/>
        <w:tblInd w:w="20" w:type="dxa"/>
        <w:tblCellMar>
          <w:top w:w="0" w:type="dxa"/>
          <w:left w:w="0" w:type="dxa"/>
          <w:bottom w:w="0" w:type="dxa"/>
          <w:right w:w="0" w:type="dxa"/>
        </w:tblCellMar>
      </w:tblPr>
      <w:tr>
        <w:trPr>
          <w:trHeight w:val="252"/>
        </w:trPr>
        <w:tc>
          <w:tcPr>
            <w:tcW w:w="5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Salaries, wages and employee benefits</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756.2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743.0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2,256.7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2,228.7</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Fuel, operating expenses and supplies</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218.9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233.6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683.1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705.8</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Purchased transportation</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516.0</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115.7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110.2</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operating expenses</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59.0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180.2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188.8</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(Gains) losses on property disposals, net</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7.3</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Impairment charges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19"/>
        </w:trPr>
        <w:tc>
          <w:tcPr>
            <w:tcW w:w="5140" w:type="dxa"/>
            <w:vAlign w:val="bottom"/>
          </w:tcPr>
          <w:p>
            <w:pPr>
              <w:ind w:left="640"/>
              <w:spacing w:after="0"/>
              <w:rPr>
                <w:sz w:val="20"/>
                <w:szCs w:val="20"/>
                <w:color w:val="auto"/>
              </w:rPr>
            </w:pPr>
            <w:r>
              <w:rPr>
                <w:rFonts w:ascii="Arial" w:cs="Arial" w:eastAsia="Arial" w:hAnsi="Arial"/>
                <w:sz w:val="17"/>
                <w:szCs w:val="17"/>
                <w:color w:val="auto"/>
              </w:rPr>
              <w:t>Total operating expenses</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1,233.0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1,262.4</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3,705.3</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3,756.8</w:t>
            </w:r>
          </w:p>
        </w:tc>
      </w:tr>
      <w:tr>
        <w:trPr>
          <w:trHeight w:val="26"/>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b w:val="1"/>
                <w:bCs w:val="1"/>
                <w:color w:val="auto"/>
              </w:rPr>
              <w:t>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87.8</w:t>
            </w:r>
          </w:p>
        </w:tc>
      </w:tr>
      <w:tr>
        <w:trPr>
          <w:trHeight w:val="20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38"/>
        </w:trPr>
        <w:tc>
          <w:tcPr>
            <w:tcW w:w="5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83.1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77.7</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Loss on extinguishment of debt</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Non-union pension and postretirement benefits</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Other, net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6"/>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Nonoperating expenses, net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82.9</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(89.8)</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4.9</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2.7</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18.5</w:t>
            </w:r>
          </w:p>
        </w:tc>
      </w:tr>
      <w:tr>
        <w:trPr>
          <w:trHeight w:val="219"/>
        </w:trPr>
        <w:tc>
          <w:tcPr>
            <w:tcW w:w="5140" w:type="dxa"/>
            <w:vAlign w:val="bottom"/>
          </w:tcPr>
          <w:p>
            <w:pPr>
              <w:ind w:left="340"/>
              <w:spacing w:after="0"/>
              <w:rPr>
                <w:sz w:val="20"/>
                <w:szCs w:val="20"/>
                <w:color w:val="auto"/>
              </w:rPr>
            </w:pPr>
            <w:r>
              <w:rPr>
                <w:rFonts w:ascii="Arial" w:cs="Arial" w:eastAsia="Arial" w:hAnsi="Arial"/>
                <w:sz w:val="17"/>
                <w:szCs w:val="17"/>
                <w:b w:val="1"/>
                <w:bCs w:val="1"/>
                <w:color w:val="auto"/>
              </w:rPr>
              <w:t>Comprehensive Income (Loss)</w:t>
            </w: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(79.6)</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21.2</w:t>
            </w:r>
          </w:p>
        </w:tc>
      </w:tr>
      <w:tr>
        <w:trPr>
          <w:trHeight w:val="66"/>
        </w:trPr>
        <w:tc>
          <w:tcPr>
            <w:tcW w:w="5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80"/>
        </w:trPr>
        <w:tc>
          <w:tcPr>
            <w:tcW w:w="5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33,259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33,051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33,098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32,827</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33,259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33,995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33,098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33,755</w:t>
            </w:r>
          </w:p>
        </w:tc>
      </w:tr>
      <w:tr>
        <w:trPr>
          <w:trHeight w:val="277"/>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Per Share – Basic</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0.08</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 – Diluted</w:t>
            </w: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0.08</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Nine Months Ended September 30</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2018</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920" w:type="dxa"/>
            <w:vAlign w:val="bottom"/>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(88.7)</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2.7</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Adjustments to reconcile net income (loss) to cash flows from operating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115.7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110.2</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Lease amortization and accretion expense</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Lease payments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(113.4)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and employee benefits expense</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16.2</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7.3</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Impairment charges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Deferred income tax benefit,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7.2</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Loss on extinguishment of debt</w:t>
            </w:r>
          </w:p>
        </w:tc>
        <w:tc>
          <w:tcPr>
            <w:tcW w:w="92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non-cash items, net</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4.9</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(58.9)</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32.9</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assets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3.1</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liabilities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32.3</w:t>
            </w:r>
          </w:p>
        </w:tc>
      </w:tr>
      <w:tr>
        <w:trPr>
          <w:trHeight w:val="26"/>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157.9</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(111.5)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2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4.9</w:t>
            </w:r>
          </w:p>
        </w:tc>
      </w:tr>
      <w:tr>
        <w:trPr>
          <w:trHeight w:val="26"/>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(87.5)</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Issuance of long-term debt, net of discounts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Repayments of long-term debt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(576.2)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issuance costs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Payments for tax withheld on equity-based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6"/>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Amounts Held in Escrow</w:t>
            </w: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(106.3)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47.5</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Beginning of Period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145.7</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End of Period</w:t>
            </w:r>
          </w:p>
        </w:tc>
        <w:tc>
          <w:tcPr>
            <w:tcW w:w="920" w:type="dxa"/>
            <w:vAlign w:val="bottom"/>
            <w:tcBorders>
              <w:top w:val="single" w:sz="8" w:color="auto"/>
            </w:tcBorders>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121.3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193.2</w:t>
            </w:r>
          </w:p>
        </w:tc>
      </w:tr>
      <w:tr>
        <w:trPr>
          <w:trHeight w:val="66"/>
        </w:trPr>
        <w:tc>
          <w:tcPr>
            <w:tcW w:w="83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42"/>
        </w:trPr>
        <w:tc>
          <w:tcPr>
            <w:tcW w:w="8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paid</w:t>
            </w:r>
          </w:p>
        </w:tc>
        <w:tc>
          <w:tcPr>
            <w:tcW w:w="92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(71.3)</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Income tax payment,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CONSOLIDATED SHAREHOLDERS’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and Nine Months Ended September 30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Preferred</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700" w:type="dxa"/>
            <w:vAlign w:val="bottom"/>
          </w:tcPr>
          <w:p>
            <w:pPr>
              <w:jc w:val="right"/>
              <w:ind w:right="118"/>
              <w:spacing w:after="0"/>
              <w:rPr>
                <w:sz w:val="20"/>
                <w:szCs w:val="20"/>
                <w:color w:val="auto"/>
              </w:rPr>
            </w:pPr>
            <w:r>
              <w:rPr>
                <w:rFonts w:ascii="Arial" w:cs="Arial" w:eastAsia="Arial" w:hAnsi="Arial"/>
                <w:sz w:val="13"/>
                <w:szCs w:val="13"/>
                <w:b w:val="1"/>
                <w:bCs w:val="1"/>
                <w:color w:val="auto"/>
              </w:rPr>
              <w:t>Capital</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94"/>
              </w:rPr>
              <w:t>Accumulated Deficit</w:t>
            </w: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w w:val="93"/>
              </w:rPr>
              <w:t>Accumulated Other</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Treasury Stock,</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Total Shareholders'</w:t>
            </w: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Stock</w:t>
            </w:r>
          </w:p>
        </w:tc>
        <w:tc>
          <w:tcPr>
            <w:tcW w:w="10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w w:val="99"/>
              </w:rPr>
              <w:t>Surplus</w:t>
            </w:r>
          </w:p>
        </w:tc>
        <w:tc>
          <w:tcPr>
            <w:tcW w:w="1280" w:type="dxa"/>
            <w:vAlign w:val="bottom"/>
            <w:tcBorders>
              <w:bottom w:val="single" w:sz="8" w:color="auto"/>
            </w:tcBorders>
            <w:gridSpan w:val="2"/>
            <w:vMerge w:val="continue"/>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Comprehensive Loss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At Cost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Balances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2,327.6</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(2,208.4)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26"/>
        </w:trPr>
        <w:tc>
          <w:tcPr>
            <w:tcW w:w="3660" w:type="dxa"/>
            <w:vAlign w:val="bottom"/>
          </w:tcPr>
          <w:p>
            <w:pPr>
              <w:ind w:left="2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26"/>
        </w:trPr>
        <w:tc>
          <w:tcPr>
            <w:tcW w:w="3660" w:type="dxa"/>
            <w:vAlign w:val="bottom"/>
          </w:tcPr>
          <w:p>
            <w:pPr>
              <w:ind w:left="20"/>
              <w:spacing w:after="0"/>
              <w:rPr>
                <w:sz w:val="20"/>
                <w:szCs w:val="20"/>
                <w:color w:val="auto"/>
              </w:rPr>
            </w:pPr>
            <w:r>
              <w:rPr>
                <w:rFonts w:ascii="Arial" w:cs="Arial" w:eastAsia="Arial" w:hAnsi="Arial"/>
                <w:sz w:val="17"/>
                <w:szCs w:val="17"/>
                <w:color w:val="auto"/>
              </w:rPr>
              <w:t>Pension, net of tax:</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prior net losses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6"/>
        </w:trPr>
        <w:tc>
          <w:tcPr>
            <w:tcW w:w="3660" w:type="dxa"/>
            <w:vAlign w:val="bottom"/>
          </w:tcPr>
          <w:p>
            <w:pPr>
              <w:ind w:left="220"/>
              <w:spacing w:after="0"/>
              <w:rPr>
                <w:sz w:val="20"/>
                <w:szCs w:val="20"/>
                <w:color w:val="auto"/>
              </w:rPr>
            </w:pPr>
            <w:r>
              <w:rPr>
                <w:rFonts w:ascii="Arial" w:cs="Arial" w:eastAsia="Arial" w:hAnsi="Arial"/>
                <w:sz w:val="17"/>
                <w:szCs w:val="17"/>
                <w:color w:val="auto"/>
              </w:rPr>
              <w:t>Amortization of prior service credit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8"/>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Balances at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2,329.2</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(2,257.5)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(349.5)</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Equity-based compensation</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6"/>
        </w:trPr>
        <w:tc>
          <w:tcPr>
            <w:tcW w:w="36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Pension,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3660" w:type="dxa"/>
            <w:vAlign w:val="bottom"/>
          </w:tcPr>
          <w:p>
            <w:pPr>
              <w:ind w:left="220"/>
              <w:spacing w:after="0"/>
              <w:rPr>
                <w:sz w:val="20"/>
                <w:szCs w:val="20"/>
                <w:color w:val="auto"/>
              </w:rPr>
            </w:pPr>
            <w:r>
              <w:rPr>
                <w:rFonts w:ascii="Arial" w:cs="Arial" w:eastAsia="Arial" w:hAnsi="Arial"/>
                <w:sz w:val="17"/>
                <w:szCs w:val="17"/>
                <w:color w:val="auto"/>
              </w:rPr>
              <w:t>Amortization of prior net losses</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credit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6"/>
        </w:trPr>
        <w:tc>
          <w:tcPr>
            <w:tcW w:w="366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Balances at June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2,330.2</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w:t>
            </w:r>
          </w:p>
        </w:tc>
        <w:tc>
          <w:tcPr>
            <w:tcW w:w="38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6"/>
        </w:trPr>
        <w:tc>
          <w:tcPr>
            <w:tcW w:w="3660" w:type="dxa"/>
            <w:vAlign w:val="bottom"/>
          </w:tcPr>
          <w:p>
            <w:pPr>
              <w:ind w:left="20"/>
              <w:spacing w:after="0"/>
              <w:rPr>
                <w:sz w:val="20"/>
                <w:szCs w:val="20"/>
                <w:color w:val="auto"/>
              </w:rPr>
            </w:pPr>
            <w:r>
              <w:rPr>
                <w:rFonts w:ascii="Arial" w:cs="Arial" w:eastAsia="Arial" w:hAnsi="Arial"/>
                <w:sz w:val="17"/>
                <w:szCs w:val="17"/>
                <w:color w:val="auto"/>
              </w:rPr>
              <w:t>Pension, net of tax:</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prior net losses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6"/>
        </w:trPr>
        <w:tc>
          <w:tcPr>
            <w:tcW w:w="3660" w:type="dxa"/>
            <w:vAlign w:val="bottom"/>
          </w:tcPr>
          <w:p>
            <w:pPr>
              <w:ind w:left="220"/>
              <w:spacing w:after="0"/>
              <w:rPr>
                <w:sz w:val="20"/>
                <w:szCs w:val="20"/>
                <w:color w:val="auto"/>
              </w:rPr>
            </w:pPr>
            <w:r>
              <w:rPr>
                <w:rFonts w:ascii="Arial" w:cs="Arial" w:eastAsia="Arial" w:hAnsi="Arial"/>
                <w:sz w:val="17"/>
                <w:szCs w:val="17"/>
                <w:color w:val="auto"/>
              </w:rPr>
              <w:t>Amortization of prior service credit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Settlement adjustment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6"/>
        </w:trPr>
        <w:tc>
          <w:tcPr>
            <w:tcW w:w="3660" w:type="dxa"/>
            <w:vAlign w:val="bottom"/>
          </w:tcPr>
          <w:p>
            <w:pPr>
              <w:ind w:left="220"/>
              <w:spacing w:after="0"/>
              <w:rPr>
                <w:sz w:val="20"/>
                <w:szCs w:val="20"/>
                <w:color w:val="auto"/>
              </w:rPr>
            </w:pPr>
            <w:r>
              <w:rPr>
                <w:rFonts w:ascii="Arial" w:cs="Arial" w:eastAsia="Arial" w:hAnsi="Arial"/>
                <w:sz w:val="17"/>
                <w:szCs w:val="17"/>
                <w:color w:val="auto"/>
              </w:rPr>
              <w:t>Net actuarial gain</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Balances at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2,332.0</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(2,297.1)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(323.2)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7</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gridSpan w:val="2"/>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Table of Contents</w:t>
              </w:r>
            </w:hyperlink>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1"/>
        </w:trPr>
        <w:tc>
          <w:tcPr>
            <w:tcW w:w="96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Preferred</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24"/>
                <w:szCs w:val="24"/>
                <w:color w:val="auto"/>
              </w:rPr>
            </w:pPr>
          </w:p>
        </w:tc>
        <w:tc>
          <w:tcPr>
            <w:tcW w:w="700" w:type="dxa"/>
            <w:vAlign w:val="bottom"/>
          </w:tcPr>
          <w:p>
            <w:pPr>
              <w:jc w:val="right"/>
              <w:ind w:right="118"/>
              <w:spacing w:after="0"/>
              <w:rPr>
                <w:sz w:val="20"/>
                <w:szCs w:val="20"/>
                <w:color w:val="auto"/>
              </w:rPr>
            </w:pPr>
            <w:r>
              <w:rPr>
                <w:rFonts w:ascii="Arial" w:cs="Arial" w:eastAsia="Arial" w:hAnsi="Arial"/>
                <w:sz w:val="13"/>
                <w:szCs w:val="13"/>
                <w:b w:val="1"/>
                <w:bCs w:val="1"/>
                <w:color w:val="auto"/>
              </w:rPr>
              <w:t>Capital</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94"/>
              </w:rPr>
              <w:t>Accumulated Deficit</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w w:val="93"/>
              </w:rPr>
              <w:t>Accumulated Other</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Treasury Stock,</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Total Shareholders'</w:t>
            </w:r>
          </w:p>
        </w:tc>
        <w:tc>
          <w:tcPr>
            <w:tcW w:w="0" w:type="dxa"/>
            <w:vAlign w:val="bottom"/>
          </w:tcPr>
          <w:p>
            <w:pPr>
              <w:spacing w:after="0"/>
              <w:rPr>
                <w:sz w:val="1"/>
                <w:szCs w:val="1"/>
                <w:color w:val="auto"/>
              </w:rPr>
            </w:pPr>
          </w:p>
        </w:tc>
      </w:tr>
      <w:tr>
        <w:trPr>
          <w:trHeight w:val="179"/>
        </w:trPr>
        <w:tc>
          <w:tcPr>
            <w:tcW w:w="96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Stock</w:t>
            </w:r>
          </w:p>
        </w:tc>
        <w:tc>
          <w:tcPr>
            <w:tcW w:w="10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w w:val="99"/>
              </w:rPr>
              <w:t>Surplus</w:t>
            </w:r>
          </w:p>
        </w:tc>
        <w:tc>
          <w:tcPr>
            <w:tcW w:w="1280" w:type="dxa"/>
            <w:vAlign w:val="bottom"/>
            <w:tcBorders>
              <w:bottom w:val="single" w:sz="8" w:color="auto"/>
            </w:tcBorders>
            <w:gridSpan w:val="2"/>
            <w:vMerge w:val="continue"/>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Comprehensive Loss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At Cost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Balances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2,323.3</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(2,228.6)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0.2</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Pension, net of tax:</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prior net losses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20"/>
              <w:spacing w:after="0"/>
              <w:rPr>
                <w:sz w:val="20"/>
                <w:szCs w:val="20"/>
                <w:color w:val="auto"/>
              </w:rPr>
            </w:pPr>
            <w:r>
              <w:rPr>
                <w:rFonts w:ascii="Arial" w:cs="Arial" w:eastAsia="Arial" w:hAnsi="Arial"/>
                <w:sz w:val="17"/>
                <w:szCs w:val="17"/>
                <w:color w:val="auto"/>
              </w:rPr>
              <w:t>Amortization of prior service credit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8"/>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Balances at March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2,323.5</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(2,243.2)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(365.9)</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Equity-based compensation</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Pension,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60" w:type="dxa"/>
            <w:vAlign w:val="bottom"/>
            <w:gridSpan w:val="2"/>
          </w:tcPr>
          <w:p>
            <w:pPr>
              <w:ind w:left="220"/>
              <w:spacing w:after="0"/>
              <w:rPr>
                <w:sz w:val="20"/>
                <w:szCs w:val="20"/>
                <w:color w:val="auto"/>
              </w:rPr>
            </w:pPr>
            <w:r>
              <w:rPr>
                <w:rFonts w:ascii="Arial" w:cs="Arial" w:eastAsia="Arial" w:hAnsi="Arial"/>
                <w:sz w:val="17"/>
                <w:szCs w:val="17"/>
                <w:color w:val="auto"/>
              </w:rPr>
              <w:t>Amortization of prior net losses</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credit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9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Balances at June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2,326.6</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0.2</w:t>
            </w:r>
          </w:p>
        </w:tc>
        <w:tc>
          <w:tcPr>
            <w:tcW w:w="38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Pension, net of tax:</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prior net losses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20"/>
              <w:spacing w:after="0"/>
              <w:rPr>
                <w:sz w:val="20"/>
                <w:szCs w:val="20"/>
                <w:color w:val="auto"/>
              </w:rPr>
            </w:pPr>
            <w:r>
              <w:rPr>
                <w:rFonts w:ascii="Arial" w:cs="Arial" w:eastAsia="Arial" w:hAnsi="Arial"/>
                <w:sz w:val="17"/>
                <w:szCs w:val="17"/>
                <w:color w:val="auto"/>
              </w:rPr>
              <w:t>Amortization of prior service credit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Settlement adjustment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6"/>
        </w:trPr>
        <w:tc>
          <w:tcPr>
            <w:tcW w:w="3660" w:type="dxa"/>
            <w:vAlign w:val="bottom"/>
            <w:gridSpan w:val="2"/>
          </w:tcPr>
          <w:p>
            <w:pPr>
              <w:ind w:left="220"/>
              <w:spacing w:after="0"/>
              <w:rPr>
                <w:sz w:val="20"/>
                <w:szCs w:val="20"/>
                <w:color w:val="auto"/>
              </w:rPr>
            </w:pPr>
            <w:r>
              <w:rPr>
                <w:rFonts w:ascii="Arial" w:cs="Arial" w:eastAsia="Arial" w:hAnsi="Arial"/>
                <w:sz w:val="17"/>
                <w:szCs w:val="17"/>
                <w:color w:val="auto"/>
              </w:rPr>
              <w:t>Net actuarial gain</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0.9</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8"/>
        </w:trPr>
        <w:tc>
          <w:tcPr>
            <w:tcW w:w="366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Balances at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2,326.8</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(2,225.9)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16"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47" w:lineRule="exact"/>
        <w:rPr>
          <w:sz w:val="20"/>
          <w:szCs w:val="20"/>
          <w:color w:val="auto"/>
        </w:rPr>
      </w:pPr>
    </w:p>
    <w:p>
      <w:pPr>
        <w:jc w:val="both"/>
        <w:ind w:left="600" w:hanging="297"/>
        <w:spacing w:after="0" w:line="29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LTL subsidiaries YRC Inc. and YRC Freight Canada Company (both doing business as, and herein referred to as, “YRC Freight”) and HNRY Logistics, Inc. (“HNRY Logistics”), our customer-specific logistics solutions provider. In addition to the United States and Canada, YRC Freight also serves parts of Mexico and Puerto Rico.</w:t>
      </w:r>
    </w:p>
    <w:p>
      <w:pPr>
        <w:spacing w:after="0" w:line="147" w:lineRule="exact"/>
        <w:rPr>
          <w:rFonts w:ascii="Arial" w:cs="Arial" w:eastAsia="Arial" w:hAnsi="Arial"/>
          <w:sz w:val="15"/>
          <w:szCs w:val="15"/>
          <w:color w:val="auto"/>
        </w:rPr>
      </w:pPr>
    </w:p>
    <w:p>
      <w:pPr>
        <w:jc w:val="both"/>
        <w:ind w:left="600" w:hanging="297"/>
        <w:spacing w:after="0" w:line="254"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2019, approximately 79% of our labor force is subject to collective bargaining agreements, which predominantly expire on March 31,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Disaggregation</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We considered the disclosure requirements for revenue disaggregation guidance in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noted that our segments disaggregate our revenues based on geographic and time-based factors as our Regional Transportation segment carriers operate in a smaller geographic footprint and have a shorter length of haul as compared to our YRC Freight segment. For additional information, see the “Business Segments” footnote to the consolidated financial statements. The following table presents disaggregated revenue by revenue source between LTL shipments and total. LTL shipments are defined as shipments less than 10,000 pounds. Beginning in 2019, the Company disaggregated revenue for reporting of key operating metrics, including volume and yield metrics, due to the impacts from shipments over 10,000 pounds.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6060" w:type="dxa"/>
            <w:vAlign w:val="bottom"/>
            <w:gridSpan w:val="3"/>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Table of Contents</w:t>
              </w:r>
            </w:hyperlink>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604"/>
        </w:trPr>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840" w:type="dxa"/>
            <w:vAlign w:val="bottom"/>
            <w:tcBorders>
              <w:bottom w:val="single" w:sz="8" w:color="auto"/>
            </w:tcBorders>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r>
      <w:tr>
        <w:trPr>
          <w:trHeight w:val="229"/>
        </w:trPr>
        <w:tc>
          <w:tcPr>
            <w:tcW w:w="20" w:type="dxa"/>
            <w:vAlign w:val="bottom"/>
          </w:tcPr>
          <w:p>
            <w:pPr>
              <w:spacing w:after="0"/>
              <w:rPr>
                <w:sz w:val="19"/>
                <w:szCs w:val="19"/>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739.4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756.1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2,162.0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2,212.8</w:t>
            </w:r>
          </w:p>
        </w:tc>
      </w:tr>
      <w:tr>
        <w:trPr>
          <w:trHeight w:val="226"/>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63.8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185.8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7"/>
                <w:szCs w:val="17"/>
                <w:color w:val="auto"/>
              </w:rPr>
              <w:t>188.2</w:t>
            </w:r>
          </w:p>
        </w:tc>
      </w:tr>
      <w:tr>
        <w:trPr>
          <w:trHeight w:val="26"/>
        </w:trPr>
        <w:tc>
          <w:tcPr>
            <w:tcW w:w="2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803.2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822.1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2,347.8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2,401.0</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840" w:type="dxa"/>
            <w:vAlign w:val="bottom"/>
            <w:tcBorders>
              <w:bottom w:val="single" w:sz="8" w:color="auto"/>
            </w:tcBorders>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r>
      <w:tr>
        <w:trPr>
          <w:trHeight w:val="229"/>
        </w:trPr>
        <w:tc>
          <w:tcPr>
            <w:tcW w:w="20" w:type="dxa"/>
            <w:vAlign w:val="bottom"/>
          </w:tcPr>
          <w:p>
            <w:pPr>
              <w:spacing w:after="0"/>
              <w:rPr>
                <w:sz w:val="19"/>
                <w:szCs w:val="19"/>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421.6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443.7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1,264.8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1,326.3</w:t>
            </w:r>
          </w:p>
        </w:tc>
      </w:tr>
      <w:tr>
        <w:trPr>
          <w:trHeight w:val="226"/>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7"/>
                <w:szCs w:val="17"/>
                <w:color w:val="auto"/>
              </w:rPr>
              <w:t>117.5</w:t>
            </w:r>
          </w:p>
        </w:tc>
      </w:tr>
      <w:tr>
        <w:trPr>
          <w:trHeight w:val="26"/>
        </w:trPr>
        <w:tc>
          <w:tcPr>
            <w:tcW w:w="2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453.6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481.5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1,364.0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1,443.8</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840" w:type="dxa"/>
            <w:vAlign w:val="bottom"/>
            <w:tcBorders>
              <w:bottom w:val="single" w:sz="8" w:color="auto"/>
            </w:tcBorders>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Consolidated (in millions)</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r>
      <w:tr>
        <w:trPr>
          <w:trHeight w:val="229"/>
        </w:trPr>
        <w:tc>
          <w:tcPr>
            <w:tcW w:w="20" w:type="dxa"/>
            <w:vAlign w:val="bottom"/>
          </w:tcPr>
          <w:p>
            <w:pPr>
              <w:spacing w:after="0"/>
              <w:rPr>
                <w:sz w:val="19"/>
                <w:szCs w:val="19"/>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1,161.0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1,199.8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3,426.8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3,539.1</w:t>
            </w:r>
          </w:p>
        </w:tc>
      </w:tr>
      <w:tr>
        <w:trPr>
          <w:trHeight w:val="226"/>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95.8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7"/>
                <w:szCs w:val="17"/>
                <w:color w:val="auto"/>
              </w:rPr>
              <w:t>103.8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284.9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7"/>
                <w:szCs w:val="17"/>
                <w:color w:val="auto"/>
              </w:rPr>
              <w:t>305.5</w:t>
            </w:r>
          </w:p>
        </w:tc>
      </w:tr>
      <w:tr>
        <w:trPr>
          <w:trHeight w:val="26"/>
        </w:trPr>
        <w:tc>
          <w:tcPr>
            <w:tcW w:w="2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1,256.8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1,303.6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3,711.7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3,844.6</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Newly-Adopted Accounting Standards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recognize a right-to-use asset and a lease obligation for all leases. Additional qualitative and quantitative disclosures, including significant judgments made by management, are required. The new standard became effective for the Company for its annual reporting period beginning January 1, 2019, including interim periods within that reporting period. The Company adopted the standard using a modified retrospective approach with the effective date of the standard as the date of initial application.</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elected the package of three practical expedients which allows entities to not reassess initial direct costs, lease classification for existing or expired leases, and lease definition for existing or expired contracts as of the effective date of January 1, 2019. Additionally, the Company did not elect the hindsight method practical expedient which would have allowed us to reassess lease terms and impairment. For leases with a term of twelve months or less, the Company has made an accounting policy election in which the right of use lease (“ROU”) asset and lease liability will not be recognized on the consolidated balance sheet. The Company does not separate lease and non-lease components for its revenue equipment and real property leases. The Company reassessed the accounting for debt financing obligations under the new standard and determined the historical accounting remained appropriate under the new standard.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adoption of this standard impacted our consolidated balance sheet through the recognition of $378.8 million in ROU assets and liabilities as of January 1, 2019.</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Lease deposits in the amount of $25.4 million were reclassified from assets to a reduction of long-term ROU liabilities upon adoption of the new standard.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new standard did not impact the calculation of our financial covenants defined under the terms of our credit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Recently-Issued Accounting Standards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w:t>
      </w:r>
      <w:r>
        <w:rPr>
          <w:rFonts w:ascii="Arial" w:cs="Arial" w:eastAsia="Arial" w:hAnsi="Arial"/>
          <w:sz w:val="17"/>
          <w:szCs w:val="17"/>
          <w:color w:val="auto"/>
        </w:rPr>
        <w:t xml:space="preserve"> (Subtopic 715-20): </w:t>
      </w:r>
      <w:r>
        <w:rPr>
          <w:rFonts w:ascii="Arial" w:cs="Arial" w:eastAsia="Arial" w:hAnsi="Arial"/>
          <w:sz w:val="17"/>
          <w:szCs w:val="17"/>
          <w:i w:val="1"/>
          <w:iCs w:val="1"/>
          <w:color w:val="auto"/>
        </w:rPr>
        <w:t>Disclosure Framework-Changes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Disclosure Requirements for Defined Benefit Plans</w:t>
      </w:r>
      <w:r>
        <w:rPr>
          <w:rFonts w:ascii="Arial" w:cs="Arial" w:eastAsia="Arial" w:hAnsi="Arial"/>
          <w:sz w:val="17"/>
          <w:szCs w:val="17"/>
          <w:color w:val="auto"/>
        </w:rPr>
        <w:t>. The guidance modifies disclosure requirements for defined benefit plans. This guidance is effective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ending after December 15, 2020 and early adoption is permitted. The Company assessed the potential impact of ASU 2018-14 on its consolidated financial statement disclosures and does not expect it to be material.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16"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September 30, 2019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September 30, 2019 (in millions)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Par Value</w:t>
            </w:r>
          </w:p>
        </w:tc>
        <w:tc>
          <w:tcPr>
            <w:tcW w:w="20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Discount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Debt Issuance</w:t>
            </w:r>
          </w:p>
        </w:tc>
        <w:tc>
          <w:tcPr>
            <w:tcW w:w="240" w:type="dxa"/>
            <w:vAlign w:val="bottom"/>
          </w:tcPr>
          <w:p>
            <w:pPr>
              <w:spacing w:after="0"/>
              <w:rPr>
                <w:sz w:val="13"/>
                <w:szCs w:val="13"/>
                <w:color w:val="auto"/>
              </w:rPr>
            </w:pPr>
          </w:p>
        </w:tc>
        <w:tc>
          <w:tcPr>
            <w:tcW w:w="860" w:type="dxa"/>
            <w:vAlign w:val="bottom"/>
          </w:tcPr>
          <w:p>
            <w:pPr>
              <w:jc w:val="right"/>
              <w:ind w:right="319"/>
              <w:spacing w:after="0"/>
              <w:rPr>
                <w:sz w:val="20"/>
                <w:szCs w:val="20"/>
                <w:color w:val="auto"/>
              </w:rPr>
            </w:pPr>
            <w:r>
              <w:rPr>
                <w:rFonts w:ascii="Arial" w:cs="Arial" w:eastAsia="Arial" w:hAnsi="Arial"/>
                <w:sz w:val="13"/>
                <w:szCs w:val="13"/>
                <w:b w:val="1"/>
                <w:bCs w:val="1"/>
                <w:color w:val="auto"/>
              </w:rPr>
              <w:t>Book</w:t>
            </w:r>
          </w:p>
        </w:tc>
        <w:tc>
          <w:tcPr>
            <w:tcW w:w="1300" w:type="dxa"/>
            <w:vAlign w:val="bottom"/>
          </w:tcPr>
          <w:p>
            <w:pPr>
              <w:jc w:val="right"/>
              <w:ind w:right="61"/>
              <w:spacing w:after="0"/>
              <w:rPr>
                <w:sz w:val="20"/>
                <w:szCs w:val="20"/>
                <w:color w:val="auto"/>
              </w:rPr>
            </w:pPr>
            <w:r>
              <w:rPr>
                <w:rFonts w:ascii="Arial" w:cs="Arial" w:eastAsia="Arial" w:hAnsi="Arial"/>
                <w:sz w:val="13"/>
                <w:szCs w:val="13"/>
                <w:b w:val="1"/>
                <w:bCs w:val="1"/>
                <w:color w:val="auto"/>
              </w:rPr>
              <w:t>Average Effective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Costs</w:t>
            </w:r>
          </w:p>
        </w:tc>
        <w:tc>
          <w:tcPr>
            <w:tcW w:w="240" w:type="dxa"/>
            <w:vAlign w:val="bottom"/>
          </w:tcPr>
          <w:p>
            <w:pPr>
              <w:spacing w:after="0"/>
              <w:rPr>
                <w:sz w:val="15"/>
                <w:szCs w:val="15"/>
                <w:color w:val="auto"/>
              </w:rPr>
            </w:pPr>
          </w:p>
        </w:tc>
        <w:tc>
          <w:tcPr>
            <w:tcW w:w="860" w:type="dxa"/>
            <w:vAlign w:val="bottom"/>
          </w:tcPr>
          <w:p>
            <w:pPr>
              <w:jc w:val="right"/>
              <w:ind w:right="299"/>
              <w:spacing w:after="0"/>
              <w:rPr>
                <w:sz w:val="20"/>
                <w:szCs w:val="20"/>
                <w:color w:val="auto"/>
              </w:rPr>
            </w:pPr>
            <w:r>
              <w:rPr>
                <w:rFonts w:ascii="Arial" w:cs="Arial" w:eastAsia="Arial" w:hAnsi="Arial"/>
                <w:sz w:val="13"/>
                <w:szCs w:val="13"/>
                <w:b w:val="1"/>
                <w:bCs w:val="1"/>
                <w:color w:val="auto"/>
              </w:rPr>
              <w:t>Value</w:t>
            </w:r>
          </w:p>
        </w:tc>
        <w:tc>
          <w:tcPr>
            <w:tcW w:w="1300" w:type="dxa"/>
            <w:vAlign w:val="bottom"/>
          </w:tcPr>
          <w:p>
            <w:pPr>
              <w:jc w:val="right"/>
              <w:ind w:right="201"/>
              <w:spacing w:after="0"/>
              <w:rPr>
                <w:sz w:val="20"/>
                <w:szCs w:val="20"/>
                <w:color w:val="auto"/>
              </w:rPr>
            </w:pPr>
            <w:r>
              <w:rPr>
                <w:rFonts w:ascii="Arial" w:cs="Arial" w:eastAsia="Arial" w:hAnsi="Arial"/>
                <w:sz w:val="13"/>
                <w:szCs w:val="13"/>
                <w:b w:val="1"/>
                <w:bCs w:val="1"/>
                <w:color w:val="auto"/>
              </w:rPr>
              <w:t>Interest Rate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559.3</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01"/>
              <w:spacing w:after="0"/>
              <w:rPr>
                <w:sz w:val="20"/>
                <w:szCs w:val="20"/>
                <w:color w:val="auto"/>
              </w:rPr>
            </w:pPr>
            <w:r>
              <w:rPr>
                <w:rFonts w:ascii="Arial" w:cs="Arial" w:eastAsia="Arial" w:hAnsi="Arial"/>
                <w:sz w:val="17"/>
                <w:szCs w:val="17"/>
                <w:color w:val="auto"/>
              </w:rPr>
              <w:t>N/A</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46.5</w:t>
            </w:r>
          </w:p>
        </w:tc>
        <w:tc>
          <w:tcPr>
            <w:tcW w:w="1300" w:type="dxa"/>
            <w:vAlign w:val="bottom"/>
          </w:tcPr>
          <w:p>
            <w:pPr>
              <w:jc w:val="right"/>
              <w:spacing w:after="0"/>
              <w:rPr>
                <w:sz w:val="20"/>
                <w:szCs w:val="20"/>
                <w:color w:val="auto"/>
              </w:rPr>
            </w:pPr>
            <w:r>
              <w:rPr>
                <w:rFonts w:ascii="Arial" w:cs="Arial" w:eastAsia="Arial" w:hAnsi="Arial"/>
                <w:sz w:val="17"/>
                <w:szCs w:val="17"/>
                <w:color w:val="auto"/>
              </w:rPr>
              <w:t>7.9%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232.5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906.3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865.0</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Unsecured Second A&amp;R CDA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902.0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860.7</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7.5%.</w:t>
      </w:r>
    </w:p>
    <w:p>
      <w:pPr>
        <w:spacing w:after="0" w:line="51" w:lineRule="exact"/>
        <w:rPr>
          <w:rFonts w:ascii="Arial" w:cs="Arial" w:eastAsia="Arial" w:hAnsi="Arial"/>
          <w:sz w:val="13"/>
          <w:szCs w:val="13"/>
          <w:color w:val="auto"/>
        </w:rPr>
      </w:pPr>
    </w:p>
    <w:p>
      <w:pPr>
        <w:ind w:left="200" w:hanging="199"/>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Interest rate for lease financing obligations is derived from the difference between total rent payment and calculated principal amortization over the life of lease agreements.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Term Loan</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September 11, 2019, the Company and certain of its subsidiaries, as guarantors (the “Term Guarantors”), amended and restated the existing credit facilities under the credit agreement dated February 13, 2014 (the “Prior Term Loan Agreement”) and entered into a $600.0 million term loan agreement (“New Term Loan”) with funds managed by Apollo Global Management, LLC acting collectively as lead lender, and Cortland Products Corp, as administrative agent and collateral agent. The obligations of the Company under the agreement governing (the “New Term Loan Agreement”) are unconditionally guaranteed by the Term Guarantors.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New Term Loan has a maturity date of June 30, 2024, with a single payment due at maturity of the outstanding balance. The New Term Loan bears interest at LIBOR (subject to a floor of 1.0%) plus a margin of 7.5% per annum, payable at least quarterly in cash, subject to a 1.0% margin step down in the event the Company achieves greater than $400.0 million in trailing-twelve-month Adjusted EBITDA (defined in the New Term Loan Agreement as “Consolidated EBITDA”). Obligations under the New Term Loan are secured by a perfected first priority security interest in (subject to permitted liens) assets of the Company and the Term Guarantors, including but not limited to all of the Company’s wholly owned terminals, tractors and trailers, subject to certain limited exceptions.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New Term Loan eliminated the total maximum leverage ratio covenant that the Company was subject to under the Prior Term Loan Agreement and introduced a new covenant that requires the Company maintain a minimum trailing-twelve-month Adjusted EBITDA of $200.0 million, measured quarterly. The New Term Loan is subject to repayment with, among other things, 100.0% of the net cash proceeds from the disposition of assets outside the ordinary course of business, except that the Company is permitted to keep the first $40.0 million in trucking terminal property sales over the term of the loan to reinvest in operations or other strategic initiatives, where applicable.</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Borrowings under the New Term Loan may be voluntarily prepaid, provided however, that any such prepayment or mandatory prepayment (other than with respect to a prepayment with excess cash flow) will be subject to a 3.0% premium until the first anniversary date, a 2.0% premium from the first anniversary date until the second anniversary date, and a 1.0% premium from the second anniversary date until the third anniversary date, and 0.0% thereafter.</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New Term Loan resulted in an extinguishment of $11.2 million in capitalized issuance discount and unamortized deferred debt issuance costs relating to the prior term loan. The original issuance discount and transaction fees relating to the New Term Loan were capitalized and will be amortized through interest expense over the life of the New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(the</w:t>
      </w:r>
    </w:p>
    <w:p>
      <w:pPr>
        <w:spacing w:after="0" w:line="1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“ABL Facility”) and any prospective net cash flow from operations. As of September 30, 2019, our maximum availability under our ABL Facility was $69.5 million. Our Managed Accessibility was $28.8 million, which represents the maximum amount we would access on the ABL Facility and is adjusted for eligible receivables plus eligible borrowing base cash measured at September 30, 2019. As of September 30, 2019, our cash and cash equivalents and Managed Accessibility were $150.1 million.</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December 31, 2018 borrowing base certificate, which was filed in January of 2019, we transferred $25.0 million of cash into restricted cash to maintain the 10% threshold, as permitted under the ABL Facility, which transfer effectively put our cash and cash equivalents and Managed Accessibility to $203.8 million.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cash and cash equivalents and Managed Accessibility as of September 30, 2019 and December 31, 2018:</w:t>
      </w:r>
    </w:p>
    <w:p>
      <w:pPr>
        <w:spacing w:after="0" w:line="200" w:lineRule="exact"/>
        <w:rPr>
          <w:sz w:val="20"/>
          <w:szCs w:val="20"/>
          <w:color w:val="auto"/>
        </w:rPr>
      </w:pP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17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September 30, 2019</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w w:val="97"/>
              </w:rPr>
              <w:t>December 31, 2018</w:t>
            </w:r>
          </w:p>
        </w:tc>
      </w:tr>
      <w:tr>
        <w:trPr>
          <w:trHeight w:val="22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121.3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227.6</w:t>
            </w:r>
          </w:p>
        </w:tc>
      </w:tr>
      <w:tr>
        <w:trPr>
          <w:trHeight w:val="226"/>
        </w:trPr>
        <w:tc>
          <w:tcPr>
            <w:tcW w:w="6700" w:type="dxa"/>
            <w:vAlign w:val="bottom"/>
          </w:tcPr>
          <w:p>
            <w:pPr>
              <w:ind w:left="20"/>
              <w:spacing w:after="0"/>
              <w:rPr>
                <w:sz w:val="20"/>
                <w:szCs w:val="20"/>
                <w:color w:val="auto"/>
              </w:rPr>
            </w:pPr>
            <w:r>
              <w:rPr>
                <w:rFonts w:ascii="Arial" w:cs="Arial" w:eastAsia="Arial" w:hAnsi="Arial"/>
                <w:sz w:val="17"/>
                <w:szCs w:val="17"/>
                <w:color w:val="auto"/>
              </w:rPr>
              <w:t>Changes to restricted cash</w:t>
            </w:r>
          </w:p>
        </w:tc>
        <w:tc>
          <w:tcPr>
            <w:tcW w:w="1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6"/>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Managed Accessibility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28.8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w:t>
            </w:r>
          </w:p>
        </w:tc>
      </w:tr>
      <w:tr>
        <w:trPr>
          <w:trHeight w:val="219"/>
        </w:trPr>
        <w:tc>
          <w:tcPr>
            <w:tcW w:w="6700" w:type="dxa"/>
            <w:vAlign w:val="bottom"/>
          </w:tcPr>
          <w:p>
            <w:pPr>
              <w:ind w:left="160"/>
              <w:spacing w:after="0"/>
              <w:rPr>
                <w:sz w:val="20"/>
                <w:szCs w:val="20"/>
                <w:color w:val="auto"/>
              </w:rPr>
            </w:pPr>
            <w:r>
              <w:rPr>
                <w:rFonts w:ascii="Arial" w:cs="Arial" w:eastAsia="Arial" w:hAnsi="Arial"/>
                <w:sz w:val="17"/>
                <w:szCs w:val="17"/>
                <w:color w:val="auto"/>
              </w:rPr>
              <w:t>Total cash and cash equivalents and Managed Accessibility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150.1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203.8</w:t>
            </w:r>
          </w:p>
        </w:tc>
      </w:tr>
      <w:tr>
        <w:trPr>
          <w:trHeight w:val="26"/>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New Term Loan Agreement includes a financial covenant requirement for the Company to maintain a minimum of $200.0 million trailing-twelve-month Adjusted EBITDA, measured quarterly. Consolidated Adjusted EBITDA, defined in our New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integration costs, severance, non-recurring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The definition was further modified under the New Term Loan Agreement such that certain expenses that qualify as adjustments are capped at 10.0% of the trailing-twelve-month Adjusted EBITDA, in aggregate.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SEC filings, in accordance with its definition in the Prior Term Loan Agreement, will not be included in the calculation of Adjusted EBITDA under the New Term Loan Agreement.</w:t>
      </w:r>
    </w:p>
    <w:p>
      <w:pPr>
        <w:spacing w:after="0" w:line="160"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The ABL Facility also contains certain covenants, including, but not limited to, annual limits on capital expenditures. The ABL includes a $200.0 million annual limit on capital expenditures but one year lookback is permitted. The annual capital expenditure limit covenant was removed from the New Term Loan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 Regarding Compliance with Credit Facility Financial Covenants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believe that our results of operations will allow us to comply with the minimum Adjusted EBITDA covenant in the New Term Loan Agreement for at least the next twelve months, subject to specific actions and cost savings initiatives we are taking in the fourth quarter of 2019 and the first quarter of 2020 to provide additional Adjusted EBITDA. These actions include headcount reductions commensurate with our current volume levels, a hiring freeze on new and replacement positions, temporary elimination of short-term incentive compensation and a reduction in discretionary spend. We are taking these actions because we have not been able to fully realize operational efficiencies arising from our new five-year national master contract (“New NMFA”) due to depressed volume levels. Our ability to satisfy our liquidity needs and meet our minimum Adjusted EBITDA requirement during the next twelve months and thereafter is dependent upon our ability to achieve operating results that reflect improvement over our first half 2019, which were negatively impacted by the process to obtain our five-year labor agreement scheduled to expire on March 31, 2019 and successfully ratified on May 14, 2019. Significant adverse conditions, which may result from changes in global trade policies or increased contraction in the general economy, may impact our ability to achieve a minimum Adjusted EBITDA above $200.0 million on a trailing-twelve-month basis. Means for improving our profitability include accelerated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implementation of network optimization, specific initiatives in the areas of pricing and customer engagement, and other operational actions to improve productivity and efficiency, as well as increased volume, all of which may not be within our control. If we are unable to achieve the improved results required to comply with this covenant in one or more quarters over the next twelve months, we may be required to take specific actions in addition to those described above, including but not limited to, additional reductions in headcount, targeted procurement initiatives to reduce operating costs and accelerating terminal closures to reduce overhead and other operating costs, or alternatively, seeking an amendment or waiver from our lenders or taking other remedial measures.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3"/>
                <w:szCs w:val="13"/>
                <w:b w:val="1"/>
                <w:bCs w:val="1"/>
                <w:color w:val="auto"/>
              </w:rPr>
              <w:t>September 30, 2019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3"/>
                <w:szCs w:val="13"/>
                <w:b w:val="1"/>
                <w:bCs w:val="1"/>
                <w:color w:val="auto"/>
              </w:rPr>
              <w:t>December 31, 2018</w:t>
            </w:r>
          </w:p>
        </w:tc>
      </w:tr>
      <w:tr>
        <w:trPr>
          <w:trHeight w:val="24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color w:val="auto"/>
              </w:rPr>
              <w:t>Book Value</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color w:val="auto"/>
              </w:rPr>
              <w:t>Fair value</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color w:val="auto"/>
              </w:rPr>
              <w:t>Book Value</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Prior Term Loan</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559.4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546.0</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New Term Loan</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559.3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559.3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232.5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242.2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234.7</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7"/>
                <w:szCs w:val="17"/>
                <w:color w:val="auto"/>
              </w:rPr>
              <w:t>73.3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70.0</w:t>
            </w:r>
          </w:p>
        </w:tc>
      </w:tr>
      <w:tr>
        <w:trPr>
          <w:trHeight w:val="26"/>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874.9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850.7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 of the New Term Loan was determined to be equivalent to the book value based on the closing date’s proximity to the balance sheet date. The fair values of the Second Amended and Restated Contribution Deferral Agreement (the “Second A&amp;R CDA”) and the lease financing obligations are estimated using a publicly-traded secured loan with similar characteristics (level three input for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determines if an arrangement is a lease or contains a lease at inception. We lease certain revenue equipment and real estate, predominantly through operating leases, and we have an immaterial number of leases in which we are a lessor. Operating leases are expensed on a straight-line basis over the life of the lease beginning on the lease commencement date. We determine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right-of-use (“ROU”) assets and current and long-term operating lease liabilities on our consolidated balance sheet. We have an immaterial amount of finance leases that are included in property and equipment, other current liabilities, and other long-term liabilities on our consolidated balance sheet.</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adjusted for duration and other factors to represent the rate we would have to pay to borrow on a collateralized basis based on the information available at commencement date in determining the present value of lease payments. Our lease terms may include options to extend or terminate the lease and we will adjust the life of the lease when it is reasonably certain that we will exercise these options.</w:t>
      </w:r>
    </w:p>
    <w:p>
      <w:pPr>
        <w:spacing w:after="0" w:line="152"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We have lease agreements with lease and non-lease components, which are generally accounted for as a single lease component. We have variable lease components, including lease payments with payment escalation based on the Consumer Price Index, and other variable items, such as common area maintenance and taxes.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Key assumptions include discount rate, the impact of purchase options and renewal options on our lease term, as well as the assessment of residual value guarantees.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revenue equipment leases generally have purchase options. However, in most circumstances we are not typically certain of exercising the purchase option as we may sign a new lease, return the equipment to the lessor, or exercise the option as circumstances dictate. Our revenue equipment leases often contain residual value guarantees, but they are not reflected in our lease liabilities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our lease rates are such that residual value guarantees are not expected to be owed at the end of our leases. Wrecked units are expensed in full upon damage and paid out to the lessor.</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real estate leases will often have an option to extend the lease, but we are typically not reasonably certain of exercising options to extend as we have the ability to move to more advantageous locations over time, relocate to other leased and owned locations, or discontinue service from particular locations over time as customer demand changes.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3"/>
                <w:szCs w:val="13"/>
                <w:b w:val="1"/>
                <w:bCs w:val="1"/>
                <w:color w:val="auto"/>
              </w:rPr>
              <w:t>(in millions)</w:t>
            </w:r>
          </w:p>
        </w:tc>
        <w:tc>
          <w:tcPr>
            <w:tcW w:w="4500" w:type="dxa"/>
            <w:vAlign w:val="bottom"/>
            <w:tcBorders>
              <w:bottom w:val="single" w:sz="8" w:color="auto"/>
            </w:tcBorders>
          </w:tcPr>
          <w:p>
            <w:pPr>
              <w:ind w:left="1060"/>
              <w:spacing w:after="0"/>
              <w:rPr>
                <w:sz w:val="20"/>
                <w:szCs w:val="20"/>
                <w:color w:val="auto"/>
              </w:rPr>
            </w:pPr>
            <w:r>
              <w:rPr>
                <w:rFonts w:ascii="Arial" w:cs="Arial" w:eastAsia="Arial" w:hAnsi="Arial"/>
                <w:sz w:val="17"/>
                <w:szCs w:val="17"/>
                <w:b w:val="1"/>
                <w:bCs w:val="1"/>
                <w:color w:val="auto"/>
              </w:rPr>
              <w:t>Classification</w:t>
            </w:r>
          </w:p>
        </w:tc>
        <w:tc>
          <w:tcPr>
            <w:tcW w:w="2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September 30, 2019</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50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20"/>
              <w:spacing w:after="0"/>
              <w:rPr>
                <w:sz w:val="20"/>
                <w:szCs w:val="20"/>
                <w:color w:val="auto"/>
              </w:rPr>
            </w:pPr>
            <w:r>
              <w:rPr>
                <w:rFonts w:ascii="Arial" w:cs="Arial" w:eastAsia="Arial" w:hAnsi="Arial"/>
                <w:sz w:val="17"/>
                <w:szCs w:val="17"/>
                <w:color w:val="auto"/>
              </w:rPr>
              <w:t>Operating lease assets</w:t>
            </w:r>
          </w:p>
        </w:tc>
        <w:tc>
          <w:tcPr>
            <w:tcW w:w="4500" w:type="dxa"/>
            <w:vAlign w:val="bottom"/>
          </w:tcPr>
          <w:p>
            <w:pPr>
              <w:ind w:left="1060"/>
              <w:spacing w:after="0"/>
              <w:rPr>
                <w:sz w:val="20"/>
                <w:szCs w:val="20"/>
                <w:color w:val="auto"/>
              </w:rPr>
            </w:pPr>
            <w:r>
              <w:rPr>
                <w:rFonts w:ascii="Arial" w:cs="Arial" w:eastAsia="Arial" w:hAnsi="Arial"/>
                <w:sz w:val="17"/>
                <w:szCs w:val="17"/>
                <w:color w:val="auto"/>
              </w:rPr>
              <w:t>Operating lease right-of-use assets</w:t>
            </w:r>
          </w:p>
        </w:tc>
        <w:tc>
          <w:tcPr>
            <w:tcW w:w="244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400.4</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Finance lease assets</w:t>
            </w:r>
          </w:p>
        </w:tc>
        <w:tc>
          <w:tcPr>
            <w:tcW w:w="45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Net property and equipment</w:t>
            </w:r>
          </w:p>
        </w:tc>
        <w:tc>
          <w:tcPr>
            <w:tcW w:w="2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9"/>
        </w:trPr>
        <w:tc>
          <w:tcPr>
            <w:tcW w:w="2600" w:type="dxa"/>
            <w:vAlign w:val="bottom"/>
          </w:tcPr>
          <w:p>
            <w:pPr>
              <w:ind w:left="160"/>
              <w:spacing w:after="0"/>
              <w:rPr>
                <w:sz w:val="20"/>
                <w:szCs w:val="20"/>
                <w:color w:val="auto"/>
              </w:rPr>
            </w:pPr>
            <w:r>
              <w:rPr>
                <w:rFonts w:ascii="Arial" w:cs="Arial" w:eastAsia="Arial" w:hAnsi="Arial"/>
                <w:sz w:val="17"/>
                <w:szCs w:val="17"/>
                <w:color w:val="auto"/>
              </w:rPr>
              <w:t>Total leased assets</w:t>
            </w:r>
          </w:p>
        </w:tc>
        <w:tc>
          <w:tcPr>
            <w:tcW w:w="4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403.0</w:t>
            </w:r>
          </w:p>
        </w:tc>
        <w:tc>
          <w:tcPr>
            <w:tcW w:w="0" w:type="dxa"/>
            <w:vAlign w:val="bottom"/>
          </w:tcPr>
          <w:p>
            <w:pPr>
              <w:spacing w:after="0"/>
              <w:rPr>
                <w:sz w:val="1"/>
                <w:szCs w:val="1"/>
                <w:color w:val="auto"/>
              </w:rPr>
            </w:pPr>
          </w:p>
        </w:tc>
      </w:tr>
      <w:tr>
        <w:trPr>
          <w:trHeight w:val="26"/>
        </w:trPr>
        <w:tc>
          <w:tcPr>
            <w:tcW w:w="260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450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20"/>
              <w:spacing w:after="0"/>
              <w:rPr>
                <w:sz w:val="20"/>
                <w:szCs w:val="20"/>
                <w:color w:val="auto"/>
              </w:rPr>
            </w:pPr>
            <w:r>
              <w:rPr>
                <w:rFonts w:ascii="Arial" w:cs="Arial" w:eastAsia="Arial" w:hAnsi="Arial"/>
                <w:sz w:val="17"/>
                <w:szCs w:val="17"/>
                <w:color w:val="auto"/>
              </w:rPr>
              <w:t>Current</w:t>
            </w:r>
          </w:p>
        </w:tc>
        <w:tc>
          <w:tcPr>
            <w:tcW w:w="4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w:t>
            </w:r>
          </w:p>
        </w:tc>
        <w:tc>
          <w:tcPr>
            <w:tcW w:w="45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Current operating lease liabilities</w:t>
            </w:r>
          </w:p>
        </w:tc>
        <w:tc>
          <w:tcPr>
            <w:tcW w:w="2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116.1</w:t>
            </w:r>
          </w:p>
        </w:tc>
        <w:tc>
          <w:tcPr>
            <w:tcW w:w="0" w:type="dxa"/>
            <w:vAlign w:val="bottom"/>
          </w:tcPr>
          <w:p>
            <w:pPr>
              <w:spacing w:after="0"/>
              <w:rPr>
                <w:sz w:val="1"/>
                <w:szCs w:val="1"/>
                <w:color w:val="auto"/>
              </w:rPr>
            </w:pPr>
          </w:p>
        </w:tc>
      </w:tr>
      <w:tr>
        <w:trPr>
          <w:trHeight w:val="226"/>
        </w:trPr>
        <w:tc>
          <w:tcPr>
            <w:tcW w:w="2600" w:type="dxa"/>
            <w:vAlign w:val="bottom"/>
          </w:tcPr>
          <w:p>
            <w:pPr>
              <w:ind w:left="180"/>
              <w:spacing w:after="0"/>
              <w:rPr>
                <w:sz w:val="20"/>
                <w:szCs w:val="20"/>
                <w:color w:val="auto"/>
              </w:rPr>
            </w:pPr>
            <w:r>
              <w:rPr>
                <w:rFonts w:ascii="Arial" w:cs="Arial" w:eastAsia="Arial" w:hAnsi="Arial"/>
                <w:sz w:val="17"/>
                <w:szCs w:val="17"/>
                <w:color w:val="auto"/>
              </w:rPr>
              <w:t>Finance</w:t>
            </w:r>
          </w:p>
        </w:tc>
        <w:tc>
          <w:tcPr>
            <w:tcW w:w="4500" w:type="dxa"/>
            <w:vAlign w:val="bottom"/>
          </w:tcPr>
          <w:p>
            <w:pPr>
              <w:ind w:left="1060"/>
              <w:spacing w:after="0"/>
              <w:rPr>
                <w:sz w:val="20"/>
                <w:szCs w:val="20"/>
                <w:color w:val="auto"/>
              </w:rPr>
            </w:pPr>
            <w:r>
              <w:rPr>
                <w:rFonts w:ascii="Arial" w:cs="Arial" w:eastAsia="Arial" w:hAnsi="Arial"/>
                <w:sz w:val="17"/>
                <w:szCs w:val="17"/>
                <w:color w:val="auto"/>
              </w:rPr>
              <w:t>Other current and accrued liabilities</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w:t>
            </w:r>
          </w:p>
        </w:tc>
        <w:tc>
          <w:tcPr>
            <w:tcW w:w="45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180"/>
              <w:spacing w:after="0"/>
              <w:rPr>
                <w:sz w:val="20"/>
                <w:szCs w:val="20"/>
                <w:color w:val="auto"/>
              </w:rPr>
            </w:pPr>
            <w:r>
              <w:rPr>
                <w:rFonts w:ascii="Arial" w:cs="Arial" w:eastAsia="Arial" w:hAnsi="Arial"/>
                <w:sz w:val="17"/>
                <w:szCs w:val="17"/>
                <w:color w:val="auto"/>
              </w:rPr>
              <w:t>Operating</w:t>
            </w:r>
          </w:p>
        </w:tc>
        <w:tc>
          <w:tcPr>
            <w:tcW w:w="4500" w:type="dxa"/>
            <w:vAlign w:val="bottom"/>
          </w:tcPr>
          <w:p>
            <w:pPr>
              <w:ind w:left="1060"/>
              <w:spacing w:after="0"/>
              <w:rPr>
                <w:sz w:val="20"/>
                <w:szCs w:val="20"/>
                <w:color w:val="auto"/>
              </w:rPr>
            </w:pPr>
            <w:r>
              <w:rPr>
                <w:rFonts w:ascii="Arial" w:cs="Arial" w:eastAsia="Arial" w:hAnsi="Arial"/>
                <w:sz w:val="17"/>
                <w:szCs w:val="17"/>
                <w:color w:val="auto"/>
              </w:rPr>
              <w:t>Operating lease liabilities</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267.1</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Finance</w:t>
            </w:r>
          </w:p>
        </w:tc>
        <w:tc>
          <w:tcPr>
            <w:tcW w:w="45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Claims and other liabilities</w:t>
            </w:r>
          </w:p>
        </w:tc>
        <w:tc>
          <w:tcPr>
            <w:tcW w:w="2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8"/>
        </w:trPr>
        <w:tc>
          <w:tcPr>
            <w:tcW w:w="2600" w:type="dxa"/>
            <w:vAlign w:val="bottom"/>
          </w:tcPr>
          <w:p>
            <w:pPr>
              <w:ind w:left="20"/>
              <w:spacing w:after="0"/>
              <w:rPr>
                <w:sz w:val="20"/>
                <w:szCs w:val="20"/>
                <w:color w:val="auto"/>
              </w:rPr>
            </w:pPr>
            <w:r>
              <w:rPr>
                <w:rFonts w:ascii="Arial" w:cs="Arial" w:eastAsia="Arial" w:hAnsi="Arial"/>
                <w:sz w:val="17"/>
                <w:szCs w:val="17"/>
                <w:color w:val="auto"/>
              </w:rPr>
              <w:t>Total lease liabilities</w:t>
            </w:r>
          </w:p>
        </w:tc>
        <w:tc>
          <w:tcPr>
            <w:tcW w:w="4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386.8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26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 xml:space="preserve">Lease Cost </w:t>
            </w:r>
            <w:r>
              <w:rPr>
                <w:rFonts w:ascii="Arial" w:cs="Arial" w:eastAsia="Arial" w:hAnsi="Arial"/>
                <w:sz w:val="13"/>
                <w:szCs w:val="13"/>
                <w:b w:val="1"/>
                <w:bCs w:val="1"/>
                <w:color w:val="auto"/>
              </w:rPr>
              <w:t>(in millions)</w:t>
            </w:r>
          </w:p>
        </w:tc>
        <w:tc>
          <w:tcPr>
            <w:tcW w:w="4500" w:type="dxa"/>
            <w:vAlign w:val="bottom"/>
            <w:vMerge w:val="restart"/>
          </w:tcPr>
          <w:p>
            <w:pPr>
              <w:ind w:left="1220"/>
              <w:spacing w:after="0"/>
              <w:rPr>
                <w:sz w:val="20"/>
                <w:szCs w:val="20"/>
                <w:color w:val="auto"/>
              </w:rPr>
            </w:pPr>
            <w:r>
              <w:rPr>
                <w:rFonts w:ascii="Arial" w:cs="Arial" w:eastAsia="Arial" w:hAnsi="Arial"/>
                <w:sz w:val="17"/>
                <w:szCs w:val="17"/>
                <w:b w:val="1"/>
                <w:bCs w:val="1"/>
                <w:color w:val="auto"/>
              </w:rPr>
              <w:t>Classification</w:t>
            </w:r>
          </w:p>
        </w:tc>
        <w:tc>
          <w:tcPr>
            <w:tcW w:w="2440" w:type="dxa"/>
            <w:vAlign w:val="bottom"/>
          </w:tcPr>
          <w:p>
            <w:pPr>
              <w:jc w:val="center"/>
              <w:ind w:left="793"/>
              <w:spacing w:after="0"/>
              <w:rPr>
                <w:sz w:val="20"/>
                <w:szCs w:val="20"/>
                <w:color w:val="auto"/>
              </w:rPr>
            </w:pPr>
            <w:r>
              <w:rPr>
                <w:rFonts w:ascii="Arial" w:cs="Arial" w:eastAsia="Arial" w:hAnsi="Arial"/>
                <w:sz w:val="13"/>
                <w:szCs w:val="13"/>
                <w:b w:val="1"/>
                <w:bCs w:val="1"/>
                <w:color w:val="auto"/>
                <w:w w:val="94"/>
              </w:rPr>
              <w:t>Three Months Ended</w:t>
            </w:r>
          </w:p>
        </w:tc>
        <w:tc>
          <w:tcPr>
            <w:tcW w:w="220" w:type="dxa"/>
            <w:vAlign w:val="bottom"/>
          </w:tcPr>
          <w:p>
            <w:pPr>
              <w:spacing w:after="0"/>
              <w:rPr>
                <w:sz w:val="24"/>
                <w:szCs w:val="24"/>
                <w:color w:val="auto"/>
              </w:rPr>
            </w:pPr>
          </w:p>
        </w:tc>
        <w:tc>
          <w:tcPr>
            <w:tcW w:w="1600" w:type="dxa"/>
            <w:vAlign w:val="bottom"/>
          </w:tcPr>
          <w:p>
            <w:pPr>
              <w:jc w:val="right"/>
              <w:ind w:right="141"/>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4"/>
        </w:trPr>
        <w:tc>
          <w:tcPr>
            <w:tcW w:w="2600" w:type="dxa"/>
            <w:vAlign w:val="bottom"/>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2440" w:type="dxa"/>
            <w:vAlign w:val="bottom"/>
          </w:tcPr>
          <w:p>
            <w:pPr>
              <w:jc w:val="center"/>
              <w:ind w:left="773"/>
              <w:spacing w:after="0"/>
              <w:rPr>
                <w:sz w:val="20"/>
                <w:szCs w:val="20"/>
                <w:color w:val="auto"/>
              </w:rPr>
            </w:pPr>
            <w:r>
              <w:rPr>
                <w:rFonts w:ascii="Arial" w:cs="Arial" w:eastAsia="Arial" w:hAnsi="Arial"/>
                <w:sz w:val="13"/>
                <w:szCs w:val="13"/>
                <w:b w:val="1"/>
                <w:bCs w:val="1"/>
                <w:color w:val="auto"/>
                <w:w w:val="92"/>
              </w:rPr>
              <w:t>September 30, 2019</w:t>
            </w:r>
          </w:p>
        </w:tc>
        <w:tc>
          <w:tcPr>
            <w:tcW w:w="220" w:type="dxa"/>
            <w:vAlign w:val="bottom"/>
          </w:tcPr>
          <w:p>
            <w:pPr>
              <w:spacing w:after="0"/>
              <w:rPr>
                <w:sz w:val="15"/>
                <w:szCs w:val="15"/>
                <w:color w:val="auto"/>
              </w:rPr>
            </w:pPr>
          </w:p>
        </w:tc>
        <w:tc>
          <w:tcPr>
            <w:tcW w:w="1600" w:type="dxa"/>
            <w:vAlign w:val="bottom"/>
          </w:tcPr>
          <w:p>
            <w:pPr>
              <w:jc w:val="right"/>
              <w:ind w:right="141"/>
              <w:spacing w:after="0"/>
              <w:rPr>
                <w:sz w:val="20"/>
                <w:szCs w:val="20"/>
                <w:color w:val="auto"/>
              </w:rPr>
            </w:pPr>
            <w:r>
              <w:rPr>
                <w:rFonts w:ascii="Arial" w:cs="Arial" w:eastAsia="Arial" w:hAnsi="Arial"/>
                <w:sz w:val="13"/>
                <w:szCs w:val="13"/>
                <w:b w:val="1"/>
                <w:bCs w:val="1"/>
                <w:color w:val="auto"/>
              </w:rPr>
              <w:t>September 30,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6145" cy="295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145" cy="295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cost</w:t>
      </w:r>
      <w:r>
        <w:rPr>
          <w:rFonts w:ascii="Arial" w:cs="Arial" w:eastAsia="Arial" w:hAnsi="Arial"/>
          <w:sz w:val="19"/>
          <w:szCs w:val="19"/>
          <w:color w:val="auto"/>
          <w:vertAlign w:val="superscript"/>
        </w:rPr>
        <w:t>(a)</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Short-term cost</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Variable lease cost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Finance lease cost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900" w:type="dxa"/>
            <w:vAlign w:val="bottom"/>
          </w:tcPr>
          <w:p>
            <w:pPr>
              <w:spacing w:after="0"/>
              <w:rPr>
                <w:sz w:val="20"/>
                <w:szCs w:val="20"/>
                <w:color w:val="auto"/>
              </w:rPr>
            </w:pPr>
            <w:r>
              <w:rPr>
                <w:rFonts w:ascii="Arial" w:cs="Arial" w:eastAsia="Arial" w:hAnsi="Arial"/>
                <w:sz w:val="17"/>
                <w:szCs w:val="17"/>
                <w:color w:val="auto"/>
                <w:w w:val="91"/>
              </w:rPr>
              <w:t>Purchased transportation; Fuel, operating expenses and</w:t>
            </w:r>
          </w:p>
        </w:tc>
        <w:tc>
          <w:tcPr>
            <w:tcW w:w="880" w:type="dxa"/>
            <w:vAlign w:val="bottom"/>
            <w:vMerge w:val="restart"/>
          </w:tcPr>
          <w:p>
            <w:pPr>
              <w:jc w:val="right"/>
              <w:ind w:right="516"/>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ind w:right="56"/>
              <w:spacing w:after="0"/>
              <w:rPr>
                <w:sz w:val="20"/>
                <w:szCs w:val="20"/>
                <w:color w:val="auto"/>
              </w:rPr>
            </w:pPr>
            <w:r>
              <w:rPr>
                <w:rFonts w:ascii="Arial" w:cs="Arial" w:eastAsia="Arial" w:hAnsi="Arial"/>
                <w:sz w:val="17"/>
                <w:szCs w:val="17"/>
                <w:color w:val="auto"/>
              </w:rPr>
              <w:t>42.3</w:t>
            </w:r>
          </w:p>
        </w:tc>
        <w:tc>
          <w:tcPr>
            <w:tcW w:w="760" w:type="dxa"/>
            <w:vAlign w:val="bottom"/>
            <w:vMerge w:val="restart"/>
          </w:tcPr>
          <w:p>
            <w:pPr>
              <w:jc w:val="right"/>
              <w:ind w:right="476"/>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124.7</w:t>
            </w:r>
          </w:p>
        </w:tc>
        <w:tc>
          <w:tcPr>
            <w:tcW w:w="0" w:type="dxa"/>
            <w:vAlign w:val="bottom"/>
          </w:tcPr>
          <w:p>
            <w:pPr>
              <w:spacing w:after="0"/>
              <w:rPr>
                <w:sz w:val="1"/>
                <w:szCs w:val="1"/>
                <w:color w:val="auto"/>
              </w:rPr>
            </w:pPr>
          </w:p>
        </w:tc>
      </w:tr>
      <w:tr>
        <w:trPr>
          <w:trHeight w:val="113"/>
        </w:trPr>
        <w:tc>
          <w:tcPr>
            <w:tcW w:w="3900" w:type="dxa"/>
            <w:vAlign w:val="bottom"/>
            <w:vMerge w:val="restart"/>
          </w:tcPr>
          <w:p>
            <w:pPr>
              <w:spacing w:after="0"/>
              <w:rPr>
                <w:sz w:val="20"/>
                <w:szCs w:val="20"/>
                <w:color w:val="auto"/>
              </w:rPr>
            </w:pPr>
            <w:r>
              <w:rPr>
                <w:rFonts w:ascii="Arial" w:cs="Arial" w:eastAsia="Arial" w:hAnsi="Arial"/>
                <w:sz w:val="17"/>
                <w:szCs w:val="17"/>
                <w:color w:val="auto"/>
              </w:rPr>
              <w:t>supplies</w:t>
            </w:r>
          </w:p>
        </w:tc>
        <w:tc>
          <w:tcPr>
            <w:tcW w:w="8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9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900" w:type="dxa"/>
            <w:vAlign w:val="bottom"/>
          </w:tcPr>
          <w:p>
            <w:pPr>
              <w:spacing w:after="0"/>
              <w:rPr>
                <w:sz w:val="20"/>
                <w:szCs w:val="20"/>
                <w:color w:val="auto"/>
              </w:rPr>
            </w:pPr>
            <w:r>
              <w:rPr>
                <w:rFonts w:ascii="Arial" w:cs="Arial" w:eastAsia="Arial" w:hAnsi="Arial"/>
                <w:sz w:val="17"/>
                <w:szCs w:val="17"/>
                <w:color w:val="auto"/>
                <w:w w:val="91"/>
              </w:rPr>
              <w:t>Purchased transportation; Fuel, operating expenses and</w:t>
            </w:r>
          </w:p>
        </w:tc>
        <w:tc>
          <w:tcPr>
            <w:tcW w:w="880" w:type="dxa"/>
            <w:vAlign w:val="bottom"/>
          </w:tcPr>
          <w:p>
            <w:pPr>
              <w:spacing w:after="0"/>
              <w:rPr>
                <w:sz w:val="20"/>
                <w:szCs w:val="20"/>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7"/>
                <w:szCs w:val="17"/>
                <w:color w:val="auto"/>
              </w:rPr>
              <w:t>4.5</w:t>
            </w:r>
          </w:p>
        </w:tc>
        <w:tc>
          <w:tcPr>
            <w:tcW w:w="7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13"/>
        </w:trPr>
        <w:tc>
          <w:tcPr>
            <w:tcW w:w="3900" w:type="dxa"/>
            <w:vAlign w:val="bottom"/>
            <w:vMerge w:val="restart"/>
          </w:tcPr>
          <w:p>
            <w:pPr>
              <w:spacing w:after="0"/>
              <w:rPr>
                <w:sz w:val="20"/>
                <w:szCs w:val="20"/>
                <w:color w:val="auto"/>
              </w:rPr>
            </w:pPr>
            <w:r>
              <w:rPr>
                <w:rFonts w:ascii="Arial" w:cs="Arial" w:eastAsia="Arial" w:hAnsi="Arial"/>
                <w:sz w:val="17"/>
                <w:szCs w:val="17"/>
                <w:color w:val="auto"/>
              </w:rPr>
              <w:t>supplies</w:t>
            </w:r>
          </w:p>
        </w:tc>
        <w:tc>
          <w:tcPr>
            <w:tcW w:w="8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9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900" w:type="dxa"/>
            <w:vAlign w:val="bottom"/>
          </w:tcPr>
          <w:p>
            <w:pPr>
              <w:spacing w:after="0"/>
              <w:rPr>
                <w:sz w:val="20"/>
                <w:szCs w:val="20"/>
                <w:color w:val="auto"/>
              </w:rPr>
            </w:pPr>
            <w:r>
              <w:rPr>
                <w:rFonts w:ascii="Arial" w:cs="Arial" w:eastAsia="Arial" w:hAnsi="Arial"/>
                <w:sz w:val="17"/>
                <w:szCs w:val="17"/>
                <w:color w:val="auto"/>
                <w:w w:val="91"/>
              </w:rPr>
              <w:t>Purchased transportation; Fuel, operating expenses and</w:t>
            </w:r>
          </w:p>
        </w:tc>
        <w:tc>
          <w:tcPr>
            <w:tcW w:w="880" w:type="dxa"/>
            <w:vAlign w:val="bottom"/>
          </w:tcPr>
          <w:p>
            <w:pPr>
              <w:spacing w:after="0"/>
              <w:rPr>
                <w:sz w:val="20"/>
                <w:szCs w:val="20"/>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7"/>
                <w:szCs w:val="17"/>
                <w:color w:val="auto"/>
              </w:rPr>
              <w:t>1.9</w:t>
            </w:r>
          </w:p>
        </w:tc>
        <w:tc>
          <w:tcPr>
            <w:tcW w:w="7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13"/>
        </w:trPr>
        <w:tc>
          <w:tcPr>
            <w:tcW w:w="3900" w:type="dxa"/>
            <w:vAlign w:val="bottom"/>
            <w:vMerge w:val="restart"/>
          </w:tcPr>
          <w:p>
            <w:pPr>
              <w:spacing w:after="0"/>
              <w:rPr>
                <w:sz w:val="20"/>
                <w:szCs w:val="20"/>
                <w:color w:val="auto"/>
              </w:rPr>
            </w:pPr>
            <w:r>
              <w:rPr>
                <w:rFonts w:ascii="Arial" w:cs="Arial" w:eastAsia="Arial" w:hAnsi="Arial"/>
                <w:sz w:val="17"/>
                <w:szCs w:val="17"/>
                <w:color w:val="auto"/>
              </w:rPr>
              <w:t>supplies</w:t>
            </w:r>
          </w:p>
        </w:tc>
        <w:tc>
          <w:tcPr>
            <w:tcW w:w="8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9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-271145</wp:posOffset>
            </wp:positionV>
            <wp:extent cx="7256145" cy="287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145" cy="2876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3100" w:space="720"/>
            <w:col w:w="76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leased assets</w:t>
            </w:r>
          </w:p>
        </w:tc>
        <w:tc>
          <w:tcPr>
            <w:tcW w:w="4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Depreciation and amortization</w:t>
            </w:r>
          </w:p>
        </w:tc>
        <w:tc>
          <w:tcPr>
            <w:tcW w:w="7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0.1</w:t>
            </w:r>
          </w:p>
        </w:tc>
        <w:tc>
          <w:tcPr>
            <w:tcW w:w="7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r>
      <w:tr>
        <w:trPr>
          <w:trHeight w:val="226"/>
        </w:trPr>
        <w:tc>
          <w:tcPr>
            <w:tcW w:w="2980" w:type="dxa"/>
            <w:vAlign w:val="bottom"/>
          </w:tcPr>
          <w:p>
            <w:pPr>
              <w:ind w:left="180"/>
              <w:spacing w:after="0"/>
              <w:rPr>
                <w:sz w:val="20"/>
                <w:szCs w:val="20"/>
                <w:color w:val="auto"/>
              </w:rPr>
            </w:pPr>
            <w:r>
              <w:rPr>
                <w:rFonts w:ascii="Arial" w:cs="Arial" w:eastAsia="Arial" w:hAnsi="Arial"/>
                <w:sz w:val="17"/>
                <w:szCs w:val="17"/>
                <w:color w:val="auto"/>
              </w:rPr>
              <w:t>Interest on lease liabilities</w:t>
            </w:r>
          </w:p>
        </w:tc>
        <w:tc>
          <w:tcPr>
            <w:tcW w:w="4920" w:type="dxa"/>
            <w:vAlign w:val="bottom"/>
          </w:tcPr>
          <w:p>
            <w:pPr>
              <w:ind w:left="840"/>
              <w:spacing w:after="0"/>
              <w:rPr>
                <w:sz w:val="20"/>
                <w:szCs w:val="20"/>
                <w:color w:val="auto"/>
              </w:rPr>
            </w:pPr>
            <w:r>
              <w:rPr>
                <w:rFonts w:ascii="Arial" w:cs="Arial" w:eastAsia="Arial" w:hAnsi="Arial"/>
                <w:sz w:val="17"/>
                <w:szCs w:val="17"/>
                <w:color w:val="auto"/>
              </w:rPr>
              <w:t>Interest expense</w:t>
            </w:r>
          </w:p>
        </w:tc>
        <w:tc>
          <w:tcPr>
            <w:tcW w:w="70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0.1</w:t>
            </w:r>
          </w:p>
        </w:tc>
        <w:tc>
          <w:tcPr>
            <w:tcW w:w="76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29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49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48.9</w:t>
            </w:r>
          </w:p>
        </w:tc>
        <w:tc>
          <w:tcPr>
            <w:tcW w:w="7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141.9</w:t>
            </w:r>
          </w:p>
        </w:tc>
      </w:tr>
    </w:tbl>
    <w:p>
      <w:pPr>
        <w:spacing w:after="0" w:line="7" w:lineRule="exact"/>
        <w:rPr>
          <w:sz w:val="20"/>
          <w:szCs w:val="20"/>
          <w:color w:val="auto"/>
        </w:rPr>
      </w:pPr>
    </w:p>
    <w:p>
      <w:pPr>
        <w:ind w:left="300" w:hanging="299"/>
        <w:spacing w:after="0"/>
        <w:tabs>
          <w:tab w:leader="none" w:pos="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Operating lease cost represents non-cash amortization of ROU assets and accretion of the discounted lease liabilities and is segregated on the statement of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-90805</wp:posOffset>
            </wp:positionV>
            <wp:extent cx="2245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ind w:left="20"/>
              <w:spacing w:after="0"/>
              <w:rPr>
                <w:sz w:val="20"/>
                <w:szCs w:val="20"/>
                <w:color w:val="auto"/>
              </w:rPr>
            </w:pPr>
            <w:r>
              <w:rPr>
                <w:rFonts w:ascii="Arial" w:cs="Arial" w:eastAsia="Arial" w:hAnsi="Arial"/>
                <w:sz w:val="17"/>
                <w:szCs w:val="17"/>
                <w:b w:val="1"/>
                <w:bCs w:val="1"/>
                <w:color w:val="auto"/>
              </w:rPr>
              <w:t>Remaining Maturities of Lease Liabilities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Operating Leases</w:t>
            </w:r>
          </w:p>
        </w:tc>
        <w:tc>
          <w:tcPr>
            <w:tcW w:w="200" w:type="dxa"/>
            <w:vAlign w:val="bottom"/>
          </w:tcPr>
          <w:p>
            <w:pPr>
              <w:spacing w:after="0"/>
              <w:rPr>
                <w:sz w:val="18"/>
                <w:szCs w:val="18"/>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Finance Leases</w:t>
            </w:r>
          </w:p>
        </w:tc>
        <w:tc>
          <w:tcPr>
            <w:tcW w:w="320" w:type="dxa"/>
            <w:vAlign w:val="bottom"/>
          </w:tcPr>
          <w:p>
            <w:pPr>
              <w:spacing w:after="0"/>
              <w:rPr>
                <w:sz w:val="18"/>
                <w:szCs w:val="18"/>
                <w:color w:val="auto"/>
              </w:rPr>
            </w:pPr>
          </w:p>
        </w:tc>
        <w:tc>
          <w:tcPr>
            <w:tcW w:w="1040" w:type="dxa"/>
            <w:vAlign w:val="bottom"/>
            <w:vMerge w:val="restart"/>
          </w:tcPr>
          <w:p>
            <w:pPr>
              <w:jc w:val="right"/>
              <w:ind w:right="43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8"/>
        </w:trPr>
        <w:tc>
          <w:tcPr>
            <w:tcW w:w="4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320" w:type="dxa"/>
            <w:vAlign w:val="bottom"/>
            <w:tcBorders>
              <w:bottom w:val="single" w:sz="8" w:color="auto"/>
            </w:tcBorders>
            <w:vMerge w:val="continue"/>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26"/>
        </w:trPr>
        <w:tc>
          <w:tcPr>
            <w:tcW w:w="4320" w:type="dxa"/>
            <w:vAlign w:val="bottom"/>
          </w:tcPr>
          <w:p>
            <w:pPr>
              <w:ind w:left="20"/>
              <w:spacing w:after="0"/>
              <w:rPr>
                <w:sz w:val="20"/>
                <w:szCs w:val="20"/>
                <w:color w:val="auto"/>
              </w:rPr>
            </w:pPr>
            <w:r>
              <w:rPr>
                <w:rFonts w:ascii="Arial" w:cs="Arial" w:eastAsia="Arial" w:hAnsi="Arial"/>
                <w:sz w:val="17"/>
                <w:szCs w:val="17"/>
                <w:color w:val="auto"/>
              </w:rPr>
              <w:t>2020</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147.8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2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124.5</w:t>
            </w:r>
          </w:p>
        </w:tc>
        <w:tc>
          <w:tcPr>
            <w:tcW w:w="0" w:type="dxa"/>
            <w:vAlign w:val="bottom"/>
          </w:tcPr>
          <w:p>
            <w:pPr>
              <w:spacing w:after="0"/>
              <w:rPr>
                <w:sz w:val="1"/>
                <w:szCs w:val="1"/>
                <w:color w:val="auto"/>
              </w:rPr>
            </w:pPr>
          </w:p>
        </w:tc>
      </w:tr>
      <w:tr>
        <w:trPr>
          <w:trHeight w:val="226"/>
        </w:trPr>
        <w:tc>
          <w:tcPr>
            <w:tcW w:w="4320" w:type="dxa"/>
            <w:vAlign w:val="bottom"/>
          </w:tcPr>
          <w:p>
            <w:pPr>
              <w:ind w:left="20"/>
              <w:spacing w:after="0"/>
              <w:rPr>
                <w:sz w:val="20"/>
                <w:szCs w:val="20"/>
                <w:color w:val="auto"/>
              </w:rPr>
            </w:pPr>
            <w:r>
              <w:rPr>
                <w:rFonts w:ascii="Arial" w:cs="Arial" w:eastAsia="Arial" w:hAnsi="Arial"/>
                <w:sz w:val="17"/>
                <w:szCs w:val="17"/>
                <w:color w:val="auto"/>
              </w:rPr>
              <w:t>2022</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26"/>
        </w:trPr>
        <w:tc>
          <w:tcPr>
            <w:tcW w:w="4320" w:type="dxa"/>
            <w:vAlign w:val="bottom"/>
          </w:tcPr>
          <w:p>
            <w:pPr>
              <w:ind w:left="20"/>
              <w:spacing w:after="0"/>
              <w:rPr>
                <w:sz w:val="20"/>
                <w:szCs w:val="20"/>
                <w:color w:val="auto"/>
              </w:rPr>
            </w:pPr>
            <w:r>
              <w:rPr>
                <w:rFonts w:ascii="Arial" w:cs="Arial" w:eastAsia="Arial" w:hAnsi="Arial"/>
                <w:sz w:val="17"/>
                <w:szCs w:val="17"/>
                <w:color w:val="auto"/>
              </w:rPr>
              <w:t>After 2023</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6"/>
        </w:trPr>
        <w:tc>
          <w:tcPr>
            <w:tcW w:w="43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470.2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477.0</w:t>
            </w:r>
          </w:p>
        </w:tc>
        <w:tc>
          <w:tcPr>
            <w:tcW w:w="0" w:type="dxa"/>
            <w:vAlign w:val="bottom"/>
          </w:tcPr>
          <w:p>
            <w:pPr>
              <w:spacing w:after="0"/>
              <w:rPr>
                <w:sz w:val="1"/>
                <w:szCs w:val="1"/>
                <w:color w:val="auto"/>
              </w:rPr>
            </w:pPr>
          </w:p>
        </w:tc>
      </w:tr>
      <w:tr>
        <w:trPr>
          <w:trHeight w:val="226"/>
        </w:trPr>
        <w:tc>
          <w:tcPr>
            <w:tcW w:w="432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90.2</w:t>
            </w:r>
          </w:p>
        </w:tc>
        <w:tc>
          <w:tcPr>
            <w:tcW w:w="0" w:type="dxa"/>
            <w:vAlign w:val="bottom"/>
          </w:tcPr>
          <w:p>
            <w:pPr>
              <w:spacing w:after="0"/>
              <w:rPr>
                <w:sz w:val="1"/>
                <w:szCs w:val="1"/>
                <w:color w:val="auto"/>
              </w:rPr>
            </w:pPr>
          </w:p>
        </w:tc>
      </w:tr>
      <w:tr>
        <w:trPr>
          <w:trHeight w:val="26"/>
        </w:trPr>
        <w:tc>
          <w:tcPr>
            <w:tcW w:w="43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2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383.2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386.8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996"/>
              <w:spacing w:after="0"/>
              <w:rPr>
                <w:sz w:val="20"/>
                <w:szCs w:val="20"/>
                <w:color w:val="auto"/>
              </w:rPr>
            </w:pPr>
            <w:r>
              <w:rPr>
                <w:rFonts w:ascii="Arial" w:cs="Arial" w:eastAsia="Arial" w:hAnsi="Arial"/>
                <w:sz w:val="17"/>
                <w:szCs w:val="17"/>
                <w:color w:val="auto"/>
              </w:rPr>
              <w:t>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43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Lease Term and Discount Rate</w:t>
            </w:r>
          </w:p>
        </w:tc>
        <w:tc>
          <w:tcPr>
            <w:tcW w:w="3360" w:type="dxa"/>
            <w:vAlign w:val="bottom"/>
            <w:gridSpan w:val="2"/>
            <w:vMerge w:val="restart"/>
          </w:tcPr>
          <w:p>
            <w:pPr>
              <w:jc w:val="center"/>
              <w:ind w:left="1402"/>
              <w:spacing w:after="0"/>
              <w:rPr>
                <w:sz w:val="20"/>
                <w:szCs w:val="20"/>
                <w:color w:val="auto"/>
              </w:rPr>
            </w:pPr>
            <w:r>
              <w:rPr>
                <w:rFonts w:ascii="Arial" w:cs="Arial" w:eastAsia="Arial" w:hAnsi="Arial"/>
                <w:sz w:val="13"/>
                <w:szCs w:val="13"/>
                <w:b w:val="1"/>
                <w:bCs w:val="1"/>
                <w:color w:val="auto"/>
                <w:w w:val="93"/>
              </w:rPr>
              <w:t>Weighted-Average Remaining</w:t>
            </w:r>
          </w:p>
        </w:tc>
        <w:tc>
          <w:tcPr>
            <w:tcW w:w="17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1"/>
              </w:rPr>
              <w:t>Weighted-Average Discount</w:t>
            </w:r>
          </w:p>
        </w:tc>
        <w:tc>
          <w:tcPr>
            <w:tcW w:w="0" w:type="dxa"/>
            <w:vAlign w:val="bottom"/>
          </w:tcPr>
          <w:p>
            <w:pPr>
              <w:spacing w:after="0"/>
              <w:rPr>
                <w:sz w:val="1"/>
                <w:szCs w:val="1"/>
                <w:color w:val="auto"/>
              </w:rPr>
            </w:pPr>
          </w:p>
        </w:tc>
      </w:tr>
      <w:tr>
        <w:trPr>
          <w:trHeight w:val="30"/>
        </w:trPr>
        <w:tc>
          <w:tcPr>
            <w:tcW w:w="6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(years and percent)</w:t>
            </w:r>
          </w:p>
        </w:tc>
        <w:tc>
          <w:tcPr>
            <w:tcW w:w="3360" w:type="dxa"/>
            <w:vAlign w:val="bottom"/>
            <w:gridSpan w:val="2"/>
            <w:vMerge w:val="continue"/>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32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1"/>
              </w:rPr>
              <w:t>Lease Term</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2"/>
              </w:rPr>
              <w:t>Rate</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7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7"/>
                <w:szCs w:val="17"/>
                <w:color w:val="auto"/>
              </w:rPr>
              <w:t>3.8</w:t>
            </w:r>
          </w:p>
        </w:tc>
        <w:tc>
          <w:tcPr>
            <w:tcW w:w="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center"/>
              <w:ind w:right="122"/>
              <w:spacing w:after="0"/>
              <w:rPr>
                <w:sz w:val="20"/>
                <w:szCs w:val="20"/>
                <w:color w:val="auto"/>
              </w:rPr>
            </w:pPr>
            <w:r>
              <w:rPr>
                <w:rFonts w:ascii="Arial" w:cs="Arial" w:eastAsia="Arial" w:hAnsi="Arial"/>
                <w:sz w:val="17"/>
                <w:szCs w:val="17"/>
                <w:color w:val="auto"/>
                <w:w w:val="87"/>
              </w:rPr>
              <w:t>11.0%</w:t>
            </w:r>
          </w:p>
        </w:tc>
        <w:tc>
          <w:tcPr>
            <w:tcW w:w="0" w:type="dxa"/>
            <w:vAlign w:val="bottom"/>
          </w:tcPr>
          <w:p>
            <w:pPr>
              <w:spacing w:after="0"/>
              <w:rPr>
                <w:sz w:val="1"/>
                <w:szCs w:val="1"/>
                <w:color w:val="auto"/>
              </w:rPr>
            </w:pPr>
          </w:p>
        </w:tc>
      </w:tr>
      <w:tr>
        <w:trPr>
          <w:trHeight w:val="226"/>
        </w:trPr>
        <w:tc>
          <w:tcPr>
            <w:tcW w:w="632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1740" w:type="dxa"/>
            <w:vAlign w:val="bottom"/>
          </w:tcPr>
          <w:p>
            <w:pPr>
              <w:spacing w:after="0"/>
              <w:rPr>
                <w:sz w:val="19"/>
                <w:szCs w:val="19"/>
                <w:color w:val="auto"/>
              </w:rPr>
            </w:pPr>
          </w:p>
        </w:tc>
        <w:tc>
          <w:tcPr>
            <w:tcW w:w="1620" w:type="dxa"/>
            <w:vAlign w:val="bottom"/>
          </w:tcPr>
          <w:p>
            <w:pPr>
              <w:jc w:val="right"/>
              <w:ind w:right="702"/>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9"/>
                <w:szCs w:val="19"/>
                <w:color w:val="auto"/>
              </w:rPr>
            </w:pPr>
          </w:p>
        </w:tc>
        <w:tc>
          <w:tcPr>
            <w:tcW w:w="1500" w:type="dxa"/>
            <w:vAlign w:val="bottom"/>
          </w:tcPr>
          <w:p>
            <w:pPr>
              <w:jc w:val="center"/>
              <w:ind w:right="122"/>
              <w:spacing w:after="0"/>
              <w:rPr>
                <w:sz w:val="20"/>
                <w:szCs w:val="20"/>
                <w:color w:val="auto"/>
              </w:rPr>
            </w:pPr>
            <w:r>
              <w:rPr>
                <w:rFonts w:ascii="Arial" w:cs="Arial" w:eastAsia="Arial" w:hAnsi="Arial"/>
                <w:sz w:val="17"/>
                <w:szCs w:val="17"/>
                <w:color w:val="auto"/>
                <w:w w:val="87"/>
              </w:rPr>
              <w:t>11.2%</w:t>
            </w:r>
          </w:p>
        </w:tc>
        <w:tc>
          <w:tcPr>
            <w:tcW w:w="0" w:type="dxa"/>
            <w:vAlign w:val="bottom"/>
          </w:tcPr>
          <w:p>
            <w:pPr>
              <w:spacing w:after="0"/>
              <w:rPr>
                <w:sz w:val="1"/>
                <w:szCs w:val="1"/>
                <w:color w:val="auto"/>
              </w:rPr>
            </w:pPr>
          </w:p>
        </w:tc>
      </w:tr>
      <w:tr>
        <w:trPr>
          <w:trHeight w:val="559"/>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Other Information</w:t>
            </w:r>
          </w:p>
        </w:tc>
        <w:tc>
          <w:tcPr>
            <w:tcW w:w="1740" w:type="dxa"/>
            <w:vAlign w:val="bottom"/>
          </w:tcPr>
          <w:p>
            <w:pPr>
              <w:spacing w:after="0"/>
              <w:rPr>
                <w:sz w:val="24"/>
                <w:szCs w:val="24"/>
                <w:color w:val="auto"/>
              </w:rPr>
            </w:pPr>
          </w:p>
        </w:tc>
        <w:tc>
          <w:tcPr>
            <w:tcW w:w="1620" w:type="dxa"/>
            <w:vAlign w:val="bottom"/>
            <w:vMerge w:val="restart"/>
          </w:tcPr>
          <w:p>
            <w:pPr>
              <w:jc w:val="center"/>
              <w:ind w:right="162"/>
              <w:spacing w:after="0"/>
              <w:rPr>
                <w:sz w:val="20"/>
                <w:szCs w:val="20"/>
                <w:color w:val="auto"/>
              </w:rPr>
            </w:pPr>
            <w:r>
              <w:rPr>
                <w:rFonts w:ascii="Arial" w:cs="Arial" w:eastAsia="Arial" w:hAnsi="Arial"/>
                <w:sz w:val="13"/>
                <w:szCs w:val="13"/>
                <w:b w:val="1"/>
                <w:bCs w:val="1"/>
                <w:color w:val="auto"/>
                <w:w w:val="94"/>
              </w:rPr>
              <w:t>Three Months Ended</w:t>
            </w:r>
          </w:p>
        </w:tc>
        <w:tc>
          <w:tcPr>
            <w:tcW w:w="240" w:type="dxa"/>
            <w:vAlign w:val="bottom"/>
          </w:tcPr>
          <w:p>
            <w:pPr>
              <w:spacing w:after="0"/>
              <w:rPr>
                <w:sz w:val="24"/>
                <w:szCs w:val="24"/>
                <w:color w:val="auto"/>
              </w:rPr>
            </w:pPr>
          </w:p>
        </w:tc>
        <w:tc>
          <w:tcPr>
            <w:tcW w:w="1500" w:type="dxa"/>
            <w:vAlign w:val="bottom"/>
          </w:tcPr>
          <w:p>
            <w:pPr>
              <w:jc w:val="center"/>
              <w:ind w:right="122"/>
              <w:spacing w:after="0"/>
              <w:rPr>
                <w:sz w:val="20"/>
                <w:szCs w:val="20"/>
                <w:color w:val="auto"/>
              </w:rPr>
            </w:pPr>
            <w:r>
              <w:rPr>
                <w:rFonts w:ascii="Arial" w:cs="Arial" w:eastAsia="Arial" w:hAnsi="Arial"/>
                <w:sz w:val="13"/>
                <w:szCs w:val="13"/>
                <w:b w:val="1"/>
                <w:bCs w:val="1"/>
                <w:color w:val="auto"/>
                <w:w w:val="93"/>
              </w:rPr>
              <w:t>Nine Months Ended</w:t>
            </w:r>
          </w:p>
        </w:tc>
        <w:tc>
          <w:tcPr>
            <w:tcW w:w="0" w:type="dxa"/>
            <w:vAlign w:val="bottom"/>
          </w:tcPr>
          <w:p>
            <w:pPr>
              <w:spacing w:after="0"/>
              <w:rPr>
                <w:sz w:val="1"/>
                <w:szCs w:val="1"/>
                <w:color w:val="auto"/>
              </w:rPr>
            </w:pPr>
          </w:p>
        </w:tc>
      </w:tr>
      <w:tr>
        <w:trPr>
          <w:trHeight w:val="63"/>
        </w:trPr>
        <w:tc>
          <w:tcPr>
            <w:tcW w:w="63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vMerge w:val="restart"/>
          </w:tcPr>
          <w:p>
            <w:pPr>
              <w:jc w:val="center"/>
              <w:ind w:right="102"/>
              <w:spacing w:after="0"/>
              <w:rPr>
                <w:sz w:val="20"/>
                <w:szCs w:val="20"/>
                <w:color w:val="auto"/>
              </w:rPr>
            </w:pPr>
            <w:r>
              <w:rPr>
                <w:rFonts w:ascii="Arial" w:cs="Arial" w:eastAsia="Arial" w:hAnsi="Arial"/>
                <w:sz w:val="13"/>
                <w:szCs w:val="13"/>
                <w:b w:val="1"/>
                <w:bCs w:val="1"/>
                <w:color w:val="auto"/>
                <w:w w:val="92"/>
              </w:rPr>
              <w:t>September 30, 2019</w:t>
            </w:r>
          </w:p>
        </w:tc>
        <w:tc>
          <w:tcPr>
            <w:tcW w:w="0" w:type="dxa"/>
            <w:vAlign w:val="bottom"/>
          </w:tcPr>
          <w:p>
            <w:pPr>
              <w:spacing w:after="0"/>
              <w:rPr>
                <w:sz w:val="1"/>
                <w:szCs w:val="1"/>
                <w:color w:val="auto"/>
              </w:rPr>
            </w:pPr>
          </w:p>
        </w:tc>
      </w:tr>
      <w:tr>
        <w:trPr>
          <w:trHeight w:val="111"/>
        </w:trPr>
        <w:tc>
          <w:tcPr>
            <w:tcW w:w="6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740" w:type="dxa"/>
            <w:vAlign w:val="bottom"/>
          </w:tcPr>
          <w:p>
            <w:pPr>
              <w:spacing w:after="0"/>
              <w:rPr>
                <w:sz w:val="9"/>
                <w:szCs w:val="9"/>
                <w:color w:val="auto"/>
              </w:rPr>
            </w:pPr>
          </w:p>
        </w:tc>
        <w:tc>
          <w:tcPr>
            <w:tcW w:w="1620" w:type="dxa"/>
            <w:vAlign w:val="bottom"/>
            <w:vMerge w:val="restart"/>
          </w:tcPr>
          <w:p>
            <w:pPr>
              <w:jc w:val="center"/>
              <w:ind w:right="182"/>
              <w:spacing w:after="0"/>
              <w:rPr>
                <w:sz w:val="20"/>
                <w:szCs w:val="20"/>
                <w:color w:val="auto"/>
              </w:rPr>
            </w:pPr>
            <w:r>
              <w:rPr>
                <w:rFonts w:ascii="Arial" w:cs="Arial" w:eastAsia="Arial" w:hAnsi="Arial"/>
                <w:sz w:val="13"/>
                <w:szCs w:val="13"/>
                <w:b w:val="1"/>
                <w:bCs w:val="1"/>
                <w:color w:val="auto"/>
                <w:w w:val="92"/>
              </w:rPr>
              <w:t>September 30, 2019</w:t>
            </w:r>
          </w:p>
        </w:tc>
        <w:tc>
          <w:tcPr>
            <w:tcW w:w="2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320" w:type="dxa"/>
            <w:vAlign w:val="bottom"/>
            <w:tcBorders>
              <w:bottom w:val="single" w:sz="8" w:color="auto"/>
            </w:tcBorders>
            <w:vMerge w:val="continue"/>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7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320" w:type="dxa"/>
            <w:vAlign w:val="bottom"/>
          </w:tcPr>
          <w:p>
            <w:pPr>
              <w:ind w:left="180"/>
              <w:spacing w:after="0" w:line="252" w:lineRule="exact"/>
              <w:rPr>
                <w:sz w:val="20"/>
                <w:szCs w:val="20"/>
                <w:color w:val="auto"/>
              </w:rPr>
            </w:pPr>
            <w:r>
              <w:rPr>
                <w:rFonts w:ascii="Arial" w:cs="Arial" w:eastAsia="Arial" w:hAnsi="Arial"/>
                <w:sz w:val="17"/>
                <w:szCs w:val="17"/>
                <w:color w:val="auto"/>
              </w:rPr>
              <w:t xml:space="preserve">Operating cash flows from operating leases </w:t>
            </w:r>
            <w:r>
              <w:rPr>
                <w:rFonts w:ascii="Arial" w:cs="Arial" w:eastAsia="Arial" w:hAnsi="Arial"/>
                <w:sz w:val="23"/>
                <w:szCs w:val="23"/>
                <w:color w:val="auto"/>
                <w:vertAlign w:val="superscript"/>
              </w:rPr>
              <w:t>(a)</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22"/>
              <w:spacing w:after="0"/>
              <w:rPr>
                <w:sz w:val="20"/>
                <w:szCs w:val="20"/>
                <w:color w:val="auto"/>
              </w:rPr>
            </w:pPr>
            <w:r>
              <w:rPr>
                <w:rFonts w:ascii="Arial" w:cs="Arial" w:eastAsia="Arial" w:hAnsi="Arial"/>
                <w:sz w:val="17"/>
                <w:szCs w:val="17"/>
                <w:color w:val="auto"/>
              </w:rPr>
              <w:t>37.9</w:t>
            </w:r>
          </w:p>
        </w:tc>
        <w:tc>
          <w:tcPr>
            <w:tcW w:w="24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22"/>
              <w:spacing w:after="0"/>
              <w:rPr>
                <w:sz w:val="20"/>
                <w:szCs w:val="20"/>
                <w:color w:val="auto"/>
              </w:rPr>
            </w:pPr>
            <w:r>
              <w:rPr>
                <w:rFonts w:ascii="Arial" w:cs="Arial" w:eastAsia="Arial" w:hAnsi="Arial"/>
                <w:sz w:val="17"/>
                <w:szCs w:val="17"/>
                <w:color w:val="auto"/>
              </w:rPr>
              <w:t>113.1</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cash flows from finance leases</w:t>
            </w:r>
          </w:p>
        </w:tc>
        <w:tc>
          <w:tcPr>
            <w:tcW w:w="17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7"/>
                <w:szCs w:val="17"/>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6320" w:type="dxa"/>
            <w:vAlign w:val="bottom"/>
          </w:tcPr>
          <w:p>
            <w:pPr>
              <w:ind w:left="180"/>
              <w:spacing w:after="0"/>
              <w:rPr>
                <w:sz w:val="20"/>
                <w:szCs w:val="20"/>
                <w:color w:val="auto"/>
              </w:rPr>
            </w:pPr>
            <w:r>
              <w:rPr>
                <w:rFonts w:ascii="Arial" w:cs="Arial" w:eastAsia="Arial" w:hAnsi="Arial"/>
                <w:sz w:val="17"/>
                <w:szCs w:val="17"/>
                <w:color w:val="auto"/>
              </w:rPr>
              <w:t>Financing cash flows from finance leases</w:t>
            </w:r>
          </w:p>
        </w:tc>
        <w:tc>
          <w:tcPr>
            <w:tcW w:w="1740" w:type="dxa"/>
            <w:vAlign w:val="bottom"/>
          </w:tcPr>
          <w:p>
            <w:pPr>
              <w:spacing w:after="0"/>
              <w:rPr>
                <w:sz w:val="19"/>
                <w:szCs w:val="19"/>
                <w:color w:val="auto"/>
              </w:rPr>
            </w:pPr>
          </w:p>
        </w:tc>
        <w:tc>
          <w:tcPr>
            <w:tcW w:w="1620" w:type="dxa"/>
            <w:vAlign w:val="bottom"/>
          </w:tcPr>
          <w:p>
            <w:pPr>
              <w:jc w:val="right"/>
              <w:ind w:right="122"/>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19"/>
                <w:szCs w:val="19"/>
                <w:color w:val="auto"/>
              </w:rPr>
            </w:pPr>
          </w:p>
        </w:tc>
        <w:tc>
          <w:tcPr>
            <w:tcW w:w="1500" w:type="dxa"/>
            <w:vAlign w:val="bottom"/>
          </w:tcPr>
          <w:p>
            <w:pPr>
              <w:jc w:val="right"/>
              <w:ind w:right="22"/>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52"/>
        </w:trPr>
        <w:tc>
          <w:tcPr>
            <w:tcW w:w="6320" w:type="dxa"/>
            <w:vAlign w:val="bottom"/>
          </w:tcPr>
          <w:p>
            <w:pPr>
              <w:ind w:left="20"/>
              <w:spacing w:after="0"/>
              <w:rPr>
                <w:sz w:val="20"/>
                <w:szCs w:val="20"/>
                <w:color w:val="auto"/>
              </w:rPr>
            </w:pPr>
            <w:r>
              <w:rPr>
                <w:rFonts w:ascii="Arial" w:cs="Arial" w:eastAsia="Arial" w:hAnsi="Arial"/>
                <w:sz w:val="17"/>
                <w:szCs w:val="17"/>
                <w:color w:val="auto"/>
              </w:rPr>
              <w:t>Leased assets obtained in exchange for new operating lease liabilities</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22"/>
              <w:spacing w:after="0"/>
              <w:rPr>
                <w:sz w:val="20"/>
                <w:szCs w:val="20"/>
                <w:color w:val="auto"/>
              </w:rPr>
            </w:pPr>
            <w:r>
              <w:rPr>
                <w:rFonts w:ascii="Arial" w:cs="Arial" w:eastAsia="Arial" w:hAnsi="Arial"/>
                <w:sz w:val="17"/>
                <w:szCs w:val="17"/>
                <w:color w:val="auto"/>
              </w:rPr>
              <w:t>57.6</w:t>
            </w:r>
          </w:p>
        </w:tc>
        <w:tc>
          <w:tcPr>
            <w:tcW w:w="24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22"/>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256145" cy="16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145" cy="160020"/>
                    </a:xfrm>
                    <a:prstGeom prst="rect">
                      <a:avLst/>
                    </a:prstGeom>
                    <a:noFill/>
                  </pic:spPr>
                </pic:pic>
              </a:graphicData>
            </a:graphic>
          </wp:anchor>
        </w:drawing>
      </w:r>
    </w:p>
    <w:p>
      <w:pPr>
        <w:ind w:left="300" w:hanging="299"/>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Payments arising from operating leases are reported in operating activities on the statements of consolidated cash flows.</w:t>
      </w:r>
    </w:p>
    <w:p>
      <w:pPr>
        <w:spacing w:after="0" w:line="209"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Below is the Company’s contractual cash obligations table as of December 31, 2018, that disclosed operating lease payments for the next five years and thereafter. We had no material capital leases as of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745"/>
              <w:spacing w:after="0"/>
              <w:rPr>
                <w:sz w:val="20"/>
                <w:szCs w:val="20"/>
                <w:color w:val="auto"/>
              </w:rPr>
            </w:pPr>
            <w:r>
              <w:rPr>
                <w:rFonts w:ascii="Arial" w:cs="Arial" w:eastAsia="Arial" w:hAnsi="Arial"/>
                <w:sz w:val="13"/>
                <w:szCs w:val="13"/>
                <w:b w:val="1"/>
                <w:bCs w:val="1"/>
                <w:color w:val="auto"/>
              </w:rPr>
              <w:t>Payments Due by Period</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w w:val="98"/>
              </w:rPr>
              <w:t>Less than 1 year</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1-3 years</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3-5 years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After 5 years</w:t>
            </w:r>
          </w:p>
        </w:tc>
      </w:tr>
      <w:tr>
        <w:trPr>
          <w:trHeight w:val="224"/>
        </w:trPr>
        <w:tc>
          <w:tcPr>
            <w:tcW w:w="35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Operating leases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429.2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138.4</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212.0</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63.3</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15.5</w:t>
            </w:r>
          </w:p>
        </w:tc>
      </w:tr>
      <w:tr>
        <w:trPr>
          <w:trHeight w:val="26"/>
        </w:trPr>
        <w:tc>
          <w:tcPr>
            <w:tcW w:w="3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plan costs for the three and nine months ended September 30:</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Nine Months</w:t>
            </w:r>
          </w:p>
        </w:tc>
        <w:tc>
          <w:tcPr>
            <w:tcW w:w="1000" w:type="dxa"/>
            <w:vAlign w:val="bottom"/>
            <w:tcBorders>
              <w:bottom w:val="single" w:sz="8" w:color="auto"/>
            </w:tcBorders>
          </w:tcPr>
          <w:p>
            <w:pPr>
              <w:spacing w:after="0"/>
              <w:rPr>
                <w:sz w:val="15"/>
                <w:szCs w:val="15"/>
                <w:color w:val="auto"/>
              </w:rPr>
            </w:pPr>
          </w:p>
        </w:tc>
      </w:tr>
      <w:tr>
        <w:trPr>
          <w:trHeight w:val="24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2018</w:t>
            </w:r>
          </w:p>
        </w:tc>
      </w:tr>
      <w:tr>
        <w:trPr>
          <w:trHeight w:val="22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3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32.9</w:t>
            </w:r>
          </w:p>
        </w:tc>
      </w:tr>
      <w:tr>
        <w:trPr>
          <w:trHeight w:val="26"/>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net pension loss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10.9</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Settlement adjustment</w:t>
            </w:r>
          </w:p>
        </w:tc>
        <w:tc>
          <w:tcPr>
            <w:tcW w:w="3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7.2</w:t>
            </w:r>
          </w:p>
        </w:tc>
      </w:tr>
      <w:tr>
        <w:trPr>
          <w:trHeight w:val="26"/>
        </w:trPr>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periodic pension cost</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$9.9 million to our Company-sponsored pension plans in 2019, of which we have contributed $7.7 million through September 30,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1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Our effective tax rate for the three and nine months ended September 30, 2019 was 3.0% and 1.2%, respectively, compared to 61.8% and 44.9%, respectively for the three and nine months ended September 30, 2018. The significant items impacting the 2019 rates include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2019. The significant items impacting the 2018 rates include a provision for net state and foreign taxes, foreign withholding taxes related to dividends from a foreign subsidiary, certain permanent items and a change in the valuation allowance established for the net deferred tax asset balance that had been projected for December 31, 2018.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expected future earnings, loss carry-forward periods, reversals of existing deferred tax liabilities and tax planning strategies that potentially enhance the likelihood of the realization of a deferred tax asset. At September 30, 2019 and December 31, 2018, substantially all of our net deferred tax assets were subject to a valuation allowance.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calculate basic earnings (loss) per share by dividing our net earnings (loss) available to common shareholders by our weighted-average shares outstanding at the end of the period. The calculation for diluted earnings (loss) per share adjusts the weighted average shares outstanding for our dilutive unvested shares and stock units using the treasury stock method. Our calculations for basic and dilutive earnings (loss) per share for three and nine months ended September 30, 2019 and 2018 are as follows:</w:t>
      </w:r>
    </w:p>
    <w:p>
      <w:pPr>
        <w:spacing w:after="0" w:line="146"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700" w:type="dxa"/>
            <w:vAlign w:val="bottom"/>
            <w:tcBorders>
              <w:bottom w:val="single" w:sz="8" w:color="auto"/>
            </w:tcBorders>
          </w:tcPr>
          <w:p>
            <w:pPr>
              <w:spacing w:after="0"/>
              <w:rPr>
                <w:sz w:val="15"/>
                <w:szCs w:val="15"/>
                <w:color w:val="auto"/>
              </w:rPr>
            </w:pPr>
          </w:p>
        </w:tc>
      </w:tr>
      <w:tr>
        <w:trPr>
          <w:trHeight w:val="24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data; shares and stock units in thousands)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96"/>
              </w:rPr>
              <w:t>2018</w:t>
            </w: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dilutive net income (loss) available to common shareholders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w:t>
            </w:r>
          </w:p>
        </w:tc>
      </w:tr>
      <w:tr>
        <w:trPr>
          <w:trHeight w:val="302"/>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33,259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33,051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33,098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32,827</w:t>
            </w:r>
          </w:p>
        </w:tc>
      </w:tr>
      <w:tr>
        <w:trPr>
          <w:trHeight w:val="226"/>
        </w:trPr>
        <w:tc>
          <w:tcPr>
            <w:tcW w:w="60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2"/>
        </w:trPr>
        <w:tc>
          <w:tcPr>
            <w:tcW w:w="6060" w:type="dxa"/>
            <w:vAlign w:val="bottom"/>
            <w:shd w:val="clear" w:color="auto" w:fill="CCEEFF"/>
          </w:tcPr>
          <w:p>
            <w:pPr>
              <w:ind w:left="140"/>
              <w:spacing w:after="0" w:line="252" w:lineRule="exact"/>
              <w:rPr>
                <w:sz w:val="20"/>
                <w:szCs w:val="20"/>
                <w:color w:val="auto"/>
              </w:rPr>
            </w:pPr>
            <w:r>
              <w:rPr>
                <w:rFonts w:ascii="Arial" w:cs="Arial" w:eastAsia="Arial" w:hAnsi="Arial"/>
                <w:sz w:val="17"/>
                <w:szCs w:val="17"/>
                <w:color w:val="auto"/>
              </w:rPr>
              <w:t>Unvested shares and stock units</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944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928</w:t>
            </w:r>
          </w:p>
        </w:tc>
      </w:tr>
      <w:tr>
        <w:trPr>
          <w:trHeight w:val="219"/>
        </w:trPr>
        <w:tc>
          <w:tcPr>
            <w:tcW w:w="6060" w:type="dxa"/>
            <w:vAlign w:val="bottom"/>
          </w:tcPr>
          <w:p>
            <w:pPr>
              <w:ind w:left="20"/>
              <w:spacing w:after="0"/>
              <w:rPr>
                <w:sz w:val="20"/>
                <w:szCs w:val="20"/>
                <w:color w:val="auto"/>
              </w:rPr>
            </w:pPr>
            <w:r>
              <w:rPr>
                <w:rFonts w:ascii="Arial" w:cs="Arial" w:eastAsia="Arial" w:hAnsi="Arial"/>
                <w:sz w:val="17"/>
                <w:szCs w:val="17"/>
                <w:color w:val="auto"/>
              </w:rPr>
              <w:t>Dilutive weighted average shares outstanding</w:t>
            </w: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33,259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33,995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33,098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33,755</w:t>
            </w:r>
          </w:p>
        </w:tc>
      </w:tr>
      <w:tr>
        <w:trPr>
          <w:trHeight w:val="66"/>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80"/>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3"/>
        </w:trPr>
        <w:tc>
          <w:tcPr>
            <w:tcW w:w="6060" w:type="dxa"/>
            <w:vAlign w:val="bottom"/>
          </w:tcPr>
          <w:p>
            <w:pPr>
              <w:ind w:left="20"/>
              <w:spacing w:after="0" w:line="263" w:lineRule="exact"/>
              <w:rPr>
                <w:sz w:val="20"/>
                <w:szCs w:val="20"/>
                <w:color w:val="auto"/>
              </w:rPr>
            </w:pPr>
            <w:r>
              <w:rPr>
                <w:rFonts w:ascii="Arial" w:cs="Arial" w:eastAsia="Arial" w:hAnsi="Arial"/>
                <w:sz w:val="17"/>
                <w:szCs w:val="17"/>
                <w:color w:val="auto"/>
              </w:rPr>
              <w:t>Basic earnings (loss) per share</w:t>
            </w:r>
            <w:r>
              <w:rPr>
                <w:rFonts w:ascii="Arial" w:cs="Arial" w:eastAsia="Arial" w:hAnsi="Arial"/>
                <w:sz w:val="23"/>
                <w:szCs w:val="23"/>
                <w:color w:val="auto"/>
                <w:vertAlign w:val="superscript"/>
              </w:rPr>
              <w:t>(b)</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22"/>
                <w:szCs w:val="22"/>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0.08</w:t>
            </w:r>
          </w:p>
        </w:tc>
      </w:tr>
      <w:tr>
        <w:trPr>
          <w:trHeight w:val="234"/>
        </w:trPr>
        <w:tc>
          <w:tcPr>
            <w:tcW w:w="6060" w:type="dxa"/>
            <w:vAlign w:val="bottom"/>
          </w:tcPr>
          <w:p>
            <w:pPr>
              <w:ind w:left="20"/>
              <w:spacing w:after="0" w:line="234" w:lineRule="exact"/>
              <w:rPr>
                <w:sz w:val="20"/>
                <w:szCs w:val="20"/>
                <w:color w:val="auto"/>
              </w:rPr>
            </w:pPr>
            <w:r>
              <w:rPr>
                <w:rFonts w:ascii="Arial" w:cs="Arial" w:eastAsia="Arial" w:hAnsi="Arial"/>
                <w:sz w:val="17"/>
                <w:szCs w:val="17"/>
                <w:color w:val="auto"/>
              </w:rPr>
              <w:t>Diluted earnings (loss) per share</w:t>
            </w:r>
            <w:r>
              <w:rPr>
                <w:rFonts w:ascii="Arial" w:cs="Arial" w:eastAsia="Arial" w:hAnsi="Arial"/>
                <w:sz w:val="23"/>
                <w:szCs w:val="23"/>
                <w:color w:val="auto"/>
                <w:vertAlign w:val="superscript"/>
              </w:rPr>
              <w:t>(b)</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6760210" cy="16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0210" cy="160020"/>
                    </a:xfrm>
                    <a:prstGeom prst="rect">
                      <a:avLst/>
                    </a:prstGeom>
                    <a:noFill/>
                  </pic:spPr>
                </pic:pic>
              </a:graphicData>
            </a:graphic>
          </wp:anchor>
        </w:drawing>
      </w:r>
    </w:p>
    <w:p>
      <w:pPr>
        <w:ind w:left="600" w:hanging="297"/>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unvested shares of Common Stock, unvested stock units and vested stock units for which the underlying Common Stock has not been distributed.</w:t>
      </w:r>
    </w:p>
    <w:p>
      <w:pPr>
        <w:spacing w:after="0" w:line="1" w:lineRule="exact"/>
        <w:rPr>
          <w:rFonts w:ascii="Arial" w:cs="Arial" w:eastAsia="Arial" w:hAnsi="Arial"/>
          <w:sz w:val="13"/>
          <w:szCs w:val="13"/>
          <w:color w:val="auto"/>
        </w:rPr>
      </w:pPr>
    </w:p>
    <w:p>
      <w:pPr>
        <w:ind w:left="600" w:hanging="297"/>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Earnings (loss) per share is based on unrounded figures and not the rounded figures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2019 and 2018, our anti-dilutive unvested shares, options, and stock units were approximately 319,000 and 54,000,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Shared support functions include information technology, legal, financial services, revenue management, and other company-wide services. Corporate represents residual operating expenses of the holding company that are not attributable to any segment and remain unallocated. It also represents certain items that are permitted to be included in Adjusted EBITDA. Corporate identifiable assets primarily consist of cash and cash equivalents, restricted amounts held in escrow, and information technology assets, which are offset by eliminations with the two business segments.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2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YRC Freight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Corporate/</w:t>
            </w:r>
          </w:p>
        </w:tc>
        <w:tc>
          <w:tcPr>
            <w:tcW w:w="200" w:type="dxa"/>
            <w:vAlign w:val="bottom"/>
          </w:tcPr>
          <w:p>
            <w:pPr>
              <w:spacing w:after="0"/>
              <w:rPr>
                <w:sz w:val="13"/>
                <w:szCs w:val="13"/>
                <w:color w:val="auto"/>
              </w:rPr>
            </w:pPr>
          </w:p>
        </w:tc>
        <w:tc>
          <w:tcPr>
            <w:tcW w:w="118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9"/>
        </w:trPr>
        <w:tc>
          <w:tcPr>
            <w:tcW w:w="38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Eliminations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2019</w:t>
            </w: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1,276.1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740.8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1,917.1</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2018</w:t>
            </w:r>
          </w:p>
        </w:tc>
        <w:tc>
          <w:tcPr>
            <w:tcW w:w="1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973.6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626.4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2019</w:t>
            </w:r>
          </w:p>
        </w:tc>
        <w:tc>
          <w:tcPr>
            <w:tcW w:w="1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Operating revenue</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803.2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453.6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1,256.8</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Arial" w:cs="Arial" w:eastAsia="Arial" w:hAnsi="Arial"/>
                <w:sz w:val="17"/>
                <w:szCs w:val="17"/>
                <w:color w:val="auto"/>
              </w:rPr>
              <w:t>Nine Months Ended September 30, 2019</w:t>
            </w: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2,347.8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1,364.0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3,711.7</w:t>
            </w: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2018</w:t>
            </w:r>
          </w:p>
        </w:tc>
        <w:tc>
          <w:tcPr>
            <w:tcW w:w="1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Operating revenue</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822.1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481.5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1,303.6</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Arial" w:cs="Arial" w:eastAsia="Arial" w:hAnsi="Arial"/>
                <w:sz w:val="17"/>
                <w:szCs w:val="17"/>
                <w:color w:val="auto"/>
              </w:rPr>
              <w:t>Nine Months Ended September 30, 2018</w:t>
            </w: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2,401.0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3,844.6</w:t>
            </w: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Department of Defense Complaints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In December 2018, the United States on behalf of the United States Department of Defense filed a Complaint in Intervention (“Complaint”) against the Company in the U.S. District in the Western District of New York captioned </w:t>
      </w:r>
      <w:r>
        <w:rPr>
          <w:rFonts w:ascii="Arial" w:cs="Arial" w:eastAsia="Arial" w:hAnsi="Arial"/>
          <w:sz w:val="16"/>
          <w:szCs w:val="16"/>
          <w:i w:val="1"/>
          <w:iCs w:val="1"/>
          <w:color w:val="auto"/>
        </w:rPr>
        <w:t>United States ex rel. James Hannum v. YRC Freight, Inc.; Roadway Express, Inc.; and Yellow Transportation,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 </w:t>
      </w:r>
      <w:r>
        <w:rPr>
          <w:rFonts w:ascii="Arial" w:cs="Arial" w:eastAsia="Arial" w:hAnsi="Arial"/>
          <w:sz w:val="16"/>
          <w:szCs w:val="16"/>
          <w:color w:val="auto"/>
        </w:rPr>
        <w:t>Civil Action No. 08-0811(A). The Complaint alleges that the Company violated the False Claims Act by overcharging the Department of Defense for freight carrier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by failing to comply with the contractual terms of freight contracts between the Department of Defense and the Company and related government procurement rules. The Complaint also alleges claims for unjust enrichment and breach of contract. Under the False Claims Act, the Complaint seeks treble damages, civil penalties, attorneys’ fees and costs of suit, all in unspecified amounts. The remaining common causes of action seek an undetermined amount for an alleged breach of contract or alternatively causes constituting unjust enrichment or a payment by mistake. The Company has moved to dismiss the case, and the court heard oral arguments on the motion on August 12, 2019. Management believes the Company has meritorious defenses and intends to vigorously defend this action. We are unable to estimate the possible loss, or range of possible loss, associated with these claims at this time.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Action Securities Complaint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January 2019, a purported class action lawsuit captioned </w:t>
      </w:r>
      <w:r>
        <w:rPr>
          <w:rFonts w:ascii="Arial" w:cs="Arial" w:eastAsia="Arial" w:hAnsi="Arial"/>
          <w:sz w:val="16"/>
          <w:szCs w:val="16"/>
          <w:i w:val="1"/>
          <w:iCs w:val="1"/>
          <w:color w:val="auto"/>
        </w:rPr>
        <w:t>Christina Lewis v. YRC Worldwide Inc., et al.,</w:t>
      </w:r>
      <w:r>
        <w:rPr>
          <w:rFonts w:ascii="Arial" w:cs="Arial" w:eastAsia="Arial" w:hAnsi="Arial"/>
          <w:sz w:val="16"/>
          <w:szCs w:val="16"/>
          <w:color w:val="auto"/>
        </w:rPr>
        <w:t xml:space="preserve"> Case No. 1:19-cv-00001, was filed in the United States District Court for the Northern District of New York against the Company and certain of our current and former officers. The complaint was filed on behalf of persons who purchased or otherwise acquired the Company’s publicly traded securities between March 10, 2014 and December 14, 2018. The complaint generally alleges that the defendants violated Sections 10(b) and 20(a) of the Securities Exchange Act of 1934 by making false and misleading statements relating to its freight billing practices as alleged in the Department of Defense complaint described above. The action includes claims for damages, including interest, and an award of reasonable costs and attorneys’ fees. The co-lead plaintiffs filed an amended complaint on June 14, 2019, and the defendants moved to dismiss it on July 15, 2019. The motion is fully briefed and awaiting decision. Management believes the Company has meritorious defenses and intends to vigorously defend this action. We are unable to estimate the possible loss, or range of possible loss, associated with these claims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Derivative Complaint</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In May 2019, a putative shareholder filed an action derivatively and on behalf of the Company naming James L. Welch, Jamie G. Pierson, Stephanie D. Fisher, Raymond J. Bromark, Douglas A. Carty, William R. Davidson, Matthew A. Doheny, Robert L. Friedman, James E. Hoffman, Michael J. Kneeland, Patricia M. Nazemetz, and James F. Winestock individually as defendants and the Company as the nominal defendant. In an amended complaint, filed on October 15, 2019, Darren D. Hawkins was added as a defendant. The case is captioned </w:t>
      </w:r>
      <w:r>
        <w:rPr>
          <w:rFonts w:ascii="Arial" w:cs="Arial" w:eastAsia="Arial" w:hAnsi="Arial"/>
          <w:sz w:val="15"/>
          <w:szCs w:val="15"/>
          <w:i w:val="1"/>
          <w:iCs w:val="1"/>
          <w:color w:val="auto"/>
        </w:rPr>
        <w:t>Hastey v. Welch, et al.</w:t>
      </w:r>
      <w:r>
        <w:rPr>
          <w:rFonts w:ascii="Arial" w:cs="Arial" w:eastAsia="Arial" w:hAnsi="Arial"/>
          <w:sz w:val="15"/>
          <w:szCs w:val="15"/>
          <w:color w:val="auto"/>
        </w:rPr>
        <w:t>, Case No. 2:19-cf-2266-KGG, and is pending in the United States District Court for the District of Kansas. The Complaint alleges that the Company was exposed to harm by the individual defendants’ purported conduct concerning its freight-billing practices as alleged in the Department of Defense Complaint and the Class Action Securities Complaint described above. The Complaint asserts that the individual defendants’ purported conduct violated Section 14(a) of the Securities Exchange Act of 1934 and that they breached their fiduciary duties, were unjustly enriched, and engaged in corporate waste. Motions to dismiss were filed on August 16, 2019 and, in response, Plaintiff filed the October 15, 2019 amended complaint. A motion to dismiss the amended complaint was filed on October 29, 2019. The Complaint seeks damages on behalf of the Company.</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October 2019, another putative shareholder filed an action derivatively and on behalf of the Company naming the same defendants as did the October 15, 2019 amended complaint in the </w:t>
      </w:r>
      <w:r>
        <w:rPr>
          <w:rFonts w:ascii="Arial" w:cs="Arial" w:eastAsia="Arial" w:hAnsi="Arial"/>
          <w:sz w:val="17"/>
          <w:szCs w:val="17"/>
          <w:i w:val="1"/>
          <w:iCs w:val="1"/>
          <w:color w:val="auto"/>
        </w:rPr>
        <w:t>Hastey</w:t>
      </w:r>
      <w:r>
        <w:rPr>
          <w:rFonts w:ascii="Arial" w:cs="Arial" w:eastAsia="Arial" w:hAnsi="Arial"/>
          <w:sz w:val="17"/>
          <w:szCs w:val="17"/>
          <w:color w:val="auto"/>
        </w:rPr>
        <w:t xml:space="preserve"> case. The case is captioned </w:t>
      </w:r>
      <w:r>
        <w:rPr>
          <w:rFonts w:ascii="Arial" w:cs="Arial" w:eastAsia="Arial" w:hAnsi="Arial"/>
          <w:sz w:val="17"/>
          <w:szCs w:val="17"/>
          <w:i w:val="1"/>
          <w:iCs w:val="1"/>
          <w:color w:val="auto"/>
        </w:rPr>
        <w:t>Broughton v. Hawkins, et al.</w:t>
      </w:r>
      <w:r>
        <w:rPr>
          <w:rFonts w:ascii="Arial" w:cs="Arial" w:eastAsia="Arial" w:hAnsi="Arial"/>
          <w:sz w:val="17"/>
          <w:szCs w:val="17"/>
          <w:color w:val="auto"/>
        </w:rPr>
        <w:t xml:space="preserve"> Case No. 1:19-cv-01958-UNA, and makes claims similar to those made in </w:t>
      </w:r>
      <w:r>
        <w:rPr>
          <w:rFonts w:ascii="Arial" w:cs="Arial" w:eastAsia="Arial" w:hAnsi="Arial"/>
          <w:sz w:val="17"/>
          <w:szCs w:val="17"/>
          <w:i w:val="1"/>
          <w:iCs w:val="1"/>
          <w:color w:val="auto"/>
        </w:rPr>
        <w:t>Hastey</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risks and increasing costs associated with the transportation industry, including increasing equipment, operational and technology costs and disruption from natural disasters;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shortages of fuel and 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 including financial covenants under our credit facilities, in light of recent operating results;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84" w:lineRule="exact"/>
        <w:rPr>
          <w:sz w:val="20"/>
          <w:szCs w:val="20"/>
          <w:color w:val="auto"/>
        </w:rPr>
      </w:pPr>
    </w:p>
    <w:p>
      <w:pPr>
        <w:ind w:left="600" w:hanging="297"/>
        <w:spacing w:after="0" w:line="269"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Consolidated Results of Operations </w:t>
      </w:r>
      <w:r>
        <w:rPr>
          <w:rFonts w:ascii="Arial" w:cs="Arial" w:eastAsia="Arial" w:hAnsi="Arial"/>
          <w:sz w:val="17"/>
          <w:szCs w:val="17"/>
          <w:color w:val="auto"/>
        </w:rPr>
        <w:t>— an analysis of our consolidated results of operations for the three and nine months ended September 30, 2019</w:t>
      </w:r>
      <w:r>
        <w:rPr>
          <w:rFonts w:ascii="Arial" w:cs="Arial" w:eastAsia="Arial" w:hAnsi="Arial"/>
          <w:sz w:val="17"/>
          <w:szCs w:val="17"/>
          <w:b w:val="1"/>
          <w:bCs w:val="1"/>
          <w:color w:val="auto"/>
        </w:rPr>
        <w:t xml:space="preserve"> </w:t>
      </w:r>
      <w:r>
        <w:rPr>
          <w:rFonts w:ascii="Arial" w:cs="Arial" w:eastAsia="Arial" w:hAnsi="Arial"/>
          <w:sz w:val="17"/>
          <w:szCs w:val="17"/>
          <w:color w:val="auto"/>
        </w:rPr>
        <w:t>and 2018.</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and nine months ended September 30, 2019 and</w:t>
      </w:r>
      <w:r>
        <w:rPr>
          <w:rFonts w:ascii="Arial" w:cs="Arial" w:eastAsia="Arial" w:hAnsi="Arial"/>
          <w:sz w:val="17"/>
          <w:szCs w:val="17"/>
          <w:b w:val="1"/>
          <w:bCs w:val="1"/>
          <w:color w:val="auto"/>
        </w:rPr>
        <w:t xml:space="preserve"> </w:t>
      </w:r>
      <w:r>
        <w:rPr>
          <w:rFonts w:ascii="Arial" w:cs="Arial" w:eastAsia="Arial" w:hAnsi="Arial"/>
          <w:sz w:val="17"/>
          <w:szCs w:val="17"/>
          <w:color w:val="auto"/>
        </w:rPr>
        <w:t>2018 for our 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presentation and an analysis of selected non-GAAP financial measures for the three and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2019 and 2018 and trailing twelve months ended September 30, 2019 and 2018.</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and “first three quarters” of the years discussed below refer to the three and nine months ended September 30,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67" w:lineRule="auto"/>
        <w:tabs>
          <w:tab w:leader="none" w:pos="6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tonnage, tonnage per day, number of shipments,</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8" w:lineRule="exact"/>
        <w:rPr>
          <w:rFonts w:ascii="Arial" w:cs="Arial" w:eastAsia="Arial" w:hAnsi="Arial"/>
          <w:sz w:val="16"/>
          <w:szCs w:val="16"/>
          <w:b w:val="1"/>
          <w:bCs w:val="1"/>
          <w:color w:val="auto"/>
        </w:rPr>
      </w:pPr>
    </w:p>
    <w:p>
      <w:pPr>
        <w:ind w:left="600" w:hanging="297"/>
        <w:spacing w:after="0" w:line="274" w:lineRule="auto"/>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operating revenue less operating expenses.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reporting segments.</w:t>
      </w:r>
    </w:p>
    <w:p>
      <w:pPr>
        <w:spacing w:after="0" w:line="157" w:lineRule="exact"/>
        <w:rPr>
          <w:rFonts w:ascii="Arial" w:cs="Arial" w:eastAsia="Arial" w:hAnsi="Arial"/>
          <w:sz w:val="17"/>
          <w:szCs w:val="17"/>
          <w:b w:val="1"/>
          <w:bCs w:val="1"/>
          <w:color w:val="auto"/>
        </w:rPr>
      </w:pPr>
    </w:p>
    <w:p>
      <w:pPr>
        <w:jc w:val="both"/>
        <w:ind w:left="600" w:hanging="297"/>
        <w:spacing w:after="0" w:line="342" w:lineRule="auto"/>
        <w:tabs>
          <w:tab w:leader="none" w:pos="6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measure used in the trucking industry. It is calculated as (i) 100 percent (ii) minus the</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dividing operating income by operating revenue or (iii) plus the result of dividing operating loss by operating revenue, and is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ind w:left="1200" w:hanging="293"/>
        <w:spacing w:after="0" w:line="286" w:lineRule="auto"/>
        <w:tabs>
          <w:tab w:leader="none" w:pos="1200"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Adjusted EBITDA: </w:t>
      </w:r>
      <w:r>
        <w:rPr>
          <w:rFonts w:ascii="Arial" w:cs="Arial" w:eastAsia="Arial" w:hAnsi="Arial"/>
          <w:sz w:val="15"/>
          <w:szCs w:val="15"/>
          <w:color w:val="auto"/>
        </w:rPr>
        <w:t>a non-GAAP measure that reflects EBITDA, and further adjusts for letter of credit fees, equity-based compensation expense, net</w:t>
      </w:r>
      <w:r>
        <w:rPr>
          <w:rFonts w:ascii="Arial" w:cs="Arial" w:eastAsia="Arial" w:hAnsi="Arial"/>
          <w:sz w:val="15"/>
          <w:szCs w:val="15"/>
          <w:i w:val="1"/>
          <w:iCs w:val="1"/>
          <w:color w:val="auto"/>
        </w:rPr>
        <w:t xml:space="preserve"> </w:t>
      </w:r>
      <w:r>
        <w:rPr>
          <w:rFonts w:ascii="Arial" w:cs="Arial" w:eastAsia="Arial" w:hAnsi="Arial"/>
          <w:sz w:val="15"/>
          <w:szCs w:val="15"/>
          <w:color w:val="auto"/>
        </w:rPr>
        <w:t>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All references to “Adjusted EBITDA” throughout this section and the rest of this report refer to “Adjusted EBITDA” calculated under our New Term Loan Agreement (defined therein as “Consolidated EBITDA” unless otherwise specified. Consolidated EBITDA is also a defined term in our ABL Agreement and the definition there aligns with the prior definition of Consolidated EBITDA under the Prior Term Loan Agreement. Adjusted EBITDA is used for internal management purposes as a financial measure that reflects our core operating performance, to measure compliance with financial covenants in our credit facilities and to determine certain management and employee bonus compensation.</w:t>
      </w:r>
    </w:p>
    <w:p>
      <w:pPr>
        <w:spacing w:after="0" w:line="172"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 in our term loan credit agreement as this measure is calculated as defined in our term loan credit agreement and serves as a driving component of our key financial covenant.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jc w:val="both"/>
        <w:ind w:left="1200" w:hanging="293"/>
        <w:spacing w:after="0" w:line="247"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service interest or fund principal payments on our outstanding debt, letter of credit fees, restructuring charges, transaction costs related to the issuance of debt, non-cash expenses, charges or losses, or nonrecurring consulting fees, among other items;</w:t>
      </w:r>
    </w:p>
    <w:p>
      <w:pPr>
        <w:ind w:left="1200" w:hanging="293"/>
        <w:spacing w:after="0" w:line="247"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ind w:left="600"/>
        <w:spacing w:after="0" w:line="30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Overview</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has developed a comprehensive business strategy to achieve long-term profitability and stability. Our strategic roadmap to improved profitability and stability is built upon the proven alliance of our LTL regional and national networks, as well as our recently launched multi-mode freight brokerage solutions, to provide a broad portfolio of freight and business services to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key components to our multi-year strategic roadmap include:</w:t>
      </w:r>
    </w:p>
    <w:p>
      <w:pPr>
        <w:spacing w:after="0" w:line="169" w:lineRule="exact"/>
        <w:rPr>
          <w:sz w:val="20"/>
          <w:szCs w:val="20"/>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Labor contract ratification, along with implementation of operational efficiencies to achieve service excellence</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Capital structure improvement</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Network optimization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 growth/engagement initiatives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Capital investment in equipment and technology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i w:val="1"/>
          <w:iCs w:val="1"/>
          <w:color w:val="auto"/>
        </w:rPr>
        <w:t>Labor contract ratification and implementation of operational efficiencies</w:t>
      </w:r>
      <w:r>
        <w:rPr>
          <w:rFonts w:ascii="Arial" w:cs="Arial" w:eastAsia="Arial" w:hAnsi="Arial"/>
          <w:sz w:val="15"/>
          <w:szCs w:val="15"/>
          <w:color w:val="auto"/>
        </w:rPr>
        <w:t>: During the first half of 2019, the Company ratified the New NMFA for the employees of</w:t>
      </w:r>
      <w:r>
        <w:rPr>
          <w:rFonts w:ascii="Arial" w:cs="Arial" w:eastAsia="Arial" w:hAnsi="Arial"/>
          <w:sz w:val="15"/>
          <w:szCs w:val="15"/>
          <w:i w:val="1"/>
          <w:iCs w:val="1"/>
          <w:color w:val="auto"/>
        </w:rPr>
        <w:t xml:space="preserve"> </w:t>
      </w:r>
      <w:r>
        <w:rPr>
          <w:rFonts w:ascii="Arial" w:cs="Arial" w:eastAsia="Arial" w:hAnsi="Arial"/>
          <w:sz w:val="15"/>
          <w:szCs w:val="15"/>
          <w:color w:val="auto"/>
        </w:rPr>
        <w:t>Holland, New Penn and YRC Freight. The New NMFA is a critical element to the comprehensive strategic plan as it provides the Company with important changes to create a foundation for revenue growth and operational excellence. The operational changes are expected to provide efficiencies in our workforce by introducing new job classifications and allowing us to employ more flexible work rules to optimize the use of our valuable employee resources. These changes allow us to improve labor mix which should result in reduced costs per labor hour. For example, prior to the New NMFA, we were unable to fill part-time positions in many key markets across our footprint due to a non-competitive wage package for part-time employees. With the New NMFA, we are now expanding our part-time work force which allows us to reposition our commercial driver’s license (“CDL”) drivers to freight delivery and to deploy part-time employees to dock positions, resulting in lower employee compensation expense and improved productivity. The expansion of purchased transportation that is permitted under the New NMFA provides us opportunities to plan and source our operations using more cost-effective resources and to expand our capacity consistent with our customer growth and engagement initiatives. The New NMFA also allows us to introduce new equipment, referred to as box trucks, into our LTL freight operations, which, along with new non-CDL driver classifications, permits us to provide a lower cost solution to local cartage or short-term rentals. Further, on September 27, 2019, the Company ratified a new two-year collective bargaining agreement for the employees of Reddaway, who were previously party to multiple bargaining agreements, have been combined into one collective agreement.</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Capital Structure Improvement</w:t>
      </w:r>
      <w:r>
        <w:rPr>
          <w:rFonts w:ascii="Arial" w:cs="Arial" w:eastAsia="Arial" w:hAnsi="Arial"/>
          <w:sz w:val="17"/>
          <w:szCs w:val="17"/>
          <w:color w:val="auto"/>
        </w:rPr>
        <w:t>: The Company announced a refinancing of its term loan obligations on September 11, 2019 and entered into a New Term Loan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which provides for additional liquidity, less restrictive financial covenants, a lower interest rate and extends the maturity of the facility to June 2024. The New Term Loan eliminates the annual principal amortization of 3.0%, which approximated $18.0 million in principal payments per year, and provides the ability to reinvest the first $40.0 million in cash proceeds earned from the sale of certain owned properties.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Network Optimization</w:t>
      </w:r>
      <w:r>
        <w:rPr>
          <w:rFonts w:ascii="Arial" w:cs="Arial" w:eastAsia="Arial" w:hAnsi="Arial"/>
          <w:sz w:val="16"/>
          <w:szCs w:val="16"/>
          <w:color w:val="auto"/>
        </w:rPr>
        <w:t>: While ongoing investments in equipment and technology remain our primary use of excess operating cash flows, we understand the importance of</w:t>
      </w:r>
      <w:r>
        <w:rPr>
          <w:rFonts w:ascii="Arial" w:cs="Arial" w:eastAsia="Arial" w:hAnsi="Arial"/>
          <w:sz w:val="16"/>
          <w:szCs w:val="16"/>
          <w:i w:val="1"/>
          <w:iCs w:val="1"/>
          <w:color w:val="auto"/>
        </w:rPr>
        <w:t xml:space="preserve"> </w:t>
      </w:r>
      <w:r>
        <w:rPr>
          <w:rFonts w:ascii="Arial" w:cs="Arial" w:eastAsia="Arial" w:hAnsi="Arial"/>
          <w:sz w:val="16"/>
          <w:szCs w:val="16"/>
          <w:color w:val="auto"/>
        </w:rPr>
        <w:t>balancing liquidity and our ongoing investments with the service capacity we need to bring to the market. In the initial phase of our network optimization plan, which spans 2019, two of our companies operate independently out of the same service center. Upon implementation of the New NMFA that was ratified on May 14, 2019, we may now consolidate service centers across our operating companies to optimize utilization of our assets and resources, and companies that operate in the same service territory will be serviced through one primary carrier. We believe service center consolidation presents the greatest opportunity for our network optimization initiative. We expect to launch our first consolidation in late 2019, with the majority of network consolidations occurring in 2020. By consolidating service centers, we expect to recognize cost savings in our linehaul and pick-up and delivery operations due to improved density, fewer miles driven and optimization of route planning and labor resources. Over time, this initiative should enhance service and strategically position our network for the growing demand of next-day services, provide productivity improvements and streamline our cost structure as we seek to eliminate redundancies across the network, both in facilities, infrastructure and human capital. As of the date of this filing, we have completed the consolidation of twelve service centers. Most recently, we have moved forward with certain headcount reductions to remain disciplined with our cost structure, including, but not limited to, the consolidation of the New Penn corporate services and the implementation of a new operations field structure.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Customer Growth/Engagement Initiatives</w:t>
      </w:r>
      <w:r>
        <w:rPr>
          <w:rFonts w:ascii="Arial" w:cs="Arial" w:eastAsia="Arial" w:hAnsi="Arial"/>
          <w:sz w:val="17"/>
          <w:szCs w:val="17"/>
          <w:color w:val="auto"/>
        </w:rPr>
        <w:t>: Creating simplified engagement for customers and an increased service offering are a critical part of our strategic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growth and engagement. We completed the final phase of our sales restructuring which consolidated our four distinct sales groups into one enterprise sales organization. This allows customers to buy regional, national and brokerage services from a single point of contact at YRCW while introducing existing customers to additional operating companies. The launch of our third-party brokerage solution, HNRY Logistics in late 2018 is the perfect complement to our LTL, asset-based companies and allows us to better service our customers with a full suite of logistics solutions.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Capital Investment</w:t>
      </w:r>
      <w:r>
        <w:rPr>
          <w:rFonts w:ascii="Arial" w:cs="Arial" w:eastAsia="Arial" w:hAnsi="Arial"/>
          <w:sz w:val="15"/>
          <w:szCs w:val="15"/>
          <w:color w:val="auto"/>
        </w:rPr>
        <w:t>: Capital allocation remains a top priority for us. We will continue to invest in revenue equipment to improve the age of our fleet as there is an</w:t>
      </w:r>
      <w:r>
        <w:rPr>
          <w:rFonts w:ascii="Arial" w:cs="Arial" w:eastAsia="Arial" w:hAnsi="Arial"/>
          <w:sz w:val="15"/>
          <w:szCs w:val="15"/>
          <w:i w:val="1"/>
          <w:iCs w:val="1"/>
          <w:color w:val="auto"/>
        </w:rPr>
        <w:t xml:space="preserve"> </w:t>
      </w:r>
      <w:r>
        <w:rPr>
          <w:rFonts w:ascii="Arial" w:cs="Arial" w:eastAsia="Arial" w:hAnsi="Arial"/>
          <w:sz w:val="15"/>
          <w:szCs w:val="15"/>
          <w:color w:val="auto"/>
        </w:rPr>
        <w:t>immediate return in improved fuel miles per gallon, reduced vehicle maintenance expense and improved driver morale. Since 2015, approximately 37% of our tractor fleet and 28% of our trailer fleet have been upgraded. While the average age of our fleet still lags the industry, the average age of our fleet is no longer increasing.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National Master Freight Agreement</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May 14, 2019, union employees at operating companies Holland, New Penn and YRC Freight ratified New NMFA, along with all supplemental agreements. The New NMFA outlines terms and conditions of employment that are customary in collective bargaining agreements and apply at a national level across the covered operations, such as wages, health benefits, multiemployer pension plan contribution rates, and various operational items. A few of the highlights in the New NMFA include: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Hourly wage increases in each year of the contract, beginning April 1, 2019 through 2023</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Health and welfare and pension contribution rate increases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Restoration of an additional one-week of vacation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expanded ability to utilize smaller trucks that can be operated by employees who do not have a CDL</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to utilize additional hours of service, in accordance with Department of Transportation regulations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increased ability to utilize purchased transportation at YRC Freight and Holland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increased ability to utilize employees in non-driving positions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newly-structured performance bonus program for employees</w:t>
      </w:r>
    </w:p>
    <w:p>
      <w:pPr>
        <w:spacing w:after="0" w:line="19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new wage improvements allow us to advance our driver hiring and retention efforts to ensure we are adequately staffed with professional CDL drivers and other key personnel at our service centers. The contractual wage increases under the New NMFA were paid retroactively to April 1, 2019 including the one week of vacation. Additionally, the Company incurred one-time vacation charges in second quarter operating results of $12.4 million to reflect the full year 2018 and first quarter 2019 vacation benefit increase.</w:t>
      </w:r>
    </w:p>
    <w:p>
      <w:pPr>
        <w:spacing w:after="0" w:line="141" w:lineRule="exact"/>
        <w:rPr>
          <w:sz w:val="20"/>
          <w:szCs w:val="20"/>
          <w:color w:val="auto"/>
        </w:rPr>
      </w:pPr>
    </w:p>
    <w:p>
      <w:pPr>
        <w:ind w:right="580"/>
        <w:spacing w:after="0" w:line="269" w:lineRule="auto"/>
        <w:rPr>
          <w:sz w:val="20"/>
          <w:szCs w:val="20"/>
          <w:color w:val="auto"/>
        </w:rPr>
      </w:pPr>
      <w:r>
        <w:rPr>
          <w:rFonts w:ascii="Arial" w:cs="Arial" w:eastAsia="Arial" w:hAnsi="Arial"/>
          <w:sz w:val="17"/>
          <w:szCs w:val="17"/>
          <w:color w:val="auto"/>
        </w:rPr>
        <w:t>The supplemental agreements cover more localized work rules and other terms and conditions of employment. The Company was unable to commence actions to implement the operational efficiencies until the New NMFA, and all supplements, were fully ratified on May 14,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results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third quarter and first three quarters of 2019 and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Third Quarter</w:t>
            </w:r>
          </w:p>
        </w:tc>
        <w:tc>
          <w:tcPr>
            <w:tcW w:w="1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5"/>
              </w:rPr>
              <w:t>First Three Quarters</w:t>
            </w:r>
          </w:p>
        </w:tc>
        <w:tc>
          <w:tcPr>
            <w:tcW w:w="1340" w:type="dxa"/>
            <w:vAlign w:val="bottom"/>
            <w:tcBorders>
              <w:bottom w:val="single" w:sz="8" w:color="auto"/>
            </w:tcBorders>
          </w:tcPr>
          <w:p>
            <w:pPr>
              <w:spacing w:after="0"/>
              <w:rPr>
                <w:sz w:val="15"/>
                <w:szCs w:val="15"/>
                <w:color w:val="auto"/>
              </w:rPr>
            </w:pPr>
          </w:p>
        </w:tc>
      </w:tr>
      <w:tr>
        <w:trPr>
          <w:trHeight w:val="244"/>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22"/>
              <w:spacing w:after="0"/>
              <w:rPr>
                <w:sz w:val="20"/>
                <w:szCs w:val="20"/>
                <w:color w:val="auto"/>
              </w:rPr>
            </w:pPr>
            <w:r>
              <w:rPr>
                <w:rFonts w:ascii="Arial" w:cs="Arial" w:eastAsia="Arial" w:hAnsi="Arial"/>
                <w:sz w:val="13"/>
                <w:szCs w:val="13"/>
                <w:b w:val="1"/>
                <w:bCs w:val="1"/>
                <w:color w:val="auto"/>
              </w:rPr>
              <w:t>2018</w:t>
            </w: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Percent Change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02"/>
              <w:spacing w:after="0"/>
              <w:rPr>
                <w:sz w:val="20"/>
                <w:szCs w:val="20"/>
                <w:color w:val="auto"/>
              </w:rPr>
            </w:pPr>
            <w:r>
              <w:rPr>
                <w:rFonts w:ascii="Arial" w:cs="Arial" w:eastAsia="Arial" w:hAnsi="Arial"/>
                <w:sz w:val="13"/>
                <w:szCs w:val="13"/>
                <w:b w:val="1"/>
                <w:bCs w:val="1"/>
                <w:color w:val="auto"/>
              </w:rPr>
              <w:t>2018</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1,256.8</w:t>
            </w:r>
          </w:p>
        </w:tc>
        <w:tc>
          <w:tcPr>
            <w:tcW w:w="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7"/>
                <w:szCs w:val="17"/>
                <w:color w:val="auto"/>
              </w:rPr>
              <w:t>1,303.6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3,711.7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7"/>
                <w:szCs w:val="17"/>
                <w:color w:val="auto"/>
              </w:rPr>
              <w:t>3,844.6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6"/>
        </w:trPr>
        <w:tc>
          <w:tcPr>
            <w:tcW w:w="28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6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7"/>
                <w:szCs w:val="17"/>
                <w:color w:val="auto"/>
              </w:rPr>
              <w:t>23.8</w:t>
            </w:r>
          </w:p>
        </w:tc>
        <w:tc>
          <w:tcPr>
            <w:tcW w:w="340" w:type="dxa"/>
            <w:vAlign w:val="bottom"/>
          </w:tcPr>
          <w:p>
            <w:pPr>
              <w:spacing w:after="0"/>
              <w:rPr>
                <w:sz w:val="19"/>
                <w:szCs w:val="19"/>
                <w:color w:val="auto"/>
              </w:rPr>
            </w:pPr>
          </w:p>
        </w:tc>
        <w:tc>
          <w:tcPr>
            <w:tcW w:w="1180" w:type="dxa"/>
            <w:vAlign w:val="bottom"/>
          </w:tcPr>
          <w:p>
            <w:pPr>
              <w:jc w:val="right"/>
              <w:ind w:right="302"/>
              <w:spacing w:after="0"/>
              <w:rPr>
                <w:sz w:val="20"/>
                <w:szCs w:val="20"/>
                <w:color w:val="auto"/>
              </w:rPr>
            </w:pPr>
            <w:r>
              <w:rPr>
                <w:rFonts w:ascii="Arial" w:cs="Arial" w:eastAsia="Arial" w:hAnsi="Arial"/>
                <w:sz w:val="17"/>
                <w:szCs w:val="17"/>
                <w:color w:val="auto"/>
              </w:rPr>
              <w:t>41.2</w:t>
            </w:r>
          </w:p>
        </w:tc>
        <w:tc>
          <w:tcPr>
            <w:tcW w:w="1420" w:type="dxa"/>
            <w:vAlign w:val="bottom"/>
          </w:tcPr>
          <w:p>
            <w:pPr>
              <w:jc w:val="right"/>
              <w:spacing w:after="0"/>
              <w:rPr>
                <w:sz w:val="20"/>
                <w:szCs w:val="20"/>
                <w:color w:val="auto"/>
              </w:rPr>
            </w:pPr>
            <w:r>
              <w:rPr>
                <w:rFonts w:ascii="Arial" w:cs="Arial" w:eastAsia="Arial" w:hAnsi="Arial"/>
                <w:sz w:val="17"/>
                <w:szCs w:val="17"/>
                <w:color w:val="auto"/>
              </w:rPr>
              <w:t>(42.2)%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7"/>
                <w:szCs w:val="17"/>
                <w:color w:val="auto"/>
              </w:rPr>
              <w:t>6.4</w:t>
            </w:r>
          </w:p>
        </w:tc>
        <w:tc>
          <w:tcPr>
            <w:tcW w:w="260" w:type="dxa"/>
            <w:vAlign w:val="bottom"/>
          </w:tcPr>
          <w:p>
            <w:pPr>
              <w:spacing w:after="0"/>
              <w:rPr>
                <w:sz w:val="19"/>
                <w:szCs w:val="19"/>
                <w:color w:val="auto"/>
              </w:rPr>
            </w:pPr>
          </w:p>
        </w:tc>
        <w:tc>
          <w:tcPr>
            <w:tcW w:w="1340" w:type="dxa"/>
            <w:vAlign w:val="bottom"/>
          </w:tcPr>
          <w:p>
            <w:pPr>
              <w:jc w:val="right"/>
              <w:ind w:right="382"/>
              <w:spacing w:after="0"/>
              <w:rPr>
                <w:sz w:val="20"/>
                <w:szCs w:val="20"/>
                <w:color w:val="auto"/>
              </w:rPr>
            </w:pPr>
            <w:r>
              <w:rPr>
                <w:rFonts w:ascii="Arial" w:cs="Arial" w:eastAsia="Arial" w:hAnsi="Arial"/>
                <w:sz w:val="17"/>
                <w:szCs w:val="17"/>
                <w:color w:val="auto"/>
              </w:rPr>
              <w:t>87.8</w:t>
            </w:r>
          </w:p>
        </w:tc>
        <w:tc>
          <w:tcPr>
            <w:tcW w:w="1340" w:type="dxa"/>
            <w:vAlign w:val="bottom"/>
          </w:tcPr>
          <w:p>
            <w:pPr>
              <w:jc w:val="right"/>
              <w:spacing w:after="0"/>
              <w:rPr>
                <w:sz w:val="20"/>
                <w:szCs w:val="20"/>
                <w:color w:val="auto"/>
              </w:rPr>
            </w:pPr>
            <w:r>
              <w:rPr>
                <w:rFonts w:ascii="Arial" w:cs="Arial" w:eastAsia="Arial" w:hAnsi="Arial"/>
                <w:sz w:val="17"/>
                <w:szCs w:val="17"/>
                <w:color w:val="auto"/>
              </w:rPr>
              <w:t>(92.7)%</w:t>
            </w:r>
          </w:p>
        </w:tc>
      </w:tr>
      <w:tr>
        <w:trPr>
          <w:trHeight w:val="26"/>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40.3</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7"/>
                <w:szCs w:val="17"/>
                <w:color w:val="auto"/>
              </w:rPr>
              <w:t>33.6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19.9 %</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96.2</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7"/>
                <w:szCs w:val="17"/>
                <w:color w:val="auto"/>
              </w:rPr>
              <w:t>82.9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16.0 %</w:t>
            </w:r>
          </w:p>
        </w:tc>
      </w:tr>
      <w:tr>
        <w:trPr>
          <w:trHeight w:val="226"/>
        </w:trPr>
        <w:tc>
          <w:tcPr>
            <w:tcW w:w="28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(16.0)</w:t>
            </w:r>
          </w:p>
        </w:tc>
        <w:tc>
          <w:tcPr>
            <w:tcW w:w="340" w:type="dxa"/>
            <w:vAlign w:val="bottom"/>
          </w:tcPr>
          <w:p>
            <w:pPr>
              <w:spacing w:after="0"/>
              <w:rPr>
                <w:sz w:val="19"/>
                <w:szCs w:val="19"/>
                <w:color w:val="auto"/>
              </w:rPr>
            </w:pPr>
          </w:p>
        </w:tc>
        <w:tc>
          <w:tcPr>
            <w:tcW w:w="1180" w:type="dxa"/>
            <w:vAlign w:val="bottom"/>
          </w:tcPr>
          <w:p>
            <w:pPr>
              <w:jc w:val="right"/>
              <w:ind w:right="302"/>
              <w:spacing w:after="0"/>
              <w:rPr>
                <w:sz w:val="20"/>
                <w:szCs w:val="20"/>
                <w:color w:val="auto"/>
              </w:rPr>
            </w:pPr>
            <w:r>
              <w:rPr>
                <w:rFonts w:ascii="Arial" w:cs="Arial" w:eastAsia="Arial" w:hAnsi="Arial"/>
                <w:sz w:val="17"/>
                <w:szCs w:val="17"/>
                <w:color w:val="auto"/>
              </w:rPr>
              <w:t>2.9</w:t>
            </w:r>
          </w:p>
        </w:tc>
        <w:tc>
          <w:tcPr>
            <w:tcW w:w="1640" w:type="dxa"/>
            <w:vAlign w:val="bottom"/>
            <w:gridSpan w:val="2"/>
          </w:tcPr>
          <w:p>
            <w:pPr>
              <w:ind w:left="84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(88.7)</w:t>
            </w:r>
          </w:p>
        </w:tc>
        <w:tc>
          <w:tcPr>
            <w:tcW w:w="260" w:type="dxa"/>
            <w:vAlign w:val="bottom"/>
          </w:tcPr>
          <w:p>
            <w:pPr>
              <w:spacing w:after="0"/>
              <w:rPr>
                <w:sz w:val="19"/>
                <w:szCs w:val="19"/>
                <w:color w:val="auto"/>
              </w:rPr>
            </w:pPr>
          </w:p>
        </w:tc>
        <w:tc>
          <w:tcPr>
            <w:tcW w:w="1340" w:type="dxa"/>
            <w:vAlign w:val="bottom"/>
          </w:tcPr>
          <w:p>
            <w:pPr>
              <w:jc w:val="right"/>
              <w:ind w:right="382"/>
              <w:spacing w:after="0"/>
              <w:rPr>
                <w:sz w:val="20"/>
                <w:szCs w:val="20"/>
                <w:color w:val="auto"/>
              </w:rPr>
            </w:pPr>
            <w:r>
              <w:rPr>
                <w:rFonts w:ascii="Arial" w:cs="Arial" w:eastAsia="Arial" w:hAnsi="Arial"/>
                <w:sz w:val="17"/>
                <w:szCs w:val="17"/>
                <w:color w:val="auto"/>
              </w:rPr>
              <w:t>2.7</w:t>
            </w:r>
          </w:p>
        </w:tc>
        <w:tc>
          <w:tcPr>
            <w:tcW w:w="1340" w:type="dxa"/>
            <w:vAlign w:val="bottom"/>
          </w:tcPr>
          <w:p>
            <w:pPr>
              <w:jc w:val="right"/>
              <w:ind w:right="159"/>
              <w:spacing w:after="0"/>
              <w:rPr>
                <w:sz w:val="20"/>
                <w:szCs w:val="20"/>
                <w:color w:val="auto"/>
              </w:rPr>
            </w:pPr>
            <w:r>
              <w:rPr>
                <w:rFonts w:ascii="Arial" w:cs="Arial" w:eastAsia="Arial" w:hAnsi="Arial"/>
                <w:sz w:val="17"/>
                <w:szCs w:val="17"/>
                <w:color w:val="auto"/>
              </w:rPr>
              <w:t>NM*</w:t>
            </w:r>
          </w:p>
        </w:tc>
      </w:tr>
    </w:tbl>
    <w:p>
      <w:pPr>
        <w:spacing w:after="0" w:line="58" w:lineRule="exact"/>
        <w:rPr>
          <w:sz w:val="20"/>
          <w:szCs w:val="20"/>
          <w:color w:val="auto"/>
        </w:rPr>
      </w:pPr>
    </w:p>
    <w:p>
      <w:pPr>
        <w:ind w:left="300" w:hanging="299"/>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2019 Compared to the Third Quarter of 2018</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decreased $46.8 million, or 3.6%, during the third quarter of 2019 compared to the same period in 2018. The decrease in revenue is primarily attributed to a decrease in tonnage and fuel surcharge revenue, while partially offset by an increase in base yield excluding fuel surcharge.</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operating expenses decreased $29.4 million, or 2.3%, for the third quarter of 2019 compared to the third quarter of 2018, and consisted primarily of lower purchased transportation expense as well as lower fuel, operating expenses and supplies, partially offset by increased salaries, wages and employee benefits.</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Salaries, wages and employee benefits</w:t>
      </w:r>
      <w:r>
        <w:rPr>
          <w:rFonts w:ascii="Arial" w:cs="Arial" w:eastAsia="Arial" w:hAnsi="Arial"/>
          <w:sz w:val="17"/>
          <w:szCs w:val="17"/>
          <w:color w:val="auto"/>
        </w:rPr>
        <w:t>. Salaries, wages and employee benefits increased $13.2 million, or 1.8%, primarily due to a $10.5 million increase in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costs and a $7.2 million increase in wage expense, as a result of higher contractual rates due to the New NMFA, which were partially offset by a $6.3 million decrease in short-term incentive compensation.</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decreased $14.7 million, or 6.3%, primarily due to a $15.0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a result of lower fuel prices and fewer miles driven.</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decreased $22.7 million, or 12.4%, primarily due to a $17.9 million decrease in rail and over-the-road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expense as a result of reduced shipping volumes and a $3.4 million decrease from reduced usage of local purchased transportation.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$6.6 million, or 10.1%, primarily due to a $5.3 million decrease in third-party liability claims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due to an unfavorable adjustment recorded in 2018 with no similar adjustment during 2019.</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increased $6.7 million in the third quarter of 2019 compared to the third quarter of 2018, primarily driven by an</w:t>
      </w:r>
      <w:r>
        <w:rPr>
          <w:rFonts w:ascii="Arial" w:cs="Arial" w:eastAsia="Arial" w:hAnsi="Arial"/>
          <w:sz w:val="17"/>
          <w:szCs w:val="17"/>
          <w:i w:val="1"/>
          <w:iCs w:val="1"/>
          <w:color w:val="auto"/>
        </w:rPr>
        <w:t xml:space="preserve"> </w:t>
      </w:r>
      <w:r>
        <w:rPr>
          <w:rFonts w:ascii="Arial" w:cs="Arial" w:eastAsia="Arial" w:hAnsi="Arial"/>
          <w:sz w:val="17"/>
          <w:szCs w:val="17"/>
          <w:color w:val="auto"/>
        </w:rPr>
        <w:t>$11.2 million loss on extinguishment of debt, which was partially offset by a $4.9 million decrease in non-union pension expense.</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effective tax rate for the third quarter of 2019 and 2018 was 3.0% and 61.8%, respectively. The significant items impacting the 2019 rate include a benefit recognized due to application of the exception to the rules regarding intraperiod tax allocation, a provision for a net state and foreign taxes, certain permanent items and a change in the valuation allowance established for the net deferred tax asset balance projected for December 31, 2019. The significant items impacting the 2018 rate include a provision for net state and foreign taxes, foreign withholding taxes related to a dividend from a foreign subsidiary, certain permanent items and a change in the valuation allowance established for the net deferred tax asset balance that had been projected for December 31, 2018.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September 30, 2019 and December 31, 2018, substantially all of our net deferred tax assets were subject to a valuation allowance.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2019 Compared to the First Three Quarters of 2018</w:t>
      </w:r>
    </w:p>
    <w:p>
      <w:pPr>
        <w:spacing w:after="0" w:line="207"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consolidated operating revenue decreased $132.9 million, or 3.5%, during the first three quarters of 2019 compared to the same period in 2018. The decrease in revenue is primarily attributed to a decrease in tonnage and fuel surcharge revenue, while partially offset by an increase in base yield excluding fuel surcharge.</w:t>
      </w:r>
    </w:p>
    <w:p>
      <w:pPr>
        <w:spacing w:after="0" w:line="120"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Total operating expenses decreased $51.5 million, or 1.4%, for the first three quarters of 2019 compared to the first three quarters of 2018, and consisted primarily of lower purchased transportation expense as well as lower fuel, operating expenses and supplies, partially offset by increased salaries, wages and employee benefits.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Salaries, wages and employee benefits</w:t>
      </w:r>
      <w:r>
        <w:rPr>
          <w:rFonts w:ascii="Arial" w:cs="Arial" w:eastAsia="Arial" w:hAnsi="Arial"/>
          <w:sz w:val="17"/>
          <w:szCs w:val="17"/>
          <w:color w:val="auto"/>
        </w:rPr>
        <w:t>. Salaries, wages and employee benefits increased $28.0 million, or 1.3%, primarily due to a $34.5 million increase in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costs which was largely driven by a $21.3 million increase in union vacation expense due to restoration of benefits from the passage of the New NMFA, a $7.9 million increase in salaries expense, and a $3.8 million increase in workers’ compensation expense. These increases were partially offset by a $16.3 million decrease in short-term incentive compensation.</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decreased $22.7 million, or 3.2%, primarily due to a $31.0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a result of fewer miles driven and lower prices, and was partially offset by a $7.3 million increase in professional fees largely as a result of fees associated with our New NMFA and various other legal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Purchased transportation</w:t>
      </w:r>
      <w:r>
        <w:rPr>
          <w:rFonts w:ascii="Arial" w:cs="Arial" w:eastAsia="Arial" w:hAnsi="Arial"/>
          <w:sz w:val="15"/>
          <w:szCs w:val="15"/>
          <w:color w:val="auto"/>
        </w:rPr>
        <w:t>. Purchased transportation decreased $51.0 million, or 9.9%, primarily due to a $52.1 million decrease in rail and over-the-road purchased</w:t>
      </w:r>
      <w:r>
        <w:rPr>
          <w:rFonts w:ascii="Arial" w:cs="Arial" w:eastAsia="Arial" w:hAnsi="Arial"/>
          <w:sz w:val="15"/>
          <w:szCs w:val="15"/>
          <w:i w:val="1"/>
          <w:iCs w:val="1"/>
          <w:color w:val="auto"/>
        </w:rPr>
        <w:t xml:space="preserve"> </w:t>
      </w:r>
      <w:r>
        <w:rPr>
          <w:rFonts w:ascii="Arial" w:cs="Arial" w:eastAsia="Arial" w:hAnsi="Arial"/>
          <w:sz w:val="15"/>
          <w:szCs w:val="15"/>
          <w:color w:val="auto"/>
        </w:rPr>
        <w:t>transportation expense as a result of reduced shipping volumes and an $8.7 million decrease from reduced usage of local purchased transportation and short-term equipment rentals. Purchased transportation expense also includes a $10.4 million increase in third-party costs for customer-specific logistics solutions.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$8.6 million, or 4.6%, primarily due to a $3.7 million decrease in operating tax expense as a result of fewer</w:t>
      </w:r>
      <w:r>
        <w:rPr>
          <w:rFonts w:ascii="Arial" w:cs="Arial" w:eastAsia="Arial" w:hAnsi="Arial"/>
          <w:sz w:val="17"/>
          <w:szCs w:val="17"/>
          <w:i w:val="1"/>
          <w:iCs w:val="1"/>
          <w:color w:val="auto"/>
        </w:rPr>
        <w:t xml:space="preserve"> </w:t>
      </w:r>
      <w:r>
        <w:rPr>
          <w:rFonts w:ascii="Arial" w:cs="Arial" w:eastAsia="Arial" w:hAnsi="Arial"/>
          <w:sz w:val="17"/>
          <w:szCs w:val="17"/>
          <w:color w:val="auto"/>
        </w:rPr>
        <w:t>miles driven and a $3.1 million decrease in cargo claims expense.</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(Gains)/Losses on property disposals</w:t>
      </w:r>
      <w:r>
        <w:rPr>
          <w:rFonts w:ascii="Arial" w:cs="Arial" w:eastAsia="Arial" w:hAnsi="Arial"/>
          <w:sz w:val="16"/>
          <w:szCs w:val="16"/>
          <w:color w:val="auto"/>
        </w:rPr>
        <w:t>. Net gains on disposals of property were $3.6 million in the first three quarters of 2019, which were primarily a result of the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property as well as a deferred gain recognized from changes in contractual lease terms, partially offset by losses on the disposal of revenue equipment, as compared to a $7.3 million loss in the first three quarters of 2018, primarily due to losses on the disposal of revenue equipment.</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Impairment charges</w:t>
      </w:r>
      <w:r>
        <w:rPr>
          <w:rFonts w:ascii="Arial" w:cs="Arial" w:eastAsia="Arial" w:hAnsi="Arial"/>
          <w:sz w:val="17"/>
          <w:szCs w:val="17"/>
          <w:color w:val="auto"/>
        </w:rPr>
        <w:t>. During the first quarter of 2019, we recorded an $8.2 million impairment charge at YRC Freight that reflects the write-down of an intangible asset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rebranding strategies, leading to discontinued use of a tradename.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increased $13.3 million in the first three quarters of 2019 compared to the first three quarters of 2018,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an $11.2 million loss on extinguishment of debt, and a $5.4 million increase in interest expense due to higher variable interest rates, partially offset by a $3.2 million decrease in non-union pension expense.</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effective tax rate for the first three quarters of 2019 and 2018 was 1.2% and 44.9%, respectively. The significant items impacting the 2019 rate include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2019. The significant items impacting the 2018 rate include a provision for net state and foreign taxes, foreign withholding taxes related to dividends from a foreign subsidiary, certain permanent items and a change in the valuation allowance established for the net deferred tax asset balance that had been projected for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53"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movement of industrial, commercial and retail goods, primarily through centralized management. This reporting segment includes LTL subsidiaries YRC Inc. and YRC Freight Canada Company (both doing business as, and herein referred to as, “YRC Freight”) and HNRY Logistics, Inc. (“HNRY Logistics”), our customer-specific logistics solutions provider. In addition to the United States and Canada, YRC Freight also serves parts of Mexico and Puerto Rico.</w:t>
      </w:r>
    </w:p>
    <w:p>
      <w:pPr>
        <w:spacing w:after="0" w:line="177" w:lineRule="exact"/>
        <w:rPr>
          <w:rFonts w:ascii="Arial" w:cs="Arial" w:eastAsia="Arial" w:hAnsi="Arial"/>
          <w:sz w:val="17"/>
          <w:szCs w:val="17"/>
          <w:color w:val="auto"/>
        </w:rPr>
      </w:pPr>
    </w:p>
    <w:p>
      <w:pPr>
        <w:jc w:val="both"/>
        <w:ind w:left="600" w:hanging="297"/>
        <w:spacing w:after="0" w:line="284"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uses key operating metrics to provide a comparison with industry peers. Two primary components include volume (commonly evaluated using tonnage, tonnage per day, total shipments, shipments per day or weight per shipment) and yield or price (commonly evaluated as picked up revenue, revenue per hundredweight, or revenue per shipment). With the enhanced focus of service and product expansion and the launch of HNRY Logistics in late 2018, our increase in shipments over 10,000 pounds is growing, impacting the year-over-year revenue per hundredweight metrics that we have historically presented for YRC Freight, which includes the results of operations for HNRY Logistics.</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Therefore, the Company has updated its presentation of operating metrics to separately present LTL operating statistics, which represents shipments less than 10,000 pounds. Shipments greater than 10,000 pounds are primarily transported using third-party purchased transportation.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represented 63.9% of consolidated operating revenue for the third quarter of 2019, as compared to 63.1% for the third quarter of 2018. YRC Freight represented 63.3% of consolidated operating revenue for the first three quarters of 2019, as compared to 62.4% for the first three quarters of 2018. The table below provides summary financial information for YRC Freight for the third quarter and first three quarters of 2019 and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Third Quarter</w:t>
            </w: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First Three Quarters</w:t>
            </w:r>
          </w:p>
        </w:tc>
        <w:tc>
          <w:tcPr>
            <w:tcW w:w="1340" w:type="dxa"/>
            <w:vAlign w:val="bottom"/>
            <w:tcBorders>
              <w:bottom w:val="single" w:sz="8" w:color="auto"/>
            </w:tcBorders>
          </w:tcPr>
          <w:p>
            <w:pPr>
              <w:spacing w:after="0"/>
              <w:rPr>
                <w:sz w:val="15"/>
                <w:szCs w:val="15"/>
                <w:color w:val="auto"/>
              </w:rPr>
            </w:pPr>
          </w:p>
        </w:tc>
      </w:tr>
      <w:tr>
        <w:trPr>
          <w:trHeight w:val="244"/>
        </w:trPr>
        <w:tc>
          <w:tcPr>
            <w:tcW w:w="28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Percent Change</w:t>
            </w:r>
          </w:p>
        </w:tc>
        <w:tc>
          <w:tcPr>
            <w:tcW w:w="30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803.2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822.1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7"/>
                <w:szCs w:val="17"/>
                <w:color w:val="auto"/>
              </w:rPr>
              <w:t>(2.3)%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2,347.8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2,401.0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7"/>
                <w:szCs w:val="17"/>
                <w:color w:val="auto"/>
              </w:rPr>
              <w:t>(2.2)%</w:t>
            </w:r>
          </w:p>
        </w:tc>
      </w:tr>
      <w:tr>
        <w:trPr>
          <w:trHeight w:val="226"/>
        </w:trPr>
        <w:tc>
          <w:tcPr>
            <w:tcW w:w="286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31.6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3"/>
              <w:spacing w:after="0"/>
              <w:rPr>
                <w:sz w:val="20"/>
                <w:szCs w:val="20"/>
                <w:color w:val="auto"/>
              </w:rPr>
            </w:pPr>
            <w:r>
              <w:rPr>
                <w:rFonts w:ascii="Arial" w:cs="Arial" w:eastAsia="Arial" w:hAnsi="Arial"/>
                <w:sz w:val="17"/>
                <w:szCs w:val="17"/>
                <w:color w:val="auto"/>
              </w:rPr>
              <w:t>24.7</w:t>
            </w:r>
          </w:p>
        </w:tc>
        <w:tc>
          <w:tcPr>
            <w:tcW w:w="220" w:type="dxa"/>
            <w:vAlign w:val="bottom"/>
          </w:tcPr>
          <w:p>
            <w:pPr>
              <w:spacing w:after="0"/>
              <w:rPr>
                <w:sz w:val="19"/>
                <w:szCs w:val="19"/>
                <w:color w:val="auto"/>
              </w:rPr>
            </w:pPr>
          </w:p>
        </w:tc>
        <w:tc>
          <w:tcPr>
            <w:tcW w:w="1340" w:type="dxa"/>
            <w:vAlign w:val="bottom"/>
          </w:tcPr>
          <w:p>
            <w:pPr>
              <w:jc w:val="right"/>
              <w:ind w:right="360"/>
              <w:spacing w:after="0"/>
              <w:rPr>
                <w:sz w:val="20"/>
                <w:szCs w:val="20"/>
                <w:color w:val="auto"/>
              </w:rPr>
            </w:pPr>
            <w:r>
              <w:rPr>
                <w:rFonts w:ascii="Arial" w:cs="Arial" w:eastAsia="Arial" w:hAnsi="Arial"/>
                <w:sz w:val="17"/>
                <w:szCs w:val="17"/>
                <w:color w:val="auto"/>
              </w:rPr>
              <w:t>27.9%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26.5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auto"/>
              </w:rPr>
              <w:t>44.6</w:t>
            </w:r>
          </w:p>
        </w:tc>
        <w:tc>
          <w:tcPr>
            <w:tcW w:w="220" w:type="dxa"/>
            <w:vAlign w:val="bottom"/>
          </w:tcPr>
          <w:p>
            <w:pPr>
              <w:spacing w:after="0"/>
              <w:rPr>
                <w:sz w:val="19"/>
                <w:szCs w:val="19"/>
                <w:color w:val="auto"/>
              </w:rPr>
            </w:pPr>
          </w:p>
        </w:tc>
        <w:tc>
          <w:tcPr>
            <w:tcW w:w="1340" w:type="dxa"/>
            <w:vAlign w:val="bottom"/>
          </w:tcPr>
          <w:p>
            <w:pPr>
              <w:jc w:val="right"/>
              <w:ind w:right="320"/>
              <w:spacing w:after="0"/>
              <w:rPr>
                <w:sz w:val="20"/>
                <w:szCs w:val="20"/>
                <w:color w:val="auto"/>
              </w:rPr>
            </w:pPr>
            <w:r>
              <w:rPr>
                <w:rFonts w:ascii="Arial" w:cs="Arial" w:eastAsia="Arial" w:hAnsi="Arial"/>
                <w:sz w:val="17"/>
                <w:szCs w:val="17"/>
                <w:color w:val="auto"/>
              </w:rPr>
              <w:t>(40.6)%</w:t>
            </w:r>
          </w:p>
        </w:tc>
      </w:tr>
      <w:tr>
        <w:trPr>
          <w:trHeight w:val="271"/>
        </w:trPr>
        <w:tc>
          <w:tcPr>
            <w:tcW w:w="286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97.0%</w:t>
            </w:r>
          </w:p>
        </w:tc>
        <w:tc>
          <w:tcPr>
            <w:tcW w:w="220" w:type="dxa"/>
            <w:vAlign w:val="bottom"/>
          </w:tcPr>
          <w:p>
            <w:pPr>
              <w:spacing w:after="0"/>
              <w:rPr>
                <w:sz w:val="23"/>
                <w:szCs w:val="23"/>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0.9 pp</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98.1%</w:t>
            </w:r>
          </w:p>
        </w:tc>
        <w:tc>
          <w:tcPr>
            <w:tcW w:w="2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(0.8)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56145"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160020"/>
                    </a:xfrm>
                    <a:prstGeom prst="rect">
                      <a:avLst/>
                    </a:prstGeom>
                    <a:noFill/>
                  </pic:spPr>
                </pic:pic>
              </a:graphicData>
            </a:graphic>
          </wp:anchor>
        </w:drawing>
      </w: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2019 Compared to the Third Quarter of 2018</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$803.2 million in the third quarter of 2019, a decrease of $18.9 million, or 2.3%, compared to the same period in 2018. The decrease in revenue is primarily attributed to a decrease in tonnage and fuel surcharge revenue, partially offset by an improvement in base LTL yield, excluding fuel surcharge. The table below summarizes the key revenue metrics for the YRC Freight reporting segment for the third quarter of 2019 compared to the third quarter of 2018: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3"/>
                <w:szCs w:val="13"/>
                <w:b w:val="1"/>
                <w:bCs w:val="1"/>
                <w:color w:val="auto"/>
              </w:rPr>
              <w:t>Third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740.2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752.2</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1,230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1,270</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(3.2)%</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19.36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20.17</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2,444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2,513</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(2.7)%</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38.49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39.88</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30.10</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29.61</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1.7 %</w:t>
            </w:r>
          </w:p>
        </w:tc>
      </w:tr>
      <w:tr>
        <w:trPr>
          <w:trHeight w:val="26"/>
        </w:trPr>
        <w:tc>
          <w:tcPr>
            <w:tcW w:w="5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 surcharge) $</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26.59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25.87</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2.8 %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299</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1.2 %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LTL picked up revenue per shipment (excluding fuel surcharge)</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2.3 %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1,006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1,011</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(0.5)%</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2"/>
        </w:trPr>
        <w:tc>
          <w:tcPr>
            <w:tcW w:w="47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52"/>
        </w:trPr>
        <w:tc>
          <w:tcPr>
            <w:tcW w:w="476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794.7</w:t>
            </w:r>
          </w:p>
        </w:tc>
        <w:tc>
          <w:tcPr>
            <w:tcW w:w="120" w:type="dxa"/>
            <w:vAlign w:val="bottom"/>
          </w:tcPr>
          <w:p>
            <w:pPr>
              <w:spacing w:after="0"/>
              <w:rPr>
                <w:sz w:val="21"/>
                <w:szCs w:val="21"/>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805.0</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(1.3)%</w:t>
            </w: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1,571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1,541</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2.0 %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24.75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24.46</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1.2 %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2,483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2,547</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39.10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40.43</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(3.3)%</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25.29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26.11</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r>
      <w:tr>
        <w:trPr>
          <w:trHeight w:val="214"/>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22.41</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22.85</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(1.9)%</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1.3 %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277</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2.6 %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1,266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1,210</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4.6 %</w:t>
            </w:r>
          </w:p>
        </w:tc>
      </w:tr>
      <w:tr>
        <w:trPr>
          <w:trHeight w:val="574"/>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Third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39"/>
        </w:trPr>
        <w:tc>
          <w:tcPr>
            <w:tcW w:w="4760" w:type="dxa"/>
            <w:vAlign w:val="bottom"/>
          </w:tcPr>
          <w:p>
            <w:pPr>
              <w:ind w:left="74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74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9"/>
              </w:rPr>
              <w:t>2018</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803.2</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822.1</w:t>
            </w:r>
          </w:p>
        </w:tc>
      </w:tr>
      <w:tr>
        <w:trPr>
          <w:trHeight w:val="257"/>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794.7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8255</wp:posOffset>
            </wp:positionV>
            <wp:extent cx="1574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20"/>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-290195</wp:posOffset>
            </wp:positionV>
            <wp:extent cx="1574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YRC Freight was $31.6 million in the third quarter of 2019 compared to operating income of $24.7 million in the third quarter of 2018. Operating expenses decreased $25.8 million, or 3.2%, primarily due to decreases in purchased transportation expense and fuel, operating expenses and supplies. These decreases were partially offset by increased salaries, wages and employee benefits.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Salaries, wages and employee benefits. </w:t>
      </w:r>
      <w:r>
        <w:rPr>
          <w:rFonts w:ascii="Arial" w:cs="Arial" w:eastAsia="Arial" w:hAnsi="Arial"/>
          <w:sz w:val="15"/>
          <w:szCs w:val="15"/>
          <w:color w:val="auto"/>
        </w:rPr>
        <w:t>Salaries, wages and employee benefits increased $5.7 million, or 1.3%, primarily due to a $6.0 million increase in benefits costs</w:t>
      </w:r>
      <w:r>
        <w:rPr>
          <w:rFonts w:ascii="Arial" w:cs="Arial" w:eastAsia="Arial" w:hAnsi="Arial"/>
          <w:sz w:val="15"/>
          <w:szCs w:val="15"/>
          <w:i w:val="1"/>
          <w:iCs w:val="1"/>
          <w:color w:val="auto"/>
        </w:rPr>
        <w:t xml:space="preserve"> </w:t>
      </w:r>
      <w:r>
        <w:rPr>
          <w:rFonts w:ascii="Arial" w:cs="Arial" w:eastAsia="Arial" w:hAnsi="Arial"/>
          <w:sz w:val="15"/>
          <w:szCs w:val="15"/>
          <w:color w:val="auto"/>
        </w:rPr>
        <w:t>and a $3.3 million increase in wage expense as a result of higher contractual rates due to the New NMFA, partially offset by a decrease in tonnage that reduced the number of hours needed to process freight. These increases were offset by a $2.6 million decrease in short-term incentive compensation expense.</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decreased $9.2 million, or 6.3%, primarily due to an $8.6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lower fuel prices and fewer miles driven.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decreased $18.4 million, or 12.7%, primarily due to a $13.3 million decrease in rail purchased transportation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due to reduced shipping volumes and a $4.4 million decrease from reduced usage of local purchased transportation.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$5.0 million, or 12.8%, primarily due to a $3.6 million decrease in third-party liability claims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due to an unfavorable adjustment recorded in 2018 with no similar adjustment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2019 Compared to the First Three Quarters of 2018</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$2,347.8 million in the first three quarters of 2019, a decrease of $53.2 million, or 2.2%, compared to the same period in 2018. The decrease in revenue is primarily attributed to a decrease in tonnage and fuel surcharge revenue, partially offset by an improvement in base yield, excluding fuel surcharge. The table below summarizes the key revenue metrics for the YRC Freight reporting segment for the first three quarters of 2019 compared to the first three quarters of 2018: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ind w:left="320"/>
              <w:spacing w:after="0"/>
              <w:rPr>
                <w:sz w:val="20"/>
                <w:szCs w:val="20"/>
                <w:color w:val="auto"/>
              </w:rPr>
            </w:pPr>
            <w:r>
              <w:rPr>
                <w:rFonts w:ascii="Arial" w:cs="Arial" w:eastAsia="Arial" w:hAnsi="Arial"/>
                <w:sz w:val="13"/>
                <w:szCs w:val="13"/>
                <w:b w:val="1"/>
                <w:bCs w:val="1"/>
                <w:color w:val="auto"/>
              </w:rPr>
              <w:t>First Three Quarters</w:t>
            </w:r>
          </w:p>
        </w:tc>
        <w:tc>
          <w:tcPr>
            <w:tcW w:w="1300" w:type="dxa"/>
            <w:vAlign w:val="bottom"/>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2,216.4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(2.2)%</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3,833</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(5.8)%</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7,558</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(4.5)%</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(4.3)%</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28.91</w:t>
            </w:r>
          </w:p>
        </w:tc>
        <w:tc>
          <w:tcPr>
            <w:tcW w:w="100" w:type="dxa"/>
            <w:vAlign w:val="bottom"/>
          </w:tcPr>
          <w:p>
            <w:pPr>
              <w:spacing w:after="0"/>
              <w:rPr>
                <w:sz w:val="19"/>
                <w:szCs w:val="19"/>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3.8 %</w:t>
            </w:r>
          </w:p>
        </w:tc>
      </w:tr>
      <w:tr>
        <w:trPr>
          <w:trHeight w:val="26"/>
        </w:trPr>
        <w:tc>
          <w:tcPr>
            <w:tcW w:w="50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2"/>
              </w:rPr>
              <w:t>LTL picked up revenue per hundred weight (excluding fuel surcharge)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4.4 %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9"/>
                <w:szCs w:val="19"/>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2.4 %</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LTL picked up revenue per shipment (excluding fuel surcharge)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3.1 %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1,014</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(1.3)%</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02"/>
        </w:trPr>
        <w:tc>
          <w:tcPr>
            <w:tcW w:w="4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52"/>
        </w:trPr>
        <w:tc>
          <w:tcPr>
            <w:tcW w:w="476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2,324.2</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2,373.6</w:t>
            </w:r>
          </w:p>
        </w:tc>
        <w:tc>
          <w:tcPr>
            <w:tcW w:w="10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(2.1)%</w:t>
            </w: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4,663</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(2.0)%</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24.48</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(1.8)%</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7,664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(4.4)%</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40.23</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(4.2)%</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 %</w:t>
            </w:r>
          </w:p>
        </w:tc>
      </w:tr>
      <w:tr>
        <w:trPr>
          <w:trHeight w:val="214"/>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surcharge)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22.50</w:t>
            </w:r>
          </w:p>
        </w:tc>
        <w:tc>
          <w:tcPr>
            <w:tcW w:w="1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22.33</w:t>
            </w:r>
          </w:p>
        </w:tc>
        <w:tc>
          <w:tcPr>
            <w:tcW w:w="100" w:type="dxa"/>
            <w:vAlign w:val="bottom"/>
          </w:tcPr>
          <w:p>
            <w:pPr>
              <w:spacing w:after="0"/>
              <w:rPr>
                <w:sz w:val="18"/>
                <w:szCs w:val="18"/>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0.8 %</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2.5 %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9"/>
                <w:szCs w:val="19"/>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3.3 %</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2.5 %</w:t>
            </w:r>
          </w:p>
        </w:tc>
      </w:tr>
      <w:tr>
        <w:trPr>
          <w:trHeight w:val="629"/>
        </w:trPr>
        <w:tc>
          <w:tcPr>
            <w:tcW w:w="4760" w:type="dxa"/>
            <w:vAlign w:val="bottom"/>
          </w:tcPr>
          <w:p>
            <w:pPr>
              <w:ind w:left="4200"/>
              <w:spacing w:after="0"/>
              <w:rPr>
                <w:sz w:val="20"/>
                <w:szCs w:val="20"/>
                <w:color w:val="auto"/>
              </w:rPr>
            </w:pPr>
            <w:r>
              <w:rPr>
                <w:rFonts w:ascii="Arial" w:cs="Arial" w:eastAsia="Arial" w:hAnsi="Arial"/>
                <w:sz w:val="17"/>
                <w:szCs w:val="17"/>
                <w:color w:val="auto"/>
              </w:rPr>
              <w:t>28</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7440"/>
        <w:spacing w:after="0"/>
        <w:rPr>
          <w:sz w:val="20"/>
          <w:szCs w:val="20"/>
          <w:color w:val="auto"/>
        </w:rPr>
      </w:pPr>
      <w:r>
        <w:rPr>
          <w:rFonts w:ascii="Arial" w:cs="Arial" w:eastAsia="Arial" w:hAnsi="Arial"/>
          <w:sz w:val="13"/>
          <w:szCs w:val="13"/>
          <w:b w:val="1"/>
          <w:bCs w:val="1"/>
          <w:color w:val="auto"/>
        </w:rPr>
        <w:t>First Three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21590</wp:posOffset>
            </wp:positionV>
            <wp:extent cx="1582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95" w:lineRule="exact"/>
        <w:rPr>
          <w:sz w:val="20"/>
          <w:szCs w:val="20"/>
          <w:color w:val="auto"/>
        </w:rPr>
      </w:pPr>
    </w:p>
    <w:tbl>
      <w:tblPr>
        <w:tblLayout w:type="fixed"/>
        <w:tblInd w:w="2180" w:type="dxa"/>
        <w:tblCellMar>
          <w:top w:w="0" w:type="dxa"/>
          <w:left w:w="0" w:type="dxa"/>
          <w:bottom w:w="0" w:type="dxa"/>
          <w:right w:w="0" w:type="dxa"/>
        </w:tblCellMar>
      </w:tblPr>
      <w:tr>
        <w:trPr>
          <w:trHeight w:val="174"/>
        </w:trPr>
        <w:tc>
          <w:tcPr>
            <w:tcW w:w="28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980" w:type="dxa"/>
            <w:vAlign w:val="bottom"/>
          </w:tcPr>
          <w:p>
            <w:pPr>
              <w:jc w:val="right"/>
              <w:ind w:right="453"/>
              <w:spacing w:after="0"/>
              <w:rPr>
                <w:sz w:val="20"/>
                <w:szCs w:val="20"/>
                <w:color w:val="auto"/>
              </w:rPr>
            </w:pPr>
            <w:r>
              <w:rPr>
                <w:rFonts w:ascii="Arial" w:cs="Arial" w:eastAsia="Arial" w:hAnsi="Arial"/>
                <w:sz w:val="13"/>
                <w:szCs w:val="13"/>
                <w:b w:val="1"/>
                <w:bCs w:val="1"/>
                <w:color w:val="auto"/>
              </w:rPr>
              <w:t>2019</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2,347.8</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2,401.0</w:t>
            </w:r>
          </w:p>
        </w:tc>
      </w:tr>
      <w:tr>
        <w:trPr>
          <w:trHeight w:val="257"/>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2,324.2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8255</wp:posOffset>
            </wp:positionV>
            <wp:extent cx="1582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-290195</wp:posOffset>
            </wp:positionV>
            <wp:extent cx="1582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YRC Freight was $26.5 million in the first three quarters of 2019 compared to operating income of $44.6 million in the first three quarters of 2018. Operating expenses decreased $35.1 million, or 1.5%, primarily due to a decrease in purchased transportation expense and fuel, operating expenses and supplies. These decreases were partially offset by increased salaries, wages and employee benefits.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$20.9 million, or 1.6%, primarily due to a $23.1 million increase in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costs which was largely driven by a $13.9 million increase in union vacation expense due to restoration of benefits from the passage of the New NMFA, and a $4.5 million increase in salaries expense. These increases were partially offset by a $3.3 million reduction in short-term incentive compensation and a $1.7 million decrease in wage expense as a result of an increase in contractual wage rates due to the New NMFA, which was more than offset by a decrease in tonnage that reduced the number of hours needed to process freight.</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decreased $19.2 million, or 4.3%, primarily due to an $18.4 million decrease in fuel</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which was largely driven by fewer miles driven and lower prices.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decreased $36.5 million, or 9.1%, primarily due to a $38.6 million decrease in rail and over-the-road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expense as a result of reduced shipping volumes and a $10.6 million decrease from reduced usage of local purchased transportation and short-term equipment rentals. Purchased transportation expense also includes a $10.4 million increase in third-party costs for customer-specific logistics solutions and a $7.5 million increase in long-term equipment rentals in conjunction with the Company’s leasing strategy to reinvest in its fleet.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$4.4 million, or 4.0%, primarily due to a $3.1 million decrease in cargo claims expense.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$2.0 million in the first three quarters of 2019 primarily as a result of a deferred gain</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from changes in contractual lease terms, partially offset by losses on the disposal of revenue equipment, compared to a $6.2 million loss in the first three quarters of 2018, primarily due to losses on the disposal of revenue equipment.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Impairment charges. </w:t>
      </w:r>
      <w:r>
        <w:rPr>
          <w:rFonts w:ascii="Arial" w:cs="Arial" w:eastAsia="Arial" w:hAnsi="Arial"/>
          <w:sz w:val="17"/>
          <w:szCs w:val="17"/>
          <w:color w:val="auto"/>
        </w:rPr>
        <w:t>During the first quarter of 2019 an $8.2 million impairment charge was recorded that reflects the write-down of an intangible asset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rebranding strategies, leading to discontinued use of a tradename.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Regional Transportation represented 36.1% of consolidated operating revenue for the third quarter of 2019, as compared to 36.9% for the third quarter of 2018. Regional Transportation represented 36.7% of consolidated operating revenue for the first three quarters of 2019, as compared to 37.6% for the first three quarters of 2018. The table below provides summary financial information for Regional Transportation for the third quarter and first three quarters of 2019 and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Third Quarter</w:t>
            </w: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First Three Quarters</w:t>
            </w:r>
          </w:p>
        </w:tc>
        <w:tc>
          <w:tcPr>
            <w:tcW w:w="1360" w:type="dxa"/>
            <w:vAlign w:val="bottom"/>
            <w:tcBorders>
              <w:bottom w:val="single" w:sz="8" w:color="auto"/>
            </w:tcBorders>
          </w:tcPr>
          <w:p>
            <w:pPr>
              <w:spacing w:after="0"/>
              <w:rPr>
                <w:sz w:val="15"/>
                <w:szCs w:val="15"/>
                <w:color w:val="auto"/>
              </w:rPr>
            </w:pPr>
          </w:p>
        </w:tc>
      </w:tr>
      <w:tr>
        <w:trPr>
          <w:trHeight w:val="244"/>
        </w:trPr>
        <w:tc>
          <w:tcPr>
            <w:tcW w:w="28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1"/>
                <w:szCs w:val="21"/>
                <w:color w:val="auto"/>
              </w:rPr>
            </w:pPr>
          </w:p>
        </w:tc>
        <w:tc>
          <w:tcPr>
            <w:tcW w:w="880" w:type="dxa"/>
            <w:vAlign w:val="bottom"/>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Percent Change</w:t>
            </w:r>
          </w:p>
        </w:tc>
        <w:tc>
          <w:tcPr>
            <w:tcW w:w="280" w:type="dxa"/>
            <w:vAlign w:val="bottom"/>
          </w:tcPr>
          <w:p>
            <w:pPr>
              <w:spacing w:after="0"/>
              <w:rPr>
                <w:sz w:val="21"/>
                <w:szCs w:val="21"/>
                <w:color w:val="auto"/>
              </w:rPr>
            </w:pPr>
          </w:p>
        </w:tc>
        <w:tc>
          <w:tcPr>
            <w:tcW w:w="900" w:type="dxa"/>
            <w:vAlign w:val="bottom"/>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Percent Change</w:t>
            </w:r>
          </w:p>
        </w:tc>
      </w:tr>
      <w:tr>
        <w:trPr>
          <w:trHeight w:val="229"/>
        </w:trPr>
        <w:tc>
          <w:tcPr>
            <w:tcW w:w="2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453.6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481.5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7"/>
                <w:szCs w:val="17"/>
                <w:color w:val="auto"/>
              </w:rPr>
              <w:t>(5.8) %</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1,364.0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1,443.8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jc w:val="right"/>
              <w:ind w:right="380"/>
              <w:spacing w:after="0"/>
              <w:rPr>
                <w:sz w:val="20"/>
                <w:szCs w:val="20"/>
                <w:color w:val="auto"/>
              </w:rPr>
            </w:pPr>
            <w:r>
              <w:rPr>
                <w:rFonts w:ascii="Arial" w:cs="Arial" w:eastAsia="Arial" w:hAnsi="Arial"/>
                <w:sz w:val="17"/>
                <w:szCs w:val="17"/>
                <w:color w:val="auto"/>
              </w:rPr>
              <w:t>(5.5)%</w:t>
            </w:r>
          </w:p>
        </w:tc>
      </w:tr>
      <w:tr>
        <w:trPr>
          <w:trHeight w:val="226"/>
        </w:trPr>
        <w:tc>
          <w:tcPr>
            <w:tcW w:w="284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7"/>
                <w:szCs w:val="17"/>
                <w:color w:val="auto"/>
              </w:rPr>
              <w:t>18.4</w:t>
            </w:r>
          </w:p>
        </w:tc>
        <w:tc>
          <w:tcPr>
            <w:tcW w:w="220" w:type="dxa"/>
            <w:vAlign w:val="bottom"/>
          </w:tcPr>
          <w:p>
            <w:pPr>
              <w:spacing w:after="0"/>
              <w:rPr>
                <w:sz w:val="19"/>
                <w:szCs w:val="19"/>
                <w:color w:val="auto"/>
              </w:rPr>
            </w:pPr>
          </w:p>
        </w:tc>
        <w:tc>
          <w:tcPr>
            <w:tcW w:w="1340" w:type="dxa"/>
            <w:vAlign w:val="bottom"/>
          </w:tcPr>
          <w:p>
            <w:pPr>
              <w:jc w:val="right"/>
              <w:ind w:right="259"/>
              <w:spacing w:after="0"/>
              <w:rPr>
                <w:sz w:val="20"/>
                <w:szCs w:val="20"/>
                <w:color w:val="auto"/>
              </w:rPr>
            </w:pPr>
            <w:r>
              <w:rPr>
                <w:rFonts w:ascii="Arial" w:cs="Arial" w:eastAsia="Arial" w:hAnsi="Arial"/>
                <w:sz w:val="17"/>
                <w:szCs w:val="17"/>
                <w:color w:val="auto"/>
              </w:rPr>
              <w:t>(122.3) %</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52.8</w:t>
            </w:r>
          </w:p>
        </w:tc>
        <w:tc>
          <w:tcPr>
            <w:tcW w:w="220" w:type="dxa"/>
            <w:vAlign w:val="bottom"/>
          </w:tcPr>
          <w:p>
            <w:pPr>
              <w:spacing w:after="0"/>
              <w:rPr>
                <w:sz w:val="19"/>
                <w:szCs w:val="19"/>
                <w:color w:val="auto"/>
              </w:rPr>
            </w:pPr>
          </w:p>
        </w:tc>
        <w:tc>
          <w:tcPr>
            <w:tcW w:w="1360" w:type="dxa"/>
            <w:vAlign w:val="bottom"/>
          </w:tcPr>
          <w:p>
            <w:pPr>
              <w:jc w:val="right"/>
              <w:ind w:right="300"/>
              <w:spacing w:after="0"/>
              <w:rPr>
                <w:sz w:val="20"/>
                <w:szCs w:val="20"/>
                <w:color w:val="auto"/>
              </w:rPr>
            </w:pPr>
            <w:r>
              <w:rPr>
                <w:rFonts w:ascii="Arial" w:cs="Arial" w:eastAsia="Arial" w:hAnsi="Arial"/>
                <w:sz w:val="17"/>
                <w:szCs w:val="17"/>
                <w:color w:val="auto"/>
              </w:rPr>
              <w:t>(116.1)%</w:t>
            </w:r>
          </w:p>
        </w:tc>
      </w:tr>
      <w:tr>
        <w:trPr>
          <w:trHeight w:val="26"/>
        </w:trPr>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2"/>
        </w:trPr>
        <w:tc>
          <w:tcPr>
            <w:tcW w:w="28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2"/>
              </w:rPr>
              <w:t>(4.7) pp</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(4.3) pp</w:t>
            </w:r>
          </w:p>
        </w:tc>
      </w:tr>
      <w:tr>
        <w:trPr>
          <w:trHeight w:val="178"/>
        </w:trPr>
        <w:tc>
          <w:tcPr>
            <w:tcW w:w="2840" w:type="dxa"/>
            <w:vAlign w:val="bottom"/>
          </w:tcPr>
          <w:p>
            <w:pPr>
              <w:spacing w:after="0"/>
              <w:rPr>
                <w:sz w:val="20"/>
                <w:szCs w:val="20"/>
                <w:color w:val="auto"/>
              </w:rPr>
            </w:pPr>
            <w:r>
              <w:rPr>
                <w:rFonts w:ascii="Arial" w:cs="Arial" w:eastAsia="Arial" w:hAnsi="Arial"/>
                <w:sz w:val="13"/>
                <w:szCs w:val="13"/>
                <w:color w:val="auto"/>
                <w:w w:val="98"/>
              </w:rPr>
              <w:t>(a) pp represents the change in percentage points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450"/>
        </w:trPr>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1079"/>
              <w:spacing w:after="0"/>
              <w:rPr>
                <w:sz w:val="20"/>
                <w:szCs w:val="20"/>
                <w:color w:val="auto"/>
              </w:rPr>
            </w:pPr>
            <w:r>
              <w:rPr>
                <w:rFonts w:ascii="Arial" w:cs="Arial" w:eastAsia="Arial" w:hAnsi="Arial"/>
                <w:sz w:val="17"/>
                <w:szCs w:val="17"/>
                <w:color w:val="auto"/>
                <w:w w:val="84"/>
              </w:rPr>
              <w:t>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2019 Compared to the Third Quarter of 2018</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$453.6 million for the third quarter of 2019, a decrease of $27.9 million, or 5.8%, from the third quarter of 2018. The decrease in revenue is primarily attributed to a decrease in tonnage and fuel surcharge revenue, partially offset by an improvement in base yield, excluding fuel surcharge. The table below summarizes the key revenue metrics for the Regional Transportation reporting segment for the third quarter of 2019 compared to the third quarter of 2018: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3"/>
                <w:szCs w:val="13"/>
                <w:b w:val="1"/>
                <w:bCs w:val="1"/>
                <w:color w:val="auto"/>
                <w:w w:val="93"/>
              </w:rPr>
              <w:t>Percent Change</w:t>
            </w:r>
            <w:r>
              <w:rPr>
                <w:rFonts w:ascii="Arial" w:cs="Arial" w:eastAsia="Arial" w:hAnsi="Arial"/>
                <w:sz w:val="8"/>
                <w:szCs w:val="8"/>
                <w:b w:val="1"/>
                <w:bCs w:val="1"/>
                <w:color w:val="auto"/>
                <w:w w:val="93"/>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58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420.9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443.5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(5.1)%</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1,445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(4.4)%</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23.12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(3.6)%</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2,304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(4.7)%</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36.86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38.36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(3.9)%</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580" w:type="dxa"/>
            <w:vAlign w:val="bottom"/>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14.57</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(0.8)%</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58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12.89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580" w:type="dxa"/>
            <w:vAlign w:val="bottom"/>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(0.4)%</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LTL picked up revenue per shipment (excluding fuel surcharge)</w:t>
            </w:r>
          </w:p>
        </w:tc>
        <w:tc>
          <w:tcPr>
            <w:tcW w:w="58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0.3 %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1,254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96"/>
              <w:spacing w:after="0"/>
              <w:rPr>
                <w:sz w:val="20"/>
                <w:szCs w:val="20"/>
                <w:color w:val="auto"/>
              </w:rPr>
            </w:pPr>
            <w:r>
              <w:rPr>
                <w:rFonts w:ascii="Arial" w:cs="Arial" w:eastAsia="Arial" w:hAnsi="Arial"/>
                <w:sz w:val="17"/>
                <w:szCs w:val="17"/>
                <w:color w:val="auto"/>
              </w:rPr>
              <w:t>0.3 %</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02"/>
        </w:trPr>
        <w:tc>
          <w:tcPr>
            <w:tcW w:w="4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2"/>
        </w:trPr>
        <w:tc>
          <w:tcPr>
            <w:tcW w:w="474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580" w:type="dxa"/>
            <w:vAlign w:val="bottom"/>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453.0</w:t>
            </w:r>
          </w:p>
        </w:tc>
        <w:tc>
          <w:tcPr>
            <w:tcW w:w="100" w:type="dxa"/>
            <w:vAlign w:val="bottom"/>
          </w:tcPr>
          <w:p>
            <w:pPr>
              <w:spacing w:after="0"/>
              <w:rPr>
                <w:sz w:val="21"/>
                <w:szCs w:val="21"/>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481.3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(5.9)%</w:t>
            </w: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1,769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1,891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(6.5)%</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28.30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(5.7)%</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2,350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(4.9)%</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37.61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(4.1)%</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58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0.6 %</w:t>
            </w:r>
          </w:p>
        </w:tc>
      </w:tr>
      <w:tr>
        <w:trPr>
          <w:trHeight w:val="214"/>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color w:val="auto"/>
              </w:rPr>
              <w:t>surcharge)</w:t>
            </w:r>
          </w:p>
        </w:tc>
        <w:tc>
          <w:tcPr>
            <w:tcW w:w="580" w:type="dxa"/>
            <w:vAlign w:val="bottom"/>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11.34</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96"/>
              <w:spacing w:after="0"/>
              <w:rPr>
                <w:sz w:val="20"/>
                <w:szCs w:val="20"/>
                <w:color w:val="auto"/>
              </w:rPr>
            </w:pPr>
            <w:r>
              <w:rPr>
                <w:rFonts w:ascii="Arial" w:cs="Arial" w:eastAsia="Arial" w:hAnsi="Arial"/>
                <w:sz w:val="17"/>
                <w:szCs w:val="17"/>
                <w:color w:val="auto"/>
              </w:rPr>
              <w:t>1.4 %</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58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(1.0)%</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580" w:type="dxa"/>
            <w:vAlign w:val="bottom"/>
          </w:tcPr>
          <w:p>
            <w:pPr>
              <w:jc w:val="right"/>
              <w:ind w:right="39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7"/>
                <w:szCs w:val="17"/>
                <w:color w:val="auto"/>
              </w:rPr>
              <w:t>(0.3)%</w:t>
            </w:r>
          </w:p>
        </w:tc>
      </w:tr>
      <w:tr>
        <w:trPr>
          <w:trHeight w:val="26"/>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1,505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(1.7)%</w:t>
            </w:r>
          </w:p>
        </w:tc>
      </w:tr>
      <w:tr>
        <w:trPr>
          <w:trHeight w:val="574"/>
        </w:trPr>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579"/>
              <w:spacing w:after="0"/>
              <w:rPr>
                <w:sz w:val="20"/>
                <w:szCs w:val="20"/>
                <w:color w:val="auto"/>
              </w:rPr>
            </w:pPr>
            <w:r>
              <w:rPr>
                <w:rFonts w:ascii="Arial" w:cs="Arial" w:eastAsia="Arial" w:hAnsi="Arial"/>
                <w:sz w:val="13"/>
                <w:szCs w:val="13"/>
                <w:b w:val="1"/>
                <w:bCs w:val="1"/>
                <w:color w:val="auto"/>
              </w:rPr>
              <w:t>2019</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2018</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6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453.6</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481.5</w:t>
            </w:r>
          </w:p>
        </w:tc>
      </w:tr>
      <w:tr>
        <w:trPr>
          <w:trHeight w:val="257"/>
        </w:trPr>
        <w:tc>
          <w:tcPr>
            <w:tcW w:w="4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453.0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15741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-194310</wp:posOffset>
            </wp:positionV>
            <wp:extent cx="15741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loss for Regional Transportation was $4.1 million for the third quarter of 2019 compared to operating income of $18.4 million for the third quarter of 2018. Operating expenses decreased $5.4 million, or 1.2%, primarily due to a decrease in fuel, operating expenses and supplies and purchased transportation expense. These decreases were partially offset by an increase in salaries, wages and employee benefits.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$5.9 million, or 2.1%, primarily due to a $4.3 million increase in benefits costs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$3.8 million increase in wages which were largely driven by an increase in contractual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wage rates due to the New NMFA, and was partially offset by a decrease in tonnage that reduced the number of hours needed to process freight. Additionally, these increases were partially offset by a $2.1 million decrease in short-term incentive compensation.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decreased $5.5 million, or 5.6%, primarily due to a $6.3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fewer miles driven and lower prices.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decreased $4.4 million, or 11.2%, primarily due to a $5.5 million decrease in over-the-road purchased transportation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as a result of reduced shipping volumes.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$1.5 million, or 5.8%, primarily due to a $1.7 million decrease in third-party liability claims expense largely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improved development of prior year claims during 2019 as compared to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2019 Compared to the First Three Quarters of 2018</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$1,364.0 million for the first three quarters of 2019, a decrease of $79.8 million, or 5.5%, from the first three quarters of 2018. The decrease in revenue is primarily attributed to a decrease in tonnage and fuel surcharge, partially offset by an improvement in base yield, excluding fuel surcharge. The table below summarizes the key revenue metrics for the Regional Transportation reporting segment for the first three quarters of 2019 compared to the first three quarters of 2018: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5"/>
          </w:tcPr>
          <w:p>
            <w:pPr>
              <w:ind w:left="340"/>
              <w:spacing w:after="0"/>
              <w:rPr>
                <w:sz w:val="20"/>
                <w:szCs w:val="20"/>
                <w:color w:val="auto"/>
              </w:rPr>
            </w:pPr>
            <w:r>
              <w:rPr>
                <w:rFonts w:ascii="Arial" w:cs="Arial" w:eastAsia="Arial" w:hAnsi="Arial"/>
                <w:sz w:val="13"/>
                <w:szCs w:val="13"/>
                <w:b w:val="1"/>
                <w:bCs w:val="1"/>
                <w:color w:val="auto"/>
              </w:rPr>
              <w:t>First Three Quarters</w:t>
            </w:r>
          </w:p>
        </w:tc>
        <w:tc>
          <w:tcPr>
            <w:tcW w:w="1320" w:type="dxa"/>
            <w:vAlign w:val="bottom"/>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1,327.5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(4.7)%</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4,612</w:t>
            </w:r>
          </w:p>
        </w:tc>
        <w:tc>
          <w:tcPr>
            <w:tcW w:w="100" w:type="dxa"/>
            <w:vAlign w:val="bottom"/>
          </w:tcPr>
          <w:p>
            <w:pPr>
              <w:spacing w:after="0"/>
              <w:rPr>
                <w:sz w:val="19"/>
                <w:szCs w:val="19"/>
                <w:color w:val="auto"/>
              </w:rPr>
            </w:pPr>
          </w:p>
        </w:tc>
        <w:tc>
          <w:tcPr>
            <w:tcW w:w="1320" w:type="dxa"/>
            <w:vAlign w:val="bottom"/>
          </w:tcPr>
          <w:p>
            <w:pPr>
              <w:jc w:val="right"/>
              <w:ind w:right="77"/>
              <w:spacing w:after="0"/>
              <w:rPr>
                <w:sz w:val="20"/>
                <w:szCs w:val="20"/>
                <w:color w:val="auto"/>
              </w:rPr>
            </w:pPr>
            <w:r>
              <w:rPr>
                <w:rFonts w:ascii="Arial" w:cs="Arial" w:eastAsia="Arial" w:hAnsi="Arial"/>
                <w:sz w:val="17"/>
                <w:szCs w:val="17"/>
                <w:color w:val="auto"/>
              </w:rPr>
              <w:t>(6.1)%</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(5.3)%</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7,335</w:t>
            </w:r>
          </w:p>
        </w:tc>
        <w:tc>
          <w:tcPr>
            <w:tcW w:w="100" w:type="dxa"/>
            <w:vAlign w:val="bottom"/>
          </w:tcPr>
          <w:p>
            <w:pPr>
              <w:spacing w:after="0"/>
              <w:rPr>
                <w:sz w:val="19"/>
                <w:szCs w:val="19"/>
                <w:color w:val="auto"/>
              </w:rPr>
            </w:pPr>
          </w:p>
        </w:tc>
        <w:tc>
          <w:tcPr>
            <w:tcW w:w="1320" w:type="dxa"/>
            <w:vAlign w:val="bottom"/>
          </w:tcPr>
          <w:p>
            <w:pPr>
              <w:jc w:val="right"/>
              <w:ind w:right="77"/>
              <w:spacing w:after="0"/>
              <w:rPr>
                <w:sz w:val="20"/>
                <w:szCs w:val="20"/>
                <w:color w:val="auto"/>
              </w:rPr>
            </w:pPr>
            <w:r>
              <w:rPr>
                <w:rFonts w:ascii="Arial" w:cs="Arial" w:eastAsia="Arial" w:hAnsi="Arial"/>
                <w:sz w:val="17"/>
                <w:szCs w:val="17"/>
                <w:color w:val="auto"/>
              </w:rPr>
              <w:t>(6.2)%</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(5.5)%</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14.60</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Pr>
          <w:p>
            <w:pPr>
              <w:spacing w:after="0"/>
              <w:rPr>
                <w:sz w:val="19"/>
                <w:szCs w:val="19"/>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color w:val="auto"/>
              </w:rPr>
              <w:t>1.4 %</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1.9 %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color w:val="auto"/>
              </w:rPr>
              <w:t>1.6 %</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LTL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2.1 %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19"/>
                <w:szCs w:val="19"/>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color w:val="auto"/>
              </w:rPr>
              <w:t>0.1 %</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02"/>
        </w:trPr>
        <w:tc>
          <w:tcPr>
            <w:tcW w:w="4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52"/>
        </w:trPr>
        <w:tc>
          <w:tcPr>
            <w:tcW w:w="474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1,364.0</w:t>
            </w:r>
          </w:p>
        </w:tc>
        <w:tc>
          <w:tcPr>
            <w:tcW w:w="10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1,445.1</w:t>
            </w:r>
          </w:p>
        </w:tc>
        <w:tc>
          <w:tcPr>
            <w:tcW w:w="10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7"/>
                <w:szCs w:val="17"/>
                <w:color w:val="auto"/>
              </w:rPr>
              <w:t>(5.6)%</w:t>
            </w: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(8.2)%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30.48</w:t>
            </w:r>
          </w:p>
        </w:tc>
        <w:tc>
          <w:tcPr>
            <w:tcW w:w="100" w:type="dxa"/>
            <w:vAlign w:val="bottom"/>
          </w:tcPr>
          <w:p>
            <w:pPr>
              <w:spacing w:after="0"/>
              <w:rPr>
                <w:sz w:val="19"/>
                <w:szCs w:val="19"/>
                <w:color w:val="auto"/>
              </w:rPr>
            </w:pPr>
          </w:p>
        </w:tc>
        <w:tc>
          <w:tcPr>
            <w:tcW w:w="1320" w:type="dxa"/>
            <w:vAlign w:val="bottom"/>
          </w:tcPr>
          <w:p>
            <w:pPr>
              <w:jc w:val="right"/>
              <w:ind w:right="77"/>
              <w:spacing w:after="0"/>
              <w:rPr>
                <w:sz w:val="20"/>
                <w:szCs w:val="20"/>
                <w:color w:val="auto"/>
              </w:rPr>
            </w:pPr>
            <w:r>
              <w:rPr>
                <w:rFonts w:ascii="Arial" w:cs="Arial" w:eastAsia="Arial" w:hAnsi="Arial"/>
                <w:sz w:val="17"/>
                <w:szCs w:val="17"/>
                <w:color w:val="auto"/>
              </w:rPr>
              <w:t>(7.4)%</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(6.4)%</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39.40</w:t>
            </w:r>
          </w:p>
        </w:tc>
        <w:tc>
          <w:tcPr>
            <w:tcW w:w="100" w:type="dxa"/>
            <w:vAlign w:val="bottom"/>
          </w:tcPr>
          <w:p>
            <w:pPr>
              <w:spacing w:after="0"/>
              <w:rPr>
                <w:sz w:val="19"/>
                <w:szCs w:val="19"/>
                <w:color w:val="auto"/>
              </w:rPr>
            </w:pPr>
          </w:p>
        </w:tc>
        <w:tc>
          <w:tcPr>
            <w:tcW w:w="1320" w:type="dxa"/>
            <w:vAlign w:val="bottom"/>
          </w:tcPr>
          <w:p>
            <w:pPr>
              <w:jc w:val="right"/>
              <w:ind w:right="77"/>
              <w:spacing w:after="0"/>
              <w:rPr>
                <w:sz w:val="20"/>
                <w:szCs w:val="20"/>
                <w:color w:val="auto"/>
              </w:rPr>
            </w:pPr>
            <w:r>
              <w:rPr>
                <w:rFonts w:ascii="Arial" w:cs="Arial" w:eastAsia="Arial" w:hAnsi="Arial"/>
                <w:sz w:val="17"/>
                <w:szCs w:val="17"/>
                <w:color w:val="auto"/>
              </w:rPr>
              <w:t>(5.7)%</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2.8 %</w:t>
            </w:r>
          </w:p>
        </w:tc>
      </w:tr>
      <w:tr>
        <w:trPr>
          <w:trHeight w:val="214"/>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color w:val="auto"/>
              </w:rPr>
              <w:t>surcharge)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11.31</w:t>
            </w:r>
          </w:p>
        </w:tc>
        <w:tc>
          <w:tcPr>
            <w:tcW w:w="10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10.96</w:t>
            </w:r>
          </w:p>
        </w:tc>
        <w:tc>
          <w:tcPr>
            <w:tcW w:w="100" w:type="dxa"/>
            <w:vAlign w:val="bottom"/>
          </w:tcPr>
          <w:p>
            <w:pPr>
              <w:spacing w:after="0"/>
              <w:rPr>
                <w:sz w:val="18"/>
                <w:szCs w:val="18"/>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color w:val="auto"/>
              </w:rPr>
              <w:t>3.3 %</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0.9 %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9"/>
                <w:szCs w:val="19"/>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color w:val="auto"/>
              </w:rPr>
              <w:t>1.3 %</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(1.9)%</w:t>
            </w:r>
          </w:p>
        </w:tc>
      </w:tr>
      <w:tr>
        <w:trPr>
          <w:trHeight w:val="428"/>
        </w:trPr>
        <w:tc>
          <w:tcPr>
            <w:tcW w:w="4740" w:type="dxa"/>
            <w:vAlign w:val="bottom"/>
          </w:tcPr>
          <w:p>
            <w:pPr>
              <w:ind w:left="4200"/>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3"/>
          <w:szCs w:val="13"/>
          <w:b w:val="1"/>
          <w:bCs w:val="1"/>
          <w:color w:val="auto"/>
        </w:rPr>
        <w:t>First Three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21590</wp:posOffset>
            </wp:positionV>
            <wp:extent cx="1534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95" w:lineRule="exact"/>
        <w:rPr>
          <w:sz w:val="20"/>
          <w:szCs w:val="20"/>
          <w:color w:val="auto"/>
        </w:rPr>
      </w:pPr>
    </w:p>
    <w:tbl>
      <w:tblPr>
        <w:tblLayout w:type="fixed"/>
        <w:tblInd w:w="2220" w:type="dxa"/>
        <w:tblCellMar>
          <w:top w:w="0" w:type="dxa"/>
          <w:left w:w="0" w:type="dxa"/>
          <w:bottom w:w="0" w:type="dxa"/>
          <w:right w:w="0" w:type="dxa"/>
        </w:tblCellMar>
      </w:tblPr>
      <w:tr>
        <w:trPr>
          <w:trHeight w:val="174"/>
        </w:trPr>
        <w:tc>
          <w:tcPr>
            <w:tcW w:w="28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940" w:type="dxa"/>
            <w:vAlign w:val="bottom"/>
          </w:tcPr>
          <w:p>
            <w:pPr>
              <w:jc w:val="right"/>
              <w:ind w:right="433"/>
              <w:spacing w:after="0"/>
              <w:rPr>
                <w:sz w:val="20"/>
                <w:szCs w:val="20"/>
                <w:color w:val="auto"/>
              </w:rPr>
            </w:pPr>
            <w:r>
              <w:rPr>
                <w:rFonts w:ascii="Arial" w:cs="Arial" w:eastAsia="Arial" w:hAnsi="Arial"/>
                <w:sz w:val="13"/>
                <w:szCs w:val="13"/>
                <w:b w:val="1"/>
                <w:bCs w:val="1"/>
                <w:color w:val="auto"/>
              </w:rPr>
              <w:t>2019</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1,364.0</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1,443.8</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loss for Regional Transportation was $8.5 million for the first three quarters of 2019 compared to operating income of $52.8 million for the first three quarters of 2018. Operating expenses decreased $18.5 million, or 1.3%, primarily due to a decrease in purchased transportation expense and fuel, operating expenses and supplies. These decreases were partially offset by an increase in salaries, wages and employee benefits.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$13.9 million, or 1.6%, primarily due to an $11.6 million increase in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costs which was largely driven by a $7.4 million increase in union vacation expense due to restoration of benefits from the passage of the New NMFA, a $5.3 million increase in workers’ compensation expense, and a $2.0 million increase in salaries expense. These increases were partially offset by a $5.0 million decrease in short-term incentive compensation and flat wage expense which is a result of an increase in contractual wage rates due to the New NMFA, offset by a decrease in tonnage that reduced the number of hours needed to process freight.</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decreased $12.0 million, or 4.0%, primarily due to a $12.6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fewer miles driven and lower prices.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decreased $14.6 million, or 12.6%, primarily due to a $13.7 million decrease in over-the-road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expense due to reduced shipping volumes.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$3.9 million, or 5.1%, primarily due to a $2.5 million decrease in third-party liability claims expense largely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favorable development of prior year claims, and a $1.3 million decrease in operating taxes as a result of fewer miles driven.</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(Gains)/losses on property disposals</w:t>
      </w:r>
      <w:r>
        <w:rPr>
          <w:rFonts w:ascii="Arial" w:cs="Arial" w:eastAsia="Arial" w:hAnsi="Arial"/>
          <w:sz w:val="16"/>
          <w:szCs w:val="16"/>
          <w:color w:val="auto"/>
        </w:rPr>
        <w:t>. Net gains on disposals of property were $1.6 million in 2019 as a result of gains on the sale of real property, partially offset by</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on the disposal of revenue equipment, as compared to net losses of $1.1 million in 2018, primarily due to losses on the disposal of revenue equipment.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reconciliation of net income (loss) to EBITDA and EBITDA to Adjusted EBITDA (defined in our New Term Loan Agreement as “Consolidated EBITDA”) for the third quarter and first three quarters of 2019 and 2018, and the trailing twelve months ended September 30, 2019 and 2018,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ind w:left="200"/>
              <w:spacing w:after="0"/>
              <w:rPr>
                <w:sz w:val="20"/>
                <w:szCs w:val="20"/>
                <w:color w:val="auto"/>
              </w:rPr>
            </w:pPr>
            <w:r>
              <w:rPr>
                <w:rFonts w:ascii="Arial" w:cs="Arial" w:eastAsia="Arial" w:hAnsi="Arial"/>
                <w:sz w:val="13"/>
                <w:szCs w:val="13"/>
                <w:b w:val="1"/>
                <w:bCs w:val="1"/>
                <w:color w:val="auto"/>
              </w:rPr>
              <w:t>First Three Quarters</w:t>
            </w:r>
          </w:p>
        </w:tc>
        <w:tc>
          <w:tcPr>
            <w:tcW w:w="300" w:type="dxa"/>
            <w:vAlign w:val="bottom"/>
          </w:tcPr>
          <w:p>
            <w:pPr>
              <w:spacing w:after="0"/>
              <w:rPr>
                <w:sz w:val="15"/>
                <w:szCs w:val="15"/>
                <w:color w:val="auto"/>
              </w:rPr>
            </w:pPr>
          </w:p>
        </w:tc>
        <w:tc>
          <w:tcPr>
            <w:tcW w:w="2420" w:type="dxa"/>
            <w:vAlign w:val="bottom"/>
            <w:gridSpan w:val="4"/>
          </w:tcPr>
          <w:p>
            <w:pPr>
              <w:jc w:val="right"/>
              <w:ind w:right="376"/>
              <w:spacing w:after="0"/>
              <w:rPr>
                <w:sz w:val="20"/>
                <w:szCs w:val="20"/>
                <w:color w:val="auto"/>
              </w:rPr>
            </w:pPr>
            <w:r>
              <w:rPr>
                <w:rFonts w:ascii="Arial" w:cs="Arial" w:eastAsia="Arial" w:hAnsi="Arial"/>
                <w:sz w:val="13"/>
                <w:szCs w:val="13"/>
                <w:b w:val="1"/>
                <w:bCs w:val="1"/>
                <w:color w:val="auto"/>
              </w:rPr>
              <w:t>Trailing Twelve Months Ended</w:t>
            </w:r>
          </w:p>
        </w:tc>
        <w:tc>
          <w:tcPr>
            <w:tcW w:w="0" w:type="dxa"/>
            <w:vAlign w:val="bottom"/>
          </w:tcPr>
          <w:p>
            <w:pPr>
              <w:spacing w:after="0"/>
              <w:rPr>
                <w:sz w:val="1"/>
                <w:szCs w:val="1"/>
                <w:color w:val="auto"/>
              </w:rPr>
            </w:pPr>
          </w:p>
        </w:tc>
      </w:tr>
      <w:tr>
        <w:trPr>
          <w:trHeight w:val="244"/>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89"/>
              </w:rPr>
              <w:t>2018</w:t>
            </w: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480" w:type="dxa"/>
            <w:vAlign w:val="bottom"/>
            <w:tcBorders>
              <w:top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September 30, 2019</w:t>
            </w: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September 30, 2018</w:t>
            </w:r>
          </w:p>
        </w:tc>
        <w:tc>
          <w:tcPr>
            <w:tcW w:w="0" w:type="dxa"/>
            <w:vAlign w:val="bottom"/>
          </w:tcPr>
          <w:p>
            <w:pPr>
              <w:spacing w:after="0"/>
              <w:rPr>
                <w:sz w:val="1"/>
                <w:szCs w:val="1"/>
                <w:color w:val="auto"/>
              </w:rPr>
            </w:pPr>
          </w:p>
        </w:tc>
      </w:tr>
      <w:tr>
        <w:trPr>
          <w:trHeight w:val="249"/>
        </w:trPr>
        <w:tc>
          <w:tcPr>
            <w:tcW w:w="4120" w:type="dxa"/>
            <w:vAlign w:val="bottom"/>
            <w:tcBorders>
              <w:top w:val="single" w:sz="8" w:color="auto"/>
            </w:tcBorders>
            <w:shd w:val="clear" w:color="auto" w:fill="CCEEFF"/>
          </w:tcPr>
          <w:p>
            <w:pPr>
              <w:ind w:left="20"/>
              <w:spacing w:after="0" w:line="250" w:lineRule="exact"/>
              <w:rPr>
                <w:sz w:val="20"/>
                <w:szCs w:val="20"/>
                <w:color w:val="auto"/>
              </w:rPr>
            </w:pPr>
            <w:r>
              <w:rPr>
                <w:rFonts w:ascii="Arial" w:cs="Arial" w:eastAsia="Arial" w:hAnsi="Arial"/>
                <w:sz w:val="17"/>
                <w:szCs w:val="17"/>
                <w:color w:val="auto"/>
                <w:w w:val="93"/>
              </w:rPr>
              <w:t>Reconciliation of net income (loss) to Adjusted EBITDA</w:t>
            </w:r>
            <w:r>
              <w:rPr>
                <w:rFonts w:ascii="Arial" w:cs="Arial" w:eastAsia="Arial" w:hAnsi="Arial"/>
                <w:sz w:val="23"/>
                <w:szCs w:val="23"/>
                <w:color w:val="auto"/>
                <w:w w:val="93"/>
                <w:vertAlign w:val="superscript"/>
              </w:rPr>
              <w:t>(a)</w:t>
            </w:r>
            <w:r>
              <w:rPr>
                <w:rFonts w:ascii="Arial" w:cs="Arial" w:eastAsia="Arial" w:hAnsi="Arial"/>
                <w:sz w:val="17"/>
                <w:szCs w:val="17"/>
                <w:color w:val="auto"/>
                <w:w w:val="93"/>
              </w:rPr>
              <w:t>:</w:t>
            </w:r>
          </w:p>
        </w:tc>
        <w:tc>
          <w:tcPr>
            <w:tcW w:w="2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(16.0)</w:t>
            </w:r>
          </w:p>
        </w:tc>
        <w:tc>
          <w:tcPr>
            <w:tcW w:w="22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(88.7)</w:t>
            </w:r>
          </w:p>
        </w:tc>
        <w:tc>
          <w:tcPr>
            <w:tcW w:w="24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9"/>
                <w:szCs w:val="19"/>
                <w:color w:val="auto"/>
              </w:rPr>
            </w:pPr>
          </w:p>
        </w:tc>
        <w:tc>
          <w:tcPr>
            <w:tcW w:w="300" w:type="dxa"/>
            <w:vAlign w:val="bottom"/>
          </w:tcPr>
          <w:p>
            <w:pPr>
              <w:jc w:val="right"/>
              <w:ind w:right="102"/>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(71.2)</w:t>
            </w:r>
          </w:p>
        </w:tc>
        <w:tc>
          <w:tcPr>
            <w:tcW w:w="240" w:type="dxa"/>
            <w:vAlign w:val="bottom"/>
          </w:tcPr>
          <w:p>
            <w:pPr>
              <w:spacing w:after="0"/>
              <w:rPr>
                <w:sz w:val="19"/>
                <w:szCs w:val="19"/>
                <w:color w:val="auto"/>
              </w:rPr>
            </w:pPr>
          </w:p>
        </w:tc>
        <w:tc>
          <w:tcPr>
            <w:tcW w:w="420" w:type="dxa"/>
            <w:vAlign w:val="bottom"/>
          </w:tcPr>
          <w:p>
            <w:pPr>
              <w:jc w:val="right"/>
              <w:ind w:right="242"/>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82.0</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77.2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109.3</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102.9</w:t>
            </w:r>
          </w:p>
        </w:tc>
        <w:tc>
          <w:tcPr>
            <w:tcW w:w="0" w:type="dxa"/>
            <w:vAlign w:val="bottom"/>
          </w:tcPr>
          <w:p>
            <w:pPr>
              <w:spacing w:after="0"/>
              <w:rPr>
                <w:sz w:val="1"/>
                <w:szCs w:val="1"/>
                <w:color w:val="auto"/>
              </w:rPr>
            </w:pPr>
          </w:p>
        </w:tc>
      </w:tr>
      <w:tr>
        <w:trPr>
          <w:trHeight w:val="226"/>
        </w:trPr>
        <w:tc>
          <w:tcPr>
            <w:tcW w:w="4120" w:type="dxa"/>
            <w:vAlign w:val="bottom"/>
          </w:tcPr>
          <w:p>
            <w:pPr>
              <w:ind w:left="260"/>
              <w:spacing w:after="0"/>
              <w:rPr>
                <w:sz w:val="20"/>
                <w:szCs w:val="20"/>
                <w:color w:val="auto"/>
              </w:rPr>
            </w:pPr>
            <w:r>
              <w:rPr>
                <w:rFonts w:ascii="Arial" w:cs="Arial" w:eastAsia="Arial" w:hAnsi="Arial"/>
                <w:sz w:val="17"/>
                <w:szCs w:val="17"/>
                <w:color w:val="auto"/>
              </w:rPr>
              <w:t>Income tax expense (benefit)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7.8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115.7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110.2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153.2</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146.9</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EBITDA</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48.4</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68.7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107.9</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192.3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199.1</w:t>
            </w: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239.5</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60"/>
              <w:spacing w:after="0"/>
              <w:rPr>
                <w:sz w:val="20"/>
                <w:szCs w:val="20"/>
                <w:color w:val="auto"/>
              </w:rPr>
            </w:pPr>
            <w:r>
              <w:rPr>
                <w:rFonts w:ascii="Arial" w:cs="Arial" w:eastAsia="Arial" w:hAnsi="Arial"/>
                <w:sz w:val="17"/>
                <w:szCs w:val="17"/>
                <w:color w:val="auto"/>
              </w:rPr>
              <w:t>(Gains) losses on property disposals, net</w:t>
            </w:r>
          </w:p>
        </w:tc>
        <w:tc>
          <w:tcPr>
            <w:tcW w:w="22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Property gains on certain disposals</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0.4</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29.3</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Non-cash reserve changes</w:t>
            </w:r>
            <w:r>
              <w:rPr>
                <w:rFonts w:ascii="Arial" w:cs="Arial" w:eastAsia="Arial" w:hAnsi="Arial"/>
                <w:sz w:val="23"/>
                <w:szCs w:val="23"/>
                <w:color w:val="auto"/>
                <w:vertAlign w:val="superscript"/>
              </w:rPr>
              <w:t>(c)</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14.0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14.0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4120" w:type="dxa"/>
            <w:vAlign w:val="bottom"/>
          </w:tcPr>
          <w:p>
            <w:pPr>
              <w:ind w:left="260"/>
              <w:spacing w:after="0"/>
              <w:rPr>
                <w:sz w:val="20"/>
                <w:szCs w:val="20"/>
                <w:color w:val="auto"/>
              </w:rPr>
            </w:pPr>
            <w:r>
              <w:rPr>
                <w:rFonts w:ascii="Arial" w:cs="Arial" w:eastAsia="Arial" w:hAnsi="Arial"/>
                <w:sz w:val="17"/>
                <w:szCs w:val="17"/>
                <w:color w:val="auto"/>
              </w:rPr>
              <w:t>Letter of credit expense</w:t>
            </w:r>
          </w:p>
        </w:tc>
        <w:tc>
          <w:tcPr>
            <w:tcW w:w="22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Transaction costs related to issuances of debt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6"/>
        </w:trPr>
        <w:tc>
          <w:tcPr>
            <w:tcW w:w="4120" w:type="dxa"/>
            <w:vAlign w:val="bottom"/>
          </w:tcPr>
          <w:p>
            <w:pPr>
              <w:ind w:left="260"/>
              <w:spacing w:after="0"/>
              <w:rPr>
                <w:sz w:val="20"/>
                <w:szCs w:val="20"/>
                <w:color w:val="auto"/>
              </w:rPr>
            </w:pPr>
            <w:r>
              <w:rPr>
                <w:rFonts w:ascii="Arial" w:cs="Arial" w:eastAsia="Arial" w:hAnsi="Arial"/>
                <w:sz w:val="17"/>
                <w:szCs w:val="17"/>
                <w:color w:val="auto"/>
              </w:rPr>
              <w:t>Permitted dispositions and other</w:t>
            </w:r>
          </w:p>
        </w:tc>
        <w:tc>
          <w:tcPr>
            <w:tcW w:w="22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0.3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 expense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5.2</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5.5</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6.0</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6"/>
        </w:trPr>
        <w:tc>
          <w:tcPr>
            <w:tcW w:w="4120" w:type="dxa"/>
            <w:vAlign w:val="bottom"/>
          </w:tcPr>
          <w:p>
            <w:pPr>
              <w:ind w:left="260"/>
              <w:spacing w:after="0"/>
              <w:rPr>
                <w:sz w:val="20"/>
                <w:szCs w:val="20"/>
                <w:color w:val="auto"/>
              </w:rPr>
            </w:pPr>
            <w:r>
              <w:rPr>
                <w:rFonts w:ascii="Arial" w:cs="Arial" w:eastAsia="Arial" w:hAnsi="Arial"/>
                <w:sz w:val="17"/>
                <w:szCs w:val="17"/>
                <w:color w:val="auto"/>
              </w:rPr>
              <w:t>Loss on extinguishment of debt</w:t>
            </w:r>
          </w:p>
        </w:tc>
        <w:tc>
          <w:tcPr>
            <w:tcW w:w="22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11.2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11.2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11.2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Non-union pension settlement charge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22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Amounts subject to 10% threshold</w:t>
            </w:r>
            <w:r>
              <w:rPr>
                <w:rFonts w:ascii="Arial" w:cs="Arial" w:eastAsia="Arial" w:hAnsi="Arial"/>
                <w:sz w:val="23"/>
                <w:szCs w:val="23"/>
                <w:color w:val="auto"/>
                <w:vertAlign w:val="superscript"/>
              </w:rPr>
              <w:t>(e)</w:t>
            </w: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2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8.7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Restructuring charges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0.9</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6"/>
        </w:trPr>
        <w:tc>
          <w:tcPr>
            <w:tcW w:w="4120" w:type="dxa"/>
            <w:vAlign w:val="bottom"/>
          </w:tcPr>
          <w:p>
            <w:pPr>
              <w:ind w:left="360"/>
              <w:spacing w:after="0"/>
              <w:rPr>
                <w:sz w:val="20"/>
                <w:szCs w:val="20"/>
                <w:color w:val="auto"/>
              </w:rPr>
            </w:pPr>
            <w:r>
              <w:rPr>
                <w:rFonts w:ascii="Arial" w:cs="Arial" w:eastAsia="Arial" w:hAnsi="Arial"/>
                <w:sz w:val="17"/>
                <w:szCs w:val="17"/>
                <w:color w:val="auto"/>
              </w:rPr>
              <w:t>Nonrecurring item (vendor bankruptcy)</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5.5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1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6.4</w:t>
            </w:r>
          </w:p>
        </w:tc>
        <w:tc>
          <w:tcPr>
            <w:tcW w:w="2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8.4</w:t>
            </w:r>
          </w:p>
        </w:tc>
        <w:tc>
          <w:tcPr>
            <w:tcW w:w="2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w w:val="93"/>
              </w:rPr>
              <w:t>Adjusted EBITDA pursuant to Prior Term Loan Agreement</w:t>
            </w:r>
          </w:p>
        </w:tc>
        <w:tc>
          <w:tcPr>
            <w:tcW w:w="22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65.3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84.2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164.8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230.7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271.6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289.2</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Property gains on certain disposals</w:t>
            </w:r>
            <w:r>
              <w:rPr>
                <w:rFonts w:ascii="Arial" w:cs="Arial" w:eastAsia="Arial" w:hAnsi="Arial"/>
                <w:sz w:val="23"/>
                <w:szCs w:val="23"/>
                <w:color w:val="auto"/>
                <w:vertAlign w:val="superscript"/>
              </w:rPr>
              <w:t>(b)</w:t>
            </w:r>
          </w:p>
        </w:tc>
        <w:tc>
          <w:tcPr>
            <w:tcW w:w="22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Adjustments in excess of 10% threshold</w:t>
            </w:r>
            <w:r>
              <w:rPr>
                <w:rFonts w:ascii="Arial" w:cs="Arial" w:eastAsia="Arial" w:hAnsi="Arial"/>
                <w:sz w:val="23"/>
                <w:szCs w:val="23"/>
                <w:color w:val="auto"/>
                <w:vertAlign w:val="superscript"/>
              </w:rPr>
              <w:t>(e)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120" w:type="dxa"/>
            <w:vAlign w:val="bottom"/>
          </w:tcPr>
          <w:p>
            <w:pPr>
              <w:ind w:left="260"/>
              <w:spacing w:after="0" w:line="194" w:lineRule="exact"/>
              <w:rPr>
                <w:sz w:val="20"/>
                <w:szCs w:val="20"/>
                <w:color w:val="auto"/>
              </w:rPr>
            </w:pPr>
            <w:r>
              <w:rPr>
                <w:rFonts w:ascii="Arial" w:cs="Arial" w:eastAsia="Arial" w:hAnsi="Arial"/>
                <w:sz w:val="17"/>
                <w:szCs w:val="17"/>
                <w:color w:val="auto"/>
              </w:rPr>
              <w:t>Adjusted EBITDA pursuant to New Term Loan</w:t>
            </w:r>
          </w:p>
        </w:tc>
        <w:tc>
          <w:tcPr>
            <w:tcW w:w="2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color w:val="auto"/>
              </w:rPr>
              <w:t>65.9</w:t>
            </w:r>
          </w:p>
        </w:tc>
        <w:tc>
          <w:tcPr>
            <w:tcW w:w="22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color w:val="auto"/>
              </w:rPr>
              <w:t>84.2</w:t>
            </w:r>
          </w:p>
        </w:tc>
        <w:tc>
          <w:tcPr>
            <w:tcW w:w="220" w:type="dxa"/>
            <w:vAlign w:val="bottom"/>
          </w:tcPr>
          <w:p>
            <w:pPr>
              <w:spacing w:after="0"/>
              <w:rPr>
                <w:sz w:val="16"/>
                <w:szCs w:val="16"/>
                <w:color w:val="auto"/>
              </w:rPr>
            </w:pPr>
          </w:p>
        </w:tc>
        <w:tc>
          <w:tcPr>
            <w:tcW w:w="2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163.3</w:t>
            </w:r>
          </w:p>
        </w:tc>
        <w:tc>
          <w:tcPr>
            <w:tcW w:w="240" w:type="dxa"/>
            <w:vAlign w:val="bottom"/>
          </w:tcPr>
          <w:p>
            <w:pPr>
              <w:spacing w:after="0"/>
              <w:rPr>
                <w:sz w:val="16"/>
                <w:szCs w:val="16"/>
                <w:color w:val="auto"/>
              </w:rPr>
            </w:pPr>
          </w:p>
        </w:tc>
        <w:tc>
          <w:tcPr>
            <w:tcW w:w="2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color w:val="auto"/>
              </w:rPr>
              <w:t>230.3</w:t>
            </w:r>
          </w:p>
        </w:tc>
        <w:tc>
          <w:tcPr>
            <w:tcW w:w="22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240.8</w:t>
            </w:r>
          </w:p>
        </w:tc>
        <w:tc>
          <w:tcPr>
            <w:tcW w:w="240" w:type="dxa"/>
            <w:vAlign w:val="bottom"/>
          </w:tcPr>
          <w:p>
            <w:pPr>
              <w:spacing w:after="0"/>
              <w:rPr>
                <w:sz w:val="16"/>
                <w:szCs w:val="16"/>
                <w:color w:val="auto"/>
              </w:rPr>
            </w:pPr>
          </w:p>
        </w:tc>
        <w:tc>
          <w:tcPr>
            <w:tcW w:w="420" w:type="dxa"/>
            <w:vAlign w:val="bottom"/>
            <w:tcBorders>
              <w:top w:val="single" w:sz="8" w:color="auto"/>
            </w:tcBorders>
            <w:vMerge w:val="restart"/>
          </w:tcPr>
          <w:p>
            <w:pPr>
              <w:jc w:val="right"/>
              <w:ind w:right="242"/>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rPr>
              <w:t>288.8</w:t>
            </w:r>
          </w:p>
        </w:tc>
        <w:tc>
          <w:tcPr>
            <w:tcW w:w="0" w:type="dxa"/>
            <w:vAlign w:val="bottom"/>
          </w:tcPr>
          <w:p>
            <w:pPr>
              <w:spacing w:after="0"/>
              <w:rPr>
                <w:sz w:val="1"/>
                <w:szCs w:val="1"/>
                <w:color w:val="auto"/>
              </w:rPr>
            </w:pPr>
          </w:p>
        </w:tc>
      </w:tr>
      <w:tr>
        <w:trPr>
          <w:trHeight w:val="213"/>
        </w:trPr>
        <w:tc>
          <w:tcPr>
            <w:tcW w:w="4120" w:type="dxa"/>
            <w:vAlign w:val="bottom"/>
          </w:tcPr>
          <w:p>
            <w:pPr>
              <w:ind w:left="260"/>
              <w:spacing w:after="0"/>
              <w:rPr>
                <w:sz w:val="20"/>
                <w:szCs w:val="20"/>
                <w:color w:val="auto"/>
              </w:rPr>
            </w:pPr>
            <w:r>
              <w:rPr>
                <w:rFonts w:ascii="Arial" w:cs="Arial" w:eastAsia="Arial" w:hAnsi="Arial"/>
                <w:sz w:val="17"/>
                <w:szCs w:val="17"/>
                <w:color w:val="auto"/>
              </w:rPr>
              <w:t>Agreement</w:t>
            </w: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8255</wp:posOffset>
            </wp:positionV>
            <wp:extent cx="4626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26610" cy="8255"/>
                    </a:xfrm>
                    <a:prstGeom prst="rect">
                      <a:avLst/>
                    </a:prstGeom>
                    <a:noFill/>
                  </pic:spPr>
                </pic:pic>
              </a:graphicData>
            </a:graphic>
          </wp:anchor>
        </w:drawing>
      </w:r>
    </w:p>
    <w:p>
      <w:pPr>
        <w:spacing w:after="0" w:line="12" w:lineRule="exact"/>
        <w:rPr>
          <w:sz w:val="20"/>
          <w:szCs w:val="20"/>
          <w:color w:val="auto"/>
        </w:rPr>
      </w:pP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Certain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right="600" w:hanging="299"/>
        <w:spacing w:after="0" w:line="258" w:lineRule="auto"/>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Certain property gains were added back in the calculation of Adjusted EBITDA pursuant to the Prior Term Loan Agreement which permitted gains from the sale of excess property with continuing operations. Under the New Term Loan Agreement, all gains attributable to property disposals must be deducted from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-303530</wp:posOffset>
            </wp:positionV>
            <wp:extent cx="4626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661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8" w:lineRule="exact"/>
        <w:rPr>
          <w:sz w:val="20"/>
          <w:szCs w:val="20"/>
          <w:color w:val="auto"/>
        </w:rPr>
      </w:pPr>
    </w:p>
    <w:p>
      <w:pPr>
        <w:ind w:left="300" w:hanging="299"/>
        <w:spacing w:after="0" w:line="267" w:lineRule="auto"/>
        <w:tabs>
          <w:tab w:leader="none" w:pos="3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Certain gains, losses, charges or expenses qualify for adjustment to EBITDA under more than one provision in the definition of “Consolidated EBITDA” of the New Term Loan Agreement (referred to herein as Adjusted EBITDA). The presentation of Adjusted EBITDA set forth above includes a modification to how certain gains, losses, charges or expenses were categorized in the presentation of Adjusted EBITDA furnished in our Current Report on Form 8-K filed on September 11, 2019. The Company has updated the presentation to reflect the net non-cash reserve charge for union and nonunion vacation (which includes the impact of the New NMFA for the one week of restored vacation), with such non-cash reserve adjustment to be reduced by cash charges in a future period when paid.</w:t>
      </w:r>
    </w:p>
    <w:p>
      <w:pPr>
        <w:spacing w:after="0" w:line="1" w:lineRule="exact"/>
        <w:rPr>
          <w:rFonts w:ascii="Arial" w:cs="Arial" w:eastAsia="Arial" w:hAnsi="Arial"/>
          <w:sz w:val="12"/>
          <w:szCs w:val="12"/>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required under both our Prior Term Loan Agreement and New Term Loan Agreement, Other, net shown above consists of the impact of certain items to be included in Adjusted EBITDA.</w:t>
      </w:r>
    </w:p>
    <w:p>
      <w:pPr>
        <w:spacing w:after="0" w:line="1" w:lineRule="exact"/>
        <w:rPr>
          <w:rFonts w:ascii="Arial" w:cs="Arial" w:eastAsia="Arial" w:hAnsi="Arial"/>
          <w:sz w:val="13"/>
          <w:szCs w:val="13"/>
          <w:color w:val="auto"/>
        </w:rPr>
      </w:pPr>
    </w:p>
    <w:p>
      <w:pPr>
        <w:ind w:left="300" w:right="40" w:hanging="299"/>
        <w:spacing w:after="0" w:line="300" w:lineRule="auto"/>
        <w:tabs>
          <w:tab w:leader="none" w:pos="3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Pursuant to the New Term Loan Agreement, Adjusted EBITDA limits certain adjustments in aggregate to 10% of the trailing-twelve-month consolidated Adjusted EBITDA, prior to the inclusion of amounts subject to the 10% threshold, for each period ending. Such adjustments include, but are not limited to, restructuring charges, integration costs, severance, and non-recurring charges.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third quarter and first three quarters of 2019 and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3"/>
                <w:szCs w:val="13"/>
                <w:b w:val="1"/>
                <w:bCs w:val="1"/>
                <w:color w:val="auto"/>
              </w:rPr>
              <w:t>First Three Quarters</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3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3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9"/>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3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230.3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1056"/>
              <w:spacing w:after="0"/>
              <w:rPr>
                <w:sz w:val="20"/>
                <w:szCs w:val="20"/>
                <w:color w:val="auto"/>
              </w:rPr>
            </w:pPr>
            <w:r>
              <w:rPr>
                <w:rFonts w:ascii="Arial" w:cs="Arial" w:eastAsia="Arial" w:hAnsi="Arial"/>
                <w:sz w:val="17"/>
                <w:szCs w:val="17"/>
                <w:color w:val="auto"/>
              </w:rPr>
              <w:t>34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operating income (loss), by segment, to Adjusted EBITDA for the third quarter and first three quarters of 2019 and 2018,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3"/>
                <w:szCs w:val="13"/>
                <w:b w:val="1"/>
                <w:bCs w:val="1"/>
                <w:color w:val="auto"/>
              </w:rPr>
              <w:t>First Three Quarters</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1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income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24.7</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7"/>
                <w:szCs w:val="17"/>
                <w:color w:val="auto"/>
              </w:rPr>
              <w:t>(Gains) losses on property disposals, net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4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Property gains on certain disposals</w:t>
            </w:r>
            <w:r>
              <w:rPr>
                <w:rFonts w:ascii="Arial" w:cs="Arial" w:eastAsia="Arial" w:hAnsi="Arial"/>
                <w:sz w:val="23"/>
                <w:szCs w:val="23"/>
                <w:color w:val="auto"/>
                <w:vertAlign w:val="superscript"/>
              </w:rPr>
              <w:t>(b)</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2"/>
        </w:trPr>
        <w:tc>
          <w:tcPr>
            <w:tcW w:w="5040" w:type="dxa"/>
            <w:vAlign w:val="bottom"/>
          </w:tcPr>
          <w:p>
            <w:pPr>
              <w:ind w:left="260"/>
              <w:spacing w:after="0" w:line="252" w:lineRule="exact"/>
              <w:rPr>
                <w:sz w:val="20"/>
                <w:szCs w:val="20"/>
                <w:color w:val="auto"/>
              </w:rPr>
            </w:pPr>
            <w:r>
              <w:rPr>
                <w:rFonts w:ascii="Arial" w:cs="Arial" w:eastAsia="Arial" w:hAnsi="Arial"/>
                <w:sz w:val="17"/>
                <w:szCs w:val="17"/>
                <w:color w:val="auto"/>
              </w:rPr>
              <w:t>Non-cash reserve changes</w:t>
            </w:r>
            <w:r>
              <w:rPr>
                <w:rFonts w:ascii="Arial" w:cs="Arial" w:eastAsia="Arial" w:hAnsi="Arial"/>
                <w:sz w:val="23"/>
                <w:szCs w:val="23"/>
                <w:color w:val="auto"/>
                <w:vertAlign w:val="superscript"/>
              </w:rPr>
              <w:t>(c)</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Impairment charges</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7"/>
                <w:szCs w:val="17"/>
                <w:color w:val="auto"/>
              </w:rPr>
              <w:t>Letter of credit expense</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Non-union pension and postretirement benefits</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2"/>
        </w:trPr>
        <w:tc>
          <w:tcPr>
            <w:tcW w:w="5040" w:type="dxa"/>
            <w:vAlign w:val="bottom"/>
          </w:tcPr>
          <w:p>
            <w:pPr>
              <w:ind w:left="2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52"/>
        </w:trPr>
        <w:tc>
          <w:tcPr>
            <w:tcW w:w="504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Amounts subject to 10% threshold</w:t>
            </w:r>
            <w:r>
              <w:rPr>
                <w:rFonts w:ascii="Arial" w:cs="Arial" w:eastAsia="Arial" w:hAnsi="Arial"/>
                <w:sz w:val="23"/>
                <w:szCs w:val="23"/>
                <w:color w:val="auto"/>
                <w:vertAlign w:val="superscript"/>
              </w:rPr>
              <w:t>(e)</w:t>
            </w:r>
            <w:r>
              <w:rPr>
                <w:rFonts w:ascii="Arial" w:cs="Arial" w:eastAsia="Arial" w:hAnsi="Arial"/>
                <w:sz w:val="17"/>
                <w:szCs w:val="17"/>
                <w:color w:val="auto"/>
              </w:rPr>
              <w:t>:</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4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Restructuring charges</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6"/>
        </w:trPr>
        <w:tc>
          <w:tcPr>
            <w:tcW w:w="5040" w:type="dxa"/>
            <w:vAlign w:val="bottom"/>
          </w:tcPr>
          <w:p>
            <w:pPr>
              <w:ind w:left="360"/>
              <w:spacing w:after="0"/>
              <w:rPr>
                <w:sz w:val="20"/>
                <w:szCs w:val="20"/>
                <w:color w:val="auto"/>
              </w:rPr>
            </w:pPr>
            <w:r>
              <w:rPr>
                <w:rFonts w:ascii="Arial" w:cs="Arial" w:eastAsia="Arial" w:hAnsi="Arial"/>
                <w:sz w:val="17"/>
                <w:szCs w:val="17"/>
                <w:color w:val="auto"/>
              </w:rPr>
              <w:t>Nonrecurring item (vendor bankruptcy)</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4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19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Adjusted EBITDA pursuant to Prior Term Loan Agreement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117.8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125.2</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40" w:type="dxa"/>
            <w:vAlign w:val="bottom"/>
          </w:tcPr>
          <w:p>
            <w:pPr>
              <w:ind w:left="260"/>
              <w:spacing w:after="0" w:line="252" w:lineRule="exact"/>
              <w:rPr>
                <w:sz w:val="20"/>
                <w:szCs w:val="20"/>
                <w:color w:val="auto"/>
              </w:rPr>
            </w:pPr>
            <w:r>
              <w:rPr>
                <w:rFonts w:ascii="Arial" w:cs="Arial" w:eastAsia="Arial" w:hAnsi="Arial"/>
                <w:sz w:val="17"/>
                <w:szCs w:val="17"/>
                <w:color w:val="auto"/>
              </w:rPr>
              <w:t>Property gains on certain disposals</w:t>
            </w:r>
            <w:r>
              <w:rPr>
                <w:rFonts w:ascii="Arial" w:cs="Arial" w:eastAsia="Arial" w:hAnsi="Arial"/>
                <w:sz w:val="23"/>
                <w:szCs w:val="23"/>
                <w:color w:val="auto"/>
                <w:vertAlign w:val="superscript"/>
              </w:rPr>
              <w:t>(b)</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2"/>
        </w:trPr>
        <w:tc>
          <w:tcPr>
            <w:tcW w:w="504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Adjustments in excess of 10% threshold</w:t>
            </w:r>
            <w:r>
              <w:rPr>
                <w:rFonts w:ascii="Arial" w:cs="Arial" w:eastAsia="Arial" w:hAnsi="Arial"/>
                <w:sz w:val="23"/>
                <w:szCs w:val="23"/>
                <w:color w:val="auto"/>
                <w:vertAlign w:val="superscript"/>
              </w:rPr>
              <w:t>(e)</w:t>
            </w:r>
          </w:p>
        </w:tc>
        <w:tc>
          <w:tcPr>
            <w:tcW w:w="19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Adjusted EBITDA pursuant to New Term Loan Agreement</w:t>
            </w:r>
          </w:p>
        </w:tc>
        <w:tc>
          <w:tcPr>
            <w:tcW w:w="2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3"/>
                <w:szCs w:val="13"/>
                <w:b w:val="1"/>
                <w:bCs w:val="1"/>
                <w:color w:val="auto"/>
              </w:rPr>
              <w:t>First Three Quarters</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1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income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4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7"/>
                <w:szCs w:val="17"/>
                <w:color w:val="auto"/>
              </w:rPr>
              <w:t>(Gains) losses on property disposals, net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4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Non-cash reserve changes</w:t>
            </w:r>
            <w:r>
              <w:rPr>
                <w:rFonts w:ascii="Arial" w:cs="Arial" w:eastAsia="Arial" w:hAnsi="Arial"/>
                <w:sz w:val="23"/>
                <w:szCs w:val="23"/>
                <w:color w:val="auto"/>
                <w:vertAlign w:val="superscript"/>
              </w:rPr>
              <w:t>(c)</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7"/>
                <w:szCs w:val="17"/>
                <w:color w:val="auto"/>
              </w:rPr>
              <w:t>Letter of credit expense</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4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52"/>
        </w:trPr>
        <w:tc>
          <w:tcPr>
            <w:tcW w:w="5040" w:type="dxa"/>
            <w:vAlign w:val="bottom"/>
          </w:tcPr>
          <w:p>
            <w:pPr>
              <w:ind w:left="260"/>
              <w:spacing w:after="0" w:line="252" w:lineRule="exact"/>
              <w:rPr>
                <w:sz w:val="20"/>
                <w:szCs w:val="20"/>
                <w:color w:val="auto"/>
              </w:rPr>
            </w:pPr>
            <w:r>
              <w:rPr>
                <w:rFonts w:ascii="Arial" w:cs="Arial" w:eastAsia="Arial" w:hAnsi="Arial"/>
                <w:sz w:val="17"/>
                <w:szCs w:val="17"/>
                <w:color w:val="auto"/>
              </w:rPr>
              <w:t>Amounts subject to 10% threshold</w:t>
            </w:r>
            <w:r>
              <w:rPr>
                <w:rFonts w:ascii="Arial" w:cs="Arial" w:eastAsia="Arial" w:hAnsi="Arial"/>
                <w:sz w:val="23"/>
                <w:szCs w:val="23"/>
                <w:color w:val="auto"/>
                <w:vertAlign w:val="superscript"/>
              </w:rPr>
              <w:t>(e)</w:t>
            </w:r>
            <w:r>
              <w:rPr>
                <w:rFonts w:ascii="Arial" w:cs="Arial" w:eastAsia="Arial" w:hAnsi="Arial"/>
                <w:sz w:val="17"/>
                <w:szCs w:val="17"/>
                <w:color w:val="auto"/>
              </w:rPr>
              <w:t>:</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Nonrecurring consulting fees</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504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19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pursuant to Prior Term Loan Agreement</w:t>
            </w:r>
          </w:p>
        </w:tc>
        <w:tc>
          <w:tcPr>
            <w:tcW w:w="1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26"/>
        </w:trPr>
        <w:tc>
          <w:tcPr>
            <w:tcW w:w="5040" w:type="dxa"/>
            <w:vAlign w:val="bottom"/>
          </w:tcPr>
          <w:p>
            <w:pPr>
              <w:ind w:left="20"/>
              <w:spacing w:after="0"/>
              <w:rPr>
                <w:sz w:val="20"/>
                <w:szCs w:val="20"/>
                <w:color w:val="auto"/>
              </w:rPr>
            </w:pPr>
            <w:r>
              <w:rPr>
                <w:rFonts w:ascii="Arial" w:cs="Arial" w:eastAsia="Arial" w:hAnsi="Arial"/>
                <w:sz w:val="17"/>
                <w:szCs w:val="17"/>
                <w:color w:val="auto"/>
              </w:rPr>
              <w:t>Less: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4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Adjustments in excess of 10% threshold</w:t>
            </w:r>
            <w:r>
              <w:rPr>
                <w:rFonts w:ascii="Arial" w:cs="Arial" w:eastAsia="Arial" w:hAnsi="Arial"/>
                <w:sz w:val="23"/>
                <w:szCs w:val="23"/>
                <w:color w:val="auto"/>
                <w:vertAlign w:val="superscript"/>
              </w:rPr>
              <w:t>(e)</w:t>
            </w:r>
          </w:p>
        </w:tc>
        <w:tc>
          <w:tcPr>
            <w:tcW w:w="19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Adjusted EBITDA pursuant to New Term Loan Agreement</w:t>
            </w:r>
          </w:p>
        </w:tc>
        <w:tc>
          <w:tcPr>
            <w:tcW w:w="2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47.4</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900" w:type="dxa"/>
            <w:vAlign w:val="bottom"/>
            <w:vMerge w:val="restart"/>
          </w:tcPr>
          <w:p>
            <w:pPr>
              <w:jc w:val="right"/>
              <w:ind w:right="1056"/>
              <w:spacing w:after="0"/>
              <w:rPr>
                <w:sz w:val="20"/>
                <w:szCs w:val="20"/>
                <w:color w:val="auto"/>
              </w:rPr>
            </w:pPr>
            <w:r>
              <w:rPr>
                <w:rFonts w:ascii="Arial" w:cs="Arial" w:eastAsia="Arial" w:hAnsi="Arial"/>
                <w:sz w:val="17"/>
                <w:szCs w:val="17"/>
                <w:color w:val="auto"/>
              </w:rPr>
              <w:t>35</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0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40" w:type="dxa"/>
            <w:vAlign w:val="bottom"/>
            <w:gridSpan w:val="2"/>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Table of Contents</w:t>
              </w:r>
            </w:hyperlink>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604"/>
        </w:trPr>
        <w:tc>
          <w:tcPr>
            <w:tcW w:w="960" w:type="dxa"/>
            <w:vAlign w:val="bottom"/>
            <w:tcBorders>
              <w:top w:val="single" w:sz="8" w:color="0000EE"/>
            </w:tcBorders>
          </w:tcPr>
          <w:p>
            <w:pPr>
              <w:spacing w:after="0"/>
              <w:rPr>
                <w:sz w:val="24"/>
                <w:szCs w:val="24"/>
                <w:color w:val="auto"/>
              </w:rPr>
            </w:pPr>
          </w:p>
        </w:tc>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2018</w:t>
            </w:r>
          </w:p>
        </w:tc>
      </w:tr>
      <w:tr>
        <w:trPr>
          <w:trHeight w:val="229"/>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Reconciliation of operating loss to Adjusted EBITDA:</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26"/>
        </w:trPr>
        <w:tc>
          <w:tcPr>
            <w:tcW w:w="6940" w:type="dxa"/>
            <w:vAlign w:val="bottom"/>
            <w:gridSpan w:val="2"/>
          </w:tcPr>
          <w:p>
            <w:pPr>
              <w:ind w:left="20"/>
              <w:spacing w:after="0"/>
              <w:rPr>
                <w:sz w:val="20"/>
                <w:szCs w:val="20"/>
                <w:color w:val="auto"/>
              </w:rPr>
            </w:pPr>
            <w:r>
              <w:rPr>
                <w:rFonts w:ascii="Arial" w:cs="Arial" w:eastAsia="Arial" w:hAnsi="Arial"/>
                <w:sz w:val="17"/>
                <w:szCs w:val="17"/>
                <w:color w:val="auto"/>
              </w:rPr>
              <w:t>Operating loss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6"/>
        </w:trPr>
        <w:tc>
          <w:tcPr>
            <w:tcW w:w="9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6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w:t>
            </w:r>
          </w:p>
        </w:tc>
      </w:tr>
      <w:tr>
        <w:trPr>
          <w:trHeight w:val="226"/>
        </w:trPr>
        <w:tc>
          <w:tcPr>
            <w:tcW w:w="6940" w:type="dxa"/>
            <w:vAlign w:val="bottom"/>
            <w:gridSpan w:val="2"/>
          </w:tcPr>
          <w:p>
            <w:pPr>
              <w:ind w:left="260"/>
              <w:spacing w:after="0"/>
              <w:rPr>
                <w:sz w:val="20"/>
                <w:szCs w:val="20"/>
                <w:color w:val="auto"/>
              </w:rPr>
            </w:pPr>
            <w:r>
              <w:rPr>
                <w:rFonts w:ascii="Arial" w:cs="Arial" w:eastAsia="Arial" w:hAnsi="Arial"/>
                <w:sz w:val="17"/>
                <w:szCs w:val="17"/>
                <w:color w:val="auto"/>
              </w:rPr>
              <w:t>Losses on property disposals, net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0.1</w:t>
            </w:r>
          </w:p>
        </w:tc>
      </w:tr>
      <w:tr>
        <w:trPr>
          <w:trHeight w:val="26"/>
        </w:trPr>
        <w:tc>
          <w:tcPr>
            <w:tcW w:w="9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2"/>
        </w:trPr>
        <w:tc>
          <w:tcPr>
            <w:tcW w:w="6940" w:type="dxa"/>
            <w:vAlign w:val="bottom"/>
            <w:gridSpan w:val="2"/>
            <w:shd w:val="clear" w:color="auto" w:fill="CCEEFF"/>
          </w:tcPr>
          <w:p>
            <w:pPr>
              <w:ind w:left="260"/>
              <w:spacing w:after="0" w:line="252" w:lineRule="exact"/>
              <w:rPr>
                <w:sz w:val="20"/>
                <w:szCs w:val="20"/>
                <w:color w:val="auto"/>
              </w:rPr>
            </w:pPr>
            <w:r>
              <w:rPr>
                <w:rFonts w:ascii="Arial" w:cs="Arial" w:eastAsia="Arial" w:hAnsi="Arial"/>
                <w:sz w:val="17"/>
                <w:szCs w:val="17"/>
                <w:color w:val="auto"/>
              </w:rPr>
              <w:t>Non-cash reserve changes</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6940" w:type="dxa"/>
            <w:vAlign w:val="bottom"/>
            <w:gridSpan w:val="2"/>
          </w:tcPr>
          <w:p>
            <w:pPr>
              <w:ind w:left="260"/>
              <w:spacing w:after="0"/>
              <w:rPr>
                <w:sz w:val="20"/>
                <w:szCs w:val="20"/>
                <w:color w:val="auto"/>
              </w:rPr>
            </w:pPr>
            <w:r>
              <w:rPr>
                <w:rFonts w:ascii="Arial" w:cs="Arial" w:eastAsia="Arial" w:hAnsi="Arial"/>
                <w:sz w:val="17"/>
                <w:szCs w:val="17"/>
                <w:color w:val="auto"/>
              </w:rPr>
              <w:t>Letter of credit expense</w:t>
            </w: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0.2</w:t>
            </w:r>
          </w:p>
        </w:tc>
      </w:tr>
      <w:tr>
        <w:trPr>
          <w:trHeight w:val="26"/>
        </w:trPr>
        <w:tc>
          <w:tcPr>
            <w:tcW w:w="9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6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Permitted dispositions and other</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w:t>
            </w:r>
          </w:p>
        </w:tc>
      </w:tr>
      <w:tr>
        <w:trPr>
          <w:trHeight w:val="226"/>
        </w:trPr>
        <w:tc>
          <w:tcPr>
            <w:tcW w:w="6940" w:type="dxa"/>
            <w:vAlign w:val="bottom"/>
            <w:gridSpan w:val="2"/>
          </w:tcPr>
          <w:p>
            <w:pPr>
              <w:ind w:left="260"/>
              <w:spacing w:after="0"/>
              <w:rPr>
                <w:sz w:val="20"/>
                <w:szCs w:val="20"/>
                <w:color w:val="auto"/>
              </w:rPr>
            </w:pPr>
            <w:r>
              <w:rPr>
                <w:rFonts w:ascii="Arial" w:cs="Arial" w:eastAsia="Arial" w:hAnsi="Arial"/>
                <w:sz w:val="17"/>
                <w:szCs w:val="17"/>
                <w:color w:val="auto"/>
              </w:rPr>
              <w:t>Non-union pension and postretirement benefits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9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6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Equity-based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5.5</w:t>
            </w:r>
          </w:p>
        </w:tc>
      </w:tr>
      <w:tr>
        <w:trPr>
          <w:trHeight w:val="252"/>
        </w:trPr>
        <w:tc>
          <w:tcPr>
            <w:tcW w:w="6940" w:type="dxa"/>
            <w:vAlign w:val="bottom"/>
            <w:gridSpan w:val="2"/>
          </w:tcPr>
          <w:p>
            <w:pPr>
              <w:ind w:left="2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1.5</w:t>
            </w:r>
          </w:p>
        </w:tc>
      </w:tr>
      <w:tr>
        <w:trPr>
          <w:trHeight w:val="252"/>
        </w:trPr>
        <w:tc>
          <w:tcPr>
            <w:tcW w:w="6940" w:type="dxa"/>
            <w:vAlign w:val="bottom"/>
            <w:gridSpan w:val="2"/>
            <w:shd w:val="clear" w:color="auto" w:fill="CCEEFF"/>
          </w:tcPr>
          <w:p>
            <w:pPr>
              <w:ind w:left="260"/>
              <w:spacing w:after="0" w:line="252" w:lineRule="exact"/>
              <w:rPr>
                <w:sz w:val="20"/>
                <w:szCs w:val="20"/>
                <w:color w:val="auto"/>
              </w:rPr>
            </w:pPr>
            <w:r>
              <w:rPr>
                <w:rFonts w:ascii="Arial" w:cs="Arial" w:eastAsia="Arial" w:hAnsi="Arial"/>
                <w:sz w:val="17"/>
                <w:szCs w:val="17"/>
                <w:color w:val="auto"/>
              </w:rPr>
              <w:t>Amounts subject to 10% threshold</w:t>
            </w:r>
            <w:r>
              <w:rPr>
                <w:rFonts w:ascii="Arial" w:cs="Arial" w:eastAsia="Arial" w:hAnsi="Arial"/>
                <w:sz w:val="23"/>
                <w:szCs w:val="23"/>
                <w:color w:val="auto"/>
                <w:vertAlign w:val="superscript"/>
              </w:rPr>
              <w:t>(e)</w:t>
            </w: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6"/>
        </w:trPr>
        <w:tc>
          <w:tcPr>
            <w:tcW w:w="6940" w:type="dxa"/>
            <w:vAlign w:val="bottom"/>
            <w:gridSpan w:val="2"/>
          </w:tcPr>
          <w:p>
            <w:pPr>
              <w:ind w:left="36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1.6</w:t>
            </w:r>
          </w:p>
        </w:tc>
      </w:tr>
      <w:tr>
        <w:trPr>
          <w:trHeight w:val="26"/>
        </w:trPr>
        <w:tc>
          <w:tcPr>
            <w:tcW w:w="9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2"/>
        </w:trPr>
        <w:tc>
          <w:tcPr>
            <w:tcW w:w="6940" w:type="dxa"/>
            <w:vAlign w:val="bottom"/>
            <w:gridSpan w:val="2"/>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(d)</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0.8</w:t>
            </w:r>
          </w:p>
        </w:tc>
      </w:tr>
      <w:tr>
        <w:trPr>
          <w:trHeight w:val="219"/>
        </w:trPr>
        <w:tc>
          <w:tcPr>
            <w:tcW w:w="6940" w:type="dxa"/>
            <w:vAlign w:val="bottom"/>
            <w:gridSpan w:val="2"/>
          </w:tcPr>
          <w:p>
            <w:pPr>
              <w:ind w:left="20"/>
              <w:spacing w:after="0"/>
              <w:rPr>
                <w:sz w:val="20"/>
                <w:szCs w:val="20"/>
                <w:color w:val="auto"/>
              </w:rPr>
            </w:pPr>
            <w:r>
              <w:rPr>
                <w:rFonts w:ascii="Arial" w:cs="Arial" w:eastAsia="Arial" w:hAnsi="Arial"/>
                <w:sz w:val="17"/>
                <w:szCs w:val="17"/>
                <w:color w:val="auto"/>
              </w:rPr>
              <w:t>Adjusted EBITDA pursuant to Prior Term Loan Agreement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0.4</w:t>
            </w:r>
          </w:p>
        </w:tc>
      </w:tr>
      <w:tr>
        <w:trPr>
          <w:trHeight w:val="26"/>
        </w:trPr>
        <w:tc>
          <w:tcPr>
            <w:tcW w:w="9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52"/>
        </w:trPr>
        <w:tc>
          <w:tcPr>
            <w:tcW w:w="6940" w:type="dxa"/>
            <w:vAlign w:val="bottom"/>
            <w:gridSpan w:val="2"/>
          </w:tcPr>
          <w:p>
            <w:pPr>
              <w:ind w:left="260"/>
              <w:spacing w:after="0" w:line="252" w:lineRule="exact"/>
              <w:rPr>
                <w:sz w:val="20"/>
                <w:szCs w:val="20"/>
                <w:color w:val="auto"/>
              </w:rPr>
            </w:pPr>
            <w:r>
              <w:rPr>
                <w:rFonts w:ascii="Arial" w:cs="Arial" w:eastAsia="Arial" w:hAnsi="Arial"/>
                <w:sz w:val="17"/>
                <w:szCs w:val="17"/>
                <w:color w:val="auto"/>
              </w:rPr>
              <w:t>Adjustments in excess of 10% threshold</w:t>
            </w:r>
            <w:r>
              <w:rPr>
                <w:rFonts w:ascii="Arial" w:cs="Arial" w:eastAsia="Arial" w:hAnsi="Arial"/>
                <w:sz w:val="23"/>
                <w:szCs w:val="23"/>
                <w:color w:val="auto"/>
                <w:vertAlign w:val="superscript"/>
              </w:rPr>
              <w:t>(e)</w:t>
            </w: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24"/>
        </w:trPr>
        <w:tc>
          <w:tcPr>
            <w:tcW w:w="6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 pursuant to New Term Loan Agreement</w:t>
            </w: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0.4</w:t>
            </w:r>
          </w:p>
        </w:tc>
      </w:tr>
      <w:tr>
        <w:trPr>
          <w:trHeight w:val="20"/>
        </w:trPr>
        <w:tc>
          <w:tcPr>
            <w:tcW w:w="960" w:type="dxa"/>
            <w:vAlign w:val="bottom"/>
            <w:shd w:val="clear" w:color="auto" w:fill="CCEEFF"/>
          </w:tcPr>
          <w:p>
            <w:pPr>
              <w:spacing w:after="0" w:line="20" w:lineRule="exact"/>
              <w:rPr>
                <w:sz w:val="1"/>
                <w:szCs w:val="1"/>
                <w:color w:val="auto"/>
              </w:rPr>
            </w:pPr>
          </w:p>
        </w:tc>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Certain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right="600" w:hanging="299"/>
        <w:spacing w:after="0" w:line="242" w:lineRule="auto"/>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Certain property gains were added back in the calculation of Adjusted EBITDA pursuant to the Prior Term Loan Agreement which permitted gains from the sale of excess property with continuing operations. Under the New Term Loan Agreement, all gains attributable to property disposals must be deducted from Adjusted EBITDA.</w:t>
      </w:r>
    </w:p>
    <w:p>
      <w:pPr>
        <w:ind w:left="300" w:hanging="299"/>
        <w:spacing w:after="0" w:line="262" w:lineRule="auto"/>
        <w:tabs>
          <w:tab w:leader="none" w:pos="3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Certain gains, losses, charges or expenses qualify for adjustment to EBITDA under more than one provision in the definition of “Consolidated EBITDA” of the New Term Loan Agreement (referred to herein as Adjusted EBITDA). The presentation of Adjusted EBITDA set forth above includes a modification to how certain gains, losses, charges or expenses were categorized in the presentation of Adjusted EBITDA furnished in our Current Report on Form 8-K filed on September 11, 2019. The Company has updated the presentation to reflect the net non-cash reserve charge for union and nonunion vacation (which includes the impact of the New NMFA for the one week of restored vacation), with such non-cash reserve adjustment to be reduced by cash charges in a future period when paid.</w:t>
      </w:r>
    </w:p>
    <w:p>
      <w:pPr>
        <w:spacing w:after="0" w:line="1" w:lineRule="exact"/>
        <w:rPr>
          <w:rFonts w:ascii="Arial" w:cs="Arial" w:eastAsia="Arial" w:hAnsi="Arial"/>
          <w:sz w:val="12"/>
          <w:szCs w:val="12"/>
          <w:color w:val="auto"/>
        </w:rPr>
      </w:pPr>
    </w:p>
    <w:p>
      <w:pPr>
        <w:ind w:left="300" w:hanging="299"/>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 required under both our Prior Term Loan Agreement and New Term Loan Agreement, Other, net shown above consists of the impact of certain items to be included in Adjusted EBITDA.</w:t>
      </w:r>
    </w:p>
    <w:p>
      <w:pPr>
        <w:spacing w:after="0" w:line="1" w:lineRule="exact"/>
        <w:rPr>
          <w:rFonts w:ascii="Arial" w:cs="Arial" w:eastAsia="Arial" w:hAnsi="Arial"/>
          <w:sz w:val="13"/>
          <w:szCs w:val="13"/>
          <w:color w:val="auto"/>
        </w:rPr>
      </w:pPr>
    </w:p>
    <w:p>
      <w:pPr>
        <w:ind w:left="300" w:right="40" w:hanging="299"/>
        <w:spacing w:after="0" w:line="300" w:lineRule="auto"/>
        <w:tabs>
          <w:tab w:leader="none" w:pos="3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Pursuant to the New Term Loan Agreement, Adjusted EBITDA limits certain adjustments in aggregate to 10% of the trailing-twelve-month consolidated Adjusted EBITDA, prior to the inclusion of amounts subject to the 10% threshold, for each period ending. Such adjustments include, but are not limited to, restructuring charges, integration costs, severance, and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-989330</wp:posOffset>
            </wp:positionV>
            <wp:extent cx="2804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479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principal sources of liquidity are cash and cash equivalents, available borrowings under our asset-based loan facility and any prospective net cash flow from operations. As of September 30, 2019, our maximum availability under our ABL Facility was $69.5 million. Our Managed Accessibility was $28.8 million, which represents the maximum amount we would access on the ABL Facility and is adjusted for eligible receivables plus eligible borrowing base cash measured at September 30, 2019. As of September 30, 2019, our cash and cash equivalents and Managed Accessibility were $150.1 million.</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December 31, 2018 borrowing base certificate, which was filed in January of 2019, we transferred $25.0 million of cash into restricted cash to maintain the 10% threshold, as permitted under the ABL Facility, which transfer effectively put our cash and cash equivalents and Managed Accessibility to $203.8 million.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cash and cash equivalents and Managed Accessibility as of September 30, 2019 and December 31, 2018:</w:t>
      </w: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17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1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September 30, 2019</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99"/>
              </w:rPr>
              <w:t>December 31, 2018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1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227.6</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Changes to restricted cash</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Managed Accessibility</w:t>
            </w: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w w:val="98"/>
              </w:rPr>
              <w:t>Total cash and cash equivalents and Managed Accessibility</w:t>
            </w:r>
          </w:p>
        </w:tc>
        <w:tc>
          <w:tcPr>
            <w:tcW w:w="194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203.8</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1940" w:type="dxa"/>
            <w:vAlign w:val="bottom"/>
            <w:vMerge w:val="restart"/>
          </w:tcPr>
          <w:p>
            <w:pPr>
              <w:jc w:val="right"/>
              <w:ind w:right="1236"/>
              <w:spacing w:after="0"/>
              <w:rPr>
                <w:sz w:val="20"/>
                <w:szCs w:val="20"/>
                <w:color w:val="auto"/>
              </w:rPr>
            </w:pPr>
            <w:r>
              <w:rPr>
                <w:rFonts w:ascii="Arial" w:cs="Arial" w:eastAsia="Arial" w:hAnsi="Arial"/>
                <w:sz w:val="17"/>
                <w:szCs w:val="17"/>
                <w:color w:val="auto"/>
              </w:rPr>
              <w:t>36</w:t>
            </w: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4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various multi-employer pension funds and our single-employer pension plans, and meeting our other cash obligations including, but not limited to, paying principal and interest on our funded debt, making payments on our equipment leases, and funding capital expenditures.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September 30, 2019, we had $906.3 million in aggregate par value of outstanding indebtedness, the majority of which matures in approximately three to five years. We also have future funding obligations for our various multi-employer pension funds and single-employer pension plans. We expect our funding obligations for the remainder of 2019 for our multi-employer pension funds and single-employer pension plans will be $34.7 million and $2.2 million, respectively. In addition, we have, and will continue to have, operating lease obligations. As of September 30, 2019, our operating lease payment obligations through 2030 totaled $470.2 million and are expected to increase as we lease additional revenue equipment. For the first three quarters of 2019, we entered into new operating leases for revenue equipment totaling $94.6 million in future lease payments, payable over an average lease term of four years.</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capital expenditures for the first three quarters of 2019 and 2018 were $111.5 million and $92.4 million, respectively. These amounts were principally used to fund the purchase of new and used revenue equipment, for capitalized costs to improve our technology infrastructure and to refurbish engines for our revenue fleet. For the nine months ended September 30, 2019 we entered into new operating lease commitments for revenue equipment with a capital equivalent value of $113.3 million.</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2019, our Standard &amp; Poor’s Corporate Family Rating was “B-” with a stable outlook and Moody’s Investor Service Corporate Family Rating was “B2” with a stable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New Term Loan Agreement includes a financial covenant requirement for the Company to maintain a minimum of $200.0 million trailing-twelve-month Adjusted EBITDA, measured quarterly. Consolidated Adjusted EBITDA, defined in our New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The definition was further modified under the New Term Loan Agreement such that certain expenses that qualify as adjustments are capped at 10.0% of the trailing-twelve-month Adjusted EBITDA, in aggregate.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SEC filings, in accordance with its definition in the Prior Term Loan Agreement, will not be included in the calculation of Adjusted EBITDA under the New Term Loan Agreement.</w:t>
      </w:r>
    </w:p>
    <w:p>
      <w:pPr>
        <w:spacing w:after="0" w:line="171"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The ABL Facility also contains certain covenants, including, but not limited to, annual limits on capital expenditures. The ABL includes a $200.0 million annual limit on capital expenditures but one year lookback is permitted. The annual capital expenditure limit covenant was removed from the New Term Loan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 Regarding Compliance with Credit Facility Financial Covenants</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 believe that our results of operations will allow us to comply with the minimum Adjusted EBITDA covenant in the New Term Loan Agreement for at least the next twelve months, subject to specific actions and cost savings initiatives we are taking in the fourth quarter of 2019 and the first quarter of 2020 to provide additional Adjusted EBITDA. These actions include headcount reductions commensurate with our current volume levels, a hiring freeze on new and replacement positions, temporary elimination of short-term incentive compensation and a reduction in discretionary spend. We are taking these actions because we have not been able to fully realize operational efficiencies arising from our New NMFA due to depressed volume levels. Our ability to satisfy our liquidity needs and meet our minimum Adjusted EBITDA requirement during the next twelve months and thereafter is dependent upon our ability to achieve operating results that reflect improvement over our first half 2019, which were negatively impacted by the process to obtain our five-year labor agreement scheduled to expire on March 31, 2019 and successfully ratified on May 14, 2019. Significant adverse conditions, which may result from changes in global trade policies or increased contraction in the general economy, may impact our ability to achieve a minimum Adjusted EBITDA above $200.0 million on a trailing-twelve-month basis. Means for improving our profitability include accelerated implementation of network optimization, specific initiatives in the areas of pricing and customer engagement, and other operational actions to improve productivity and efficiency, as well as increased volume, all of which may not be within our control. If we are unable to achieve the improved results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2" w:right="23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 comply with this covenant in one or more quarters over the next twelve months, we may be required to take specific actions in addition to those described above, including but not limited to, additional reductions in headcount, targeted procurement initiatives to reduce operating costs and accelerating terminal closures to reduce overhead and other operating costs, or alternatively, seeking an amendment or waiver from our lenders or taking other remedial measures.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Cash provided by operating activities was $13.4 million during the first three quarters of 2019, compared to $157.9 million of cash provided during the first three quarters of 2018. The decrease in cash provided was primarily attributable to a $91.4 million decrease in income, and the remaining difference is primarily related to timing differences in working capital accounts.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investing activities was $101.6 million during the first three quarters of 2019 compared to $87.5 million during the first three quarters of 2018. The increase of $14.1 million was largely driven by higher revenue equipment acquisitions partially offset by higher cash proceeds from the sale of real property.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Cash used in financing activities for the first three quarters of 2019 and 2018 was $18.1 million and $22.9 million, respectively. The payment of $11.1 million in deferred debt issuance costs and the favorable impact to cash of obtaining our New Term Loan reduced our cash used when compared to 2018, which consisted primarily of repayments on our long-term debt under our Prior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September 30, 2019.</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September 30,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CCEE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877.8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375.8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173.8</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0"/>
        </w:trPr>
        <w:tc>
          <w:tcPr>
            <w:tcW w:w="4120" w:type="dxa"/>
            <w:vAlign w:val="bottom"/>
            <w:shd w:val="clear" w:color="auto" w:fill="CCEE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362.6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92.0</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470.2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35.1</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51.5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2,258.8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568.2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300.9</w:t>
            </w:r>
          </w:p>
        </w:tc>
      </w:tr>
      <w:tr>
        <w:trPr>
          <w:trHeight w:val="20"/>
        </w:trPr>
        <w:tc>
          <w:tcPr>
            <w:tcW w:w="4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$342.4 million and principal payments of $33.4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Operating leases represent future payments under contractual lease arrangements primarily for revenue equipment.</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contractual obligations include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line="258"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Capital expenditures and other obligations primarily include noncancelable orders for revenue equipment the Company will either purchase or lease. If leased, the cash obligations will be scheduled over the multi-year term of the lease and ROU assets and liabilities will be recorded upon lease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-974725</wp:posOffset>
            </wp:positionV>
            <wp:extent cx="46431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43120" cy="8255"/>
                    </a:xfrm>
                    <a:prstGeom prst="rect">
                      <a:avLst/>
                    </a:prstGeom>
                    <a:noFill/>
                  </pic:spPr>
                </pic:pic>
              </a:graphicData>
            </a:graphic>
          </wp:anchor>
        </w:drawing>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337.6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337.6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120.8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112.4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527.9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112.4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415.5</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300" w:hanging="299"/>
        <w:spacing w:after="0" w:line="242"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except for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2019 and have concluded that our disclosure controls and procedures were effective as of September 30, 2019.</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implemented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on January 1, 2019 and the Company implemented internal controls related to lease balances and disclosures on its consolidated financial statements.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were no other changes in our internal control over financial reporting that occurred during the fiscal quarter ended September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addition to the other information set forth in this report, you should carefully consider the factors discussed below and as discussed in Part I, Item IA. “Risk Factors” in our Annual Report on Form 10-K for the year ended December 31, 2018, which could materially affect our business, financial condition or future results. The risks described below and in our Annual Report on Form 10-K are not the only risks facing us. Additional risks and uncertainties not currently known to us or that we currently deem to be immaterial also may eventually prove to materially adversely affect our business, financial condition and/or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failure to comply with the covenants in our New Term Loan Agreement could materially adversely affect out financial condition and liquidity.</w:t>
      </w:r>
    </w:p>
    <w:p>
      <w:pPr>
        <w:spacing w:after="0" w:line="22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documents governing our indebtedness contain financial covenants, affirmative covenants requiring us to take certain actions and negative covenants restricting our ability to take certain actions. In particular, our New Term Loan Agreement contains a financial covenant that requires us to maintain minimum trailing-twelve-month Adjusted EBITDA of $200.0 million. For additional information, see the “Debt and Financing” footnote to the consolidated financial statements.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believe that our results of operations will allow us to comply with the minimum Adjusted EBITDA covenant in the New Term Loan Agreement for at least the next twelve months, subject to specific actions and cost savings initiatives we are taking in the fourth quarter of 2019 and the first quarter of 2020 to provide additional Adjusted EBITDA. These actions include headcount reductions commensurate with our current volume levels, a hiring freeze on new and replacement positions, temporary elimination of short-term incentive compensation and a reduction in discretionary spend. We are taking these actions because we have not been able to fully realize operational efficiencies arising from our New NMFA due to depressed volume levels. Our ability to satisfy our liquidity needs and meet our minimum Adjusted EBITDA requirement during the next twelve months and thereafter is dependent upon our ability to achieve operating results that reflect improvement over our first half 2019, which were negatively impacted by the process to obtain our five-year labor agreement scheduled to expire on March 31, 2019 and successfully ratified on May 14, 2019. Significant adverse conditions, which may result from changes in global trade policies or increased contraction in the general economy, may impact our ability to achieve a minimum Adjusted EBITDA above $200.0 million on a trailing-twelve-month basis. Means for improving our profitability may include successful implementation of network optimization, specific initiatives in the areas of pricing and customer engagement, and other operational actions to improve productivity and efficiency, as well as increased volume, all of which may not be within our control. If we are unable to achieve the improved results, we may face challenges to comply with this covenant in one or more quarters over the next twelve months and, we may be required to pursue certain actions in addition to the ones described above for the fourth quarter of 2019 and the first quarter of 2020, including but not limited to, additional headcount reductions, targeted procurement initiatives to reduce operating costs and/or seeking other cost reductions. Some of those actions might adversely affect our operations and financial performance over the long-term.</w:t>
      </w:r>
    </w:p>
    <w:p>
      <w:pPr>
        <w:spacing w:after="0" w:line="16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Any covenant breach or other event of default could enable lenders thereunder to accelerate the repayment of amounts outstanding and exercise remedies with respect to the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any covenant breach or event of default could harm our credit rating and our ability to obtain financing on acceptable terms. The occurrence of any of these events could have a material adverse effect on our financial condition and liquidity.</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If our relationship with our employees and unions were to deteriorate, we may be faced with labor disruptions or stoppages or general uncertainty by our customers, which could have a material adverse effect on our business, financial condition and results of operations, result in a loss of customers, and place us at a disadvantage relative to non-union competitors.</w:t>
      </w:r>
    </w:p>
    <w:p>
      <w:pPr>
        <w:spacing w:after="0" w:line="17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Each of our operating subsidiaries has employees who are represented by the International Brotherhood of Teamsters (“IBT”). These employees comprised 79% of our workforce at September 30, 2019. Salaries, wages and employee benefits for both union and non-union employees compose over half of our operating costs. Each of our YRC Freight, New Penn, and Holland subsidiaries employ most of their unionized employees under the terms of a common, master collective bargaining agreement and related supplemental agreements that remain in effect through March 31, 2024, and Reddaway employs most of its unionized employees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under a collective bargaining agreement that expires March 31, 2021. The IBT also represents a number of employees at YRC Freight in Canada under more localized agreements, which have wages, benefit contributions and other terms and conditions that we believe better fit the cost structure and operating models of this entity.</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subsidiaries are regularly subject to grievances, arbitration proceedings and other claims concerning alleged past and current non-compliance with applicable labor law and collective bargaining agreements. We cannot predict the outcome of any of these matters. These matters, if resolved in a manner unfavorable to us, could have a material adverse effect on our business, financial condition,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6. Exhibits</w:t>
      </w:r>
    </w:p>
    <w:p>
      <w:pPr>
        <w:spacing w:after="0" w:line="200" w:lineRule="exact"/>
        <w:rPr>
          <w:sz w:val="20"/>
          <w:szCs w:val="20"/>
          <w:color w:val="auto"/>
        </w:rPr>
      </w:pPr>
    </w:p>
    <w:p>
      <w:pPr>
        <w:spacing w:after="0" w:line="282" w:lineRule="exact"/>
        <w:rPr>
          <w:sz w:val="20"/>
          <w:szCs w:val="20"/>
          <w:color w:val="auto"/>
        </w:rPr>
      </w:pPr>
    </w:p>
    <w:p>
      <w:pPr>
        <w:ind w:left="20"/>
        <w:spacing w:after="0"/>
        <w:rPr>
          <w:rFonts w:ascii="Arial" w:cs="Arial" w:eastAsia="Arial" w:hAnsi="Arial"/>
          <w:sz w:val="17"/>
          <w:szCs w:val="17"/>
          <w:u w:val="single" w:color="auto"/>
          <w:color w:val="0000FF"/>
        </w:rPr>
      </w:pPr>
      <w:hyperlink w:anchor="page45">
        <w:r>
          <w:rPr>
            <w:rFonts w:ascii="Arial" w:cs="Arial" w:eastAsia="Arial" w:hAnsi="Arial"/>
            <w:sz w:val="17"/>
            <w:szCs w:val="17"/>
            <w:u w:val="single" w:color="auto"/>
            <w:color w:val="0000FF"/>
          </w:rPr>
          <w:t>10.1*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34">
        <w:r>
          <w:rPr>
            <w:rFonts w:ascii="Arial" w:cs="Arial" w:eastAsia="Arial" w:hAnsi="Arial"/>
            <w:sz w:val="17"/>
            <w:szCs w:val="17"/>
            <w:u w:val="single" w:color="auto"/>
            <w:color w:val="0000FF"/>
          </w:rPr>
          <w:t>10.2*</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43">
        <w:r>
          <w:rPr>
            <w:rFonts w:ascii="Arial" w:cs="Arial" w:eastAsia="Arial" w:hAnsi="Arial"/>
            <w:sz w:val="17"/>
            <w:szCs w:val="17"/>
            <w:u w:val="single" w:color="auto"/>
            <w:color w:val="0000FF"/>
          </w:rPr>
          <w:t>31.1*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44">
        <w:r>
          <w:rPr>
            <w:rFonts w:ascii="Arial" w:cs="Arial" w:eastAsia="Arial" w:hAnsi="Arial"/>
            <w:sz w:val="17"/>
            <w:szCs w:val="17"/>
            <w:u w:val="single" w:color="auto"/>
            <w:color w:val="0000FF"/>
          </w:rPr>
          <w:t>31.2*</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45">
        <w:r>
          <w:rPr>
            <w:rFonts w:ascii="Arial" w:cs="Arial" w:eastAsia="Arial" w:hAnsi="Arial"/>
            <w:sz w:val="17"/>
            <w:szCs w:val="17"/>
            <w:u w:val="single" w:color="auto"/>
            <w:color w:val="0000FF"/>
          </w:rPr>
          <w:t>32.1*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46">
        <w:r>
          <w:rPr>
            <w:rFonts w:ascii="Arial" w:cs="Arial" w:eastAsia="Arial" w:hAnsi="Arial"/>
            <w:sz w:val="17"/>
            <w:szCs w:val="17"/>
            <w:u w:val="single" w:color="auto"/>
            <w:color w:val="0000FF"/>
          </w:rPr>
          <w:t>32.2*</w:t>
        </w:r>
      </w:hyperlink>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337" w:lineRule="auto"/>
        <w:rPr>
          <w:rFonts w:ascii="Arial" w:cs="Arial" w:eastAsia="Arial" w:hAnsi="Arial"/>
          <w:sz w:val="15"/>
          <w:szCs w:val="15"/>
          <w:u w:val="single" w:color="auto"/>
          <w:color w:val="0000FF"/>
        </w:rPr>
      </w:pPr>
      <w:hyperlink w:anchor="page45">
        <w:r>
          <w:rPr>
            <w:rFonts w:ascii="Arial" w:cs="Arial" w:eastAsia="Arial" w:hAnsi="Arial"/>
            <w:sz w:val="15"/>
            <w:szCs w:val="15"/>
            <w:u w:val="single" w:color="auto"/>
            <w:color w:val="0000FF"/>
          </w:rPr>
          <w:t>Credit Agreement, dated as of September 11, 2019, by and among the Company, as borrower, the subsidiaries of the borrower party thereto from time</w:t>
        </w:r>
      </w:hyperlink>
      <w:r>
        <w:rPr>
          <w:rFonts w:ascii="Arial" w:cs="Arial" w:eastAsia="Arial" w:hAnsi="Arial"/>
          <w:sz w:val="15"/>
          <w:szCs w:val="15"/>
          <w:u w:val="single" w:color="auto"/>
          <w:color w:val="0000FF"/>
        </w:rPr>
        <w:t xml:space="preserve"> </w:t>
      </w:r>
      <w:hyperlink w:anchor="page45">
        <w:r>
          <w:rPr>
            <w:rFonts w:ascii="Arial" w:cs="Arial" w:eastAsia="Arial" w:hAnsi="Arial"/>
            <w:sz w:val="15"/>
            <w:szCs w:val="15"/>
            <w:u w:val="single" w:color="auto"/>
            <w:color w:val="0000FF"/>
          </w:rPr>
          <w:t>to time, the lenders from time to time party thereto, and Cortland Products Corp., as administrative agent and collateral agent for the lenders.</w:t>
        </w:r>
      </w:hyperlink>
    </w:p>
    <w:p>
      <w:pPr>
        <w:spacing w:after="0" w:line="283" w:lineRule="exact"/>
        <w:rPr>
          <w:sz w:val="20"/>
          <w:szCs w:val="20"/>
          <w:color w:val="auto"/>
        </w:rPr>
      </w:pPr>
    </w:p>
    <w:p>
      <w:pPr>
        <w:spacing w:after="0" w:line="269" w:lineRule="auto"/>
        <w:rPr>
          <w:rFonts w:ascii="Arial" w:cs="Arial" w:eastAsia="Arial" w:hAnsi="Arial"/>
          <w:sz w:val="17"/>
          <w:szCs w:val="17"/>
          <w:u w:val="single" w:color="auto"/>
          <w:color w:val="0000FF"/>
        </w:rPr>
      </w:pPr>
      <w:hyperlink w:anchor="page134">
        <w:r>
          <w:rPr>
            <w:rFonts w:ascii="Arial" w:cs="Arial" w:eastAsia="Arial" w:hAnsi="Arial"/>
            <w:sz w:val="17"/>
            <w:szCs w:val="17"/>
            <w:u w:val="single" w:color="auto"/>
            <w:color w:val="0000FF"/>
          </w:rPr>
          <w:t>Amendment No. 5 to Loan and Security Agreement by and among the Company, certain of the Company’s subsidiaries party thereto, the lenders party</w:t>
        </w:r>
      </w:hyperlink>
      <w:r>
        <w:rPr>
          <w:rFonts w:ascii="Arial" w:cs="Arial" w:eastAsia="Arial" w:hAnsi="Arial"/>
          <w:sz w:val="17"/>
          <w:szCs w:val="17"/>
          <w:u w:val="single" w:color="auto"/>
          <w:color w:val="0000FF"/>
        </w:rPr>
        <w:t xml:space="preserve"> </w:t>
      </w:r>
      <w:hyperlink w:anchor="page134">
        <w:r>
          <w:rPr>
            <w:rFonts w:ascii="Arial" w:cs="Arial" w:eastAsia="Arial" w:hAnsi="Arial"/>
            <w:sz w:val="17"/>
            <w:szCs w:val="17"/>
            <w:u w:val="single" w:color="auto"/>
            <w:color w:val="0000FF"/>
          </w:rPr>
          <w:t>thereto and Citizens Business Capital as agent.</w:t>
        </w:r>
      </w:hyperlink>
    </w:p>
    <w:p>
      <w:pPr>
        <w:spacing w:after="0" w:line="329" w:lineRule="exact"/>
        <w:rPr>
          <w:sz w:val="20"/>
          <w:szCs w:val="20"/>
          <w:color w:val="auto"/>
        </w:rPr>
      </w:pPr>
    </w:p>
    <w:p>
      <w:pPr>
        <w:ind w:right="300"/>
        <w:spacing w:after="0" w:line="269" w:lineRule="auto"/>
        <w:rPr>
          <w:rFonts w:ascii="Arial" w:cs="Arial" w:eastAsia="Arial" w:hAnsi="Arial"/>
          <w:sz w:val="17"/>
          <w:szCs w:val="17"/>
          <w:u w:val="single" w:color="auto"/>
          <w:color w:val="0000FF"/>
        </w:rPr>
      </w:pPr>
      <w:hyperlink w:anchor="page143">
        <w:r>
          <w:rPr>
            <w:rFonts w:ascii="Arial" w:cs="Arial" w:eastAsia="Arial" w:hAnsi="Arial"/>
            <w:sz w:val="17"/>
            <w:szCs w:val="17"/>
            <w:u w:val="single" w:color="auto"/>
            <w:color w:val="0000FF"/>
          </w:rPr>
          <w:t>Certification of Darren D. Hawkins filed pursuant to Exchange Act Rules 13a-14 and 15d-14, as adopted pursuant to Section 302 of the Sarbanes-</w:t>
        </w:r>
      </w:hyperlink>
      <w:hyperlink w:anchor="page143">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280"/>
        <w:spacing w:after="0" w:line="269" w:lineRule="auto"/>
        <w:rPr>
          <w:rFonts w:ascii="Arial" w:cs="Arial" w:eastAsia="Arial" w:hAnsi="Arial"/>
          <w:sz w:val="17"/>
          <w:szCs w:val="17"/>
          <w:u w:val="single" w:color="auto"/>
          <w:color w:val="0000FF"/>
        </w:rPr>
      </w:pPr>
      <w:hyperlink w:anchor="page144">
        <w:r>
          <w:rPr>
            <w:rFonts w:ascii="Arial" w:cs="Arial" w:eastAsia="Arial" w:hAnsi="Arial"/>
            <w:sz w:val="17"/>
            <w:szCs w:val="17"/>
            <w:u w:val="single" w:color="auto"/>
            <w:color w:val="0000FF"/>
          </w:rPr>
          <w:t>Certification of Stephanie D. Fisher filed pursuant to Exchange Act Rules 13a-14 and 15d-14, as adopted pursuant to Section 302 of the Sarbanes-</w:t>
        </w:r>
      </w:hyperlink>
      <w:hyperlink w:anchor="page144">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180"/>
        <w:spacing w:after="0" w:line="269" w:lineRule="auto"/>
        <w:rPr>
          <w:rFonts w:ascii="Arial" w:cs="Arial" w:eastAsia="Arial" w:hAnsi="Arial"/>
          <w:sz w:val="17"/>
          <w:szCs w:val="17"/>
          <w:u w:val="single" w:color="auto"/>
          <w:color w:val="0000FF"/>
        </w:rPr>
      </w:pPr>
      <w:hyperlink w:anchor="page145">
        <w:r>
          <w:rPr>
            <w:rFonts w:ascii="Arial" w:cs="Arial" w:eastAsia="Arial" w:hAnsi="Arial"/>
            <w:sz w:val="17"/>
            <w:szCs w:val="17"/>
            <w:u w:val="single" w:color="auto"/>
            <w:color w:val="0000FF"/>
          </w:rPr>
          <w:t>Certification of Darren D. Hawkins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145">
        <w:r>
          <w:rPr>
            <w:rFonts w:ascii="Arial" w:cs="Arial" w:eastAsia="Arial" w:hAnsi="Arial"/>
            <w:sz w:val="17"/>
            <w:szCs w:val="17"/>
            <w:u w:val="single" w:color="auto"/>
            <w:color w:val="0000FF"/>
          </w:rPr>
          <w:t>2002</w:t>
        </w:r>
      </w:hyperlink>
    </w:p>
    <w:p>
      <w:pPr>
        <w:spacing w:after="0" w:line="329" w:lineRule="exact"/>
        <w:rPr>
          <w:sz w:val="20"/>
          <w:szCs w:val="20"/>
          <w:color w:val="auto"/>
        </w:rPr>
      </w:pPr>
    </w:p>
    <w:p>
      <w:pPr>
        <w:ind w:right="160"/>
        <w:spacing w:after="0" w:line="269" w:lineRule="auto"/>
        <w:rPr>
          <w:rFonts w:ascii="Arial" w:cs="Arial" w:eastAsia="Arial" w:hAnsi="Arial"/>
          <w:sz w:val="17"/>
          <w:szCs w:val="17"/>
          <w:u w:val="single" w:color="auto"/>
          <w:color w:val="0000FF"/>
        </w:rPr>
      </w:pPr>
      <w:hyperlink w:anchor="page146">
        <w:r>
          <w:rPr>
            <w:rFonts w:ascii="Arial" w:cs="Arial" w:eastAsia="Arial" w:hAnsi="Arial"/>
            <w:sz w:val="17"/>
            <w:szCs w:val="17"/>
            <w:u w:val="single" w:color="auto"/>
            <w:color w:val="0000FF"/>
          </w:rPr>
          <w:t>Certification of Stephanie D. Fisher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146">
        <w:r>
          <w:rPr>
            <w:rFonts w:ascii="Arial" w:cs="Arial" w:eastAsia="Arial" w:hAnsi="Arial"/>
            <w:sz w:val="17"/>
            <w:szCs w:val="17"/>
            <w:u w:val="single" w:color="auto"/>
            <w:color w:val="0000FF"/>
          </w:rPr>
          <w:t>2002</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XBRL Instance Document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w:t>
      </w:r>
    </w:p>
    <w:p>
      <w:pPr>
        <w:spacing w:after="0" w:line="200" w:lineRule="exact"/>
        <w:rPr>
          <w:sz w:val="20"/>
          <w:szCs w:val="20"/>
          <w:color w:val="auto"/>
        </w:rPr>
      </w:pPr>
    </w:p>
    <w:p>
      <w:pPr>
        <w:sectPr>
          <w:pgSz w:w="11900" w:h="16838" w:orient="portrait"/>
          <w:cols w:equalWidth="0" w:num="2">
            <w:col w:w="1080" w:space="200"/>
            <w:col w:w="10100"/>
          </w:cols>
          <w:pgMar w:left="240" w:top="122" w:right="27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80"/>
          </w:cols>
          <w:pgMar w:left="240" w:top="122" w:right="279" w:bottom="1440" w:gutter="0" w:footer="0" w:header="0"/>
          <w:type w:val="continuous"/>
        </w:sectPr>
      </w:pPr>
    </w:p>
    <w:bookmarkStart w:id="43" w:name="page44"/>
    <w:bookmarkEnd w:id="4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October 31, 2019</w:t>
            </w:r>
          </w:p>
        </w:tc>
        <w:tc>
          <w:tcPr>
            <w:tcW w:w="5820" w:type="dxa"/>
            <w:vAlign w:val="bottom"/>
          </w:tcPr>
          <w:p>
            <w:pPr>
              <w:ind w:left="140"/>
              <w:spacing w:after="0"/>
              <w:rPr>
                <w:sz w:val="20"/>
                <w:szCs w:val="20"/>
                <w:color w:val="auto"/>
              </w:rPr>
            </w:pPr>
            <w:r>
              <w:rPr>
                <w:rFonts w:ascii="Arial" w:cs="Arial" w:eastAsia="Arial" w:hAnsi="Arial"/>
                <w:sz w:val="17"/>
                <w:szCs w:val="17"/>
                <w:color w:val="auto"/>
              </w:rPr>
              <w:t>/s/ Darren D. Hawkins</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Darren D. Hawkins</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October 31, 2019</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44</w:t>
            </w:r>
          </w:p>
        </w:tc>
      </w:tr>
    </w:tbl>
    <w:p>
      <w:pPr>
        <w:sectPr>
          <w:pgSz w:w="11900" w:h="16838" w:orient="portrait"/>
          <w:cols w:equalWidth="0" w:num="1">
            <w:col w:w="11420"/>
          </w:cols>
          <w:pgMar w:left="240" w:top="12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AMENDED AND RESTATED CREDIT AGREEMENT</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dated as of</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September 11, 2019</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YRC WORLDWIDE INC.,</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OTHER GUARANTORS PARTY HERETO FROM TIME TO TIME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PARTY HERETO</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and</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CORTLAND PRODUCTS CORP.,</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Administrative Agent and Collateral Agent</w:t>
      </w: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2156460</wp:posOffset>
            </wp:positionV>
            <wp:extent cx="72815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154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TABLE OF CONTENTS</w:t>
      </w:r>
    </w:p>
    <w:p>
      <w:pPr>
        <w:spacing w:after="0" w:line="252" w:lineRule="exact"/>
        <w:rPr>
          <w:sz w:val="20"/>
          <w:szCs w:val="20"/>
          <w:color w:val="auto"/>
        </w:rPr>
      </w:pPr>
    </w:p>
    <w:p>
      <w:pPr>
        <w:ind w:left="10920"/>
        <w:spacing w:after="0"/>
        <w:rPr>
          <w:sz w:val="20"/>
          <w:szCs w:val="20"/>
          <w:color w:val="auto"/>
        </w:rPr>
      </w:pPr>
      <w:r>
        <w:rPr>
          <w:rFonts w:ascii="Arial" w:cs="Arial" w:eastAsia="Arial" w:hAnsi="Arial"/>
          <w:sz w:val="17"/>
          <w:szCs w:val="17"/>
          <w:u w:val="single" w:color="auto"/>
          <w:color w:val="auto"/>
        </w:rPr>
        <w:t>PAGE</w:t>
      </w:r>
    </w:p>
    <w:p>
      <w:pPr>
        <w:spacing w:after="0" w:line="200" w:lineRule="exact"/>
        <w:rPr>
          <w:sz w:val="20"/>
          <w:szCs w:val="20"/>
          <w:color w:val="auto"/>
        </w:rPr>
      </w:pPr>
    </w:p>
    <w:p>
      <w:pPr>
        <w:spacing w:after="0" w:line="246" w:lineRule="exact"/>
        <w:rPr>
          <w:sz w:val="20"/>
          <w:szCs w:val="20"/>
          <w:color w:val="auto"/>
        </w:rPr>
      </w:pPr>
    </w:p>
    <w:p>
      <w:pPr>
        <w:ind w:left="5180"/>
        <w:spacing w:after="0"/>
        <w:rPr>
          <w:sz w:val="20"/>
          <w:szCs w:val="20"/>
          <w:color w:val="auto"/>
        </w:rPr>
      </w:pPr>
      <w:r>
        <w:rPr>
          <w:rFonts w:ascii="Arial" w:cs="Arial" w:eastAsia="Arial" w:hAnsi="Arial"/>
          <w:sz w:val="20"/>
          <w:szCs w:val="20"/>
          <w:b w:val="1"/>
          <w:bCs w:val="1"/>
          <w:i w:val="1"/>
          <w:iCs w:val="1"/>
          <w:color w:val="auto"/>
        </w:rPr>
        <w:t>ARTICLE 1</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20"/>
          <w:szCs w:val="20"/>
          <w:b w:val="1"/>
          <w:bCs w:val="1"/>
          <w:i w:val="1"/>
          <w:iCs w:val="1"/>
          <w:color w:val="auto"/>
        </w:rPr>
        <w:t>DEFINITIONS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 Defined Terms1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1.02. Other Interpretive Provisions52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1.03. Certifications54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1.04. Accounting Terms54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1.05. Rounding54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1.06. References to Agreements, Laws, Etc54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1.07. Times of Day54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1.08. Timing of Payment of Performance54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1.09. Cumulative Credit Transactions54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 Pro Forma Calculations54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1.11. Certain Accounting Matters56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1.12. Classification of Loans and Borrowings56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1.13. Currency Equivalents Generally56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1.14. Effect of Amendment and Restatement57</w:t>
      </w:r>
    </w:p>
    <w:p>
      <w:pPr>
        <w:sectPr>
          <w:pgSz w:w="11900" w:h="16838" w:orient="portrait"/>
          <w:cols w:equalWidth="0" w:num="1">
            <w:col w:w="11420"/>
          </w:cols>
          <w:pgMar w:left="240" w:top="131" w:right="239" w:bottom="0" w:gutter="0" w:footer="0" w:header="0"/>
        </w:sectPr>
      </w:pPr>
    </w:p>
    <w:p>
      <w:pPr>
        <w:spacing w:after="0" w:line="192" w:lineRule="exact"/>
        <w:rPr>
          <w:sz w:val="20"/>
          <w:szCs w:val="20"/>
          <w:color w:val="auto"/>
        </w:rPr>
      </w:pPr>
    </w:p>
    <w:p>
      <w:pPr>
        <w:ind w:left="5180"/>
        <w:spacing w:after="0"/>
        <w:rPr>
          <w:sz w:val="20"/>
          <w:szCs w:val="20"/>
          <w:color w:val="auto"/>
        </w:rPr>
      </w:pPr>
      <w:r>
        <w:rPr>
          <w:rFonts w:ascii="Arial" w:cs="Arial" w:eastAsia="Arial" w:hAnsi="Arial"/>
          <w:sz w:val="20"/>
          <w:szCs w:val="20"/>
          <w:b w:val="1"/>
          <w:bCs w:val="1"/>
          <w:i w:val="1"/>
          <w:iCs w:val="1"/>
          <w:color w:val="auto"/>
        </w:rPr>
        <w:t>ARTICLE 2</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9"/>
          <w:szCs w:val="19"/>
          <w:b w:val="1"/>
          <w:bCs w:val="1"/>
          <w:i w:val="1"/>
          <w:iCs w:val="1"/>
          <w:color w:val="auto"/>
        </w:rPr>
        <w:t>THE CREDITS</w:t>
      </w:r>
    </w:p>
    <w:p>
      <w:pPr>
        <w:sectPr>
          <w:pgSz w:w="11900" w:h="16838" w:orient="portrait"/>
          <w:cols w:equalWidth="0" w:num="1">
            <w:col w:w="11420"/>
          </w:cols>
          <w:pgMar w:left="240" w:top="131" w:right="239"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i w:val="1"/>
          <w:iCs w:val="1"/>
          <w:color w:val="auto"/>
        </w:rPr>
        <w:t>Section 2.01. Tranche B-2 Term Loan Commitments57</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2.02. Loans57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2.03. Borrowing Procedure58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2.04. Evidence of Debt; Repayment of Loans59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2.05. Fees60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2.06. Interest on Loans60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2.07. Default Interest60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2.08. Alternate Rate of Interest61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2.09. Termination and Reduction of Commitments61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2.10. Conversion and Continuation of Borrowings61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2.11. Repayment of Term Borrowings63</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2.12. Voluntary Prepayment63</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2.13. Mandatory Prepayments65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2.14. Pro Rata Treatment68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2.15. Sharing of Setoffs68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2.16. Payments69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2.17. [Reserved]69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2.18. Refinancing Amendments69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2.19. Extensions of Term Loans70</w:t>
      </w:r>
    </w:p>
    <w:p>
      <w:pPr>
        <w:spacing w:after="0" w:line="192"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i w:val="1"/>
          <w:iCs w:val="1"/>
          <w:color w:val="auto"/>
        </w:rPr>
        <w:t>ARTICLE 3</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i w:val="1"/>
          <w:iCs w:val="1"/>
          <w:color w:val="auto"/>
        </w:rPr>
        <w:t>TAXES, INCREASED COSTS PROTECTION AND ILLEGALITY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3.01. Taxes73</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3.02. Illegality76</w:t>
      </w:r>
    </w:p>
    <w:p>
      <w:pPr>
        <w:spacing w:after="0" w:line="9" w:lineRule="exact"/>
        <w:rPr>
          <w:sz w:val="20"/>
          <w:szCs w:val="20"/>
          <w:color w:val="auto"/>
        </w:rPr>
      </w:pPr>
    </w:p>
    <w:p>
      <w:pPr>
        <w:ind w:right="1879"/>
        <w:spacing w:after="0" w:line="249" w:lineRule="auto"/>
        <w:rPr>
          <w:sz w:val="20"/>
          <w:szCs w:val="20"/>
          <w:color w:val="auto"/>
        </w:rPr>
      </w:pPr>
      <w:r>
        <w:rPr>
          <w:rFonts w:ascii="Arial" w:cs="Arial" w:eastAsia="Arial" w:hAnsi="Arial"/>
          <w:sz w:val="20"/>
          <w:szCs w:val="20"/>
          <w:i w:val="1"/>
          <w:iCs w:val="1"/>
          <w:color w:val="auto"/>
        </w:rPr>
        <w:t>Section 3.03. Increased Cost and Reduced Return; Capital Adequacy; Reserves on Eurodollar Loans77 Section 3.04. Funding Losses78</w:t>
      </w:r>
    </w:p>
    <w:p>
      <w:pPr>
        <w:spacing w:after="0" w:line="1" w:lineRule="exact"/>
        <w:rPr>
          <w:sz w:val="20"/>
          <w:szCs w:val="20"/>
          <w:color w:val="auto"/>
        </w:rPr>
      </w:pPr>
    </w:p>
    <w:p>
      <w:pPr>
        <w:jc w:val="both"/>
        <w:ind w:right="4539"/>
        <w:spacing w:after="0" w:line="254" w:lineRule="auto"/>
        <w:rPr>
          <w:sz w:val="20"/>
          <w:szCs w:val="20"/>
          <w:color w:val="auto"/>
        </w:rPr>
      </w:pPr>
      <w:r>
        <w:rPr>
          <w:rFonts w:ascii="Arial" w:cs="Arial" w:eastAsia="Arial" w:hAnsi="Arial"/>
          <w:sz w:val="20"/>
          <w:szCs w:val="20"/>
          <w:i w:val="1"/>
          <w:iCs w:val="1"/>
          <w:color w:val="auto"/>
        </w:rPr>
        <w:t>Section 3.05. Matters Applicable to all Requests for Compensation79 Section 3.06. Replacement of Lenders under Certain Circumstances80 Section 3.07. Survival81</w:t>
      </w:r>
    </w:p>
    <w:p>
      <w:pPr>
        <w:spacing w:after="0" w:line="170"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i w:val="1"/>
          <w:iCs w:val="1"/>
          <w:color w:val="auto"/>
        </w:rPr>
        <w:t>ARTICLE 4</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i w:val="1"/>
          <w:iCs w:val="1"/>
          <w:color w:val="auto"/>
        </w:rPr>
        <w:t>CONDITIONS PRECEDENT TO CREDIT EXTENSIONS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4.01. All Credit Extensions81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4.02. First Credit Extension82</w:t>
      </w:r>
    </w:p>
    <w:p>
      <w:pPr>
        <w:spacing w:after="0" w:line="192"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i w:val="1"/>
          <w:iCs w:val="1"/>
          <w:color w:val="auto"/>
        </w:rPr>
        <w:t>ARTICLE 5</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i w:val="1"/>
          <w:iCs w:val="1"/>
          <w:color w:val="auto"/>
        </w:rPr>
        <w:t>REPRESENTATIONS AND WARRANTIES</w:t>
      </w:r>
    </w:p>
    <w:p>
      <w:pPr>
        <w:spacing w:after="0" w:line="21" w:lineRule="exact"/>
        <w:rPr>
          <w:sz w:val="20"/>
          <w:szCs w:val="20"/>
          <w:color w:val="auto"/>
        </w:rPr>
      </w:pPr>
    </w:p>
    <w:p>
      <w:pPr>
        <w:ind w:right="4079"/>
        <w:spacing w:after="0" w:line="249" w:lineRule="auto"/>
        <w:rPr>
          <w:sz w:val="20"/>
          <w:szCs w:val="20"/>
          <w:color w:val="auto"/>
        </w:rPr>
      </w:pPr>
      <w:r>
        <w:rPr>
          <w:rFonts w:ascii="Arial" w:cs="Arial" w:eastAsia="Arial" w:hAnsi="Arial"/>
          <w:sz w:val="20"/>
          <w:szCs w:val="20"/>
          <w:i w:val="1"/>
          <w:iCs w:val="1"/>
          <w:color w:val="auto"/>
        </w:rPr>
        <w:t>Section 5.01. Existence, Qualification and Power; Compliance with Laws85 Section 5.02. Authorization; No Contravention85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5.03. Governmental Authorization; Other Consents85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5.04. Binding Effect86</w:t>
      </w:r>
    </w:p>
    <w:p>
      <w:pPr>
        <w:spacing w:after="0" w:line="9" w:lineRule="exact"/>
        <w:rPr>
          <w:sz w:val="20"/>
          <w:szCs w:val="20"/>
          <w:color w:val="auto"/>
        </w:rPr>
      </w:pPr>
    </w:p>
    <w:p>
      <w:pPr>
        <w:ind w:right="4879"/>
        <w:spacing w:after="0" w:line="249" w:lineRule="auto"/>
        <w:rPr>
          <w:sz w:val="20"/>
          <w:szCs w:val="20"/>
          <w:color w:val="auto"/>
        </w:rPr>
      </w:pPr>
      <w:r>
        <w:rPr>
          <w:rFonts w:ascii="Arial" w:cs="Arial" w:eastAsia="Arial" w:hAnsi="Arial"/>
          <w:sz w:val="20"/>
          <w:szCs w:val="20"/>
          <w:i w:val="1"/>
          <w:iCs w:val="1"/>
          <w:color w:val="auto"/>
        </w:rPr>
        <w:t>Section 5.05. Financial Statements; No Material Adverse Effect86 Section 5.06. Compliance With Laws86 Section 5.07. Ownership of Property; Liens87</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5.08. Environmental Matters87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5.09. Taxes88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5.10. ERISA Compliance88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5.11. Subsidiaries88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5.12. Margin Regulations; Investment Company Act89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5.13. Disclosure89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5.14. Labor Matters89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5.15. Insurance90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5.16. Solvency90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5.17. No Other Borrowerd Money Indebtedness90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5.18. Collateral Documents90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5.19. Compliance with Anti-Terrorism and Corruption Laws92</w:t>
      </w:r>
    </w:p>
    <w:p>
      <w:pPr>
        <w:spacing w:after="0" w:line="192" w:lineRule="exact"/>
        <w:rPr>
          <w:sz w:val="20"/>
          <w:szCs w:val="20"/>
          <w:color w:val="auto"/>
        </w:rPr>
      </w:pPr>
    </w:p>
    <w:p>
      <w:pPr>
        <w:ind w:left="5200"/>
        <w:spacing w:after="0"/>
        <w:rPr>
          <w:sz w:val="20"/>
          <w:szCs w:val="20"/>
          <w:color w:val="auto"/>
        </w:rPr>
      </w:pPr>
      <w:r>
        <w:rPr>
          <w:rFonts w:ascii="Arial" w:cs="Arial" w:eastAsia="Arial" w:hAnsi="Arial"/>
          <w:sz w:val="20"/>
          <w:szCs w:val="20"/>
          <w:b w:val="1"/>
          <w:bCs w:val="1"/>
          <w:i w:val="1"/>
          <w:iCs w:val="1"/>
          <w:color w:val="auto"/>
        </w:rPr>
        <w:t>ARTICLE 6</w:t>
      </w:r>
    </w:p>
    <w:p>
      <w:pPr>
        <w:spacing w:after="0" w:line="210" w:lineRule="exact"/>
        <w:rPr>
          <w:sz w:val="20"/>
          <w:szCs w:val="20"/>
          <w:color w:val="auto"/>
        </w:rPr>
      </w:pPr>
    </w:p>
    <w:p>
      <w:pPr>
        <w:ind w:left="4400"/>
        <w:spacing w:after="0"/>
        <w:rPr>
          <w:sz w:val="20"/>
          <w:szCs w:val="20"/>
          <w:color w:val="auto"/>
        </w:rPr>
      </w:pPr>
      <w:r>
        <w:rPr>
          <w:rFonts w:ascii="Arial" w:cs="Arial" w:eastAsia="Arial" w:hAnsi="Arial"/>
          <w:sz w:val="20"/>
          <w:szCs w:val="20"/>
          <w:b w:val="1"/>
          <w:bCs w:val="1"/>
          <w:i w:val="1"/>
          <w:iCs w:val="1"/>
          <w:color w:val="auto"/>
        </w:rPr>
        <w:t>AFFIRMATIVE COVENANTS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6.01. Financial Statements, Reports, Etc93</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6.02. Certificates; Other Information95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6.03. Notices96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6.04. Payment of Taxes97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6.05. Preservation of Existence, Etc97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6.06. Maintenance of Properties97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6.07. Maintenance of Insurance97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6.08. Compliance with Laws99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6.09. Books and Records99</w:t>
      </w:r>
    </w:p>
    <w:p>
      <w:pPr>
        <w:sectPr>
          <w:pgSz w:w="11900" w:h="16838" w:orient="portrait"/>
          <w:cols w:equalWidth="0" w:num="1">
            <w:col w:w="10219"/>
          </w:cols>
          <w:pgMar w:left="240" w:top="131" w:right="1440" w:bottom="0" w:gutter="0" w:footer="0" w:header="0"/>
        </w:sectPr>
      </w:pPr>
    </w:p>
    <w:bookmarkStart w:id="46" w:name="page47"/>
    <w:bookmarkEnd w:id="46"/>
    <w:p>
      <w:pPr>
        <w:spacing w:after="0"/>
        <w:rPr>
          <w:sz w:val="20"/>
          <w:szCs w:val="20"/>
          <w:color w:val="auto"/>
        </w:rPr>
      </w:pPr>
      <w:r>
        <w:rPr>
          <w:rFonts w:ascii="Arial" w:cs="Arial" w:eastAsia="Arial" w:hAnsi="Arial"/>
          <w:sz w:val="20"/>
          <w:szCs w:val="20"/>
          <w:i w:val="1"/>
          <w:iCs w:val="1"/>
          <w:color w:val="auto"/>
        </w:rPr>
        <w:t>Section 6.10. Inspection Rights99</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6.11. Additional Collateral; Additional Guarantors99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6.12. Compliance with Environmental Laws101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6.13. Further Assurances and Post-Closing Conditions101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6.14. [Reserved]102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6.15. Maintenance of Ratings102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6.16. Use of Proceeds102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6.17. Cash Management</w:t>
      </w:r>
      <w:r>
        <w:rPr>
          <w:rFonts w:ascii="Arial" w:cs="Arial" w:eastAsia="Arial" w:hAnsi="Arial"/>
          <w:sz w:val="20"/>
          <w:szCs w:val="20"/>
          <w:b w:val="1"/>
          <w:bCs w:val="1"/>
          <w:i w:val="1"/>
          <w:iCs w:val="1"/>
          <w:color w:val="auto"/>
        </w:rPr>
        <w:t>Error! Bookmark not defined.</w:t>
      </w:r>
    </w:p>
    <w:p>
      <w:pPr>
        <w:spacing w:after="0" w:line="192"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i w:val="1"/>
          <w:iCs w:val="1"/>
          <w:color w:val="auto"/>
        </w:rPr>
        <w:t>ARTICLE 7</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i w:val="1"/>
          <w:iCs w:val="1"/>
          <w:color w:val="auto"/>
        </w:rPr>
        <w:t>NEGATIVE COVENANTS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7.01. Liens102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7.02. Investments106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7.03. Indebtedness110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7.04. Fundamental Changes113</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7.05. Dispositions115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7.06. Restricted Payments117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7.07. Change in Nature of Business; Organization Documents118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7.08. Transactions with Affiliates119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7.09. Burdensome Agreements119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7.10. Financial Covenant120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7.11. [Reserved]120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7.12. Fiscal Year120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7.13. Prepayments, Etc. of Indebtedness121</w:t>
      </w:r>
    </w:p>
    <w:p>
      <w:pPr>
        <w:spacing w:after="0" w:line="192"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i w:val="1"/>
          <w:iCs w:val="1"/>
          <w:color w:val="auto"/>
        </w:rPr>
        <w:t>ARTICLE 8</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i w:val="1"/>
          <w:iCs w:val="1"/>
          <w:color w:val="auto"/>
        </w:rPr>
        <w:t>EVENTS OF DEFAULT AND REMEDIES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8.01. Events of Default122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8.02. Remedies Upon Event of Default125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8.03. Exclusion of Immaterial Subsidiaries125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8.04. Application of Funds126</w:t>
      </w:r>
    </w:p>
    <w:p>
      <w:pPr>
        <w:spacing w:after="0" w:line="192"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i w:val="1"/>
          <w:iCs w:val="1"/>
          <w:color w:val="auto"/>
        </w:rPr>
        <w:t>ARTICLE 9</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i w:val="1"/>
          <w:iCs w:val="1"/>
          <w:color w:val="auto"/>
        </w:rPr>
        <w:t>THE ADMINISTRATIVE AGENT AND THE COLLATERAL AGENT</w:t>
      </w:r>
    </w:p>
    <w:p>
      <w:pPr>
        <w:spacing w:after="0" w:line="216" w:lineRule="exact"/>
        <w:rPr>
          <w:sz w:val="20"/>
          <w:szCs w:val="20"/>
          <w:color w:val="auto"/>
        </w:rPr>
      </w:pPr>
    </w:p>
    <w:p>
      <w:pPr>
        <w:ind w:left="5140"/>
        <w:spacing w:after="0"/>
        <w:rPr>
          <w:sz w:val="20"/>
          <w:szCs w:val="20"/>
          <w:color w:val="auto"/>
        </w:rPr>
      </w:pPr>
      <w:r>
        <w:rPr>
          <w:rFonts w:ascii="Arial" w:cs="Arial" w:eastAsia="Arial" w:hAnsi="Arial"/>
          <w:sz w:val="20"/>
          <w:szCs w:val="20"/>
          <w:b w:val="1"/>
          <w:bCs w:val="1"/>
          <w:i w:val="1"/>
          <w:iCs w:val="1"/>
          <w:color w:val="auto"/>
        </w:rPr>
        <w:t>ARTICLE 10</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20"/>
          <w:szCs w:val="20"/>
          <w:b w:val="1"/>
          <w:bCs w:val="1"/>
          <w:i w:val="1"/>
          <w:iCs w:val="1"/>
          <w:color w:val="auto"/>
        </w:rPr>
        <w:t>MISCELLANEOUS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10.01. Notices; Electronic Communications130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10.02. Survival of Agreement133</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10.03. Binding Effect134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10.04. Successors and Assigns134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10.05. Expenses; Indemnity139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10.06. Right of Setoff142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10.07. Applicable Law142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10.08. Waivers; Amendment142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10.09. Interest Rate Limitation145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10.10. Entire Agreement145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10.11. WAIVER OF JURY TRIAL145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10.12. Severability145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10.13. Counterparts146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10.14. Headings146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10.15. Jurisdiction; Consent to Service of Process146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10.16. Confidentiality146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10.17. Lender Action147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10.18. USA PATRIOT Act Notice147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10.19. Collateral And Guaranty Matters147</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10.20. [Reserved]148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10.21. Payments Set Aside148</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10.22. No Advisory or Fiduciary Responsibility149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10.23. Intercreditor Agreements149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10.24. Alternative Interest Rates150</w:t>
      </w:r>
    </w:p>
    <w:p>
      <w:pPr>
        <w:spacing w:after="0" w:line="192" w:lineRule="exact"/>
        <w:rPr>
          <w:sz w:val="20"/>
          <w:szCs w:val="20"/>
          <w:color w:val="auto"/>
        </w:rPr>
      </w:pPr>
    </w:p>
    <w:p>
      <w:pPr>
        <w:ind w:left="5140"/>
        <w:spacing w:after="0"/>
        <w:rPr>
          <w:sz w:val="20"/>
          <w:szCs w:val="20"/>
          <w:color w:val="auto"/>
        </w:rPr>
      </w:pPr>
      <w:r>
        <w:rPr>
          <w:rFonts w:ascii="Arial" w:cs="Arial" w:eastAsia="Arial" w:hAnsi="Arial"/>
          <w:sz w:val="20"/>
          <w:szCs w:val="20"/>
          <w:b w:val="1"/>
          <w:bCs w:val="1"/>
          <w:i w:val="1"/>
          <w:iCs w:val="1"/>
          <w:color w:val="auto"/>
        </w:rPr>
        <w:t>ARTICLE 11</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b w:val="1"/>
          <w:bCs w:val="1"/>
          <w:i w:val="1"/>
          <w:iCs w:val="1"/>
          <w:color w:val="auto"/>
        </w:rPr>
        <w:t>GUARANTEE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11.01. The Guarantee151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11.02. Obligations Unconditional152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11.03. Certain Waivers152</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11.04. Reinstatement153</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11.05. Subrogation; Subordination153</w:t>
      </w:r>
    </w:p>
    <w:p>
      <w:pPr>
        <w:sectPr>
          <w:pgSz w:w="11900" w:h="16838" w:orient="portrait"/>
          <w:cols w:equalWidth="0" w:num="1">
            <w:col w:w="10219"/>
          </w:cols>
          <w:pgMar w:left="240" w:top="131" w:right="1440" w:bottom="0" w:gutter="0" w:footer="0" w:header="0"/>
        </w:sectPr>
      </w:pPr>
    </w:p>
    <w:bookmarkStart w:id="47" w:name="page48"/>
    <w:bookmarkEnd w:id="47"/>
    <w:p>
      <w:pPr>
        <w:spacing w:after="0"/>
        <w:rPr>
          <w:sz w:val="20"/>
          <w:szCs w:val="20"/>
          <w:color w:val="auto"/>
        </w:rPr>
      </w:pPr>
      <w:r>
        <w:rPr>
          <w:rFonts w:ascii="Arial" w:cs="Arial" w:eastAsia="Arial" w:hAnsi="Arial"/>
          <w:sz w:val="20"/>
          <w:szCs w:val="20"/>
          <w:i w:val="1"/>
          <w:iCs w:val="1"/>
          <w:color w:val="auto"/>
        </w:rPr>
        <w:t>Section 11.06. Remedies153</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11.07. Instrument for the Payment of Money154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11.08. Continuing Guarantee154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11.09. General Limitation on Guarantee Obligations154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11.10. Release of Guarantors154</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11.11. Right of Contribution155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11.12. Additional Guarantor Waivers and Agreements155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SCHEDULES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1.01(a)</w:t>
      </w:r>
      <w:r>
        <w:rPr>
          <w:sz w:val="20"/>
          <w:szCs w:val="20"/>
          <w:color w:val="auto"/>
        </w:rPr>
        <w:tab/>
      </w:r>
      <w:r>
        <w:rPr>
          <w:rFonts w:ascii="Arial" w:cs="Arial" w:eastAsia="Arial" w:hAnsi="Arial"/>
          <w:sz w:val="18"/>
          <w:szCs w:val="18"/>
          <w:color w:val="auto"/>
        </w:rPr>
        <w:t>Excluded Real Property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1.01(b) Guarantors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1.01(c)</w:t>
      </w:r>
      <w:r>
        <w:rPr>
          <w:sz w:val="20"/>
          <w:szCs w:val="20"/>
          <w:color w:val="auto"/>
        </w:rPr>
        <w:tab/>
      </w:r>
      <w:r>
        <w:rPr>
          <w:rFonts w:ascii="Arial" w:cs="Arial" w:eastAsia="Arial" w:hAnsi="Arial"/>
          <w:sz w:val="18"/>
          <w:szCs w:val="18"/>
          <w:color w:val="auto"/>
        </w:rPr>
        <w:t>Mortgaged Properties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1.01(d)</w:t>
      </w:r>
      <w:r>
        <w:rPr>
          <w:sz w:val="20"/>
          <w:szCs w:val="20"/>
          <w:color w:val="auto"/>
        </w:rPr>
        <w:tab/>
      </w:r>
      <w:r>
        <w:rPr>
          <w:rFonts w:ascii="Arial" w:cs="Arial" w:eastAsia="Arial" w:hAnsi="Arial"/>
          <w:sz w:val="18"/>
          <w:szCs w:val="18"/>
          <w:color w:val="auto"/>
        </w:rPr>
        <w:t>Pension Fund Entities</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color w:val="auto"/>
        </w:rPr>
        <w:t>Lenders and Commitments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4.02(b)</w:t>
      </w:r>
      <w:r>
        <w:rPr>
          <w:sz w:val="20"/>
          <w:szCs w:val="20"/>
          <w:color w:val="auto"/>
        </w:rPr>
        <w:tab/>
      </w:r>
      <w:r>
        <w:rPr>
          <w:rFonts w:ascii="Arial" w:cs="Arial" w:eastAsia="Arial" w:hAnsi="Arial"/>
          <w:sz w:val="18"/>
          <w:szCs w:val="18"/>
          <w:color w:val="auto"/>
        </w:rPr>
        <w:t>Local Counsel Opinions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5.10(b)</w:t>
      </w:r>
      <w:r>
        <w:rPr>
          <w:sz w:val="20"/>
          <w:szCs w:val="20"/>
          <w:color w:val="auto"/>
        </w:rPr>
        <w:tab/>
      </w:r>
      <w:r>
        <w:rPr>
          <w:rFonts w:ascii="Arial" w:cs="Arial" w:eastAsia="Arial" w:hAnsi="Arial"/>
          <w:sz w:val="18"/>
          <w:szCs w:val="18"/>
          <w:color w:val="auto"/>
        </w:rPr>
        <w:t>Multiemployer Plans</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8"/>
          <w:szCs w:val="18"/>
          <w:color w:val="auto"/>
        </w:rPr>
        <w:t>Subsidiaries and Other Equity Interests</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8"/>
          <w:szCs w:val="18"/>
          <w:color w:val="auto"/>
        </w:rPr>
        <w:t>Labor Matters</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6.13(a) Post Closing Schedule</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7.01(b)</w:t>
      </w:r>
      <w:r>
        <w:rPr>
          <w:sz w:val="20"/>
          <w:szCs w:val="20"/>
          <w:color w:val="auto"/>
        </w:rPr>
        <w:tab/>
      </w:r>
      <w:r>
        <w:rPr>
          <w:rFonts w:ascii="Arial" w:cs="Arial" w:eastAsia="Arial" w:hAnsi="Arial"/>
          <w:sz w:val="19"/>
          <w:szCs w:val="19"/>
          <w:color w:val="auto"/>
        </w:rPr>
        <w:t>Existing Liens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7.02(e)</w:t>
      </w:r>
      <w:r>
        <w:rPr>
          <w:sz w:val="20"/>
          <w:szCs w:val="20"/>
          <w:color w:val="auto"/>
        </w:rPr>
        <w:tab/>
      </w:r>
      <w:r>
        <w:rPr>
          <w:rFonts w:ascii="Arial" w:cs="Arial" w:eastAsia="Arial" w:hAnsi="Arial"/>
          <w:sz w:val="18"/>
          <w:szCs w:val="18"/>
          <w:color w:val="auto"/>
        </w:rPr>
        <w:t>Existing Investments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7.03(b)</w:t>
      </w:r>
      <w:r>
        <w:rPr>
          <w:sz w:val="20"/>
          <w:szCs w:val="20"/>
          <w:color w:val="auto"/>
        </w:rPr>
        <w:tab/>
      </w:r>
      <w:r>
        <w:rPr>
          <w:rFonts w:ascii="Arial" w:cs="Arial" w:eastAsia="Arial" w:hAnsi="Arial"/>
          <w:sz w:val="18"/>
          <w:szCs w:val="18"/>
          <w:color w:val="auto"/>
        </w:rPr>
        <w:t>Existing Indebtedness</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7.08</w:t>
      </w:r>
      <w:r>
        <w:rPr>
          <w:sz w:val="20"/>
          <w:szCs w:val="20"/>
          <w:color w:val="auto"/>
        </w:rPr>
        <w:tab/>
      </w:r>
      <w:r>
        <w:rPr>
          <w:rFonts w:ascii="Arial" w:cs="Arial" w:eastAsia="Arial" w:hAnsi="Arial"/>
          <w:sz w:val="18"/>
          <w:szCs w:val="18"/>
          <w:color w:val="auto"/>
        </w:rPr>
        <w:t>Transactions with Affiliates</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7.09</w:t>
      </w:r>
      <w:r>
        <w:rPr>
          <w:sz w:val="20"/>
          <w:szCs w:val="20"/>
          <w:color w:val="auto"/>
        </w:rPr>
        <w:tab/>
      </w:r>
      <w:r>
        <w:rPr>
          <w:rFonts w:ascii="Arial" w:cs="Arial" w:eastAsia="Arial" w:hAnsi="Arial"/>
          <w:sz w:val="18"/>
          <w:szCs w:val="18"/>
          <w:color w:val="auto"/>
        </w:rPr>
        <w:t>Certain Contractual Obligations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Form of Administrative Questionnaire</w:t>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Request for Credit Extension</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[Reserved]</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Form of Intercompany Note</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G-1</w:t>
      </w:r>
      <w:r>
        <w:rPr>
          <w:sz w:val="20"/>
          <w:szCs w:val="20"/>
          <w:color w:val="auto"/>
        </w:rPr>
        <w:tab/>
      </w:r>
      <w:r>
        <w:rPr>
          <w:rFonts w:ascii="Arial" w:cs="Arial" w:eastAsia="Arial" w:hAnsi="Arial"/>
          <w:sz w:val="18"/>
          <w:szCs w:val="18"/>
          <w:color w:val="auto"/>
        </w:rPr>
        <w:t>Form of United States Tax Compliance Certificate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(For Non-U.S. Lenders that are not Partnerships)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G-2</w:t>
      </w:r>
      <w:r>
        <w:rPr>
          <w:sz w:val="20"/>
          <w:szCs w:val="20"/>
          <w:color w:val="auto"/>
        </w:rPr>
        <w:tab/>
      </w:r>
      <w:r>
        <w:rPr>
          <w:rFonts w:ascii="Arial" w:cs="Arial" w:eastAsia="Arial" w:hAnsi="Arial"/>
          <w:sz w:val="18"/>
          <w:szCs w:val="18"/>
          <w:color w:val="auto"/>
        </w:rPr>
        <w:t>Form of United States Tax Compliance Certificate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(For Non-U.S. Lenders that are Partnerships)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G-3</w:t>
      </w:r>
      <w:r>
        <w:rPr>
          <w:sz w:val="20"/>
          <w:szCs w:val="20"/>
          <w:color w:val="auto"/>
        </w:rPr>
        <w:tab/>
      </w:r>
      <w:r>
        <w:rPr>
          <w:rFonts w:ascii="Arial" w:cs="Arial" w:eastAsia="Arial" w:hAnsi="Arial"/>
          <w:sz w:val="18"/>
          <w:szCs w:val="18"/>
          <w:color w:val="auto"/>
        </w:rPr>
        <w:t>Form of United States Tax Compliance Certificate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(For Non-U.S. Participants that are not Partnerships)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G-4</w:t>
      </w:r>
      <w:r>
        <w:rPr>
          <w:sz w:val="20"/>
          <w:szCs w:val="20"/>
          <w:color w:val="auto"/>
        </w:rPr>
        <w:tab/>
      </w:r>
      <w:r>
        <w:rPr>
          <w:rFonts w:ascii="Arial" w:cs="Arial" w:eastAsia="Arial" w:hAnsi="Arial"/>
          <w:sz w:val="18"/>
          <w:szCs w:val="18"/>
          <w:color w:val="auto"/>
        </w:rPr>
        <w:t>Form of United States Tax Compliance Certificate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(For Non-U.S. Participants that are Partnerships)</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8"/>
          <w:szCs w:val="18"/>
          <w:color w:val="auto"/>
        </w:rPr>
        <w:t>Form of Solvency Certificate</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8"/>
          <w:szCs w:val="18"/>
          <w:color w:val="auto"/>
        </w:rPr>
        <w:t>[Reserved]</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auto"/>
        </w:rPr>
        <w:t>Exhibit J</w:t>
      </w:r>
      <w:r>
        <w:rPr>
          <w:sz w:val="20"/>
          <w:szCs w:val="20"/>
          <w:color w:val="auto"/>
        </w:rPr>
        <w:tab/>
      </w:r>
      <w:r>
        <w:rPr>
          <w:rFonts w:ascii="Arial" w:cs="Arial" w:eastAsia="Arial" w:hAnsi="Arial"/>
          <w:sz w:val="18"/>
          <w:szCs w:val="18"/>
          <w:color w:val="auto"/>
        </w:rPr>
        <w:t>Form of Term Note</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8"/>
          <w:szCs w:val="18"/>
          <w:color w:val="auto"/>
        </w:rPr>
        <w:t>Auction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AMENDED AND RESTATED CREDIT AGREEMENT, dated as of September 11, 2019 (this “</w:t>
      </w:r>
      <w:r>
        <w:rPr>
          <w:rFonts w:ascii="Arial" w:cs="Arial" w:eastAsia="Arial" w:hAnsi="Arial"/>
          <w:sz w:val="20"/>
          <w:szCs w:val="20"/>
          <w:b w:val="1"/>
          <w:bCs w:val="1"/>
          <w:color w:val="auto"/>
        </w:rPr>
        <w:t>Agreement</w:t>
      </w:r>
      <w:r>
        <w:rPr>
          <w:rFonts w:ascii="Arial" w:cs="Arial" w:eastAsia="Arial" w:hAnsi="Arial"/>
          <w:sz w:val="20"/>
          <w:szCs w:val="20"/>
          <w:color w:val="auto"/>
        </w:rPr>
        <w:t>”), among YRC WORLDWIDE INC.,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the Guarantors party hereto from time to time, the Lenders (such term and each other capitalized term used but not defined in this introductory statement having the meaning given it in Article 1), and CORTLAND PRODUCTS CORP., as administrative agent (in such capacity, including any permitted successor or assign thereto, the “</w:t>
      </w:r>
      <w:r>
        <w:rPr>
          <w:rFonts w:ascii="Arial" w:cs="Arial" w:eastAsia="Arial" w:hAnsi="Arial"/>
          <w:sz w:val="20"/>
          <w:szCs w:val="20"/>
          <w:b w:val="1"/>
          <w:bCs w:val="1"/>
          <w:color w:val="auto"/>
        </w:rPr>
        <w:t>Administrative</w:t>
      </w:r>
      <w:r>
        <w:rPr>
          <w:rFonts w:ascii="Arial" w:cs="Arial" w:eastAsia="Arial" w:hAnsi="Arial"/>
          <w:sz w:val="20"/>
          <w:szCs w:val="20"/>
          <w:color w:val="auto"/>
        </w:rPr>
        <w:t xml:space="preserve"> </w:t>
      </w:r>
      <w:r>
        <w:rPr>
          <w:rFonts w:ascii="Arial" w:cs="Arial" w:eastAsia="Arial" w:hAnsi="Arial"/>
          <w:sz w:val="20"/>
          <w:szCs w:val="20"/>
          <w:b w:val="1"/>
          <w:bCs w:val="1"/>
          <w:color w:val="auto"/>
        </w:rPr>
        <w:t>Agent</w:t>
      </w:r>
      <w:r>
        <w:rPr>
          <w:rFonts w:ascii="Arial" w:cs="Arial" w:eastAsia="Arial" w:hAnsi="Arial"/>
          <w:sz w:val="20"/>
          <w:szCs w:val="20"/>
          <w:color w:val="auto"/>
        </w:rPr>
        <w:t>”) and as collateral agent (in such capacity, including any permitted successor or assign thereto, the “</w:t>
      </w:r>
      <w:r>
        <w:rPr>
          <w:rFonts w:ascii="Arial" w:cs="Arial" w:eastAsia="Arial" w:hAnsi="Arial"/>
          <w:sz w:val="20"/>
          <w:szCs w:val="20"/>
          <w:b w:val="1"/>
          <w:bCs w:val="1"/>
          <w:color w:val="auto"/>
        </w:rPr>
        <w:t>Collateral Agent</w:t>
      </w:r>
      <w:r>
        <w:rPr>
          <w:rFonts w:ascii="Arial" w:cs="Arial" w:eastAsia="Arial" w:hAnsi="Arial"/>
          <w:sz w:val="20"/>
          <w:szCs w:val="20"/>
          <w:color w:val="auto"/>
        </w:rPr>
        <w: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Lenders.</w:t>
      </w:r>
    </w:p>
    <w:p>
      <w:pPr>
        <w:spacing w:after="0" w:line="168" w:lineRule="exact"/>
        <w:rPr>
          <w:sz w:val="20"/>
          <w:szCs w:val="20"/>
          <w:color w:val="auto"/>
        </w:rPr>
      </w:pPr>
    </w:p>
    <w:p>
      <w:pPr>
        <w:jc w:val="both"/>
        <w:ind w:firstLine="604"/>
        <w:spacing w:after="0" w:line="284" w:lineRule="auto"/>
        <w:rPr>
          <w:sz w:val="20"/>
          <w:szCs w:val="20"/>
          <w:color w:val="auto"/>
        </w:rPr>
      </w:pPr>
      <w:r>
        <w:rPr>
          <w:rFonts w:ascii="Arial" w:cs="Arial" w:eastAsia="Arial" w:hAnsi="Arial"/>
          <w:sz w:val="19"/>
          <w:szCs w:val="19"/>
          <w:color w:val="auto"/>
        </w:rPr>
        <w:t>WHEREAS, the Borrower, the financial institutions party thereto and Credit Suisse AG, Cayman Islands Branch, as predecessor Administrative Agent and predecessor Collateral Agent, are parties to a Credit Agreement dated as of February 13, 2014 (as amendment, supplemented and modified and in effect on the Restatement Effective Date,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w:t>
      </w:r>
    </w:p>
    <w:p>
      <w:pPr>
        <w:spacing w:after="0" w:line="143" w:lineRule="exact"/>
        <w:rPr>
          <w:sz w:val="20"/>
          <w:szCs w:val="20"/>
          <w:color w:val="auto"/>
        </w:rPr>
      </w:pPr>
    </w:p>
    <w:p>
      <w:pPr>
        <w:jc w:val="both"/>
        <w:ind w:firstLine="604"/>
        <w:spacing w:after="0" w:line="296" w:lineRule="auto"/>
        <w:rPr>
          <w:sz w:val="20"/>
          <w:szCs w:val="20"/>
          <w:color w:val="auto"/>
        </w:rPr>
      </w:pPr>
      <w:r>
        <w:rPr>
          <w:rFonts w:ascii="Arial" w:cs="Arial" w:eastAsia="Arial" w:hAnsi="Arial"/>
          <w:sz w:val="18"/>
          <w:szCs w:val="18"/>
          <w:color w:val="auto"/>
        </w:rPr>
        <w:t>WHEREAS, (i) the Borrower has requested that the Tranche B-2 Term Lenders (as defined below) make, and the Tranche B-2 Term Lenders have agreed to make subject to the conditions set forth herein, the Tranche B-2 Term Loans the proceeds of which shall be used to refinance the Term Loans outstanding under the Existing Credit Agreement in full (the “</w:t>
      </w:r>
      <w:r>
        <w:rPr>
          <w:rFonts w:ascii="Arial" w:cs="Arial" w:eastAsia="Arial" w:hAnsi="Arial"/>
          <w:sz w:val="18"/>
          <w:szCs w:val="18"/>
          <w:b w:val="1"/>
          <w:bCs w:val="1"/>
          <w:color w:val="auto"/>
        </w:rPr>
        <w:t>Refinancing Transaction</w:t>
      </w:r>
      <w:r>
        <w:rPr>
          <w:rFonts w:ascii="Arial" w:cs="Arial" w:eastAsia="Arial" w:hAnsi="Arial"/>
          <w:sz w:val="18"/>
          <w:szCs w:val="18"/>
          <w:color w:val="auto"/>
        </w:rPr>
        <w:t>”), for working capital and other corporate purposes and (ii) in connection with the Refinancing Transaction, the Borrower and the other Loan Parties and the Tranche B-</w:t>
      </w:r>
    </w:p>
    <w:p>
      <w:pPr>
        <w:sectPr>
          <w:pgSz w:w="11900" w:h="16838" w:orient="portrait"/>
          <w:cols w:equalWidth="0" w:num="1">
            <w:col w:w="11420"/>
          </w:cols>
          <w:pgMar w:left="240" w:top="131" w:right="239" w:bottom="0" w:gutter="0" w:footer="0" w:header="0"/>
        </w:sectPr>
      </w:pPr>
    </w:p>
    <w:bookmarkStart w:id="48" w:name="page49"/>
    <w:bookmarkEnd w:id="48"/>
    <w:p>
      <w:pPr>
        <w:jc w:val="both"/>
        <w:spacing w:after="0" w:line="278" w:lineRule="auto"/>
        <w:rPr>
          <w:sz w:val="20"/>
          <w:szCs w:val="20"/>
          <w:color w:val="auto"/>
        </w:rPr>
      </w:pPr>
      <w:r>
        <w:rPr>
          <w:rFonts w:ascii="Arial" w:cs="Arial" w:eastAsia="Arial" w:hAnsi="Arial"/>
          <w:sz w:val="20"/>
          <w:szCs w:val="20"/>
          <w:color w:val="auto"/>
        </w:rPr>
        <w:t>2 Term Lenders, have agreed to amend and restate the Existing Credit Agreement in its entirety pursuant to this Agreement (the “</w:t>
      </w:r>
      <w:r>
        <w:rPr>
          <w:rFonts w:ascii="Arial" w:cs="Arial" w:eastAsia="Arial" w:hAnsi="Arial"/>
          <w:sz w:val="20"/>
          <w:szCs w:val="20"/>
          <w:b w:val="1"/>
          <w:bCs w:val="1"/>
          <w:color w:val="auto"/>
        </w:rPr>
        <w:t>Restatement</w:t>
      </w:r>
      <w:r>
        <w:rPr>
          <w:rFonts w:ascii="Arial" w:cs="Arial" w:eastAsia="Arial" w:hAnsi="Arial"/>
          <w:sz w:val="20"/>
          <w:szCs w:val="20"/>
          <w:color w:val="auto"/>
        </w:rPr>
        <w:t>”).</w:t>
      </w:r>
    </w:p>
    <w:p>
      <w:pPr>
        <w:spacing w:after="0" w:line="147" w:lineRule="exact"/>
        <w:rPr>
          <w:sz w:val="20"/>
          <w:szCs w:val="20"/>
          <w:color w:val="auto"/>
        </w:rPr>
      </w:pPr>
    </w:p>
    <w:p>
      <w:pPr>
        <w:jc w:val="both"/>
        <w:ind w:firstLine="604"/>
        <w:spacing w:after="0" w:line="33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that the Existing Credit Agreement shall be amended and restated in its entirety to read as follows:</w:t>
      </w:r>
    </w:p>
    <w:p>
      <w:pPr>
        <w:spacing w:after="0" w:line="98"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1</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DEFINITIONS</w:t>
      </w:r>
    </w:p>
    <w:p>
      <w:pPr>
        <w:spacing w:after="0" w:line="205"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i w:val="1"/>
          <w:iCs w:val="1"/>
          <w:color w:val="auto"/>
        </w:rPr>
        <w:t xml:space="preserve">Defined Terms. </w:t>
      </w:r>
      <w:r>
        <w:rPr>
          <w:rFonts w:ascii="Arial" w:cs="Arial" w:eastAsia="Arial" w:hAnsi="Arial"/>
          <w:sz w:val="18"/>
          <w:szCs w:val="18"/>
          <w:color w:val="auto"/>
        </w:rPr>
        <w:t>As used in this Agreement, the following terms shall have the meanings specified below:</w:t>
      </w:r>
    </w:p>
    <w:p>
      <w:pPr>
        <w:spacing w:after="0" w:line="219"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Agent</w:t>
      </w:r>
      <w:r>
        <w:rPr>
          <w:rFonts w:ascii="Arial" w:cs="Arial" w:eastAsia="Arial" w:hAnsi="Arial"/>
          <w:sz w:val="20"/>
          <w:szCs w:val="20"/>
          <w:color w:val="auto"/>
        </w:rPr>
        <w:t>” shall mean, as the context may require, Citizens Business Capital (a division of Citizens Asset Finance, Inc., a subsidiary of Citizens, N.A.), in its capacity as administrative agent under the ABL Facility Documentation, Citizens Business Capital (a division of Citizens Asset Finance, Inc., a subsidiary of Citizens, N.A.), in its capacity as collateral agent under the ABL Facility Documentation, such agents collectively or any permitted successor or assignee administrative agent or collateral agent under the ABL Facility Documentation.</w:t>
      </w:r>
    </w:p>
    <w:p>
      <w:pPr>
        <w:spacing w:after="0" w:line="166"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Credit Agreement</w:t>
      </w:r>
      <w:r>
        <w:rPr>
          <w:rFonts w:ascii="Arial" w:cs="Arial" w:eastAsia="Arial" w:hAnsi="Arial"/>
          <w:sz w:val="18"/>
          <w:szCs w:val="18"/>
          <w:color w:val="auto"/>
        </w:rPr>
        <w:t>” shall mean that certain asset-based revolving credit agreement dated as of the Original Closing Date, among the Borrower, YRC Inc., a Delaware corporation, USF Reddaway Inc., an Oregon corporation, USF Holland LLC, a Delaware limited liability company (as successor to USF Holland, Inc., a Michigan corporation) and New Penn Motor Express, LLC, a Delaware limited liability company (as successor to New Penn Motor Express, Inc., a Pennsylvania corporation), the other subsidiaries of the Borrower party thereto, the lenders party thereto and the ABL Agent, as amended by that certain Amendment No. 1, dated September 23, 2015, Amendment No. 2, dated June 28, 2016, Amendment No. 3 and Limited Consent, dated January 30, 2018, Amendment No. 4, dated February 12, 2019 and Amendment No. 5, dated September 11, 2019, and as the same may be further amended, restated, modified, supplemented, extended, renewed, restructured, refunded, replaced or refinanced from time to time in one or more agreements (in each case with the same or new lenders, institutional investors or agents and resulting in a financing that constitutes (or that would constitute if incurred as a new financing) a Permitted Refinancing of the ABL Facility Indebtedness), including any agreement extending the maturity thereof or otherwise restructuring all or any portion of the Indebtedness thereunder or increasing the amount loaned or issued thereunder or altering the maturity thereof), in each case as and to the extent permitted by this Agreement and, if applicable, the ABL Intercreditor Agreement.</w:t>
      </w:r>
    </w:p>
    <w:p>
      <w:pPr>
        <w:spacing w:after="0" w:line="152"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Facility</w:t>
      </w:r>
      <w:r>
        <w:rPr>
          <w:rFonts w:ascii="Arial" w:cs="Arial" w:eastAsia="Arial" w:hAnsi="Arial"/>
          <w:sz w:val="20"/>
          <w:szCs w:val="20"/>
          <w:color w:val="auto"/>
        </w:rPr>
        <w:t>” shall mean the asset-based revolving credit facility made available to the Borrower and certain of its Subsidiaries pursuant to the ABL Credit Agreement.</w:t>
      </w:r>
    </w:p>
    <w:p>
      <w:pPr>
        <w:spacing w:after="0" w:line="139"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Facility Documentation</w:t>
      </w:r>
      <w:r>
        <w:rPr>
          <w:rFonts w:ascii="Arial" w:cs="Arial" w:eastAsia="Arial" w:hAnsi="Arial"/>
          <w:sz w:val="20"/>
          <w:szCs w:val="20"/>
          <w:color w:val="auto"/>
        </w:rPr>
        <w:t>” shall mean the ABL Credit Agreement and all security agreements, guarantees, pledge agreements and other agreements or instruments executed in connection therewith and including all “Loan Documents” (as defined in the ABL Credit Agreement) or similar term.</w:t>
      </w:r>
    </w:p>
    <w:p>
      <w:pPr>
        <w:spacing w:after="0" w:line="15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Facility Indebtedness</w:t>
      </w:r>
      <w:r>
        <w:rPr>
          <w:rFonts w:ascii="Arial" w:cs="Arial" w:eastAsia="Arial" w:hAnsi="Arial"/>
          <w:sz w:val="20"/>
          <w:szCs w:val="20"/>
          <w:color w:val="auto"/>
        </w:rPr>
        <w:t>” shall mean Indebtedness of the Borrower or any Restricted Subsidiary outstanding under the ABL Facility Documentation, including Bank Product Debt (as defined in the ABL Credit Agreement).</w:t>
      </w:r>
    </w:p>
    <w:p>
      <w:pPr>
        <w:spacing w:after="0" w:line="139"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Intercreditor Agreement</w:t>
      </w:r>
      <w:r>
        <w:rPr>
          <w:rFonts w:ascii="Arial" w:cs="Arial" w:eastAsia="Arial" w:hAnsi="Arial"/>
          <w:sz w:val="20"/>
          <w:szCs w:val="20"/>
          <w:color w:val="auto"/>
        </w:rPr>
        <w:t>” shall mean the intercreditor agreement dated as of the Original Closing Date among the Administrative Agent and/or Collateral Agent, the ABL Agent and the Loan Parties, as amended by that Amendment No. 1 and Limited Waiver dated as of the Restatement Effective Date (the “</w:t>
      </w:r>
      <w:r>
        <w:rPr>
          <w:rFonts w:ascii="Arial" w:cs="Arial" w:eastAsia="Arial" w:hAnsi="Arial"/>
          <w:sz w:val="20"/>
          <w:szCs w:val="20"/>
          <w:b w:val="1"/>
          <w:bCs w:val="1"/>
          <w:color w:val="auto"/>
        </w:rPr>
        <w:t>ABL Intercreditor Amendment</w:t>
      </w:r>
      <w:r>
        <w:rPr>
          <w:rFonts w:ascii="Arial" w:cs="Arial" w:eastAsia="Arial" w:hAnsi="Arial"/>
          <w:sz w:val="20"/>
          <w:szCs w:val="20"/>
          <w:color w:val="auto"/>
        </w:rPr>
        <w:t>”), and as the same may be further amended, restated, modified, supplemented, extended, renewed, restructured, waived or replaced from time to time.</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Intercreditor Amendment</w:t>
      </w:r>
      <w:r>
        <w:rPr>
          <w:rFonts w:ascii="Arial" w:cs="Arial" w:eastAsia="Arial" w:hAnsi="Arial"/>
          <w:sz w:val="18"/>
          <w:szCs w:val="18"/>
          <w:color w:val="auto"/>
        </w:rPr>
        <w:t>” shall have the meaning assigned to such term in the definition of “ABL Intercreditor Agreement”.</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Priority Collateral</w:t>
      </w:r>
      <w:r>
        <w:rPr>
          <w:rFonts w:ascii="Arial" w:cs="Arial" w:eastAsia="Arial" w:hAnsi="Arial"/>
          <w:sz w:val="20"/>
          <w:szCs w:val="20"/>
          <w:color w:val="auto"/>
        </w:rPr>
        <w:t>” shall have the meaning assigned to such term in the ABL Intercreditor Agreement.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Secured Parties</w:t>
      </w:r>
      <w:r>
        <w:rPr>
          <w:rFonts w:ascii="Arial" w:cs="Arial" w:eastAsia="Arial" w:hAnsi="Arial"/>
          <w:sz w:val="20"/>
          <w:szCs w:val="20"/>
          <w:color w:val="auto"/>
        </w:rPr>
        <w:t>” shall have the meaning assigned to such term in the ABL Intercreditor Agreement.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39"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Lender</w:t>
      </w:r>
      <w:r>
        <w:rPr>
          <w:rFonts w:ascii="Arial" w:cs="Arial" w:eastAsia="Arial" w:hAnsi="Arial"/>
          <w:sz w:val="19"/>
          <w:szCs w:val="19"/>
          <w:color w:val="auto"/>
        </w:rPr>
        <w:t xml:space="preserve">” shall mean, with respect to any Refinancing Amendment or in respect of any bank, financial institution or investor not theretofor a Lender that agrees to provide an Other Term Loan pursuant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have consented (not to be unreasonably withheld, conditioned or delayed) to such bank, financial institution or investor as would be required under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for an assignment of Loans to such bank, financial institution or investor.</w:t>
      </w:r>
    </w:p>
    <w:p>
      <w:pPr>
        <w:spacing w:after="0" w:line="145"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LIBO Rate</w:t>
      </w:r>
      <w:r>
        <w:rPr>
          <w:rFonts w:ascii="Arial" w:cs="Arial" w:eastAsia="Arial" w:hAnsi="Arial"/>
          <w:sz w:val="20"/>
          <w:szCs w:val="20"/>
          <w:color w:val="auto"/>
        </w:rPr>
        <w:t>” shall mean, with respect to any Eurodollar Borrowing for any Interest Period, an interest rate per annum equal to the greater of (a) 1.00% per annum and (b) the product of (i) the LIBO Rate in effect for such Interest Period and (ii) Statutory Reserves.</w:t>
      </w:r>
    </w:p>
    <w:p>
      <w:pPr>
        <w:spacing w:after="0" w:line="15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 xml:space="preserve">” shall have the meaning assigned to such term in the introductory statement to this Agreement, together with its successors and any replacement designated pursuant to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of this Agreement.</w:t>
      </w:r>
    </w:p>
    <w:p>
      <w:pPr>
        <w:spacing w:after="0" w:line="139" w:lineRule="exact"/>
        <w:rPr>
          <w:sz w:val="20"/>
          <w:szCs w:val="20"/>
          <w:color w:val="auto"/>
        </w:rPr>
      </w:pPr>
    </w:p>
    <w:p>
      <w:pPr>
        <w:jc w:val="both"/>
        <w:ind w:firstLine="604"/>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 Fee Letter</w:t>
      </w:r>
      <w:r>
        <w:rPr>
          <w:rFonts w:ascii="Arial" w:cs="Arial" w:eastAsia="Arial" w:hAnsi="Arial"/>
          <w:sz w:val="19"/>
          <w:szCs w:val="19"/>
          <w:color w:val="auto"/>
        </w:rPr>
        <w:t>” means that certain fee letter dated as of the date hereof, by and between Borrower and Administrative Agent, as amended, amended and restated, supplemented, waived, replaced or otherwise modified from time to time.</w:t>
      </w:r>
    </w:p>
    <w:p>
      <w:pPr>
        <w:spacing w:after="0" w:line="11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Agent’s Office</w:t>
      </w:r>
      <w:r>
        <w:rPr>
          <w:rFonts w:ascii="Arial" w:cs="Arial" w:eastAsia="Arial" w:hAnsi="Arial"/>
          <w:sz w:val="20"/>
          <w:szCs w:val="20"/>
          <w:color w:val="auto"/>
        </w:rPr>
        <w:t>” means the Administrative Agent’s office or account as it may from time to time designate, in writing, to the Borrower and each Lender.</w:t>
      </w:r>
    </w:p>
    <w:p>
      <w:pPr>
        <w:sectPr>
          <w:pgSz w:w="11900" w:h="16838" w:orient="portrait"/>
          <w:cols w:equalWidth="0" w:num="1">
            <w:col w:w="11420"/>
          </w:cols>
          <w:pgMar w:left="240" w:top="131" w:right="239" w:bottom="0" w:gutter="0" w:footer="0" w:header="0"/>
        </w:sectPr>
      </w:pPr>
    </w:p>
    <w:bookmarkStart w:id="49" w:name="page50"/>
    <w:bookmarkEnd w:id="49"/>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Questionnaire</w:t>
      </w:r>
      <w:r>
        <w:rPr>
          <w:rFonts w:ascii="Arial" w:cs="Arial" w:eastAsia="Arial" w:hAnsi="Arial"/>
          <w:sz w:val="20"/>
          <w:szCs w:val="20"/>
          <w:color w:val="auto"/>
        </w:rPr>
        <w:t xml:space="preserve">” shall mean an Administrative Questionnaire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or such other form as may be supplied from time to time by the Administrative Agent and approved by the Borrower (such approval not to be unreasonably withheld, conditioned or delayed).</w:t>
      </w:r>
    </w:p>
    <w:p>
      <w:pPr>
        <w:spacing w:after="0" w:line="157"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with respect to any Person, another Person that directly, or indirectly through one or more intermediaries, Controls or is Controlled by or is under common Control with the Person specified. “</w:t>
      </w:r>
      <w:r>
        <w:rPr>
          <w:rFonts w:ascii="Arial" w:cs="Arial" w:eastAsia="Arial" w:hAnsi="Arial"/>
          <w:sz w:val="19"/>
          <w:szCs w:val="19"/>
          <w:b w:val="1"/>
          <w:bCs w:val="1"/>
          <w:color w:val="auto"/>
        </w:rPr>
        <w:t>Control</w:t>
      </w:r>
      <w:r>
        <w:rPr>
          <w:rFonts w:ascii="Arial" w:cs="Arial" w:eastAsia="Arial" w:hAnsi="Arial"/>
          <w:sz w:val="19"/>
          <w:szCs w:val="19"/>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9"/>
          <w:szCs w:val="19"/>
          <w:b w:val="1"/>
          <w:bCs w:val="1"/>
          <w:color w:val="auto"/>
        </w:rPr>
        <w:t>Controlling</w:t>
      </w:r>
      <w:r>
        <w:rPr>
          <w:rFonts w:ascii="Arial" w:cs="Arial" w:eastAsia="Arial" w:hAnsi="Arial"/>
          <w:sz w:val="19"/>
          <w:szCs w:val="19"/>
          <w:color w:val="auto"/>
        </w:rPr>
        <w:t>” and “</w:t>
      </w:r>
      <w:r>
        <w:rPr>
          <w:rFonts w:ascii="Arial" w:cs="Arial" w:eastAsia="Arial" w:hAnsi="Arial"/>
          <w:sz w:val="19"/>
          <w:szCs w:val="19"/>
          <w:b w:val="1"/>
          <w:bCs w:val="1"/>
          <w:color w:val="auto"/>
        </w:rPr>
        <w:t>Controlled</w:t>
      </w:r>
      <w:r>
        <w:rPr>
          <w:rFonts w:ascii="Arial" w:cs="Arial" w:eastAsia="Arial" w:hAnsi="Arial"/>
          <w:sz w:val="19"/>
          <w:szCs w:val="19"/>
          <w:color w:val="auto"/>
        </w:rPr>
        <w:t>” have meanings correlative thereto.</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 Indemnitees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10.05(b)</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Agents</w:t>
      </w:r>
      <w:r>
        <w:rPr>
          <w:rFonts w:ascii="Arial" w:cs="Arial" w:eastAsia="Arial" w:hAnsi="Arial"/>
          <w:sz w:val="20"/>
          <w:szCs w:val="20"/>
          <w:color w:val="auto"/>
        </w:rPr>
        <w:t>” shall have the meaning assigned to such term in Article 9.</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shall have the meaning assigned to such term in the introductory statement to this Agreement.</w:t>
      </w:r>
    </w:p>
    <w:p>
      <w:pPr>
        <w:spacing w:after="0" w:line="210" w:lineRule="exact"/>
        <w:rPr>
          <w:sz w:val="20"/>
          <w:szCs w:val="20"/>
          <w:color w:val="auto"/>
        </w:rPr>
      </w:pPr>
    </w:p>
    <w:p>
      <w:pPr>
        <w:jc w:val="both"/>
        <w:ind w:firstLine="60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Alternate Base Rate</w:t>
      </w:r>
      <w:r>
        <w:rPr>
          <w:rFonts w:ascii="Arial" w:cs="Arial" w:eastAsia="Arial" w:hAnsi="Arial"/>
          <w:sz w:val="19"/>
          <w:szCs w:val="19"/>
          <w:color w:val="auto"/>
        </w:rPr>
        <w:t xml:space="preserve">” shall mean, for any day, a rate per annum equal to the greatest of (a) the Prime Rate in effect on such day, (b) the Federal Funds Effective Rate in effect on such day plus 1/2 of 1% and (c) the Adjusted LIBO Rate for a one month Interest Period on such day (or if such day is not a Business Day, the immediately preceding Business Day) plus 1.00%;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for the avoidance of doubt, the Adjusted LIBO Rate for any day shall be based on the rate published on the applicable Bloomberg LIBOR screen page determined on such day at approximately 11 a.m. (London time) for deposits in Dollars (as set forth by any service selected by the Administrative Agent that has been nominated by the ICE Benchmark Administration as an authorized vendor for the purpose of displaying such rates) and (ii) in no event shall the Alternate Base Rate be less than 2.00% per annum.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of the preceding sentence until the circumstances giving rise to such inability no longer exist. Any change in the Alternate Base Rate due to a change in the Prime Rate, the Federal Funds Effective Rate or the Adjusted LIBO Rate shall be effective on the effective date of such change in the Prime Rate, the Federal Funds Effective Rate or the Adjusted LIBO Rate, as the case may be.</w:t>
      </w:r>
    </w:p>
    <w:p>
      <w:pPr>
        <w:spacing w:after="0" w:line="162"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Incremental Indebtedness</w:t>
      </w:r>
      <w:r>
        <w:rPr>
          <w:rFonts w:ascii="Arial" w:cs="Arial" w:eastAsia="Arial" w:hAnsi="Arial"/>
          <w:sz w:val="18"/>
          <w:szCs w:val="18"/>
          <w:color w:val="auto"/>
        </w:rPr>
        <w:t xml:space="preserve">” shall mean all Permitted Additional Debt incurred pursuant to </w:t>
      </w:r>
      <w:r>
        <w:rPr>
          <w:rFonts w:ascii="Arial" w:cs="Arial" w:eastAsia="Arial" w:hAnsi="Arial"/>
          <w:sz w:val="18"/>
          <w:szCs w:val="18"/>
          <w:u w:val="single" w:color="auto"/>
          <w:color w:val="auto"/>
        </w:rPr>
        <w:t>Section 7.03(p)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aggregate principal amount at the time of the incurrence thereof (when taken together with any Alternative Incremental Indebtedness that has been incurred or will be incurred simultaneously therewith) shall not exceed the Maximum Incremental Facility Amount, (ii) the maturity date of such Alternative Incremental Indebtedness shall not be earlier than 91 days after the Latest Maturity Date (measured as of the date of incurrence of such Permitted Additional Debt), (iii) such Permitted Additional Debt shall have no amortization,</w:t>
      </w:r>
    </w:p>
    <w:p>
      <w:pPr>
        <w:spacing w:after="0" w:line="1" w:lineRule="exact"/>
        <w:rPr>
          <w:sz w:val="20"/>
          <w:szCs w:val="20"/>
          <w:color w:val="auto"/>
        </w:rPr>
      </w:pPr>
    </w:p>
    <w:p>
      <w:pPr>
        <w:jc w:val="both"/>
        <w:ind w:firstLine="1"/>
        <w:spacing w:after="0" w:line="264" w:lineRule="auto"/>
        <w:tabs>
          <w:tab w:leader="none" w:pos="357"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such Alternative Incremental Indebtedness shall either rank junior in right of security with the Term Loans or be unsecured, (v) at the time of incurrence thereof, no Event of Default shall have occurred of be continuing or would result therefrom (provided that, to the extent the proceeds of such Alternative Incremental Indebtedness are to be used by the Borrower or any other Loan Party to finance, in whole or in part, any Permitted Acquisition, other permitted acquisition or permitted Investment in third parties that become Collateral (in each case including any such transaction that is subject to a letter of intent or purchase agreement) whose consummation is not conditioned on the availability of, or on obtaining, third party financing, then the effectiveness of such incurrence shall instead be subject solely to the absence of any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w:t>
      </w:r>
      <w:r>
        <w:rPr>
          <w:rFonts w:ascii="Arial" w:cs="Arial" w:eastAsia="Arial" w:hAnsi="Arial"/>
          <w:sz w:val="19"/>
          <w:szCs w:val="19"/>
          <w:u w:val="single" w:color="auto"/>
          <w:color w:val="auto"/>
        </w:rPr>
        <w:t>f</w:t>
      </w:r>
      <w:r>
        <w:rPr>
          <w:rFonts w:ascii="Arial" w:cs="Arial" w:eastAsia="Arial" w:hAnsi="Arial"/>
          <w:sz w:val="19"/>
          <w:szCs w:val="19"/>
          <w:color w:val="auto"/>
        </w:rPr>
        <w:t>)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after giving effect to such incurrence), and (vi) the proceeds of such Permitted Additional Debt shall be in the form of cash and used solely (i) first, to make the mandatory prepayments required under </w:t>
      </w:r>
      <w:r>
        <w:rPr>
          <w:rFonts w:ascii="Arial" w:cs="Arial" w:eastAsia="Arial" w:hAnsi="Arial"/>
          <w:sz w:val="19"/>
          <w:szCs w:val="19"/>
          <w:u w:val="single" w:color="auto"/>
          <w:color w:val="auto"/>
        </w:rPr>
        <w:t>Section 2.13(a)(iv)</w:t>
      </w:r>
      <w:r>
        <w:rPr>
          <w:rFonts w:ascii="Arial" w:cs="Arial" w:eastAsia="Arial" w:hAnsi="Arial"/>
          <w:sz w:val="19"/>
          <w:szCs w:val="19"/>
          <w:color w:val="auto"/>
        </w:rPr>
        <w:t>, and (ii) second, with the remaining proceeds, to finance Permitted Acquisitions and Investments in third parties that become Collateral (and not, for the avoidance of doubt, to pay, redeem, defease, acquire or otherwise satisfy any Indebtedness or pension obligations, other than Indebtedness of the third party target of such Permitted Acquisition or Investment in connection with the consummation of such Permitted Acquisition or Investment).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Alternative Interest Rate Election Event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Apollo</w:t>
      </w:r>
      <w:r>
        <w:rPr>
          <w:rFonts w:ascii="Arial" w:cs="Arial" w:eastAsia="Arial" w:hAnsi="Arial"/>
          <w:sz w:val="19"/>
          <w:szCs w:val="19"/>
          <w:color w:val="auto"/>
        </w:rPr>
        <w:t>” means, collectively, Apollo Capital Management, L.P. and one or more funds and/or accounts managed by its affiliates.</w:t>
      </w:r>
    </w:p>
    <w:p>
      <w:pPr>
        <w:spacing w:after="0" w:line="222"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ECF Percentage</w:t>
      </w:r>
      <w:r>
        <w:rPr>
          <w:rFonts w:ascii="Arial" w:cs="Arial" w:eastAsia="Arial" w:hAnsi="Arial"/>
          <w:sz w:val="20"/>
          <w:szCs w:val="20"/>
          <w:color w:val="auto"/>
        </w:rPr>
        <w:t>” shall mean, for any Excess Cash Flow Period, (a) 75% if the Total Leverage Ratio as of the last day of such Excess Cash Flow Period is greater than 3.25:1.00, (b) 50% if the Total Leverage Ratio as of the last day of such Excess Cash Flow Period is less than or equal to 3.25:1.00 and greater than 3.00:1.00, (c) 25% if the Total Leverage Ratio as of the last day of such Excess Cash Flow Period is less than or equal to 3.00:1.00 but is greater than 2.50:1.00, and (d) 0% if the Total Leverage Ratio as of the last day of such Excess Cash Flow Period is less than or equal to 2.50:1.00.</w:t>
      </w:r>
    </w:p>
    <w:p>
      <w:pPr>
        <w:spacing w:after="0" w:line="166"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Margin</w:t>
      </w:r>
      <w:r>
        <w:rPr>
          <w:rFonts w:ascii="Arial" w:cs="Arial" w:eastAsia="Arial" w:hAnsi="Arial"/>
          <w:sz w:val="20"/>
          <w:szCs w:val="20"/>
          <w:color w:val="auto"/>
        </w:rPr>
        <w:t xml:space="preserve">” shall mean, with respect to any Loan, a percentage per annum equal to, (a) until delivery of financial statements and Compliance Certificate for the fiscal quarter ending September 30, 2019 pursuant to </w:t>
      </w:r>
      <w:r>
        <w:rPr>
          <w:rFonts w:ascii="Arial" w:cs="Arial" w:eastAsia="Arial" w:hAnsi="Arial"/>
          <w:sz w:val="20"/>
          <w:szCs w:val="20"/>
          <w:u w:val="single" w:color="auto"/>
          <w:color w:val="auto"/>
        </w:rPr>
        <w:t>Sections 6.01(b)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6.02(a)</w:t>
      </w:r>
      <w:r>
        <w:rPr>
          <w:rFonts w:ascii="Arial" w:cs="Arial" w:eastAsia="Arial" w:hAnsi="Arial"/>
          <w:sz w:val="20"/>
          <w:szCs w:val="20"/>
          <w:color w:val="auto"/>
        </w:rPr>
        <w:t xml:space="preserve">, (i) 7.50% per annum for Eurodollar Term Loans and (ii) 6.50% per annum for ABR Term Loans; and (b) thereafter, the percentages per annum set forth in the table below, based upon Consolidated EBITDA for the most recent Test Period as set forth in the most recent Compliance Certificate received by the Administrative Agent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Pricing</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Consolidated EBITDA</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ABR</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Eurodollar Term Loans</w:t>
            </w:r>
          </w:p>
        </w:tc>
      </w:tr>
      <w:tr>
        <w:trPr>
          <w:trHeight w:val="269"/>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Level</w:t>
            </w:r>
          </w:p>
        </w:tc>
        <w:tc>
          <w:tcPr>
            <w:tcW w:w="286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Term Loans</w:t>
            </w:r>
          </w:p>
        </w:tc>
        <w:tc>
          <w:tcPr>
            <w:tcW w:w="2840" w:type="dxa"/>
            <w:vAlign w:val="bottom"/>
            <w:tcBorders>
              <w:bottom w:val="single" w:sz="8" w:color="auto"/>
              <w:right w:val="single" w:sz="8" w:color="auto"/>
            </w:tcBorders>
          </w:tcPr>
          <w:p>
            <w:pPr>
              <w:spacing w:after="0"/>
              <w:rPr>
                <w:sz w:val="23"/>
                <w:szCs w:val="23"/>
                <w:color w:val="auto"/>
              </w:rPr>
            </w:pPr>
          </w:p>
        </w:tc>
      </w:tr>
      <w:tr>
        <w:trPr>
          <w:trHeight w:val="269"/>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 $400,000,000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6.50%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7.50%</w:t>
            </w:r>
          </w:p>
        </w:tc>
      </w:tr>
      <w:tr>
        <w:trPr>
          <w:trHeight w:val="269"/>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&gt; $400,000,000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5.50%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6.50%</w:t>
            </w:r>
          </w:p>
        </w:tc>
      </w:tr>
    </w:tbl>
    <w:p>
      <w:pPr>
        <w:sectPr>
          <w:pgSz w:w="11900" w:h="16838" w:orient="portrait"/>
          <w:cols w:equalWidth="0" w:num="1">
            <w:col w:w="11420"/>
          </w:cols>
          <w:pgMar w:left="240" w:top="127" w:right="239" w:bottom="252" w:gutter="0" w:footer="0" w:header="0"/>
        </w:sectPr>
      </w:pPr>
    </w:p>
    <w:bookmarkStart w:id="50" w:name="page51"/>
    <w:bookmarkEnd w:id="50"/>
    <w:p>
      <w:pPr>
        <w:jc w:val="both"/>
        <w:ind w:firstLine="604"/>
        <w:spacing w:after="0" w:line="305" w:lineRule="auto"/>
        <w:rPr>
          <w:sz w:val="20"/>
          <w:szCs w:val="20"/>
          <w:color w:val="auto"/>
        </w:rPr>
      </w:pPr>
      <w:r>
        <w:rPr>
          <w:rFonts w:ascii="Arial" w:cs="Arial" w:eastAsia="Arial" w:hAnsi="Arial"/>
          <w:sz w:val="19"/>
          <w:szCs w:val="19"/>
          <w:color w:val="auto"/>
        </w:rPr>
        <w:t xml:space="preserve">Any increase or decrease in the Applicable Margin resulting from a change in Consolidated EBITDA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124"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In addition, at any time an Event of Default exists as a result of the Borrower failing to deliver the applicable Compliance Certificate, at the option of the Lenders having more than 50% of the sum of the outstanding Term Loans, Consolidated EBITDA shall be deemed to be in Pricing Level I solely for the purposes of determining the Applicable Margin (but only for so long as such failure continues, after which such ratio and the Pricing Level shall be determined based on Consolidated EBITDA as set forth in the most recently-delivered Compliance Certificate).</w:t>
      </w:r>
    </w:p>
    <w:p>
      <w:pPr>
        <w:spacing w:after="0" w:line="170" w:lineRule="exact"/>
        <w:rPr>
          <w:sz w:val="20"/>
          <w:szCs w:val="20"/>
          <w:color w:val="auto"/>
        </w:rPr>
      </w:pPr>
    </w:p>
    <w:p>
      <w:pPr>
        <w:jc w:val="both"/>
        <w:ind w:firstLine="604"/>
        <w:spacing w:after="0" w:line="267" w:lineRule="auto"/>
        <w:rPr>
          <w:sz w:val="20"/>
          <w:szCs w:val="20"/>
          <w:color w:val="auto"/>
        </w:rPr>
      </w:pPr>
      <w:r>
        <w:rPr>
          <w:rFonts w:ascii="Arial" w:cs="Arial" w:eastAsia="Arial" w:hAnsi="Arial"/>
          <w:sz w:val="19"/>
          <w:szCs w:val="19"/>
          <w:color w:val="auto"/>
        </w:rPr>
        <w:t xml:space="preserve">In the event that any financial statement or compliance certificate delivered pursuant to </w:t>
      </w:r>
      <w:r>
        <w:rPr>
          <w:rFonts w:ascii="Arial" w:cs="Arial" w:eastAsia="Arial" w:hAnsi="Arial"/>
          <w:sz w:val="19"/>
          <w:szCs w:val="19"/>
          <w:u w:val="single" w:color="auto"/>
          <w:color w:val="auto"/>
        </w:rPr>
        <w:t>Sections 6.01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is inaccurate (and this Agreement remains in effect when such inaccuracy is discovered), and such inaccuracy, if corrected, would have led to the application of a higher Applicable Margin for any period (an “</w:t>
      </w:r>
      <w:r>
        <w:rPr>
          <w:rFonts w:ascii="Arial" w:cs="Arial" w:eastAsia="Arial" w:hAnsi="Arial"/>
          <w:sz w:val="19"/>
          <w:szCs w:val="19"/>
          <w:b w:val="1"/>
          <w:bCs w:val="1"/>
          <w:color w:val="auto"/>
        </w:rPr>
        <w:t>Applicable Period</w:t>
      </w:r>
      <w:r>
        <w:rPr>
          <w:rFonts w:ascii="Arial" w:cs="Arial" w:eastAsia="Arial" w:hAnsi="Arial"/>
          <w:sz w:val="19"/>
          <w:szCs w:val="19"/>
          <w:color w:val="auto"/>
        </w:rPr>
        <w:t xml:space="preserve">”) than the Applicable Margin applied for such Applicable Period, then (i) the Borrower shall promptly upon obtaining knowledge of such inaccuracy deliver to the Administrative Agent a corrected financial statement and a corrected compliance certificate for such Applicable Period, (ii) the Applicable Margin shall be determined based on the corrected financial statement and corrected compliance certificate for such Applicable Period and (iii) the Borrower shall promptly pay to the Administrative Agent (for the account of the Lenders during the Applicable Period or their successors and assigns) the accrued additional interest owing as a result of such increased Applicable Margin for such Applicable Period. This paragraph shall not limit the rights of the Administrative Agent or the Lenders with respect to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hereof. No Default or Event of Default shall arise or exist as a result of the initial non-payment of such amounts so long as the Borrower complies with this paragraph.</w:t>
      </w:r>
    </w:p>
    <w:p>
      <w:pPr>
        <w:spacing w:after="0" w:line="158"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Assignment and Acceptance</w:t>
      </w:r>
      <w:r>
        <w:rPr>
          <w:rFonts w:ascii="Arial" w:cs="Arial" w:eastAsia="Arial" w:hAnsi="Arial"/>
          <w:sz w:val="19"/>
          <w:szCs w:val="19"/>
          <w:color w:val="auto"/>
        </w:rPr>
        <w:t xml:space="preserve">” shall mean an assignment and acceptance entered into by a Lender and an Eligible Assignee, and accepted by the Administrative Agent,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as shall be approved by the Administrative Agent and the Borrower (such approval of the Borrower shall not be unreasonably withheld, conditioned or delayed).</w:t>
      </w:r>
    </w:p>
    <w:p>
      <w:pPr>
        <w:spacing w:after="0" w:line="138"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Attorney Costs</w:t>
      </w:r>
      <w:r>
        <w:rPr>
          <w:rFonts w:ascii="Arial" w:cs="Arial" w:eastAsia="Arial" w:hAnsi="Arial"/>
          <w:sz w:val="20"/>
          <w:szCs w:val="20"/>
          <w:color w:val="auto"/>
        </w:rPr>
        <w:t>” shall mean and shall include all reasonable and documented fees, expenses and disbursements of any law firm or other external legal counsel.</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Attributable Indebtedness</w:t>
      </w:r>
      <w:r>
        <w:rPr>
          <w:rFonts w:ascii="Arial" w:cs="Arial" w:eastAsia="Arial" w:hAnsi="Arial"/>
          <w:sz w:val="20"/>
          <w:szCs w:val="20"/>
          <w:color w:val="auto"/>
        </w:rPr>
        <w:t>” shall mean, on any date, in respect of any Capitalized Lease of any Person, the capitalized amount thereof that would appear on a balance sheet of such Person prepared as of such date in accordance with GAAP.</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Auction Procedures</w:t>
      </w:r>
      <w:r>
        <w:rPr>
          <w:rFonts w:ascii="Arial" w:cs="Arial" w:eastAsia="Arial" w:hAnsi="Arial"/>
          <w:sz w:val="20"/>
          <w:szCs w:val="20"/>
          <w:color w:val="auto"/>
        </w:rPr>
        <w:t xml:space="preserve">” shall mean the auction procedures with respect to non-pro rata assignments of Term Loans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10.04(k)</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Exhibit K</w:t>
      </w:r>
      <w:r>
        <w:rPr>
          <w:rFonts w:ascii="Arial" w:cs="Arial" w:eastAsia="Arial" w:hAnsi="Arial"/>
          <w:sz w:val="20"/>
          <w:szCs w:val="20"/>
          <w:color w:val="auto"/>
        </w:rPr>
        <w:t xml:space="preserve"> hereto.</w:t>
      </w:r>
    </w:p>
    <w:p>
      <w:pPr>
        <w:spacing w:after="0" w:line="139"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Audited Financial Statements</w:t>
      </w:r>
      <w:r>
        <w:rPr>
          <w:rFonts w:ascii="Arial" w:cs="Arial" w:eastAsia="Arial" w:hAnsi="Arial"/>
          <w:sz w:val="20"/>
          <w:szCs w:val="20"/>
          <w:color w:val="auto"/>
        </w:rPr>
        <w:t>” shall mean the audited consolidated balance sheets of the Borrower and its consolidated subsidiaries for the fiscal years ending December 31, 2018 and December 31, 2017 and the related consolidated statements of operations, changes in shareholders’ equity and cash flows of the Borrower and its consolidated subsidiaries.</w:t>
      </w:r>
    </w:p>
    <w:p>
      <w:pPr>
        <w:spacing w:after="0" w:line="157" w:lineRule="exact"/>
        <w:rPr>
          <w:sz w:val="20"/>
          <w:szCs w:val="20"/>
          <w:color w:val="auto"/>
        </w:rPr>
      </w:pPr>
    </w:p>
    <w:p>
      <w:pPr>
        <w:jc w:val="both"/>
        <w:ind w:firstLine="604"/>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Blocked Person</w:t>
      </w:r>
      <w:r>
        <w:rPr>
          <w:rFonts w:ascii="Arial" w:cs="Arial" w:eastAsia="Arial" w:hAnsi="Arial"/>
          <w:sz w:val="19"/>
          <w:szCs w:val="19"/>
          <w:color w:val="auto"/>
        </w:rPr>
        <w:t>” shall mean any Person that is publicly identified on the most current list of “Specially Designated Nationals and Blocked Persons” published by the Office of Foreign Assets Control of the U.S.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shall mean the Board of Governors of the Federal Reserve System of the United States of America.</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 shall have the meaning assigned to such term in the introductory statement to this Agreement.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Materials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w:t>
      </w:r>
      <w:r>
        <w:rPr>
          <w:rFonts w:ascii="Arial" w:cs="Arial" w:eastAsia="Arial" w:hAnsi="Arial"/>
          <w:sz w:val="20"/>
          <w:szCs w:val="20"/>
          <w:color w:val="auto"/>
        </w:rPr>
        <w:t>” shall mean Loans of the same Class and Type made, converted or continued on the same date and, in the case of Eurodollar Loans, as to which a single Interest Period is in effect.</w:t>
      </w:r>
    </w:p>
    <w:p>
      <w:pPr>
        <w:spacing w:after="0" w:line="139"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shall mean any day other than a Saturday, Sunday or day on which banks in New York City are authorized or required by law to close;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when used in connection with a Eurodollar Loan, the term “</w:t>
      </w:r>
      <w:r>
        <w:rPr>
          <w:rFonts w:ascii="Arial" w:cs="Arial" w:eastAsia="Arial" w:hAnsi="Arial"/>
          <w:sz w:val="19"/>
          <w:szCs w:val="19"/>
          <w:b w:val="1"/>
          <w:bCs w:val="1"/>
          <w:color w:val="auto"/>
        </w:rPr>
        <w:t>Business Day</w:t>
      </w:r>
      <w:r>
        <w:rPr>
          <w:rFonts w:ascii="Arial" w:cs="Arial" w:eastAsia="Arial" w:hAnsi="Arial"/>
          <w:sz w:val="19"/>
          <w:szCs w:val="19"/>
          <w:color w:val="auto"/>
        </w:rPr>
        <w:t>” shall also exclude any day on which banks are not open for dealings in Dollar deposits in the London interbank market.</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Canadian Subsidiary</w:t>
      </w:r>
      <w:r>
        <w:rPr>
          <w:rFonts w:ascii="Arial" w:cs="Arial" w:eastAsia="Arial" w:hAnsi="Arial"/>
          <w:sz w:val="19"/>
          <w:szCs w:val="19"/>
          <w:color w:val="auto"/>
        </w:rPr>
        <w:t>” shall mean any Subsidiary that is organized under the Laws of Canada or any state or province thereof.</w:t>
      </w:r>
    </w:p>
    <w:p>
      <w:pPr>
        <w:spacing w:after="0" w:line="222" w:lineRule="exact"/>
        <w:rPr>
          <w:sz w:val="20"/>
          <w:szCs w:val="20"/>
          <w:color w:val="auto"/>
        </w:rPr>
      </w:pPr>
    </w:p>
    <w:p>
      <w:pPr>
        <w:jc w:val="both"/>
        <w:ind w:firstLine="604"/>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shall mean, for any period, the aggregate of (a) all amounts that would be reflected as additions to property, plant or equipment on a consolidated statement of cash flows of the Borrower and its Restricted Subsidiaries in accordance with GAAP and (b) the value of all assets under Capitalized Leases incurred by the Borrower and its Restricted Subsidiaries during such period.</w:t>
      </w:r>
    </w:p>
    <w:p>
      <w:pPr>
        <w:spacing w:after="0" w:line="122"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Capitalized Leases</w:t>
      </w:r>
      <w:r>
        <w:rPr>
          <w:rFonts w:ascii="Arial" w:cs="Arial" w:eastAsia="Arial" w:hAnsi="Arial"/>
          <w:sz w:val="20"/>
          <w:szCs w:val="20"/>
          <w:color w:val="auto"/>
        </w:rPr>
        <w:t xml:space="preserve">” shall mean all leases that have been or are required to be, in accordance with GAAP, recorded as capitalized leases;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subject to </w:t>
      </w:r>
      <w:r>
        <w:rPr>
          <w:rFonts w:ascii="Arial" w:cs="Arial" w:eastAsia="Arial" w:hAnsi="Arial"/>
          <w:sz w:val="20"/>
          <w:szCs w:val="20"/>
          <w:u w:val="single" w:color="auto"/>
          <w:color w:val="auto"/>
        </w:rPr>
        <w:t>Section 1.11</w:t>
      </w:r>
      <w:r>
        <w:rPr>
          <w:rFonts w:ascii="Arial" w:cs="Arial" w:eastAsia="Arial" w:hAnsi="Arial"/>
          <w:sz w:val="20"/>
          <w:szCs w:val="20"/>
          <w:color w:val="auto"/>
        </w:rPr>
        <w:t>, for all purposes hereunder the amount of obligations under any Capitalized Lease shall be the amount thereof accounted for as a liability in accordance with GAAP.</w:t>
      </w:r>
    </w:p>
    <w:p>
      <w:pPr>
        <w:spacing w:after="0" w:line="157"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Collateral Account</w:t>
      </w:r>
      <w:r>
        <w:rPr>
          <w:rFonts w:ascii="Arial" w:cs="Arial" w:eastAsia="Arial" w:hAnsi="Arial"/>
          <w:sz w:val="20"/>
          <w:szCs w:val="20"/>
          <w:color w:val="auto"/>
        </w:rPr>
        <w:t>” shall mean a blocked account at a commercial bank reasonably satisfactory to the Required Lenders and the Administrative Agent, in the name of the Administrative Agent and under the sole dominion and control of the Administrative Agent, and otherwise established in a manner reasonably satisfactory to the Administrative Agent.</w:t>
      </w:r>
    </w:p>
    <w:p>
      <w:pPr>
        <w:spacing w:after="0" w:line="15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Equivalents</w:t>
      </w:r>
      <w:r>
        <w:rPr>
          <w:rFonts w:ascii="Arial" w:cs="Arial" w:eastAsia="Arial" w:hAnsi="Arial"/>
          <w:sz w:val="20"/>
          <w:szCs w:val="20"/>
          <w:color w:val="auto"/>
        </w:rPr>
        <w:t>” shall mean any of the following types of Investments, to the extent owned by the Borrower or any Restricted Subsidiary:</w:t>
      </w:r>
    </w:p>
    <w:p>
      <w:pPr>
        <w:spacing w:after="0" w:line="143" w:lineRule="exact"/>
        <w:rPr>
          <w:sz w:val="20"/>
          <w:szCs w:val="20"/>
          <w:color w:val="auto"/>
        </w:rPr>
      </w:pPr>
    </w:p>
    <w:p>
      <w:pPr>
        <w:ind w:left="1020" w:hanging="415"/>
        <w:spacing w:after="0"/>
        <w:tabs>
          <w:tab w:leader="none" w:pos="10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Dollars and, to the extent consistent with past practice, Canadian Dollars;</w:t>
      </w:r>
    </w:p>
    <w:p>
      <w:pPr>
        <w:sectPr>
          <w:pgSz w:w="11900" w:h="16838" w:orient="portrait"/>
          <w:cols w:equalWidth="0" w:num="1">
            <w:col w:w="11420"/>
          </w:cols>
          <w:pgMar w:left="240" w:top="131" w:right="239" w:bottom="0" w:gutter="0" w:footer="0" w:header="0"/>
        </w:sectPr>
      </w:pPr>
    </w:p>
    <w:bookmarkStart w:id="51" w:name="page52"/>
    <w:bookmarkEnd w:id="51"/>
    <w:p>
      <w:pPr>
        <w:spacing w:after="0" w:line="53" w:lineRule="exact"/>
        <w:rPr>
          <w:sz w:val="20"/>
          <w:szCs w:val="20"/>
          <w:color w:val="auto"/>
        </w:rPr>
      </w:pPr>
    </w:p>
    <w:p>
      <w:pPr>
        <w:jc w:val="both"/>
        <w:ind w:firstLine="605"/>
        <w:spacing w:after="0" w:line="263" w:lineRule="auto"/>
        <w:tabs>
          <w:tab w:leader="none" w:pos="1042" w:val="left"/>
        </w:tabs>
        <w:numPr>
          <w:ilvl w:val="0"/>
          <w:numId w:val="34"/>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w:t>
      </w:r>
    </w:p>
    <w:p>
      <w:pPr>
        <w:spacing w:after="0" w:line="162" w:lineRule="exact"/>
        <w:rPr>
          <w:rFonts w:ascii="Arial" w:cs="Arial" w:eastAsia="Arial" w:hAnsi="Arial"/>
          <w:sz w:val="20"/>
          <w:szCs w:val="20"/>
          <w:color w:val="auto"/>
        </w:rPr>
      </w:pPr>
    </w:p>
    <w:p>
      <w:pPr>
        <w:ind w:firstLine="605"/>
        <w:spacing w:after="0" w:line="278" w:lineRule="auto"/>
        <w:tabs>
          <w:tab w:leader="none" w:pos="1152"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issuance thereof and having, at such date of acquisition, rated at least A-2 or P-2 by S&amp;P or Moody’s;</w:t>
      </w:r>
    </w:p>
    <w:p>
      <w:pPr>
        <w:spacing w:after="0" w:line="146" w:lineRule="exact"/>
        <w:rPr>
          <w:rFonts w:ascii="Arial" w:cs="Arial" w:eastAsia="Arial" w:hAnsi="Arial"/>
          <w:sz w:val="20"/>
          <w:szCs w:val="20"/>
          <w:color w:val="auto"/>
        </w:rPr>
      </w:pPr>
    </w:p>
    <w:p>
      <w:pPr>
        <w:jc w:val="both"/>
        <w:ind w:firstLine="605"/>
        <w:spacing w:after="0" w:line="255" w:lineRule="auto"/>
        <w:tabs>
          <w:tab w:leader="none" w:pos="1081"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investments in demand deposits, certificates of deposit, banker’s acceptances and time deposits maturing within one year from the date of acquisition thereof issued or guaranteed by or placed with, and money market deposit accounts issued or offered by, the Administrative Agent, the ABL Agent or any domestic office of any commercial bank organized under the laws of the United States of America or any State thereof that has a combined capital and surplus and undivided profits of not less than $500,000,000 and that issues (or the parent of which issues) commercial paper rated at least “Prime 1” (or the then equivalent grade) by Moody’s or “A 1” (or the then equivalent grade) by S&amp;P;</w:t>
      </w:r>
    </w:p>
    <w:p>
      <w:pPr>
        <w:spacing w:after="0" w:line="169" w:lineRule="exact"/>
        <w:rPr>
          <w:rFonts w:ascii="Arial" w:cs="Arial" w:eastAsia="Arial" w:hAnsi="Arial"/>
          <w:sz w:val="20"/>
          <w:szCs w:val="20"/>
          <w:color w:val="auto"/>
        </w:rPr>
      </w:pPr>
    </w:p>
    <w:p>
      <w:pPr>
        <w:ind w:firstLine="605"/>
        <w:spacing w:after="0" w:line="278" w:lineRule="auto"/>
        <w:tabs>
          <w:tab w:leader="none" w:pos="105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30 days for securities described in clause (b) above and entered into with a financial institution satisfying the criteria of clause (d) above;</w:t>
      </w:r>
    </w:p>
    <w:p>
      <w:pPr>
        <w:spacing w:after="0" w:line="146" w:lineRule="exact"/>
        <w:rPr>
          <w:rFonts w:ascii="Arial" w:cs="Arial" w:eastAsia="Arial" w:hAnsi="Arial"/>
          <w:sz w:val="20"/>
          <w:szCs w:val="20"/>
          <w:color w:val="auto"/>
        </w:rPr>
      </w:pPr>
    </w:p>
    <w:p>
      <w:pPr>
        <w:ind w:firstLine="605"/>
        <w:spacing w:after="0" w:line="305" w:lineRule="auto"/>
        <w:tabs>
          <w:tab w:leader="none" w:pos="1059"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investments in “money market funds” within the meaning of Rule 2a-7 of the Investment Company Act of 1940, as amended, substantially all of whose assets are invested in investments of the type described in clauses (a) through (e) above; and</w:t>
      </w:r>
    </w:p>
    <w:p>
      <w:pPr>
        <w:spacing w:after="0" w:line="124" w:lineRule="exact"/>
        <w:rPr>
          <w:rFonts w:ascii="Arial" w:cs="Arial" w:eastAsia="Arial" w:hAnsi="Arial"/>
          <w:sz w:val="19"/>
          <w:szCs w:val="19"/>
          <w:color w:val="auto"/>
        </w:rPr>
      </w:pPr>
    </w:p>
    <w:p>
      <w:pPr>
        <w:jc w:val="both"/>
        <w:ind w:firstLine="605"/>
        <w:spacing w:after="0" w:line="306"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short-term investments entered into in accordance with normal investment policies and practices of any Foreign Subsidiary consistent with past practices for cash management and constituting investments in governmental obligations and investment funds analogous to and having a credit risk not greater than investments of the type described in clauses (a) through (f) above.</w:t>
      </w:r>
    </w:p>
    <w:p>
      <w:pPr>
        <w:spacing w:after="0" w:line="127"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Notwithstanding the foregoing, Cash Equivalents shall include amounts denominated in currencies other than set forth in clause (a) above;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are converted into currencies listed in clause (a) within ten Business Days following the receipt of such amounts.</w:t>
      </w:r>
    </w:p>
    <w:p>
      <w:pPr>
        <w:spacing w:after="0" w:line="159"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Casualty Event</w:t>
      </w:r>
      <w:r>
        <w:rPr>
          <w:rFonts w:ascii="Arial" w:cs="Arial" w:eastAsia="Arial" w:hAnsi="Arial"/>
          <w:sz w:val="19"/>
          <w:szCs w:val="19"/>
          <w:color w:val="auto"/>
        </w:rPr>
        <w:t>” shall mean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 or as compensation for such condemnation event.</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CDA First Lien Obligations</w:t>
      </w:r>
      <w:r>
        <w:rPr>
          <w:rFonts w:ascii="Arial" w:cs="Arial" w:eastAsia="Arial" w:hAnsi="Arial"/>
          <w:sz w:val="20"/>
          <w:szCs w:val="20"/>
          <w:color w:val="auto"/>
        </w:rPr>
        <w:t>” shall have the meaning assigned to such term in the definition of “Net Proceeds”.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shall mean:</w:t>
      </w:r>
    </w:p>
    <w:p>
      <w:pPr>
        <w:spacing w:after="0" w:line="214" w:lineRule="exact"/>
        <w:rPr>
          <w:sz w:val="20"/>
          <w:szCs w:val="20"/>
          <w:color w:val="auto"/>
        </w:rPr>
      </w:pPr>
    </w:p>
    <w:p>
      <w:pPr>
        <w:jc w:val="both"/>
        <w:ind w:firstLine="605"/>
        <w:spacing w:after="0" w:line="259" w:lineRule="auto"/>
        <w:tabs>
          <w:tab w:leader="none" w:pos="1052"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35% of the aggregate ordinary voting power represented by the issued and outstanding Equity Interests of the Borrower;</w:t>
      </w:r>
    </w:p>
    <w:p>
      <w:pPr>
        <w:spacing w:after="0" w:line="165" w:lineRule="exact"/>
        <w:rPr>
          <w:rFonts w:ascii="Arial" w:cs="Arial" w:eastAsia="Arial" w:hAnsi="Arial"/>
          <w:sz w:val="20"/>
          <w:szCs w:val="20"/>
          <w:color w:val="auto"/>
        </w:rPr>
      </w:pPr>
    </w:p>
    <w:p>
      <w:pPr>
        <w:ind w:firstLine="605"/>
        <w:spacing w:after="0" w:line="335" w:lineRule="auto"/>
        <w:tabs>
          <w:tab w:leader="none" w:pos="10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occupation of a majority of the seats (other than vacant seats) on the board of directors of the Borrower by Persons who were neither (i) nominated or approved by the board of directors of the Borrower nor (ii) appointed by directors so nominated or approved; or</w:t>
      </w:r>
    </w:p>
    <w:p>
      <w:pPr>
        <w:spacing w:after="0" w:line="97" w:lineRule="exact"/>
        <w:rPr>
          <w:rFonts w:ascii="Arial" w:cs="Arial" w:eastAsia="Arial" w:hAnsi="Arial"/>
          <w:sz w:val="18"/>
          <w:szCs w:val="18"/>
          <w:color w:val="auto"/>
        </w:rPr>
      </w:pPr>
    </w:p>
    <w:p>
      <w:pPr>
        <w:jc w:val="both"/>
        <w:ind w:firstLine="605"/>
        <w:spacing w:after="0" w:line="265" w:lineRule="auto"/>
        <w:tabs>
          <w:tab w:leader="none" w:pos="10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change of control</w:t>
      </w:r>
      <w:r>
        <w:rPr>
          <w:rFonts w:ascii="Arial" w:cs="Arial" w:eastAsia="Arial" w:hAnsi="Arial"/>
          <w:sz w:val="20"/>
          <w:szCs w:val="20"/>
          <w:color w:val="auto"/>
        </w:rPr>
        <w:t>” (or similar event) shall occur under (i) the ABL Facility Documentation or any Permitted Refinancing thereof or (ii) any other Indebtedness for borrowed money, with an aggregate principal amount (in the case of this clause (ii)) in excess of the Threshold Amount.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w:t>
      </w:r>
      <w:r>
        <w:rPr>
          <w:rFonts w:ascii="Arial" w:cs="Arial" w:eastAsia="Arial" w:hAnsi="Arial"/>
          <w:sz w:val="19"/>
          <w:szCs w:val="19"/>
          <w:color w:val="auto"/>
        </w:rPr>
        <w:t>” when used in reference to (a) any Loan or Borrowing, refers to whether such Loan, or the Loans comprising such Borrowing, are Tranche B-2 Term Loans, Other Term Loans or Extended Term Loans, (b) any Commitment, refers to whether such Commitment is a Term Loan Commitment, Other Term Loan Commitment (and, in the case of an Other Term Loan Commitment, the Class of Term Loans to which such commitment relates), or a commitment in respect of Term Loans to be made pursuant to an Extension Offer and (c) any Lender, refers to whether such Lender has a Loan or Commitment with respect to a particular Class of Loans or Commitments. Other Term Loan Commitments, Other Term Loans and Extended Term Loans that have different terms and conditions, and each tranche of Extended Term Loans, shall be construed to be in different Classes.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shall mean the Internal Revenue Code of 1986, as amended from time to time.</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the “</w:t>
      </w:r>
      <w:r>
        <w:rPr>
          <w:rFonts w:ascii="Arial" w:cs="Arial" w:eastAsia="Arial" w:hAnsi="Arial"/>
          <w:sz w:val="18"/>
          <w:szCs w:val="18"/>
          <w:b w:val="1"/>
          <w:bCs w:val="1"/>
          <w:color w:val="auto"/>
        </w:rPr>
        <w:t>Collateral</w:t>
      </w:r>
      <w:r>
        <w:rPr>
          <w:rFonts w:ascii="Arial" w:cs="Arial" w:eastAsia="Arial" w:hAnsi="Arial"/>
          <w:sz w:val="18"/>
          <w:szCs w:val="18"/>
          <w:color w:val="auto"/>
        </w:rPr>
        <w:t>” as defined in any Collateral Document and shall also include the Mortgaged Properties.</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Agent</w:t>
      </w:r>
      <w:r>
        <w:rPr>
          <w:rFonts w:ascii="Arial" w:cs="Arial" w:eastAsia="Arial" w:hAnsi="Arial"/>
          <w:sz w:val="20"/>
          <w:szCs w:val="20"/>
          <w:color w:val="auto"/>
        </w:rPr>
        <w:t>” shall have the meaning assigned to such term in the introductory statement to this Agreement.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and Guarantee Requirement</w:t>
      </w:r>
      <w:r>
        <w:rPr>
          <w:rFonts w:ascii="Arial" w:cs="Arial" w:eastAsia="Arial" w:hAnsi="Arial"/>
          <w:sz w:val="20"/>
          <w:szCs w:val="20"/>
          <w:color w:val="auto"/>
        </w:rPr>
        <w:t>” shall mean, at any time, the requirement that:</w:t>
      </w:r>
    </w:p>
    <w:p>
      <w:pPr>
        <w:spacing w:after="0" w:line="214" w:lineRule="exact"/>
        <w:rPr>
          <w:sz w:val="20"/>
          <w:szCs w:val="20"/>
          <w:color w:val="auto"/>
        </w:rPr>
      </w:pPr>
    </w:p>
    <w:p>
      <w:pPr>
        <w:jc w:val="both"/>
        <w:ind w:firstLine="605"/>
        <w:spacing w:after="0" w:line="263" w:lineRule="auto"/>
        <w:tabs>
          <w:tab w:leader="none" w:pos="11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on the Restatement Effective Date the Administrative Agent and the Collateral Agent shall have received each Collateral Document to the extent required to be delivered on the Restatement Effective Date pursuant to </w:t>
      </w:r>
      <w:r>
        <w:rPr>
          <w:rFonts w:ascii="Arial" w:cs="Arial" w:eastAsia="Arial" w:hAnsi="Arial"/>
          <w:sz w:val="20"/>
          <w:szCs w:val="20"/>
          <w:u w:val="single" w:color="auto"/>
          <w:color w:val="auto"/>
        </w:rPr>
        <w:t>Section 4.02(d)</w:t>
      </w:r>
      <w:r>
        <w:rPr>
          <w:rFonts w:ascii="Arial" w:cs="Arial" w:eastAsia="Arial" w:hAnsi="Arial"/>
          <w:sz w:val="20"/>
          <w:szCs w:val="20"/>
          <w:color w:val="auto"/>
        </w:rPr>
        <w:t>, subject to the limitations and exceptions of this Agreement, duly executed by each Loan Party that is a party thereto;</w:t>
      </w:r>
    </w:p>
    <w:p>
      <w:pPr>
        <w:spacing w:after="0" w:line="162" w:lineRule="exact"/>
        <w:rPr>
          <w:rFonts w:ascii="Arial" w:cs="Arial" w:eastAsia="Arial" w:hAnsi="Arial"/>
          <w:sz w:val="20"/>
          <w:szCs w:val="20"/>
          <w:color w:val="auto"/>
        </w:rPr>
      </w:pPr>
    </w:p>
    <w:p>
      <w:pPr>
        <w:jc w:val="both"/>
        <w:ind w:firstLine="605"/>
        <w:spacing w:after="0" w:line="335" w:lineRule="auto"/>
        <w:tabs>
          <w:tab w:leader="none" w:pos="11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each case subject to the limitations and exceptions set forth in this Agreement and the Collateral Documents, and to any action required to be taken by the Collateral Agent or the Administrative Agent to effectuate the same, the Obligations shall have been</w:t>
      </w:r>
    </w:p>
    <w:p>
      <w:pPr>
        <w:sectPr>
          <w:pgSz w:w="11900" w:h="16891" w:orient="portrait"/>
          <w:cols w:equalWidth="0" w:num="1">
            <w:col w:w="11420"/>
          </w:cols>
          <w:pgMar w:left="240" w:top="131" w:right="239" w:bottom="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secured by:</w:t>
      </w:r>
    </w:p>
    <w:p>
      <w:pPr>
        <w:spacing w:after="0" w:line="210" w:lineRule="exact"/>
        <w:rPr>
          <w:sz w:val="20"/>
          <w:szCs w:val="20"/>
          <w:color w:val="auto"/>
        </w:rPr>
      </w:pPr>
    </w:p>
    <w:p>
      <w:pPr>
        <w:jc w:val="both"/>
        <w:ind w:left="1200" w:hanging="595"/>
        <w:spacing w:after="0" w:line="259" w:lineRule="auto"/>
        <w:tabs>
          <w:tab w:leader="none" w:pos="12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a perfected second priority security interest (subject to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in all personal property of the Borrower and each Guarantor consisting of all accounts receivable, cash and Cash Equivalents, deposit accounts (other than Term Loan Priority Accounts (as defined in the ABL Intercreditor)) and supporting obligations and books and records related to the foregoing and, in each case, proceeds thereof;</w:t>
      </w:r>
    </w:p>
    <w:p>
      <w:pPr>
        <w:spacing w:after="0" w:line="165" w:lineRule="exact"/>
        <w:rPr>
          <w:rFonts w:ascii="Arial" w:cs="Arial" w:eastAsia="Arial" w:hAnsi="Arial"/>
          <w:sz w:val="20"/>
          <w:szCs w:val="20"/>
          <w:color w:val="auto"/>
        </w:rPr>
      </w:pPr>
    </w:p>
    <w:p>
      <w:pPr>
        <w:ind w:left="1200" w:hanging="595"/>
        <w:spacing w:after="0" w:line="278" w:lineRule="auto"/>
        <w:tabs>
          <w:tab w:leader="none" w:pos="12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a perfected first priority pledge (subject to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of all Equity Interests directly held by the Borrower or any Guarantor;</w:t>
      </w:r>
    </w:p>
    <w:p>
      <w:pPr>
        <w:spacing w:after="0" w:line="146" w:lineRule="exact"/>
        <w:rPr>
          <w:rFonts w:ascii="Arial" w:cs="Arial" w:eastAsia="Arial" w:hAnsi="Arial"/>
          <w:sz w:val="20"/>
          <w:szCs w:val="20"/>
          <w:color w:val="auto"/>
        </w:rPr>
      </w:pPr>
    </w:p>
    <w:p>
      <w:pPr>
        <w:jc w:val="both"/>
        <w:ind w:left="1200" w:hanging="595"/>
        <w:spacing w:after="0" w:line="271" w:lineRule="auto"/>
        <w:tabs>
          <w:tab w:leader="none" w:pos="12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with respect to each Material Real Property, (1) a first priority mortgage, deed of trust or deed to secure debt (as applicable) (subject to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on such Material Real Property pursuant to Mortgages that satisfy the requirements of clause (c)(i) below and (2) a perfected first priority security interest (subject to Liens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in all personal property relating to such Material Real Property and all fixtures thereon, provided, that, to the extent the opinion delivered to Collateral Agent confirms that the filing of the applicable Mortgage itself perfects Collateral Agent’s first priority security interest in such fixtures, no separate fixture filing shall be required; and</w:t>
      </w:r>
    </w:p>
    <w:p>
      <w:pPr>
        <w:spacing w:after="0" w:line="155" w:lineRule="exact"/>
        <w:rPr>
          <w:rFonts w:ascii="Arial" w:cs="Arial" w:eastAsia="Arial" w:hAnsi="Arial"/>
          <w:sz w:val="19"/>
          <w:szCs w:val="19"/>
          <w:color w:val="auto"/>
        </w:rPr>
      </w:pPr>
    </w:p>
    <w:p>
      <w:pPr>
        <w:jc w:val="both"/>
        <w:ind w:left="1200" w:hanging="595"/>
        <w:spacing w:after="0" w:line="266" w:lineRule="auto"/>
        <w:tabs>
          <w:tab w:leader="none" w:pos="12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within one hundred twenty (120) days following the repayment in full of the CDA First Lien Obligations (or, if the proviso to this clause (iv) applies, the date the Requisite CDA Consent is obtained, as applicable), a first priority mortgage, deed of trust or deed to secure debt (as applicable) on each Pension Real Property (such mortgage, deed of trust or deed, a “</w:t>
      </w:r>
      <w:r>
        <w:rPr>
          <w:rFonts w:ascii="Arial" w:cs="Arial" w:eastAsia="Arial" w:hAnsi="Arial"/>
          <w:sz w:val="19"/>
          <w:szCs w:val="19"/>
          <w:b w:val="1"/>
          <w:bCs w:val="1"/>
          <w:color w:val="auto"/>
        </w:rPr>
        <w:t>Pension</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 Mortgage</w:t>
      </w:r>
      <w:r>
        <w:rPr>
          <w:rFonts w:ascii="Arial" w:cs="Arial" w:eastAsia="Arial" w:hAnsi="Arial"/>
          <w:sz w:val="19"/>
          <w:szCs w:val="19"/>
          <w:color w:val="auto"/>
        </w:rPr>
        <w:t>”) pursuant to Mortgages that satisfy the requirements of clause (c)(i) below (subject to Liens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a perfected first priority security interest (subject to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in all personal property relating to such Pension Real Property and all fixtures thereon;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Pension Property Mortgage is prohibited under the terms of the Contribution Deferral Agreement (as in effect as of the date hereof), the Loan Parties shall use commercially reasonable efforts to obtain the necessary consents under the Contribution Deferral Agreement to permit such Pension Property Mortgage (the “</w:t>
      </w:r>
      <w:r>
        <w:rPr>
          <w:rFonts w:ascii="Arial" w:cs="Arial" w:eastAsia="Arial" w:hAnsi="Arial"/>
          <w:sz w:val="19"/>
          <w:szCs w:val="19"/>
          <w:u w:val="single" w:color="auto"/>
          <w:color w:val="auto"/>
        </w:rPr>
        <w:t>Requisite CDA Consent</w:t>
      </w:r>
      <w:r>
        <w:rPr>
          <w:rFonts w:ascii="Arial" w:cs="Arial" w:eastAsia="Arial" w:hAnsi="Arial"/>
          <w:sz w:val="19"/>
          <w:szCs w:val="19"/>
          <w:color w:val="auto"/>
        </w:rPr>
        <w:t xml:space="preserve">”) and if after using such commercially reasonable efforts, such consent is not obtained, the Loan Parties shall not be required to deliver such Pension Property Mortgage until all obligations under the Contribution Deferral Agreement to the extent permitted under </w:t>
      </w:r>
      <w:r>
        <w:rPr>
          <w:rFonts w:ascii="Arial" w:cs="Arial" w:eastAsia="Arial" w:hAnsi="Arial"/>
          <w:sz w:val="19"/>
          <w:szCs w:val="19"/>
          <w:u w:val="single" w:color="auto"/>
          <w:color w:val="auto"/>
        </w:rPr>
        <w:t>Section 7.03(u)</w:t>
      </w:r>
      <w:r>
        <w:rPr>
          <w:rFonts w:ascii="Arial" w:cs="Arial" w:eastAsia="Arial" w:hAnsi="Arial"/>
          <w:sz w:val="19"/>
          <w:szCs w:val="19"/>
          <w:color w:val="auto"/>
        </w:rPr>
        <w:t xml:space="preserve"> shall have been paid in full; and</w:t>
      </w:r>
    </w:p>
    <w:p>
      <w:pPr>
        <w:spacing w:after="0" w:line="164" w:lineRule="exact"/>
        <w:rPr>
          <w:rFonts w:ascii="Arial" w:cs="Arial" w:eastAsia="Arial" w:hAnsi="Arial"/>
          <w:sz w:val="19"/>
          <w:szCs w:val="19"/>
          <w:color w:val="auto"/>
        </w:rPr>
      </w:pPr>
    </w:p>
    <w:p>
      <w:pPr>
        <w:jc w:val="both"/>
        <w:ind w:left="1200" w:hanging="595"/>
        <w:spacing w:after="0" w:line="256" w:lineRule="auto"/>
        <w:tabs>
          <w:tab w:leader="none" w:pos="12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a perfected first priority security interest (subject to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in substantially all other personal property of the Borrower and each Guarantor, including Term Loan Priority Accounts (as defined in the ABL Intercreditor), investment property, contracts, patents, copyrights, trademarks and other general intangibles (subject to a license in favor of the ABL Agent to use intellectual property, subject to the ABL Intercreditor Agreement), commercial tort claims, letter of credit rights, intercompany notes and proceeds of the foregoing;</w:t>
      </w:r>
    </w:p>
    <w:p>
      <w:pPr>
        <w:spacing w:after="0" w:line="170" w:lineRule="exact"/>
        <w:rPr>
          <w:sz w:val="20"/>
          <w:szCs w:val="20"/>
          <w:color w:val="auto"/>
        </w:rPr>
      </w:pPr>
    </w:p>
    <w:p>
      <w:pPr>
        <w:jc w:val="both"/>
        <w:ind w:firstLine="605"/>
        <w:spacing w:after="0" w:line="256" w:lineRule="auto"/>
        <w:tabs>
          <w:tab w:leader="none" w:pos="1130"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subject to the limitations and exceptions set forth in this Agreement and the Collateral Documents, to the extent a security interest in and mortgage lien on any Material Real Property (or, solely with respect to clause (b)(iv) above, any Pension Real Property) is required under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(together with any Material Real Property that is subject to a Mortgage on the Restatement Effective Date pursuant to </w:t>
      </w:r>
      <w:r>
        <w:rPr>
          <w:rFonts w:ascii="Arial" w:cs="Arial" w:eastAsia="Arial" w:hAnsi="Arial"/>
          <w:sz w:val="20"/>
          <w:szCs w:val="20"/>
          <w:u w:val="single" w:color="auto"/>
          <w:color w:val="auto"/>
        </w:rPr>
        <w:t>clause (b)(iii)</w:t>
      </w:r>
      <w:r>
        <w:rPr>
          <w:rFonts w:ascii="Arial" w:cs="Arial" w:eastAsia="Arial" w:hAnsi="Arial"/>
          <w:sz w:val="20"/>
          <w:szCs w:val="20"/>
          <w:color w:val="auto"/>
        </w:rPr>
        <w:t xml:space="preserve"> above, each, a “</w:t>
      </w:r>
      <w:r>
        <w:rPr>
          <w:rFonts w:ascii="Arial" w:cs="Arial" w:eastAsia="Arial" w:hAnsi="Arial"/>
          <w:sz w:val="20"/>
          <w:szCs w:val="20"/>
          <w:b w:val="1"/>
          <w:bCs w:val="1"/>
          <w:color w:val="auto"/>
        </w:rPr>
        <w:t>Mortgaged Property</w:t>
      </w:r>
      <w:r>
        <w:rPr>
          <w:rFonts w:ascii="Arial" w:cs="Arial" w:eastAsia="Arial" w:hAnsi="Arial"/>
          <w:sz w:val="20"/>
          <w:szCs w:val="20"/>
          <w:color w:val="auto"/>
        </w:rPr>
        <w:t>”), the Administrative Agent and the Collateral Agent shall have received:</w:t>
      </w:r>
    </w:p>
    <w:p>
      <w:pPr>
        <w:spacing w:after="0" w:line="170" w:lineRule="exact"/>
        <w:rPr>
          <w:sz w:val="20"/>
          <w:szCs w:val="20"/>
          <w:color w:val="auto"/>
        </w:rPr>
      </w:pPr>
    </w:p>
    <w:p>
      <w:pPr>
        <w:jc w:val="both"/>
        <w:ind w:left="1200" w:hanging="595"/>
        <w:spacing w:after="0" w:line="267" w:lineRule="auto"/>
        <w:tabs>
          <w:tab w:leader="none" w:pos="12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counterparts of a Mortgage with respect to such Real Property duly executed and delivered by the record owner of such property in form suitable for filing or recording in all filing or recording offices that the Collateral Agent may reasonably deem necessary or desirable in order to create a valid and subsisting perfected Lien on the property and/or rights described therein in favor of the Collateral Agent for the benefit of the Secured Parties, and evidence that all filing and recording taxes and fees have been paid or otherwise provided for in a manner reasonably satisfactory to the Collateral Agent and the Required Lenders (it being understood that if a mortgage tax will be owed on the entire amount of the indebtedness evidenced hereby, then the amount secured by the Mortgage shall be limited to 120% (or, in the case of Real Property located in the state of New York, 100%) of the fair market value of the property at the time the Mortgage is entered into if such limitation results in such mortgage tax being calculated based upon such fair market value);</w:t>
      </w:r>
    </w:p>
    <w:p>
      <w:pPr>
        <w:spacing w:after="0" w:line="165" w:lineRule="exact"/>
        <w:rPr>
          <w:rFonts w:ascii="Arial" w:cs="Arial" w:eastAsia="Arial" w:hAnsi="Arial"/>
          <w:sz w:val="19"/>
          <w:szCs w:val="19"/>
          <w:color w:val="auto"/>
        </w:rPr>
      </w:pPr>
    </w:p>
    <w:p>
      <w:pPr>
        <w:jc w:val="both"/>
        <w:ind w:left="1200" w:hanging="595"/>
        <w:spacing w:after="0" w:line="265" w:lineRule="auto"/>
        <w:tabs>
          <w:tab w:leader="none" w:pos="12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fully paid policies of title insurance (or marked-up title insurance commitments having the effect of policies of title insurance) with respect to such Material Real Property issued by the Title Company or another nationally recognized title insurance company reasonably acceptable to the Collateral Agent in form and in an amount reasonably acceptable to the Collateral Agent (not to exceed 100% of the fair market value of such Material Real Property (or interest therein, as applicable) covered thereby), insuring the Mortgages to be valid, subsisting Liens on the property described therein, free and clear of all Liens other than Liens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(such policies, “</w:t>
      </w:r>
      <w:r>
        <w:rPr>
          <w:rFonts w:ascii="Arial" w:cs="Arial" w:eastAsia="Arial" w:hAnsi="Arial"/>
          <w:sz w:val="19"/>
          <w:szCs w:val="19"/>
          <w:b w:val="1"/>
          <w:bCs w:val="1"/>
          <w:color w:val="auto"/>
        </w:rPr>
        <w:t>Mortgage Policies</w:t>
      </w:r>
      <w:r>
        <w:rPr>
          <w:rFonts w:ascii="Arial" w:cs="Arial" w:eastAsia="Arial" w:hAnsi="Arial"/>
          <w:sz w:val="19"/>
          <w:szCs w:val="19"/>
          <w:color w:val="auto"/>
        </w:rPr>
        <w:t>”), each of which shall (A) to the extent reasonably necessary, include such reinsurance arrangements (with provisions for direct access, if reasonably necessary) as shall be reasonably acceptable to the Collateral Agent, (B) contain a “tie-in” or “cluster” endorsement, if available under applicable law (i.e., policies which insure against losses regardless of location or allocated value of the insured property up to a stated maximum coverage amount), (C) have been supplemented by such endorsements (or where such endorsements are not available, customary opinions of special counsel, architects or other professionals reasonably acceptable to the Collateral Agent and the Required Lenders) as shall be reasonably requested by the Collateral Agent or the Required Lenders (including endorsements on matters relating to usury, first loss, last dollar, zoning, contiguity, revolving credit (if available after the applicable Loan Party uses commercially reasonable efforts), doing business, public road access, variable rate, environmental lien, subdivision, mortgage recording tax, separate tax lot and so-called comprehensive coverage over covenants and restrictions);</w:t>
      </w:r>
    </w:p>
    <w:p>
      <w:pPr>
        <w:spacing w:after="0" w:line="167" w:lineRule="exact"/>
        <w:rPr>
          <w:rFonts w:ascii="Arial" w:cs="Arial" w:eastAsia="Arial" w:hAnsi="Arial"/>
          <w:sz w:val="19"/>
          <w:szCs w:val="19"/>
          <w:color w:val="auto"/>
        </w:rPr>
      </w:pPr>
    </w:p>
    <w:p>
      <w:pPr>
        <w:ind w:left="1200" w:hanging="595"/>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 (1) an American Land Title Association/National Society for Professional Surveyors (ALTA/NSPS) form of survey for</w:t>
      </w:r>
    </w:p>
    <w:p>
      <w:pPr>
        <w:sectPr>
          <w:pgSz w:w="11900" w:h="16838" w:orient="portrait"/>
          <w:cols w:equalWidth="0" w:num="1">
            <w:col w:w="11420"/>
          </w:cols>
          <w:pgMar w:left="240" w:top="131" w:right="239" w:bottom="0" w:gutter="0" w:footer="0" w:header="0"/>
        </w:sectPr>
      </w:pPr>
    </w:p>
    <w:bookmarkStart w:id="53" w:name="page54"/>
    <w:bookmarkEnd w:id="53"/>
    <w:p>
      <w:pPr>
        <w:spacing w:after="0" w:line="54" w:lineRule="exact"/>
        <w:rPr>
          <w:sz w:val="20"/>
          <w:szCs w:val="20"/>
          <w:color w:val="auto"/>
        </w:rPr>
      </w:pPr>
    </w:p>
    <w:p>
      <w:pPr>
        <w:jc w:val="both"/>
        <w:ind w:left="1200"/>
        <w:spacing w:after="0" w:line="256" w:lineRule="auto"/>
        <w:rPr>
          <w:sz w:val="20"/>
          <w:szCs w:val="20"/>
          <w:color w:val="auto"/>
        </w:rPr>
      </w:pPr>
      <w:r>
        <w:rPr>
          <w:rFonts w:ascii="Arial" w:cs="Arial" w:eastAsia="Arial" w:hAnsi="Arial"/>
          <w:sz w:val="20"/>
          <w:szCs w:val="20"/>
          <w:color w:val="auto"/>
        </w:rPr>
        <w:t>which all charges have been paid, dated a date, containing a certification and otherwise being in form and substance reasonably satisfactory to the Collateral Agent (a “</w:t>
      </w:r>
      <w:r>
        <w:rPr>
          <w:rFonts w:ascii="Arial" w:cs="Arial" w:eastAsia="Arial" w:hAnsi="Arial"/>
          <w:sz w:val="20"/>
          <w:szCs w:val="20"/>
          <w:b w:val="1"/>
          <w:bCs w:val="1"/>
          <w:color w:val="auto"/>
        </w:rPr>
        <w:t>Survey</w:t>
      </w:r>
      <w:r>
        <w:rPr>
          <w:rFonts w:ascii="Arial" w:cs="Arial" w:eastAsia="Arial" w:hAnsi="Arial"/>
          <w:sz w:val="20"/>
          <w:szCs w:val="20"/>
          <w:color w:val="auto"/>
        </w:rPr>
        <w:t>”) or (2) such documentation (“</w:t>
      </w:r>
      <w:r>
        <w:rPr>
          <w:rFonts w:ascii="Arial" w:cs="Arial" w:eastAsia="Arial" w:hAnsi="Arial"/>
          <w:sz w:val="20"/>
          <w:szCs w:val="20"/>
          <w:b w:val="1"/>
          <w:bCs w:val="1"/>
          <w:color w:val="auto"/>
        </w:rPr>
        <w:t>Other Survey Documentation</w:t>
      </w:r>
      <w:r>
        <w:rPr>
          <w:rFonts w:ascii="Arial" w:cs="Arial" w:eastAsia="Arial" w:hAnsi="Arial"/>
          <w:sz w:val="20"/>
          <w:szCs w:val="20"/>
          <w:color w:val="auto"/>
        </w:rPr>
        <w:t>”) as may be required by the Title Company to omit the standard survey exception to coverage under the Mortgage Policy with respect to such Material Real Property and issue affirmative endorsements reasonably requested by the Collateral Agent, including “same as” survey and comprehensive endorsements;</w:t>
      </w:r>
    </w:p>
    <w:p>
      <w:pPr>
        <w:spacing w:after="0" w:line="170" w:lineRule="exact"/>
        <w:rPr>
          <w:sz w:val="20"/>
          <w:szCs w:val="20"/>
          <w:color w:val="auto"/>
        </w:rPr>
      </w:pPr>
    </w:p>
    <w:p>
      <w:pPr>
        <w:jc w:val="both"/>
        <w:ind w:left="1200" w:hanging="595"/>
        <w:spacing w:after="0" w:line="259" w:lineRule="auto"/>
        <w:tabs>
          <w:tab w:leader="none" w:pos="12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customary legal opinion, addressed to the Collateral Agent and the Secured Parties with respect to the Mortgage on such Material Real Property; provided, however, with respect to any Material Real Property as of the Restatement Effective Date, Borrower shall only be required to deliver a legal opinion if such Material Real Property is located in a Required Opinion State; and</w:t>
      </w:r>
    </w:p>
    <w:p>
      <w:pPr>
        <w:spacing w:after="0" w:line="165" w:lineRule="exact"/>
        <w:rPr>
          <w:rFonts w:ascii="Arial" w:cs="Arial" w:eastAsia="Arial" w:hAnsi="Arial"/>
          <w:sz w:val="20"/>
          <w:szCs w:val="20"/>
          <w:color w:val="auto"/>
        </w:rPr>
      </w:pPr>
    </w:p>
    <w:p>
      <w:pPr>
        <w:jc w:val="both"/>
        <w:ind w:left="1200" w:hanging="595"/>
        <w:spacing w:after="0" w:line="266" w:lineRule="auto"/>
        <w:tabs>
          <w:tab w:leader="none" w:pos="12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order to comply with the Flood Laws, the following documents: (A) a completed standard “life of loan” flood hazard determination form (a “</w:t>
      </w:r>
      <w:r>
        <w:rPr>
          <w:rFonts w:ascii="Arial" w:cs="Arial" w:eastAsia="Arial" w:hAnsi="Arial"/>
          <w:sz w:val="19"/>
          <w:szCs w:val="19"/>
          <w:b w:val="1"/>
          <w:bCs w:val="1"/>
          <w:color w:val="auto"/>
        </w:rPr>
        <w:t>Flood Determination Form</w:t>
      </w:r>
      <w:r>
        <w:rPr>
          <w:rFonts w:ascii="Arial" w:cs="Arial" w:eastAsia="Arial" w:hAnsi="Arial"/>
          <w:sz w:val="19"/>
          <w:szCs w:val="19"/>
          <w:color w:val="auto"/>
        </w:rPr>
        <w:t>”); (B) if any of the material improvement(s) to the improved Material Real Property is located in a special flood hazard area, a notification thereof to the Borrower (“</w:t>
      </w:r>
      <w:r>
        <w:rPr>
          <w:rFonts w:ascii="Arial" w:cs="Arial" w:eastAsia="Arial" w:hAnsi="Arial"/>
          <w:sz w:val="19"/>
          <w:szCs w:val="19"/>
          <w:b w:val="1"/>
          <w:bCs w:val="1"/>
          <w:color w:val="auto"/>
        </w:rPr>
        <w:t>Borrower Notice</w:t>
      </w:r>
      <w:r>
        <w:rPr>
          <w:rFonts w:ascii="Arial" w:cs="Arial" w:eastAsia="Arial" w:hAnsi="Arial"/>
          <w:sz w:val="19"/>
          <w:szCs w:val="19"/>
          <w:color w:val="auto"/>
        </w:rPr>
        <w:t>”) and, if applicable, notification to the Borrower that flood insurance coverage under the National Flood Insurance Program (“</w:t>
      </w:r>
      <w:r>
        <w:rPr>
          <w:rFonts w:ascii="Arial" w:cs="Arial" w:eastAsia="Arial" w:hAnsi="Arial"/>
          <w:sz w:val="19"/>
          <w:szCs w:val="19"/>
          <w:b w:val="1"/>
          <w:bCs w:val="1"/>
          <w:color w:val="auto"/>
        </w:rPr>
        <w:t>NFIP</w:t>
      </w:r>
      <w:r>
        <w:rPr>
          <w:rFonts w:ascii="Arial" w:cs="Arial" w:eastAsia="Arial" w:hAnsi="Arial"/>
          <w:sz w:val="19"/>
          <w:szCs w:val="19"/>
          <w:color w:val="auto"/>
        </w:rPr>
        <w:t>”) is not available because the community in which the property is located does not participate in the NFIP; (C) documentation evidencing the Borrower’s receipt of the Borrower Notice (e.g., a countersigned Borrower Notice or return receipt of certified U.S. Mail or overnight delivery); and (D) if the Borrower Notice is required to be given and flood insurance is available in the community in which such Material Real Property is located, a copy of one of the following: the flood insurance policy, the Borrower’s application for a flood insurance policy plus proof of premium payment, a declaration page confirming that flood insurance has been issued or such other evidence of flood insurance reasonably satisfactory to the Required Lenders, Administrative Agent and the Collateral Agent (any of the foregoing being “</w:t>
      </w:r>
      <w:r>
        <w:rPr>
          <w:rFonts w:ascii="Arial" w:cs="Arial" w:eastAsia="Arial" w:hAnsi="Arial"/>
          <w:sz w:val="19"/>
          <w:szCs w:val="19"/>
          <w:b w:val="1"/>
          <w:bCs w:val="1"/>
          <w:color w:val="auto"/>
        </w:rPr>
        <w:t>Evidence of Flood Insurance</w:t>
      </w:r>
      <w:r>
        <w:rPr>
          <w:rFonts w:ascii="Arial" w:cs="Arial" w:eastAsia="Arial" w:hAnsi="Arial"/>
          <w:sz w:val="19"/>
          <w:szCs w:val="19"/>
          <w:color w:val="auto"/>
        </w:rPr>
        <w:t>”)(the foregoing, collectively, the “</w:t>
      </w:r>
      <w:r>
        <w:rPr>
          <w:rFonts w:ascii="Arial" w:cs="Arial" w:eastAsia="Arial" w:hAnsi="Arial"/>
          <w:sz w:val="19"/>
          <w:szCs w:val="19"/>
          <w:b w:val="1"/>
          <w:bCs w:val="1"/>
          <w:color w:val="auto"/>
        </w:rPr>
        <w:t>Mortgage Policy Conditions</w:t>
      </w:r>
      <w:r>
        <w:rPr>
          <w:rFonts w:ascii="Arial" w:cs="Arial" w:eastAsia="Arial" w:hAnsi="Arial"/>
          <w:sz w:val="19"/>
          <w:szCs w:val="19"/>
          <w:color w:val="auto"/>
        </w:rPr>
        <w:t>”);</w:t>
      </w:r>
    </w:p>
    <w:p>
      <w:pPr>
        <w:spacing w:after="0" w:line="165" w:lineRule="exact"/>
        <w:rPr>
          <w:sz w:val="20"/>
          <w:szCs w:val="20"/>
          <w:color w:val="auto"/>
        </w:rPr>
      </w:pPr>
    </w:p>
    <w:p>
      <w:pPr>
        <w:jc w:val="both"/>
        <w:ind w:firstLine="605"/>
        <w:spacing w:after="0" w:line="271" w:lineRule="auto"/>
        <w:tabs>
          <w:tab w:leader="none" w:pos="11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after the Restatement Effective Date, each Restricted Subsidiary of the Borrower that is not an Excluded Subsidiary shall become a Guarantor and signatory to this Agreement pursuant to a joinder agreement in accordance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provisions, any Subsidiary of the Borrower that would otherwise constitute an Excluded Subsidiary that Guarantees any ABL Facility Indebtedness, any Junior Financing, Permitted Additional Debt, or any Permitted Refinancing of any Indebtedness thereof, or that is a borrower under the ABL Facility (or any Permitted Refinancing thereof) shall be a Guarantor hereunder for so long as it Guarantees such Indebtedness (or is a borrower with respect thereto); and</w:t>
      </w:r>
    </w:p>
    <w:p>
      <w:pPr>
        <w:spacing w:after="0" w:line="155" w:lineRule="exact"/>
        <w:rPr>
          <w:rFonts w:ascii="Arial" w:cs="Arial" w:eastAsia="Arial" w:hAnsi="Arial"/>
          <w:sz w:val="19"/>
          <w:szCs w:val="19"/>
          <w:color w:val="auto"/>
        </w:rPr>
      </w:pPr>
    </w:p>
    <w:p>
      <w:pPr>
        <w:ind w:firstLine="605"/>
        <w:spacing w:after="0" w:line="335" w:lineRule="auto"/>
        <w:tabs>
          <w:tab w:leader="none" w:pos="10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after the Restatement Effective Date, YRC Freight Canada Company and Reimer Holding B.V. shall become a Guarantor and signatory to this Agreement pursuant to a joinder agreement in accordance with, and take the other actions specified in, </w:t>
      </w:r>
      <w:r>
        <w:rPr>
          <w:rFonts w:ascii="Arial" w:cs="Arial" w:eastAsia="Arial" w:hAnsi="Arial"/>
          <w:sz w:val="18"/>
          <w:szCs w:val="18"/>
          <w:u w:val="single" w:color="auto"/>
          <w:color w:val="auto"/>
        </w:rPr>
        <w:t>Schedule 6.13(a)</w:t>
      </w:r>
      <w:r>
        <w:rPr>
          <w:rFonts w:ascii="Arial" w:cs="Arial" w:eastAsia="Arial" w:hAnsi="Arial"/>
          <w:sz w:val="18"/>
          <w:szCs w:val="18"/>
          <w:color w:val="auto"/>
        </w:rPr>
        <w:t>.</w:t>
      </w:r>
    </w:p>
    <w:p>
      <w:pPr>
        <w:spacing w:after="0" w:line="102" w:lineRule="exact"/>
        <w:rPr>
          <w:sz w:val="20"/>
          <w:szCs w:val="20"/>
          <w:color w:val="auto"/>
        </w:rPr>
      </w:pPr>
    </w:p>
    <w:p>
      <w:pPr>
        <w:ind w:firstLine="604"/>
        <w:spacing w:after="0" w:line="278" w:lineRule="auto"/>
        <w:rPr>
          <w:sz w:val="20"/>
          <w:szCs w:val="20"/>
          <w:color w:val="auto"/>
        </w:rPr>
      </w:pPr>
      <w:r>
        <w:rPr>
          <w:rFonts w:ascii="Arial" w:cs="Arial" w:eastAsia="Arial" w:hAnsi="Arial"/>
          <w:sz w:val="20"/>
          <w:szCs w:val="20"/>
          <w:color w:val="auto"/>
        </w:rPr>
        <w:t>Notwithstanding the foregoing provisions of this definition or anything in this Agreement or any other Loan Document to the contrary:</w:t>
      </w:r>
    </w:p>
    <w:p>
      <w:pPr>
        <w:spacing w:after="0" w:line="147" w:lineRule="exact"/>
        <w:rPr>
          <w:sz w:val="20"/>
          <w:szCs w:val="20"/>
          <w:color w:val="auto"/>
        </w:rPr>
      </w:pPr>
    </w:p>
    <w:p>
      <w:pPr>
        <w:jc w:val="both"/>
        <w:ind w:firstLine="605"/>
        <w:spacing w:after="0" w:line="278" w:lineRule="auto"/>
        <w:tabs>
          <w:tab w:leader="none" w:pos="1153"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the foregoing definition shall not require, unless otherwise stated in this clause (A), the creation or perfection of pledges of, security interests in, Mortgages on, the obtaining of title insurance with respect to or the taking of any other actions with respect to: (i) any fee owned Real Property that is not Material Real Property (other than Pension Property Mortgages solely to the extent required to be delivered pursuant to clause (b)(iv) of this definition) and any Leasehold Property (it being understood there shall be no requirement to obtain any landlord waivers, estoppels or collateral access letters), (ii) motor vehicles (other than tractors, trucks, trailers and other rolling stock) consisting of an employee or light vehicle and other assets subject to certificates of title with an individual fair market value of less than $40,000,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fair market value of all assets excluded from the Collateral and Guarantee Requirement pursuant to this sub-clause (ii) of this clause (A), together with the aggregate book value of all assets excluded from the Collateral and Guarantee Requirement pursuant to sub-clause (xiv) of this clause (A), shall not exceed $5,000,000 in the aggregate at any time outstanding, (iii) letter of credit rights (other than to the extent consisting of supporting obligations that can be perfected solely by the filing of a UCC financing statement) of an amount less than $5,000,000 and commercial tort claims where the amount of damages claimed by the applicable Loan Party is less than $5,000,000, (iv) any governmental licenses or state or local franchises, charters and authorizations, to the extent security interests in such licenses, franchises, charters or authorizations are prohibited or restricted thereby (except to the extent such prohibition or restriction is rendered ineffective under the UCC or other applicable law), (v) Collateral in which pledges or security interests are prohibited or restricted by applicable law or require the consent of any governmental authority or third party, which consent has not been obtained, (vi) Margin Stock, (vii) Equity Interests in a bona fide joint venture formed after the Restatement Effective Date with any Person that is not an Affiliate of any Loan Party (but only to the extent that the organizational documents of such Subsidiaries or agreements with other equity holders prohibit or restrict the pledge thereof without the consent of the other equity holders under restrictions that are enforceable under the UCC or other applicable law and such consent has not been obtained), (viii) Equity Interests of (or held as assets by) Immaterial Subsidiaries, or captive insurance Subsidiaries, (ix) any lease, license or agreement or any property to the extent a grant of a security interest therein would violate or invalidate such lease, license or agreement or similar arrangement or create a right of termination in favor of any other party thereto after giving effect to the applicable anti-assignment provisions of the UCC or other applicable law, other than proceeds and receivables thereof, the assignment of which is deemed effective under the UCC or other applicable law, notwithstanding such prohibition,</w:t>
      </w:r>
    </w:p>
    <w:p>
      <w:pPr>
        <w:spacing w:after="0" w:line="2" w:lineRule="exact"/>
        <w:rPr>
          <w:rFonts w:ascii="Arial" w:cs="Arial" w:eastAsia="Arial" w:hAnsi="Arial"/>
          <w:sz w:val="18"/>
          <w:szCs w:val="18"/>
          <w:color w:val="auto"/>
        </w:rPr>
      </w:pPr>
    </w:p>
    <w:p>
      <w:pPr>
        <w:jc w:val="both"/>
        <w:ind w:firstLine="1"/>
        <w:spacing w:after="0" w:line="281" w:lineRule="auto"/>
        <w:tabs>
          <w:tab w:leader="none" w:pos="3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assets or rights subject to a purchase money security interest, Capitalized Lease or similar arrangement, (xi) [reserved], (xii) any assets to the extent a security interest in such assets could result in adverse Tax consequences as reasonably determined by the Borrower, in consultation with the Administrative Agent (provided that the Borrower shall give notice of such determination to the Required Lenders and, at the request of the Required Lenders, shall consult with the Required Lenders), (xiii)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(xiv) any equipment or other collateral with a net book value in an aggregate amount not to exceed $5,000,000 for all such equipment or other collateral (other than to the extent consisting of supporting obligations that can be perfected solely by the filing of a UCC financing 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fair market value of all assets excluded from the Collateral and Guarantee Requirement pursuant to this sub-clause (xiv), together with the aggregate net book value of all assets excluded from the Collateral and</w:t>
      </w:r>
    </w:p>
    <w:p>
      <w:pPr>
        <w:sectPr>
          <w:pgSz w:w="11900" w:h="16893" w:orient="portrait"/>
          <w:cols w:equalWidth="0" w:num="1">
            <w:col w:w="11420"/>
          </w:cols>
          <w:pgMar w:left="240" w:top="131" w:right="239" w:bottom="0" w:gutter="0" w:footer="0" w:header="0"/>
        </w:sectPr>
      </w:pPr>
    </w:p>
    <w:bookmarkStart w:id="54" w:name="page55"/>
    <w:bookmarkEnd w:id="54"/>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Guarantee Requirement pursuant to sub-clause (ii) of this clause (A), shall not exceed $5,000,000 in the aggregate at any time outstanding, and (xv) other assets not specifically included in the Collateral in circumstances where the cost of obtaining a security interest in such assets exceeds the practical benefit to the Lenders afforded thereby as reasonably determined by the Administrative Agent in consultation with the Borrower.</w:t>
      </w:r>
    </w:p>
    <w:p>
      <w:pPr>
        <w:spacing w:after="0" w:line="161" w:lineRule="exact"/>
        <w:rPr>
          <w:sz w:val="20"/>
          <w:szCs w:val="20"/>
          <w:color w:val="auto"/>
        </w:rPr>
      </w:pPr>
    </w:p>
    <w:p>
      <w:pPr>
        <w:jc w:val="both"/>
        <w:ind w:firstLine="605"/>
        <w:spacing w:after="0" w:line="281" w:lineRule="auto"/>
        <w:tabs>
          <w:tab w:leader="none" w:pos="10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the foregoing definition shall not require perfection by “</w:t>
      </w:r>
      <w:r>
        <w:rPr>
          <w:rFonts w:ascii="Arial" w:cs="Arial" w:eastAsia="Arial" w:hAnsi="Arial"/>
          <w:sz w:val="18"/>
          <w:szCs w:val="18"/>
          <w:b w:val="1"/>
          <w:bCs w:val="1"/>
          <w:color w:val="auto"/>
        </w:rPr>
        <w:t>control</w:t>
      </w:r>
      <w:r>
        <w:rPr>
          <w:rFonts w:ascii="Arial" w:cs="Arial" w:eastAsia="Arial" w:hAnsi="Arial"/>
          <w:sz w:val="18"/>
          <w:szCs w:val="18"/>
          <w:color w:val="auto"/>
        </w:rPr>
        <w:t>” except with respect to (1) Equity Interests or Indebtedness represented or evidenced by certificates or instruments and (2) deposit accounts and security accounts (which are required to be subject to Control Agreements pursuant to Section 3.04 of the Security Agreement), other than Excluded Accounts; (ii) perfection by possession or control shall not be required with respect to (x) any intercompany notes in an aggregate principal amount not to exceed $5,000,000 and (y) any other notes or other evidence of Indebtedness in an aggregate principal amount not to exceed $5,000,000; (iii) except in the case of (A) Canadian Subsidiaries, (B) Dutch Subsidiaries and (C) other Foreign Subsidiaries that are not Excluded Foreign Subsidiaries, no actions in any non-U.S. jurisdiction or required by the laws of any non-U.S. jurisdiction shall be required in order to create any security interests in assets located or titled outside of the United States (including the Equity Interests of any Foreign Subsidiary) or to perfect such security interests (it being understood that there shall be no security agreements or pledge agreements governed under the laws of any non-U.S. jurisdiction); and (iv) except to the extent that perfection and priority may be achieved (w) by the filing of a financing statement under the Uniform Commercial Code with respect to the Borrower or a Guarantor, (x) with respect to Real Property and the recordation of Mortgages in respect thereof, as contemplated by clauses (b)(iii) and (c) above, (y) with respect to Equity Interests or Indebtedness, by the delivery of certificates or instruments representing or evidencing such Equity Interests or Indebtedness along with appropriate undated instruments of transfer executed in blank or (z) by notation of liens on certificate of title, the Loan Documents shall not contain any requirements as to perfection or priority with respect to any assets or property described in clause (A) above and this clause (B);</w:t>
      </w:r>
    </w:p>
    <w:p>
      <w:pPr>
        <w:spacing w:after="0" w:line="156" w:lineRule="exact"/>
        <w:rPr>
          <w:rFonts w:ascii="Arial" w:cs="Arial" w:eastAsia="Arial" w:hAnsi="Arial"/>
          <w:sz w:val="18"/>
          <w:szCs w:val="18"/>
          <w:color w:val="auto"/>
        </w:rPr>
      </w:pPr>
    </w:p>
    <w:p>
      <w:pPr>
        <w:jc w:val="both"/>
        <w:ind w:firstLine="605"/>
        <w:spacing w:after="0" w:line="283" w:lineRule="auto"/>
        <w:tabs>
          <w:tab w:leader="none" w:pos="10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Collateral Agent in its reasonable discretion may grant extensions of time for the creation or perfection of security interests in, and Mortgages on, or obtaining of title insurance or taking of other actions with respect to, particular assets (including extensions beyond the Restatement Effective Date) or any other compliance with the requirements of this definition (or any similar requirements set forth herein or in any other Loan Documents) where it reasonably determines, in consultation with the Borrower, that such creation or perfection of security interests or Mortgages, or such obtaining of title insurance or taking of other actions, or any other compliance with the requirements of this definition cannot be accomplished without undue delay, burden or expense by the time or times at which such act would otherwise be required by this Agreement or any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Agent shall have received on or prior to the Restatement Effective Date, (i) UCC financing statements in appropriate form for filing under the UCC in the jurisdiction of incorporation or organization of each Loan Party, (ii) any certificates or instruments representing or evidencing Equity Interests of each direct wholly owned Subsidiary of the Borrower or any Guarantor, in each case accompanied by undated instruments of transfer and stock powers endorsed in blank and (iii) Mortgages and Mortgage Policies for each Material Real Property; and</w:t>
      </w:r>
    </w:p>
    <w:p>
      <w:pPr>
        <w:spacing w:after="0" w:line="146" w:lineRule="exact"/>
        <w:rPr>
          <w:rFonts w:ascii="Arial" w:cs="Arial" w:eastAsia="Arial" w:hAnsi="Arial"/>
          <w:sz w:val="18"/>
          <w:szCs w:val="18"/>
          <w:color w:val="auto"/>
        </w:rPr>
      </w:pPr>
    </w:p>
    <w:p>
      <w:pPr>
        <w:ind w:firstLine="605"/>
        <w:spacing w:after="0" w:line="278" w:lineRule="auto"/>
        <w:tabs>
          <w:tab w:leader="none" w:pos="1152" w:val="left"/>
        </w:tabs>
        <w:numPr>
          <w:ilvl w:val="0"/>
          <w:numId w:val="44"/>
        </w:numPr>
        <w:rPr>
          <w:rFonts w:ascii="Arial" w:cs="Arial" w:eastAsia="Arial" w:hAnsi="Arial"/>
          <w:sz w:val="20"/>
          <w:szCs w:val="20"/>
          <w:color w:val="auto"/>
        </w:rPr>
      </w:pPr>
      <w:r>
        <w:rPr>
          <w:rFonts w:ascii="Arial" w:cs="Arial" w:eastAsia="Arial" w:hAnsi="Arial"/>
          <w:sz w:val="20"/>
          <w:szCs w:val="20"/>
          <w:color w:val="auto"/>
        </w:rPr>
        <w:t>Liens required to be granted from time to time pursuant to the Collateral and Guarantee Requirement shall be subject to the exceptions and limitations set forth in this Agreement and the Collateral Documents.</w:t>
      </w:r>
    </w:p>
    <w:p>
      <w:pPr>
        <w:spacing w:after="0" w:line="143"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Documents</w:t>
      </w:r>
      <w:r>
        <w:rPr>
          <w:rFonts w:ascii="Arial" w:cs="Arial" w:eastAsia="Arial" w:hAnsi="Arial"/>
          <w:sz w:val="20"/>
          <w:szCs w:val="20"/>
          <w:color w:val="auto"/>
        </w:rPr>
        <w:t xml:space="preserve">” shall mean, collectively, the Security Agreement, each of the Mortgages, collateral assignments, security agreements, pledge agreements, intellectual property security agreements, Control Agreements or other similar agreements delivered to the Administrative Agent or the Collateral Agent pursuant to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6.13</w:t>
      </w:r>
      <w:r>
        <w:rPr>
          <w:rFonts w:ascii="Arial" w:cs="Arial" w:eastAsia="Arial" w:hAnsi="Arial"/>
          <w:sz w:val="20"/>
          <w:szCs w:val="20"/>
          <w:color w:val="auto"/>
        </w:rPr>
        <w:t>, each of the other agreements, instruments or documents that creates or purports to create a Lien in favor of the Collateral Agent for the benefit of the Secured Parties, the ABL Intercreditor Agreement and the Second Lien Intercreditor Agreement (if any).</w:t>
      </w:r>
    </w:p>
    <w:p>
      <w:pPr>
        <w:spacing w:after="0" w:line="166"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w:t>
      </w:r>
      <w:r>
        <w:rPr>
          <w:rFonts w:ascii="Arial" w:cs="Arial" w:eastAsia="Arial" w:hAnsi="Arial"/>
          <w:sz w:val="20"/>
          <w:szCs w:val="20"/>
          <w:color w:val="auto"/>
        </w:rPr>
        <w:t>” shall mean, with respect to any Lender, such Lender’s Term Loan Commitment (including pursuant to any Refinancing Amendment or Extension Amendment).</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Communications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xml:space="preserve">” shall mean a certificate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EBITDA</w:t>
      </w:r>
      <w:r>
        <w:rPr>
          <w:rFonts w:ascii="Arial" w:cs="Arial" w:eastAsia="Arial" w:hAnsi="Arial"/>
          <w:sz w:val="20"/>
          <w:szCs w:val="20"/>
          <w:color w:val="auto"/>
        </w:rPr>
        <w:t>” shall mean, for any period, the Consolidated Net Income for such period, plus:</w:t>
      </w:r>
    </w:p>
    <w:p>
      <w:pPr>
        <w:spacing w:after="0" w:line="214" w:lineRule="exact"/>
        <w:rPr>
          <w:sz w:val="20"/>
          <w:szCs w:val="20"/>
          <w:color w:val="auto"/>
        </w:rPr>
      </w:pPr>
    </w:p>
    <w:p>
      <w:pPr>
        <w:ind w:firstLine="605"/>
        <w:spacing w:after="0" w:line="335" w:lineRule="auto"/>
        <w:tabs>
          <w:tab w:leader="none" w:pos="10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without duplication and to the extent deducted (and not added back or excluded) in arriving at such Consolidated Net Income (other than clauses (viii) or (xi)), the sum of the following amounts for such period with respect to Borrower and its Restricted Subsidiaries:</w:t>
      </w:r>
    </w:p>
    <w:p>
      <w:pPr>
        <w:spacing w:after="0" w:line="101" w:lineRule="exact"/>
        <w:rPr>
          <w:rFonts w:ascii="Arial" w:cs="Arial" w:eastAsia="Arial" w:hAnsi="Arial"/>
          <w:sz w:val="18"/>
          <w:szCs w:val="18"/>
          <w:color w:val="auto"/>
        </w:rPr>
      </w:pPr>
    </w:p>
    <w:p>
      <w:pPr>
        <w:jc w:val="both"/>
        <w:ind w:left="600" w:firstLine="609"/>
        <w:spacing w:after="0" w:line="269" w:lineRule="auto"/>
        <w:tabs>
          <w:tab w:leader="none" w:pos="1574" w:val="left"/>
        </w:tabs>
        <w:numPr>
          <w:ilvl w:val="1"/>
          <w:numId w:val="45"/>
        </w:numPr>
        <w:rPr>
          <w:rFonts w:ascii="Arial" w:cs="Arial" w:eastAsia="Arial" w:hAnsi="Arial"/>
          <w:sz w:val="19"/>
          <w:szCs w:val="19"/>
          <w:color w:val="auto"/>
        </w:rPr>
      </w:pPr>
      <w:r>
        <w:rPr>
          <w:rFonts w:ascii="Arial" w:cs="Arial" w:eastAsia="Arial" w:hAnsi="Arial"/>
          <w:sz w:val="19"/>
          <w:szCs w:val="19"/>
          <w:color w:val="auto"/>
        </w:rPr>
        <w:t>total interest expense determined in accordance with GAAP and, to the extent not reflected in such total interest expense, any expenses or losses on hedging obligations or other derivative instruments entered into for the purpose of hedging interest rate risk, net of interest income and gains on such hedging obligations or other derivative obligations, letter of credit fees, costs of surety bonds in connection with financing activities and any bank fees and financing fees (including commitment, underwriting, funding, “rollover” and similar fees and commissions, discounts, yields and other fees, charges and amounts incurred in connection with the issuance or incurrence of Indebtedness and all commissions, discounts and other fees and charges owed with respect to letters of credit and bankers’ acceptance financing and net costs under Swap Contracts entered into for the purpose of hedging interest or commodity rate risk) and annual agency, unused line, facility or similar fees paid under definitive documentation related to Indebtedness (whether amortized or immediately expensed),</w:t>
      </w:r>
    </w:p>
    <w:p>
      <w:pPr>
        <w:spacing w:after="0" w:line="161" w:lineRule="exact"/>
        <w:rPr>
          <w:rFonts w:ascii="Arial" w:cs="Arial" w:eastAsia="Arial" w:hAnsi="Arial"/>
          <w:sz w:val="19"/>
          <w:szCs w:val="19"/>
          <w:color w:val="auto"/>
        </w:rPr>
      </w:pPr>
    </w:p>
    <w:p>
      <w:pPr>
        <w:ind w:left="600" w:firstLine="609"/>
        <w:spacing w:after="0" w:line="350" w:lineRule="auto"/>
        <w:tabs>
          <w:tab w:leader="none" w:pos="16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provision for taxes based on income, profits or capital gains of the Borrower and the Restricted Subsidiaries, including, without limitation, federal, state, local, franchise and similar taxes and foreign withholding taxes paid or accrued during such period,</w:t>
      </w:r>
    </w:p>
    <w:p>
      <w:pPr>
        <w:spacing w:after="0" w:line="88" w:lineRule="exact"/>
        <w:rPr>
          <w:rFonts w:ascii="Arial" w:cs="Arial" w:eastAsia="Arial" w:hAnsi="Arial"/>
          <w:sz w:val="18"/>
          <w:szCs w:val="18"/>
          <w:color w:val="auto"/>
        </w:rPr>
      </w:pPr>
    </w:p>
    <w:p>
      <w:pPr>
        <w:ind w:left="1680" w:hanging="471"/>
        <w:spacing w:after="0"/>
        <w:tabs>
          <w:tab w:leader="none" w:pos="16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depreciation and amortization,</w:t>
      </w:r>
    </w:p>
    <w:p>
      <w:pPr>
        <w:spacing w:after="0" w:line="223" w:lineRule="exact"/>
        <w:rPr>
          <w:rFonts w:ascii="Arial" w:cs="Arial" w:eastAsia="Arial" w:hAnsi="Arial"/>
          <w:sz w:val="20"/>
          <w:szCs w:val="20"/>
          <w:color w:val="auto"/>
        </w:rPr>
      </w:pPr>
    </w:p>
    <w:p>
      <w:pPr>
        <w:jc w:val="both"/>
        <w:ind w:left="600" w:firstLine="609"/>
        <w:spacing w:after="0" w:line="350" w:lineRule="auto"/>
        <w:tabs>
          <w:tab w:leader="none" w:pos="1801"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extraordinary, unusual or non-recurring charges, expenses or losses,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added to “Consolidated EBITDA” pursuant to this clause (a)(iv) in any period, together with the aggregate amount added to Consolidated</w:t>
      </w:r>
    </w:p>
    <w:p>
      <w:pPr>
        <w:sectPr>
          <w:pgSz w:w="11900" w:h="16980" w:orient="portrait"/>
          <w:cols w:equalWidth="0" w:num="1">
            <w:col w:w="11420"/>
          </w:cols>
          <w:pgMar w:left="240" w:top="131" w:right="239" w:bottom="0" w:gutter="0" w:footer="0" w:header="0"/>
        </w:sectPr>
      </w:pPr>
    </w:p>
    <w:bookmarkStart w:id="55" w:name="page56"/>
    <w:bookmarkEnd w:id="55"/>
    <w:p>
      <w:pPr>
        <w:spacing w:after="0" w:line="278" w:lineRule="auto"/>
        <w:rPr>
          <w:sz w:val="20"/>
          <w:szCs w:val="20"/>
          <w:color w:val="auto"/>
        </w:rPr>
      </w:pPr>
      <w:r>
        <w:rPr>
          <w:rFonts w:ascii="Arial" w:cs="Arial" w:eastAsia="Arial" w:hAnsi="Arial"/>
          <w:sz w:val="20"/>
          <w:szCs w:val="20"/>
          <w:color w:val="auto"/>
        </w:rPr>
        <w:t>EBITDA pursuant to clause (a)(vi) of the definition of “Consolidated EBITDA”, shall not exceed in the aggregate 10.0% of Consolidated EBITDA for such period (as calculated prior to giving effect to any such adjustments),</w:t>
      </w:r>
    </w:p>
    <w:p>
      <w:pPr>
        <w:spacing w:after="0" w:line="147" w:lineRule="exact"/>
        <w:rPr>
          <w:sz w:val="20"/>
          <w:szCs w:val="20"/>
          <w:color w:val="auto"/>
        </w:rPr>
      </w:pPr>
    </w:p>
    <w:p>
      <w:pPr>
        <w:jc w:val="both"/>
        <w:ind w:firstLine="609"/>
        <w:spacing w:after="0" w:line="254" w:lineRule="auto"/>
        <w:tabs>
          <w:tab w:leader="none" w:pos="1032"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non-cash expenses, charges and losses (including reserves, impairment charges or asset write-offs, write-offs of deferred financing fees, losses from investments recorded using the equity method, purchase accounting adjustments and stock-based awards compensation expense), in each case other than (A) any non-cash charge representing amortization of a prepaid cash item that was paid and not expensed in a prior period and (B) any non-cash charge relating to write-offs, write-downs or reserves with respect to accounts receivable in the normal course or inventory;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of the non-cash charges referred to in this clause (v) represents an accrual or reserve for potential cash items in any future period, (1) the Borrower may determine not to add back such non-cash charge in the current period and (2) to the extent the Borrower does decide to add back such non-cash charge, the cash payment in respect thereof in such future period shall be subtracted from Consolidated EBITDA in such future period to the extent paid,</w:t>
      </w:r>
    </w:p>
    <w:p>
      <w:pPr>
        <w:spacing w:after="0" w:line="175" w:lineRule="exact"/>
        <w:rPr>
          <w:rFonts w:ascii="Arial" w:cs="Arial" w:eastAsia="Arial" w:hAnsi="Arial"/>
          <w:sz w:val="20"/>
          <w:szCs w:val="20"/>
          <w:color w:val="auto"/>
        </w:rPr>
      </w:pPr>
    </w:p>
    <w:p>
      <w:pPr>
        <w:jc w:val="both"/>
        <w:ind w:firstLine="609"/>
        <w:spacing w:after="0" w:line="295" w:lineRule="auto"/>
        <w:tabs>
          <w:tab w:leader="none" w:pos="10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restructuring costs and charges, integration costs, retention, recruiting, relocation and signing bonuses and expenses, and severance costs (including, for the avoidance of doubt, any bonuses payable in connection with the IBT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added to “Consolidated EBITDA” pursuant to this clause (a)(vi) in any period, together with the aggregate amount added to Consolidated EBITDA pursuant to clause (a)(iv) of the definition of “Consolidated EBITDA”, shall not exceed in the aggregate 10.0% of Consolidated EBITDA for such period (as calculated prior to giving effect to any such adjustments),</w:t>
      </w:r>
    </w:p>
    <w:p>
      <w:pPr>
        <w:spacing w:after="0" w:line="137" w:lineRule="exact"/>
        <w:rPr>
          <w:rFonts w:ascii="Arial" w:cs="Arial" w:eastAsia="Arial" w:hAnsi="Arial"/>
          <w:sz w:val="18"/>
          <w:szCs w:val="18"/>
          <w:color w:val="auto"/>
        </w:rPr>
      </w:pPr>
    </w:p>
    <w:p>
      <w:pPr>
        <w:ind w:left="1120" w:hanging="511"/>
        <w:spacing w:after="0"/>
        <w:tabs>
          <w:tab w:leader="none" w:pos="11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Transaction Expenses,</w:t>
      </w:r>
    </w:p>
    <w:p>
      <w:pPr>
        <w:spacing w:after="0" w:line="223" w:lineRule="exact"/>
        <w:rPr>
          <w:rFonts w:ascii="Arial" w:cs="Arial" w:eastAsia="Arial" w:hAnsi="Arial"/>
          <w:sz w:val="20"/>
          <w:szCs w:val="20"/>
          <w:color w:val="auto"/>
        </w:rPr>
      </w:pPr>
    </w:p>
    <w:p>
      <w:pPr>
        <w:jc w:val="both"/>
        <w:ind w:firstLine="609"/>
        <w:spacing w:after="0" w:line="281" w:lineRule="auto"/>
        <w:tabs>
          <w:tab w:leader="none" w:pos="11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 forma cost savings for acquisitions (including the commencement of activities constituting such business), material dispositions (including the termination or discontinuance of activities constituting such business) of business entities or properties or assets, constituting a division or line of business of any business entity, division or line of business that is the subject of any such acquisition or disposition and operational changes and operational initiatives (collectively, “</w:t>
      </w:r>
      <w:r>
        <w:rPr>
          <w:rFonts w:ascii="Arial" w:cs="Arial" w:eastAsia="Arial" w:hAnsi="Arial"/>
          <w:sz w:val="18"/>
          <w:szCs w:val="18"/>
          <w:b w:val="1"/>
          <w:bCs w:val="1"/>
          <w:color w:val="auto"/>
        </w:rPr>
        <w:t>Cost Savings</w:t>
      </w:r>
      <w:r>
        <w:rPr>
          <w:rFonts w:ascii="Arial" w:cs="Arial" w:eastAsia="Arial" w:hAnsi="Arial"/>
          <w:sz w:val="18"/>
          <w:szCs w:val="18"/>
          <w:color w:val="auto"/>
        </w:rPr>
        <w:t xml:space="preserve">”), scheduled to be executed and realized (in the good faith determination of a Senior Financial Officer of the Borrower) in connection with any such transaction permitted hereunder, net of the amount of actual Cost Savings realized from such actions during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Cost Savings are factually supportable and specifically identified, (B) such Cost Savings are scheduled to be executed and realized within twelve (12) months after the consummation of such transaction, (C) the Administrative Agent and the Required Lenders shall have received a certificate of a Senior Financial Officer of the Borrower, certifying the foregoing requirements and accompanied by a reasonably detailed statement or schedule of such Cost Savings; (D) the actions responsible for any expected Cost Savings are actually taken within twelve (12) months of the consummation of the relevant transaction, (E) any projected Cost Savings in respect of actions which are not actually taken within such twelve (12)-month period or have not been realized within such (12)-month period may no longer be added back in calculating Consolidated EBITDA pursuant to this clause (viii) for the applicable periods, (F) such Cost Savings are not duplicative of any other adjustments to Consolidated EBITDA pursuant to this definition and (G) the aggregate amount added to Consolidated EBITDA pursuant to this clause (a)(viii) in any period, together with the aggregate amount of all adjustments pursuant to </w:t>
      </w:r>
      <w:r>
        <w:rPr>
          <w:rFonts w:ascii="Arial" w:cs="Arial" w:eastAsia="Arial" w:hAnsi="Arial"/>
          <w:sz w:val="18"/>
          <w:szCs w:val="18"/>
          <w:u w:val="single" w:color="auto"/>
          <w:color w:val="auto"/>
        </w:rPr>
        <w:t>Section 1.10(c)</w:t>
      </w:r>
      <w:r>
        <w:rPr>
          <w:rFonts w:ascii="Arial" w:cs="Arial" w:eastAsia="Arial" w:hAnsi="Arial"/>
          <w:sz w:val="18"/>
          <w:szCs w:val="18"/>
          <w:color w:val="auto"/>
        </w:rPr>
        <w:t>, shall not exceed in the aggregate 5.0% of Consolidated EBITDA for such period (as calculated prior to giving effect to any such adjustments),</w:t>
      </w:r>
    </w:p>
    <w:p>
      <w:pPr>
        <w:spacing w:after="0" w:line="158" w:lineRule="exact"/>
        <w:rPr>
          <w:rFonts w:ascii="Arial" w:cs="Arial" w:eastAsia="Arial" w:hAnsi="Arial"/>
          <w:sz w:val="18"/>
          <w:szCs w:val="18"/>
          <w:color w:val="auto"/>
        </w:rPr>
      </w:pPr>
    </w:p>
    <w:p>
      <w:pPr>
        <w:ind w:left="1060" w:hanging="451"/>
        <w:spacing w:after="0"/>
        <w:tabs>
          <w:tab w:leader="none" w:pos="10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jc w:val="both"/>
        <w:ind w:firstLine="609"/>
        <w:spacing w:after="0" w:line="257" w:lineRule="auto"/>
        <w:tabs>
          <w:tab w:leader="none" w:pos="1019" w:val="left"/>
        </w:tabs>
        <w:numPr>
          <w:ilvl w:val="0"/>
          <w:numId w:val="46"/>
        </w:numPr>
        <w:rPr>
          <w:rFonts w:ascii="Arial" w:cs="Arial" w:eastAsia="Arial" w:hAnsi="Arial"/>
          <w:sz w:val="20"/>
          <w:szCs w:val="20"/>
          <w:color w:val="auto"/>
        </w:rPr>
      </w:pPr>
      <w:r>
        <w:rPr>
          <w:rFonts w:ascii="Arial" w:cs="Arial" w:eastAsia="Arial" w:hAnsi="Arial"/>
          <w:sz w:val="20"/>
          <w:szCs w:val="20"/>
          <w:color w:val="auto"/>
        </w:rPr>
        <w:t>other transaction specific accruals, costs, charges, fees and expenses (including legal, tax, structuring and other costs and expenses) related to the Transactions, acquisitions, investments, restricted payments, dispositions or issuances, amendments, waivers or modifications of debt or equity (whether or not consummated) reasonably expected to be permitted under this Agreement or the consummation of which would result in the repayment in full of the Obligations (other than unasserted contingent indemnity and reimbursement obligations) (it being understood and agreed that this clause (a)(x) shall not permit adjustments of the type specified in clauses (a)(iv), (vi) or (viii)),</w:t>
      </w:r>
    </w:p>
    <w:p>
      <w:pPr>
        <w:spacing w:after="0" w:line="170" w:lineRule="exact"/>
        <w:rPr>
          <w:rFonts w:ascii="Arial" w:cs="Arial" w:eastAsia="Arial" w:hAnsi="Arial"/>
          <w:sz w:val="20"/>
          <w:szCs w:val="20"/>
          <w:color w:val="auto"/>
        </w:rPr>
      </w:pPr>
    </w:p>
    <w:p>
      <w:pPr>
        <w:jc w:val="both"/>
        <w:ind w:firstLine="609"/>
        <w:spacing w:after="0" w:line="263" w:lineRule="auto"/>
        <w:tabs>
          <w:tab w:leader="none" w:pos="11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to the extent not already included in Consolidated Net Income, proceeds of business interruption insurance received or reasonably expected to be received within 365 days after the end of such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expected proceeds that are not actually received in such 365 day period shall be deducted from Consolidated EBITDA in the fiscal quarter immediately following such 365 day period,</w:t>
      </w:r>
    </w:p>
    <w:p>
      <w:pPr>
        <w:spacing w:after="0" w:line="162" w:lineRule="exact"/>
        <w:rPr>
          <w:rFonts w:ascii="Arial" w:cs="Arial" w:eastAsia="Arial" w:hAnsi="Arial"/>
          <w:sz w:val="20"/>
          <w:szCs w:val="20"/>
          <w:color w:val="auto"/>
        </w:rPr>
      </w:pPr>
    </w:p>
    <w:p>
      <w:pPr>
        <w:jc w:val="both"/>
        <w:ind w:firstLine="609"/>
        <w:spacing w:after="0" w:line="263" w:lineRule="auto"/>
        <w:tabs>
          <w:tab w:leader="none" w:pos="13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charges, losses or expenses to the extent indemnified or insured or reimbursed or reasonably expected to be indemnified, insured or reimbursed by a third party within 365 days after the end of such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expected amounts that are not actually received in such 365 day period shall be deducted from Consolidated EBITDA in the fiscal quarter immediately following such 365 day period,</w:t>
      </w:r>
    </w:p>
    <w:p>
      <w:pPr>
        <w:spacing w:after="0" w:line="162" w:lineRule="exact"/>
        <w:rPr>
          <w:rFonts w:ascii="Arial" w:cs="Arial" w:eastAsia="Arial" w:hAnsi="Arial"/>
          <w:sz w:val="20"/>
          <w:szCs w:val="20"/>
          <w:color w:val="auto"/>
        </w:rPr>
      </w:pPr>
    </w:p>
    <w:p>
      <w:pPr>
        <w:ind w:firstLine="609"/>
        <w:spacing w:after="0" w:line="291" w:lineRule="auto"/>
        <w:tabs>
          <w:tab w:leader="none" w:pos="1199"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amount of any minority interest expense attributable to minority interests of third parties in the positive income of any non-wholly owned Restricted Subsidiary,</w:t>
      </w:r>
    </w:p>
    <w:p>
      <w:pPr>
        <w:spacing w:after="0" w:line="134" w:lineRule="exact"/>
        <w:rPr>
          <w:rFonts w:ascii="Arial" w:cs="Arial" w:eastAsia="Arial" w:hAnsi="Arial"/>
          <w:sz w:val="20"/>
          <w:szCs w:val="20"/>
          <w:color w:val="auto"/>
        </w:rPr>
      </w:pPr>
    </w:p>
    <w:p>
      <w:pPr>
        <w:ind w:left="1160" w:hanging="551"/>
        <w:spacing w:after="0"/>
        <w:tabs>
          <w:tab w:leader="none" w:pos="11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net loss from disposed, abandoned or discontinued operations,</w:t>
      </w:r>
    </w:p>
    <w:p>
      <w:pPr>
        <w:spacing w:after="0" w:line="223" w:lineRule="exact"/>
        <w:rPr>
          <w:rFonts w:ascii="Arial" w:cs="Arial" w:eastAsia="Arial" w:hAnsi="Arial"/>
          <w:sz w:val="20"/>
          <w:szCs w:val="20"/>
          <w:color w:val="auto"/>
        </w:rPr>
      </w:pPr>
    </w:p>
    <w:p>
      <w:pPr>
        <w:ind w:firstLine="609"/>
        <w:spacing w:after="0" w:line="291" w:lineRule="auto"/>
        <w:tabs>
          <w:tab w:leader="none" w:pos="1107"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amount of loss on sale of Securitization Assets and related assets to the Securitization Subsidiary in connection with a Qualified Securitization Financing,</w:t>
      </w:r>
    </w:p>
    <w:p>
      <w:pPr>
        <w:spacing w:after="0" w:line="134" w:lineRule="exact"/>
        <w:rPr>
          <w:rFonts w:ascii="Arial" w:cs="Arial" w:eastAsia="Arial" w:hAnsi="Arial"/>
          <w:sz w:val="20"/>
          <w:szCs w:val="20"/>
          <w:color w:val="auto"/>
        </w:rPr>
      </w:pPr>
    </w:p>
    <w:p>
      <w:pPr>
        <w:ind w:firstLine="609"/>
        <w:spacing w:after="0" w:line="291" w:lineRule="auto"/>
        <w:tabs>
          <w:tab w:leader="none" w:pos="1176"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realized losses under any Swap Contract or embedded derivatives that require similar accounting treatment and the application of Accounting Standard Codification Topic 815 and related pronouncements,</w:t>
      </w:r>
    </w:p>
    <w:p>
      <w:pPr>
        <w:spacing w:after="0" w:line="134" w:lineRule="exact"/>
        <w:rPr>
          <w:rFonts w:ascii="Arial" w:cs="Arial" w:eastAsia="Arial" w:hAnsi="Arial"/>
          <w:sz w:val="20"/>
          <w:szCs w:val="20"/>
          <w:color w:val="auto"/>
        </w:rPr>
      </w:pPr>
    </w:p>
    <w:p>
      <w:pPr>
        <w:ind w:left="1220" w:hanging="611"/>
        <w:spacing w:after="0"/>
        <w:tabs>
          <w:tab w:leader="none" w:pos="12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cumulative effect of a change in accounting principles,</w:t>
      </w:r>
    </w:p>
    <w:p>
      <w:pPr>
        <w:sectPr>
          <w:pgSz w:w="11900" w:h="16838" w:orient="portrait"/>
          <w:cols w:equalWidth="0" w:num="1">
            <w:col w:w="10820"/>
          </w:cols>
          <w:pgMar w:left="840" w:top="131" w:right="239" w:bottom="0" w:gutter="0" w:footer="0" w:header="0"/>
        </w:sectPr>
      </w:pPr>
    </w:p>
    <w:bookmarkStart w:id="56" w:name="page57"/>
    <w:bookmarkEnd w:id="56"/>
    <w:p>
      <w:pPr>
        <w:ind w:left="600" w:firstLine="609"/>
        <w:spacing w:after="0" w:line="291" w:lineRule="auto"/>
        <w:tabs>
          <w:tab w:leader="none" w:pos="1913"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realized non-cash foreign exchange losses resulting from the impact of foreign currency changes on the valuation of assets or liabilities on the balance sheet of the Borrower and its Restricted Subsidiaries,</w:t>
      </w:r>
    </w:p>
    <w:p>
      <w:pPr>
        <w:spacing w:after="0" w:line="134" w:lineRule="exact"/>
        <w:rPr>
          <w:rFonts w:ascii="Arial" w:cs="Arial" w:eastAsia="Arial" w:hAnsi="Arial"/>
          <w:sz w:val="20"/>
          <w:szCs w:val="20"/>
          <w:color w:val="auto"/>
        </w:rPr>
      </w:pPr>
    </w:p>
    <w:p>
      <w:pPr>
        <w:ind w:left="1760" w:hanging="551"/>
        <w:spacing w:after="0"/>
        <w:tabs>
          <w:tab w:leader="none" w:pos="1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losses attributable to Dispositions of Real Property,</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(b) without duplication and to the extent included in arriving at such Consolidated Net Income, (i) non-cash gains (excluding any non-cash gain to the extent it represents the reversal of an accrual or reserve for a potential cash item that reduced Consolidated EBITDA in any prior period) and all other non-cash items of income for such period, (ii) any gains and income from investments recorded using the equity method, (iii) extraordinary, unusual or non-recurring gains, (iv) non-cash gains representing adjustments to pension assets, (v) any gains attributable to Dispositions of Real Property and (vi) any gains arising out of transactions of the types described in clauses (a)(xii), (xiii), (xiv), (xv) and (xvi)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any gain representing the reversal of any non-cash charge referred to in clause (a)(v)(B) above for a prior period shall be added (together with, without duplication, any amounts received in respect thereof to the extent not increasing Consolidated Net Income) to Consolidated EBITDA in any subsequent period to such extent so reversed (or received).</w:t>
      </w:r>
    </w:p>
    <w:p>
      <w:pPr>
        <w:spacing w:after="0" w:line="144" w:lineRule="exact"/>
        <w:rPr>
          <w:sz w:val="20"/>
          <w:szCs w:val="20"/>
          <w:color w:val="auto"/>
        </w:rPr>
      </w:pPr>
    </w:p>
    <w:p>
      <w:pPr>
        <w:jc w:val="both"/>
        <w:ind w:firstLine="60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shall mean, with reference to any period, the net income (or loss) of the Borrower and its Subsidiaries for such period determined on a consolidated basis in accordance with GAAP on a consolidated basis (without duplication) for such period (without deduction for minority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determining Consolidated Net Income, (a) the net income of any other Person which is not a Subsidiary of the Borrower or is accounted for by the Borrower by the equity method of accounting shall be included only to the extent of the payment of cash dividends or cash distributions by such other Person to the Borrower or a Guarantor that could be made during such period;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purposes of calculating the Cumulative Credit for purposes of </w:t>
      </w:r>
      <w:r>
        <w:rPr>
          <w:rFonts w:ascii="Arial" w:cs="Arial" w:eastAsia="Arial" w:hAnsi="Arial"/>
          <w:sz w:val="18"/>
          <w:szCs w:val="18"/>
          <w:u w:val="single" w:color="auto"/>
          <w:color w:val="auto"/>
        </w:rPr>
        <w:t>Section 7.06(e)(y)</w:t>
      </w:r>
      <w:r>
        <w:rPr>
          <w:rFonts w:ascii="Arial" w:cs="Arial" w:eastAsia="Arial" w:hAnsi="Arial"/>
          <w:sz w:val="18"/>
          <w:szCs w:val="18"/>
          <w:color w:val="auto"/>
        </w:rPr>
        <w:t>, such income shall only be included (directly or indirectly) to the extent such cash dividends or other cash distributions are actually received from such other Person by the Borrower or a Guarantor, (b) the net income of any Subsidiary of the Borrower shall be excluded to the extent that the declaration or payment of cash dividends or similar cash distributions by that Subsidiary of that net income is not at the date of determination permitted by operation of its charter or any agreement, instrument or law applicable to such Subsidiary (other than</w:t>
      </w:r>
    </w:p>
    <w:p>
      <w:pPr>
        <w:spacing w:after="0" w:line="7" w:lineRule="exact"/>
        <w:rPr>
          <w:sz w:val="20"/>
          <w:szCs w:val="20"/>
          <w:color w:val="auto"/>
        </w:rPr>
      </w:pPr>
    </w:p>
    <w:p>
      <w:pPr>
        <w:jc w:val="both"/>
        <w:ind w:firstLine="1"/>
        <w:spacing w:after="0" w:line="251" w:lineRule="auto"/>
        <w:tabs>
          <w:tab w:leader="none" w:pos="277"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restrictions that have been waived or otherwise released, (ii) restrictions pursuant to the Loan Documents and or the ABL Facility Documentation or any agreements or documentation governing Alternative Incremental Indebtedness and (iii) restrictions arising pursuant to an agreement or instrument if the encumbrances and restrictions contained in any such agreement or instrument taken as a whole are not materially less favorable to the Secured Parties than the encumbrances and restrictions contained in the Loan Documents (as determined by the Borrower in good faith)), and (c) the income or loss of any Person accrued prior to the date it becomes a Subsidiary or is merged into or consolidated with the Borrower or any Subsidiary or the date that such Person’s assets are acquired by the Borrower or any Subsidiary shall be excluded.</w:t>
      </w:r>
    </w:p>
    <w:p>
      <w:pPr>
        <w:spacing w:after="0" w:line="169"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Total Assets</w:t>
      </w:r>
      <w:r>
        <w:rPr>
          <w:rFonts w:ascii="Arial" w:cs="Arial" w:eastAsia="Arial" w:hAnsi="Arial"/>
          <w:sz w:val="20"/>
          <w:szCs w:val="20"/>
          <w:color w:val="auto"/>
        </w:rPr>
        <w:t xml:space="preserve">” shall mean the total assets of the Borrower and its Restricted Subsidiaries, determined on a consolidated basis in accordance with GAAP, as shown on the consolidated balance sheet of the Borrower for the most recently completed fiscal quarter for which financial statements have been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57" w:lineRule="exact"/>
        <w:rPr>
          <w:sz w:val="20"/>
          <w:szCs w:val="20"/>
          <w:color w:val="auto"/>
        </w:rPr>
      </w:pPr>
    </w:p>
    <w:p>
      <w:pPr>
        <w:jc w:val="both"/>
        <w:ind w:firstLine="60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Debt</w:t>
      </w:r>
      <w:r>
        <w:rPr>
          <w:rFonts w:ascii="Arial" w:cs="Arial" w:eastAsia="Arial" w:hAnsi="Arial"/>
          <w:sz w:val="19"/>
          <w:szCs w:val="19"/>
          <w:color w:val="auto"/>
        </w:rPr>
        <w:t xml:space="preserve">” shall mean, as of any date of determination, the aggregate principal amount of Indebtedness of the Borrower and its Restricted Subsidiaries (on a consolidated basis) outstanding on such date, in an amount that would be reflected on a balance sheet prepared as of such date on a consolidated basis in accordance with GAAP as long as such amount is no less than the aggregate face amount of such Indebtedness on such date, consisting of Indebtedness for borrowed money, Attributable Indebtedness or purchase money Indebtedness, debt obligations evidenced by bonds, debentures, promissory notes, loan agreements or similar instruments, and all Guarantees of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Consolidated Total Debt shall not include Indebtedness in respect of letters of credit, bankers’ acceptances and other similar contingent obligations, except to the extent of unreimbursed amounts thereunder, and (ii) Consolidated Total Debt shall not include obligations under Swap Contracts permitted hereunder.</w:t>
      </w:r>
    </w:p>
    <w:p>
      <w:pPr>
        <w:spacing w:after="0" w:line="155"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Working Capital</w:t>
      </w:r>
      <w:r>
        <w:rPr>
          <w:rFonts w:ascii="Arial" w:cs="Arial" w:eastAsia="Arial" w:hAnsi="Arial"/>
          <w:sz w:val="20"/>
          <w:szCs w:val="20"/>
          <w:color w:val="auto"/>
        </w:rPr>
        <w:t>” shall mean, with respect to the Borrower and its Restricted Subsidiaries on a consolidated basis at any date of determination, Current Assets at such date of determination minus Current Liabilities at such date of determination; provided,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66"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Contractual Obligation</w:t>
      </w:r>
      <w:r>
        <w:rPr>
          <w:rFonts w:ascii="Arial" w:cs="Arial" w:eastAsia="Arial" w:hAnsi="Arial"/>
          <w:sz w:val="20"/>
          <w:szCs w:val="20"/>
          <w:color w:val="auto"/>
        </w:rPr>
        <w:t>” shall mean, as to any Person, any provision of any security issued by such Person or of any agreement, instrument or other undertaking to which such Person is a party or by which it or any of its property is bound.</w:t>
      </w:r>
    </w:p>
    <w:p>
      <w:pPr>
        <w:spacing w:after="0" w:line="139"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Contribution Deferral Agreement</w:t>
      </w:r>
      <w:r>
        <w:rPr>
          <w:rFonts w:ascii="Arial" w:cs="Arial" w:eastAsia="Arial" w:hAnsi="Arial"/>
          <w:sz w:val="20"/>
          <w:szCs w:val="20"/>
          <w:color w:val="auto"/>
        </w:rPr>
        <w:t>” means that certain Second Amended and Restated Contribution Deferral Agreement, dated as of January 31, 2014, by and between YRC Inc., USF Holland LLC (f/k/a USF Holland Inc.), New Penn Motor Express LLC (f/k/a New Penn Motor Express, Inc.), USF Reddaway Inc., certain other of the Subsidiaries of the Borrower, the Trustees for the Central States, Southeast and Southwest Areas Pension Fund, the Pension Fund Entities and each other pension fund from time to time party thereto and Wilmington Trust Company, all as the same may be amended, amended and restated, restated, supplemented or otherwise modified in accordance with the terms hereof.</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shall have the meaning specified in the definition of “Affiliate”.</w:t>
      </w:r>
    </w:p>
    <w:p>
      <w:pPr>
        <w:spacing w:after="0" w:line="210"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 Agreement</w:t>
      </w:r>
      <w:r>
        <w:rPr>
          <w:rFonts w:ascii="Arial" w:cs="Arial" w:eastAsia="Arial" w:hAnsi="Arial"/>
          <w:sz w:val="20"/>
          <w:szCs w:val="20"/>
          <w:color w:val="auto"/>
        </w:rPr>
        <w:t>” means an agreement, in form and substance reasonably satisfactory to the Required Lenders, which provides for the Collateral Agent to have “control” (for purposes of this definition, as defined in Section 9 104 of the UCC of the State of New York or Section 8-106 of the UCC of the State of New York, as applicable) of Cash Collateral Accounts, Deposit Accounts or Securities Accounts, as applicable.</w:t>
      </w:r>
    </w:p>
    <w:p>
      <w:pPr>
        <w:spacing w:after="0" w:line="161" w:lineRule="exact"/>
        <w:rPr>
          <w:sz w:val="20"/>
          <w:szCs w:val="20"/>
          <w:color w:val="auto"/>
        </w:rPr>
      </w:pPr>
    </w:p>
    <w:p>
      <w:pPr>
        <w:jc w:val="both"/>
        <w:ind w:firstLine="604"/>
        <w:spacing w:after="0" w:line="34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 Refinancing Indebtedness</w:t>
      </w:r>
      <w:r>
        <w:rPr>
          <w:rFonts w:ascii="Arial" w:cs="Arial" w:eastAsia="Arial" w:hAnsi="Arial"/>
          <w:sz w:val="18"/>
          <w:szCs w:val="18"/>
          <w:color w:val="auto"/>
        </w:rPr>
        <w:t>” shall mean Permitted Additional Debt or Indebtedness incurred pursuant to a Refinancing Amendment, in each case, issued, incurred or otherwise obtained (including by means of the extension or renewal of existing</w:t>
      </w:r>
    </w:p>
    <w:p>
      <w:pPr>
        <w:sectPr>
          <w:pgSz w:w="11900" w:h="16838" w:orient="portrait"/>
          <w:cols w:equalWidth="0" w:num="1">
            <w:col w:w="11420"/>
          </w:cols>
          <w:pgMar w:left="240" w:top="169" w:right="239" w:bottom="0" w:gutter="0" w:footer="0" w:header="0"/>
        </w:sectPr>
      </w:pPr>
    </w:p>
    <w:bookmarkStart w:id="57" w:name="page58"/>
    <w:bookmarkEnd w:id="57"/>
    <w:p>
      <w:pPr>
        <w:jc w:val="both"/>
        <w:spacing w:after="0" w:line="282" w:lineRule="auto"/>
        <w:rPr>
          <w:sz w:val="20"/>
          <w:szCs w:val="20"/>
          <w:color w:val="auto"/>
        </w:rPr>
      </w:pPr>
      <w:r>
        <w:rPr>
          <w:rFonts w:ascii="Arial" w:cs="Arial" w:eastAsia="Arial" w:hAnsi="Arial"/>
          <w:sz w:val="18"/>
          <w:szCs w:val="18"/>
          <w:color w:val="auto"/>
        </w:rPr>
        <w:t>Indebtedness) in exchange for, or to extend, renew, replace, restructure or refinance, in whole or part, existing Term Loans (including any successive Credit Agreement Refinancing Indebtedness) (“</w:t>
      </w:r>
      <w:r>
        <w:rPr>
          <w:rFonts w:ascii="Arial" w:cs="Arial" w:eastAsia="Arial" w:hAnsi="Arial"/>
          <w:sz w:val="18"/>
          <w:szCs w:val="18"/>
          <w:b w:val="1"/>
          <w:bCs w:val="1"/>
          <w:color w:val="auto"/>
        </w:rPr>
        <w:t>Refinanced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extending, renewing, replacing, restructuring or refinancing Indebtedness is in an original aggregate principal amount (or accreted value, if applicable) not greater than the aggregate principal amount (or accreted value, if applicable) of the Refinanced Debt, except by an amount equal to accrued but unpaid interest, premiums and fees payable by the terms of such Indebtedness and reasonable fees, expenses, original issue discount and upfront fees incurred in connection with such exchange, modification, refinancing, refunding, renewal, restructuring, replacement or extension, (ii) such Refinanced Debt shall be repaid, defeased or satisfied and discharged with 100% of the Net Proceeds of the applicable Credit Agreement Refinancing Indebtedness and all accrued, due and payable interest, fees and premiums (if any) in connection therewith shall be paid promptly upon receipt of the proceeds of such Credit Agreement Refinancing Indebtedness, (iii) such Indebtedness does not have an earlier maturity and has a Weighted Average Life to Maturity equal to or greater than the Refinanced Debt; and (iv) and, in the case of any high yield notes constituting Credit Agreement Refinancing Indebtedness, such Indebtedness will not have mandatory prepayment provisions (other than related to customary asset sale and change of control and similar offers and AHYDO “catch up” payments) that would result in mandatory prepayment of such Indebtedness prior to the Refinanced Debt.</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Extension</w:t>
      </w:r>
      <w:r>
        <w:rPr>
          <w:rFonts w:ascii="Arial" w:cs="Arial" w:eastAsia="Arial" w:hAnsi="Arial"/>
          <w:sz w:val="20"/>
          <w:szCs w:val="20"/>
          <w:color w:val="auto"/>
        </w:rPr>
        <w:t>” shall mean a Borrowing.</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Cumulative Credit</w:t>
      </w:r>
      <w:r>
        <w:rPr>
          <w:rFonts w:ascii="Arial" w:cs="Arial" w:eastAsia="Arial" w:hAnsi="Arial"/>
          <w:sz w:val="20"/>
          <w:szCs w:val="20"/>
          <w:color w:val="auto"/>
        </w:rPr>
        <w:t>” shall mean, at any date, an amount, not less than zero in the aggregate, determined on a cumulative basis equal to, without duplication:</w:t>
      </w:r>
    </w:p>
    <w:p>
      <w:pPr>
        <w:spacing w:after="0" w:line="143" w:lineRule="exact"/>
        <w:rPr>
          <w:sz w:val="20"/>
          <w:szCs w:val="20"/>
          <w:color w:val="auto"/>
        </w:rPr>
      </w:pPr>
    </w:p>
    <w:p>
      <w:pPr>
        <w:ind w:left="1000" w:hanging="395"/>
        <w:spacing w:after="0"/>
        <w:tabs>
          <w:tab w:leader="none" w:pos="10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the Cumulative Retained Excess Cash Flow Amount at such time, </w:t>
      </w:r>
      <w:r>
        <w:rPr>
          <w:rFonts w:ascii="Arial" w:cs="Arial" w:eastAsia="Arial" w:hAnsi="Arial"/>
          <w:sz w:val="20"/>
          <w:szCs w:val="20"/>
          <w:u w:val="single" w:color="auto"/>
          <w:color w:val="auto"/>
        </w:rPr>
        <w:t>plus</w:t>
      </w:r>
    </w:p>
    <w:p>
      <w:pPr>
        <w:spacing w:after="0" w:line="223" w:lineRule="exact"/>
        <w:rPr>
          <w:rFonts w:ascii="Arial" w:cs="Arial" w:eastAsia="Arial" w:hAnsi="Arial"/>
          <w:sz w:val="20"/>
          <w:szCs w:val="20"/>
          <w:color w:val="auto"/>
        </w:rPr>
      </w:pPr>
    </w:p>
    <w:p>
      <w:pPr>
        <w:ind w:right="200" w:firstLine="605"/>
        <w:spacing w:after="0" w:line="291" w:lineRule="auto"/>
        <w:tabs>
          <w:tab w:leader="none" w:pos="1007"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the cumulative amount of cash and Cash Equivalent proceeds from the sale of Equity Interests of the Borrower or of any direct or indirect parent of the Borrower after the Restatement Effective Date to the extent Not Otherwise Applied, </w:t>
      </w:r>
      <w:r>
        <w:rPr>
          <w:rFonts w:ascii="Arial" w:cs="Arial" w:eastAsia="Arial" w:hAnsi="Arial"/>
          <w:sz w:val="20"/>
          <w:szCs w:val="20"/>
          <w:u w:val="single" w:color="auto"/>
          <w:color w:val="auto"/>
        </w:rPr>
        <w:t>plus</w:t>
      </w:r>
    </w:p>
    <w:p>
      <w:pPr>
        <w:spacing w:after="0" w:line="134" w:lineRule="exact"/>
        <w:rPr>
          <w:rFonts w:ascii="Arial" w:cs="Arial" w:eastAsia="Arial" w:hAnsi="Arial"/>
          <w:sz w:val="20"/>
          <w:szCs w:val="20"/>
          <w:color w:val="auto"/>
        </w:rPr>
      </w:pPr>
    </w:p>
    <w:p>
      <w:pPr>
        <w:ind w:left="1060" w:hanging="455"/>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aggregate amount of Declined Proceeds at such time that have been retained by the Borrower in accordance with </w:t>
      </w:r>
      <w:r>
        <w:rPr>
          <w:rFonts w:ascii="Arial" w:cs="Arial" w:eastAsia="Arial" w:hAnsi="Arial"/>
          <w:sz w:val="18"/>
          <w:szCs w:val="18"/>
          <w:u w:val="single" w:color="auto"/>
          <w:color w:val="auto"/>
        </w:rPr>
        <w:t>Section</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2.13(d)</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p>
    <w:p>
      <w:pPr>
        <w:spacing w:after="0" w:line="204" w:lineRule="exact"/>
        <w:rPr>
          <w:rFonts w:ascii="Arial" w:cs="Arial" w:eastAsia="Arial" w:hAnsi="Arial"/>
          <w:sz w:val="18"/>
          <w:szCs w:val="18"/>
          <w:color w:val="auto"/>
        </w:rPr>
      </w:pPr>
    </w:p>
    <w:p>
      <w:pPr>
        <w:jc w:val="both"/>
        <w:ind w:firstLine="605"/>
        <w:spacing w:after="0" w:line="259" w:lineRule="auto"/>
        <w:tabs>
          <w:tab w:leader="none" w:pos="1007"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to the extent not already included in the Cumulative Retained Excess Cash Flow Amount, an amount equal to any returns in cash and Cash Equivalents (including dividends, interest, distributions, returns of principal, profits on sale, repayments, income and similar amounts) actually received by the Borrower or any Restricted Subsidiary after the Restatement Effective Date in respect of any Investments made pursuant to </w:t>
      </w:r>
      <w:r>
        <w:rPr>
          <w:rFonts w:ascii="Arial" w:cs="Arial" w:eastAsia="Arial" w:hAnsi="Arial"/>
          <w:sz w:val="20"/>
          <w:szCs w:val="20"/>
          <w:u w:val="single" w:color="auto"/>
          <w:color w:val="auto"/>
        </w:rPr>
        <w:t>Section 7.02(p)(y)</w:t>
      </w:r>
      <w:r>
        <w:rPr>
          <w:rFonts w:ascii="Arial" w:cs="Arial" w:eastAsia="Arial" w:hAnsi="Arial"/>
          <w:sz w:val="20"/>
          <w:szCs w:val="20"/>
          <w:color w:val="auto"/>
        </w:rPr>
        <w:t xml:space="preserve">,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in each case that such amount does not exceed the amount of the original Investment made pursuant to </w:t>
      </w:r>
      <w:r>
        <w:rPr>
          <w:rFonts w:ascii="Arial" w:cs="Arial" w:eastAsia="Arial" w:hAnsi="Arial"/>
          <w:sz w:val="20"/>
          <w:szCs w:val="20"/>
          <w:u w:val="single" w:color="auto"/>
          <w:color w:val="auto"/>
        </w:rPr>
        <w:t>Section 7.02(p)(y)</w:t>
      </w:r>
      <w:r>
        <w:rPr>
          <w:rFonts w:ascii="Arial" w:cs="Arial" w:eastAsia="Arial" w:hAnsi="Arial"/>
          <w:sz w:val="20"/>
          <w:szCs w:val="20"/>
          <w:color w:val="auto"/>
        </w:rPr>
        <w:t xml:space="preserve">; </w:t>
      </w:r>
      <w:r>
        <w:rPr>
          <w:rFonts w:ascii="Arial" w:cs="Arial" w:eastAsia="Arial" w:hAnsi="Arial"/>
          <w:sz w:val="20"/>
          <w:szCs w:val="20"/>
          <w:u w:val="single" w:color="auto"/>
          <w:color w:val="auto"/>
        </w:rPr>
        <w:t>minus</w:t>
      </w:r>
    </w:p>
    <w:p>
      <w:pPr>
        <w:spacing w:after="0" w:line="168" w:lineRule="exact"/>
        <w:rPr>
          <w:rFonts w:ascii="Arial" w:cs="Arial" w:eastAsia="Arial" w:hAnsi="Arial"/>
          <w:sz w:val="20"/>
          <w:szCs w:val="20"/>
          <w:color w:val="auto"/>
        </w:rPr>
      </w:pPr>
    </w:p>
    <w:p>
      <w:pPr>
        <w:ind w:firstLine="605"/>
        <w:spacing w:after="0" w:line="291" w:lineRule="auto"/>
        <w:tabs>
          <w:tab w:leader="none" w:pos="1046"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any amount of the Cumulative Credit used to make Investments pursuant to </w:t>
      </w:r>
      <w:r>
        <w:rPr>
          <w:rFonts w:ascii="Arial" w:cs="Arial" w:eastAsia="Arial" w:hAnsi="Arial"/>
          <w:sz w:val="20"/>
          <w:szCs w:val="20"/>
          <w:u w:val="single" w:color="auto"/>
          <w:color w:val="auto"/>
        </w:rPr>
        <w:t>Section 7.02(p)(y)</w:t>
      </w:r>
      <w:r>
        <w:rPr>
          <w:rFonts w:ascii="Arial" w:cs="Arial" w:eastAsia="Arial" w:hAnsi="Arial"/>
          <w:sz w:val="20"/>
          <w:szCs w:val="20"/>
          <w:color w:val="auto"/>
        </w:rPr>
        <w:t xml:space="preserve"> after the Restatement Effective Date and prior to such time, </w:t>
      </w:r>
      <w:r>
        <w:rPr>
          <w:rFonts w:ascii="Arial" w:cs="Arial" w:eastAsia="Arial" w:hAnsi="Arial"/>
          <w:sz w:val="20"/>
          <w:szCs w:val="20"/>
          <w:u w:val="single" w:color="auto"/>
          <w:color w:val="auto"/>
        </w:rPr>
        <w:t>minus</w:t>
      </w:r>
    </w:p>
    <w:p>
      <w:pPr>
        <w:spacing w:after="0" w:line="134" w:lineRule="exact"/>
        <w:rPr>
          <w:rFonts w:ascii="Arial" w:cs="Arial" w:eastAsia="Arial" w:hAnsi="Arial"/>
          <w:sz w:val="20"/>
          <w:szCs w:val="20"/>
          <w:color w:val="auto"/>
        </w:rPr>
      </w:pPr>
    </w:p>
    <w:p>
      <w:pPr>
        <w:ind w:firstLine="605"/>
        <w:spacing w:after="0" w:line="291" w:lineRule="auto"/>
        <w:tabs>
          <w:tab w:leader="none" w:pos="1074"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any amount of the Cumulative Credit used to pay dividends or make distributions or other Restricted Payments pursuant to </w:t>
      </w:r>
      <w:r>
        <w:rPr>
          <w:rFonts w:ascii="Arial" w:cs="Arial" w:eastAsia="Arial" w:hAnsi="Arial"/>
          <w:sz w:val="20"/>
          <w:szCs w:val="20"/>
          <w:u w:val="single" w:color="auto"/>
          <w:color w:val="auto"/>
        </w:rPr>
        <w:t>Section 7.06(d)(ii)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7.06(e)(y)</w:t>
      </w:r>
      <w:r>
        <w:rPr>
          <w:rFonts w:ascii="Arial" w:cs="Arial" w:eastAsia="Arial" w:hAnsi="Arial"/>
          <w:sz w:val="20"/>
          <w:szCs w:val="20"/>
          <w:color w:val="auto"/>
        </w:rPr>
        <w:t xml:space="preserve"> after the Restatement Effective Date and prior to such time, </w:t>
      </w:r>
      <w:r>
        <w:rPr>
          <w:rFonts w:ascii="Arial" w:cs="Arial" w:eastAsia="Arial" w:hAnsi="Arial"/>
          <w:sz w:val="20"/>
          <w:szCs w:val="20"/>
          <w:u w:val="single" w:color="auto"/>
          <w:color w:val="auto"/>
        </w:rPr>
        <w:t>minus</w:t>
      </w:r>
    </w:p>
    <w:p>
      <w:pPr>
        <w:spacing w:after="0" w:line="134" w:lineRule="exact"/>
        <w:rPr>
          <w:rFonts w:ascii="Arial" w:cs="Arial" w:eastAsia="Arial" w:hAnsi="Arial"/>
          <w:sz w:val="20"/>
          <w:szCs w:val="20"/>
          <w:color w:val="auto"/>
        </w:rPr>
      </w:pPr>
    </w:p>
    <w:p>
      <w:pPr>
        <w:ind w:firstLine="605"/>
        <w:spacing w:after="0" w:line="350" w:lineRule="auto"/>
        <w:tabs>
          <w:tab w:leader="none" w:pos="10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amount of the Cumulative Credit used to make payments or distributions in respect of Permitted Additional Debt or Junior Financing (or any Permitted Refinancing thereof) pursuant to </w:t>
      </w:r>
      <w:r>
        <w:rPr>
          <w:rFonts w:ascii="Arial" w:cs="Arial" w:eastAsia="Arial" w:hAnsi="Arial"/>
          <w:sz w:val="18"/>
          <w:szCs w:val="18"/>
          <w:u w:val="single" w:color="auto"/>
          <w:color w:val="auto"/>
        </w:rPr>
        <w:t>Section 7.13(a)(vi)</w:t>
      </w:r>
      <w:r>
        <w:rPr>
          <w:rFonts w:ascii="Arial" w:cs="Arial" w:eastAsia="Arial" w:hAnsi="Arial"/>
          <w:sz w:val="18"/>
          <w:szCs w:val="18"/>
          <w:color w:val="auto"/>
        </w:rPr>
        <w:t xml:space="preserve"> after the Restatement Effective Date and prior to such time.</w:t>
      </w:r>
    </w:p>
    <w:p>
      <w:pPr>
        <w:spacing w:after="0" w:line="84" w:lineRule="exact"/>
        <w:rPr>
          <w:sz w:val="20"/>
          <w:szCs w:val="20"/>
          <w:color w:val="auto"/>
        </w:rPr>
      </w:pPr>
    </w:p>
    <w:p>
      <w:pPr>
        <w:jc w:val="both"/>
        <w:ind w:firstLine="60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Cumulative Retained Excess Cash Flow Amount</w:t>
      </w:r>
      <w:r>
        <w:rPr>
          <w:rFonts w:ascii="Arial" w:cs="Arial" w:eastAsia="Arial" w:hAnsi="Arial"/>
          <w:sz w:val="19"/>
          <w:szCs w:val="19"/>
          <w:color w:val="auto"/>
        </w:rPr>
        <w:t xml:space="preserve">” shall mean, at any date, an amount, not less than zero in any fiscal year, determined on a cumulative basis equal to the aggregate cumulative sum of the Retained Percentage of Excess Cash Flow for all Excess Cash Flow Periods ending after the Restatement Effective Date and prior to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7.06(e)(y)</w:t>
      </w:r>
      <w:r>
        <w:rPr>
          <w:rFonts w:ascii="Arial" w:cs="Arial" w:eastAsia="Arial" w:hAnsi="Arial"/>
          <w:sz w:val="19"/>
          <w:szCs w:val="19"/>
          <w:color w:val="auto"/>
        </w:rPr>
        <w:t xml:space="preserve">, (a) the Cumulative Retained Excess Cash Flow Amount shall only be available if the Total Leverage Ratio at the time of the making of such Investment, Restricted Payment or prepayment, redemption, purchase, defeasance or other payment, as the case may be, calculated on a Pro Forma Basis, is less than or equal to 3.75 to 1.00 and (b) the Cumulative Retained Excess Cash Flow Amount shall be reduced by the amount of Excess Cash Flow attributable to Foreign Subsidiaries to the extent and for so long as such Excess Cash Flow is excluded from Excess Cash Flow prepayments pursuant to </w:t>
      </w:r>
      <w:r>
        <w:rPr>
          <w:rFonts w:ascii="Arial" w:cs="Arial" w:eastAsia="Arial" w:hAnsi="Arial"/>
          <w:sz w:val="19"/>
          <w:szCs w:val="19"/>
          <w:u w:val="single" w:color="auto"/>
          <w:color w:val="auto"/>
        </w:rPr>
        <w:t>Section 2.13(f)</w:t>
      </w:r>
      <w:r>
        <w:rPr>
          <w:rFonts w:ascii="Arial" w:cs="Arial" w:eastAsia="Arial" w:hAnsi="Arial"/>
          <w:sz w:val="19"/>
          <w:szCs w:val="19"/>
          <w:color w:val="auto"/>
        </w:rPr>
        <w:t>.</w:t>
      </w:r>
    </w:p>
    <w:p>
      <w:pPr>
        <w:spacing w:after="0" w:line="155"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Current Assets</w:t>
      </w:r>
      <w:r>
        <w:rPr>
          <w:rFonts w:ascii="Arial" w:cs="Arial" w:eastAsia="Arial" w:hAnsi="Arial"/>
          <w:sz w:val="20"/>
          <w:szCs w:val="20"/>
          <w:color w:val="auto"/>
        </w:rPr>
        <w:t>” shall mean, with respect to the Borrower and the Restricted Subsidiaries on a consolidated basis at any date of determination, all assets that would, in accordance with GAAP, be classified on a consolidated balance sheet of the Borrower and its Restricted Subsidiaries as current assets at such date of determination, other than (a) cash and Cash Equivalents, (b) amounts related to current or deferred Taxes based on income or profits, (c) assets held for sale, (d) loans (permitted) to third parties, (e) pension assets, (f) deferred bank fees, and (g) derivative financial instruments.</w:t>
      </w:r>
    </w:p>
    <w:p>
      <w:pPr>
        <w:spacing w:after="0" w:line="166" w:lineRule="exact"/>
        <w:rPr>
          <w:sz w:val="20"/>
          <w:szCs w:val="20"/>
          <w:color w:val="auto"/>
        </w:rPr>
      </w:pPr>
    </w:p>
    <w:p>
      <w:pPr>
        <w:jc w:val="both"/>
        <w:ind w:firstLine="604"/>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Current Liabilities</w:t>
      </w:r>
      <w:r>
        <w:rPr>
          <w:rFonts w:ascii="Arial" w:cs="Arial" w:eastAsia="Arial" w:hAnsi="Arial"/>
          <w:sz w:val="20"/>
          <w:szCs w:val="20"/>
          <w:color w:val="auto"/>
        </w:rPr>
        <w:t xml:space="preserve">” shall mean, with respect to the Borrower and the Restricted Subsidiaries on a consolidated basis at any date of determination, all liabilities that would, in accordance with GAAP, be classified on a consolidated balance sheet of the Borrower and its Restricted Subsidiaries as current liabilities at such date of determination, other than, without duplication (and to the extent otherwise included therein) (a) the current portion of any Indebtedness, (b) accruals of interest expense (excluding interest expense that is past due and unpaid), (c) accruals for current or deferred Taxes based on income or profits, (d) accruals of any costs or expenses related to restructuring reserves, (e) </w:t>
      </w:r>
      <w:r>
        <w:rPr>
          <w:rFonts w:ascii="Arial" w:cs="Arial" w:eastAsia="Arial" w:hAnsi="Arial"/>
          <w:sz w:val="19"/>
          <w:szCs w:val="19"/>
          <w:color w:val="auto"/>
        </w:rPr>
        <w:t>the current portion of pension liabilities</w:t>
      </w:r>
      <w:r>
        <w:rPr>
          <w:rFonts w:ascii="Arial" w:cs="Arial" w:eastAsia="Arial" w:hAnsi="Arial"/>
          <w:sz w:val="20"/>
          <w:szCs w:val="20"/>
          <w:color w:val="auto"/>
        </w:rPr>
        <w:t xml:space="preserve"> and (f) revolving loans, swing line loans and letter of credit obligations under the ABL Facility or any other revolving credit facility.</w:t>
      </w:r>
    </w:p>
    <w:p>
      <w:pPr>
        <w:spacing w:after="0" w:line="171"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Custodial Administration Agreement”</w:t>
      </w:r>
      <w:r>
        <w:rPr>
          <w:rFonts w:ascii="Arial" w:cs="Arial" w:eastAsia="Arial" w:hAnsi="Arial"/>
          <w:sz w:val="20"/>
          <w:szCs w:val="20"/>
          <w:color w:val="auto"/>
        </w:rPr>
        <w:t xml:space="preserve"> shall mean the custodial administration agreement, dated as of the Restatement Effective Date, by and among the Borrower, the Subsidiaries from time to time parties thereto, VINtek, Inc., as custodial administrator, the Collateral Agent, as administrative and collateral agent for the benefit of the Secured Parties, the ABL Agent, as administrative and collateral agent for the benefit of the ABL Secured Parties and the Collateral Agent, as collateral agent for the benefit of the Secured Parties and the ABL Secured Parties.</w:t>
      </w:r>
    </w:p>
    <w:p>
      <w:pPr>
        <w:sectPr>
          <w:pgSz w:w="11900" w:h="16838" w:orient="portrait"/>
          <w:cols w:equalWidth="0" w:num="1">
            <w:col w:w="11420"/>
          </w:cols>
          <w:pgMar w:left="240" w:top="131" w:right="239" w:bottom="0" w:gutter="0" w:footer="0" w:header="0"/>
        </w:sectPr>
      </w:pPr>
    </w:p>
    <w:bookmarkStart w:id="58" w:name="page59"/>
    <w:bookmarkEnd w:id="58"/>
    <w:p>
      <w:pPr>
        <w:jc w:val="both"/>
        <w:ind w:firstLine="604"/>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Declined Proceeds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shall mean any event or condition that constitutes an Event of Default or that, with the giving of any notice, the passage of any grace period, or both, without cure or waiver hereunder, would be an Event of Default.</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 Account</w:t>
      </w:r>
      <w:r>
        <w:rPr>
          <w:rFonts w:ascii="Arial" w:cs="Arial" w:eastAsia="Arial" w:hAnsi="Arial"/>
          <w:sz w:val="20"/>
          <w:szCs w:val="20"/>
          <w:color w:val="auto"/>
        </w:rPr>
        <w:t xml:space="preserve"> ” means a demand, time, savings, passbook or like account with a bank, savings and loan association, credit union or like organization, other than an account evidenced by a negotiable certificate of deposit.</w:t>
      </w:r>
    </w:p>
    <w:p>
      <w:pPr>
        <w:spacing w:after="0" w:line="139"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Disposition</w:t>
      </w:r>
      <w:r>
        <w:rPr>
          <w:rFonts w:ascii="Arial" w:cs="Arial" w:eastAsia="Arial" w:hAnsi="Arial"/>
          <w:sz w:val="20"/>
          <w:szCs w:val="20"/>
          <w:color w:val="auto"/>
        </w:rPr>
        <w:t xml:space="preserve"> ” or “</w:t>
      </w:r>
      <w:r>
        <w:rPr>
          <w:rFonts w:ascii="Arial" w:cs="Arial" w:eastAsia="Arial" w:hAnsi="Arial"/>
          <w:sz w:val="20"/>
          <w:szCs w:val="20"/>
          <w:b w:val="1"/>
          <w:bCs w:val="1"/>
          <w:color w:val="auto"/>
        </w:rPr>
        <w:t>Dispose</w:t>
      </w:r>
      <w:r>
        <w:rPr>
          <w:rFonts w:ascii="Arial" w:cs="Arial" w:eastAsia="Arial" w:hAnsi="Arial"/>
          <w:sz w:val="20"/>
          <w:szCs w:val="20"/>
          <w:color w:val="auto"/>
        </w:rPr>
        <w:t>” shall mean the sale, transfer, license, lease or other disposition (including any sale and leaseback transaction and any sale or issuance of Equity Interests in a Restricted Subsidiary) of any property by any Person, including any sale, assignment, transfer or other disposal, with or without recourse, of any notes or accounts receivable or any rights and claims associated therewith.</w:t>
      </w:r>
    </w:p>
    <w:p>
      <w:pPr>
        <w:spacing w:after="0" w:line="161" w:lineRule="exact"/>
        <w:rPr>
          <w:sz w:val="20"/>
          <w:szCs w:val="20"/>
          <w:color w:val="auto"/>
        </w:rPr>
      </w:pPr>
    </w:p>
    <w:p>
      <w:pPr>
        <w:jc w:val="both"/>
        <w:ind w:firstLine="60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Equity Interests</w:t>
      </w:r>
      <w:r>
        <w:rPr>
          <w:rFonts w:ascii="Arial" w:cs="Arial" w:eastAsia="Arial" w:hAnsi="Arial"/>
          <w:sz w:val="18"/>
          <w:szCs w:val="18"/>
          <w:color w:val="auto"/>
        </w:rPr>
        <w:t>”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(b) is redeemable at the option of the holder thereof (other than solely for Qualified Equity Interests), in whole or in part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(c) provides for scheduled payments of dividends in cash, or (d) is or becomes convertible into or exchangeable for Indebtedness or any other Equity Interests that would constitute Disqualified Equity Interests, in each case, prior to the date that is ninety-one</w:t>
      </w:r>
    </w:p>
    <w:p>
      <w:pPr>
        <w:spacing w:after="0" w:line="3" w:lineRule="exact"/>
        <w:rPr>
          <w:sz w:val="20"/>
          <w:szCs w:val="20"/>
          <w:color w:val="auto"/>
        </w:rPr>
      </w:pPr>
    </w:p>
    <w:p>
      <w:pPr>
        <w:jc w:val="both"/>
        <w:ind w:firstLine="1"/>
        <w:spacing w:after="0" w:line="289" w:lineRule="auto"/>
        <w:tabs>
          <w:tab w:leader="none" w:pos="3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days after the then Latest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Equity Interests are issued pursuant to, or in accordance with a plan for the benefit of employees of the Borrower or the Restricted Subsidiaries or by any such plan to such employees, such Equity Interests shall not constitute Disqualified Equity Interests solely because they may be required to be repurchased by the Borrower or its Restricted Subsidiaries in order to satisfy applicable statutory or regulatory obligations or as a result of such employee’s termination, death or disability.</w:t>
      </w:r>
    </w:p>
    <w:p>
      <w:pPr>
        <w:spacing w:after="0" w:line="139" w:lineRule="exact"/>
        <w:rPr>
          <w:sz w:val="20"/>
          <w:szCs w:val="20"/>
          <w:color w:val="auto"/>
        </w:rPr>
      </w:pPr>
    </w:p>
    <w:p>
      <w:pPr>
        <w:jc w:val="both"/>
        <w:ind w:firstLine="60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Lenders</w:t>
      </w:r>
      <w:r>
        <w:rPr>
          <w:rFonts w:ascii="Arial" w:cs="Arial" w:eastAsia="Arial" w:hAnsi="Arial"/>
          <w:sz w:val="19"/>
          <w:szCs w:val="19"/>
          <w:color w:val="auto"/>
        </w:rPr>
        <w:t xml:space="preserve">” shall mean (i) each of those banks, financial institutions and other entities identified in writing prior to the Restatement Effective Date by the Borrower to the Administrative Agent and the Required Lenders, (ii) competitors of the Borrower or the Guarantors identified in writing from time to time by the Borrower to the Administrative Agent, and (iii) any known affiliates of the Persons identified pursuant to clause (i) or (ii);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“competitor” or an affiliate of a competitor or an entity referenced in clause (i) shall not include any bona fide debt fund or investment vehicle (other than a Person which is excluded pursuant to clause (i) above) that is primarily engaged in making, purchasing, holding or otherwise investing in commercial loans and similar extensions of credit in the ordinary course of business and whose managers are not involved with any equity or equity-like investments or other investments with an equity component or characteristic managed by any Person described in clause (i) or (ii) above.</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shall mean lawful money of the United States of America.</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Subsidiary</w:t>
      </w:r>
      <w:r>
        <w:rPr>
          <w:rFonts w:ascii="Arial" w:cs="Arial" w:eastAsia="Arial" w:hAnsi="Arial"/>
          <w:sz w:val="20"/>
          <w:szCs w:val="20"/>
          <w:color w:val="auto"/>
        </w:rPr>
        <w:t>” shall mean any Subsidiary that is organized under the Laws of the United States, any state thereof or the District of Columbia.</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Dutch Auction</w:t>
      </w:r>
      <w:r>
        <w:rPr>
          <w:rFonts w:ascii="Arial" w:cs="Arial" w:eastAsia="Arial" w:hAnsi="Arial"/>
          <w:sz w:val="20"/>
          <w:szCs w:val="20"/>
          <w:color w:val="auto"/>
        </w:rPr>
        <w:t xml:space="preserve">” shall mean an auction conducted by the Borrower in order to purchase Term Loans as contemplated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10.04(k)</w:t>
      </w:r>
      <w:r>
        <w:rPr>
          <w:rFonts w:ascii="Arial" w:cs="Arial" w:eastAsia="Arial" w:hAnsi="Arial"/>
          <w:sz w:val="20"/>
          <w:szCs w:val="20"/>
          <w:color w:val="auto"/>
        </w:rPr>
        <w:t xml:space="preserve">, in accordance in all material respects with the procedures set forth in </w:t>
      </w:r>
      <w:r>
        <w:rPr>
          <w:rFonts w:ascii="Arial" w:cs="Arial" w:eastAsia="Arial" w:hAnsi="Arial"/>
          <w:sz w:val="20"/>
          <w:szCs w:val="20"/>
          <w:u w:val="single" w:color="auto"/>
          <w:color w:val="auto"/>
        </w:rPr>
        <w:t>Exhibit K</w:t>
      </w:r>
      <w:r>
        <w:rPr>
          <w:rFonts w:ascii="Arial" w:cs="Arial" w:eastAsia="Arial" w:hAnsi="Arial"/>
          <w:sz w:val="20"/>
          <w:szCs w:val="20"/>
          <w:color w:val="auto"/>
        </w:rPr>
        <w:t>.</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Subsidiary</w:t>
      </w:r>
      <w:r>
        <w:rPr>
          <w:rFonts w:ascii="Arial" w:cs="Arial" w:eastAsia="Arial" w:hAnsi="Arial"/>
          <w:sz w:val="18"/>
          <w:szCs w:val="18"/>
          <w:color w:val="auto"/>
        </w:rPr>
        <w:t>” shall mean any Subsidiary that is organized under the Laws of the Netherlands or any state or province thereof.</w:t>
      </w:r>
    </w:p>
    <w:p>
      <w:pPr>
        <w:spacing w:after="0" w:line="233" w:lineRule="exact"/>
        <w:rPr>
          <w:sz w:val="20"/>
          <w:szCs w:val="20"/>
          <w:color w:val="auto"/>
        </w:rPr>
      </w:pPr>
    </w:p>
    <w:p>
      <w:pPr>
        <w:jc w:val="both"/>
        <w:ind w:firstLine="60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xml:space="preserve">” shall mean (i) a Lender, (ii) an Affiliate of a Lender, (iii) a Related Fund of a Lender, and (iv) any other Person (other than a natural person) approved by the Administrative Agent and, unless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8.01(g)</w:t>
      </w:r>
      <w:r>
        <w:rPr>
          <w:rFonts w:ascii="Arial" w:cs="Arial" w:eastAsia="Arial" w:hAnsi="Arial"/>
          <w:sz w:val="19"/>
          <w:szCs w:val="19"/>
          <w:color w:val="auto"/>
        </w:rPr>
        <w:t xml:space="preserve"> has occurred and is continuing and except during the primary syndication of the Commitments to those institutions disclosed in writing by the Required Lenders to the Borrower and approved by the Borrower prior to the Restatement Effective Date, the Borrower (each such approval not to be unreasonably withheld, conditioned or delayed and the Borrower’s approval being deemed to have been given in the event that the Borrower does not object in writing to an assignment within 10 days after receipt of written notice of such assignment);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the foregoing, “</w:t>
      </w:r>
      <w:r>
        <w:rPr>
          <w:rFonts w:ascii="Arial" w:cs="Arial" w:eastAsia="Arial" w:hAnsi="Arial"/>
          <w:sz w:val="19"/>
          <w:szCs w:val="19"/>
          <w:b w:val="1"/>
          <w:bCs w:val="1"/>
          <w:color w:val="auto"/>
        </w:rPr>
        <w:t>Eligible Assignee</w:t>
      </w:r>
      <w:r>
        <w:rPr>
          <w:rFonts w:ascii="Arial" w:cs="Arial" w:eastAsia="Arial" w:hAnsi="Arial"/>
          <w:sz w:val="19"/>
          <w:szCs w:val="19"/>
          <w:color w:val="auto"/>
        </w:rPr>
        <w:t xml:space="preserve">” shall not include the Borrower or any other Controlled Affiliate of the Borrower (it being understood that assignments to the Borrower may only be made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“Eligible Assignee” shall not include any Disqualified Lender without the prior written consent of the Borrower (which may be withheld in the Borrower’s sole discretion). Notwithstanding the foregoing or anything else to the contrary in this Agreement, each of the parties hereto acknowledges and agrees that the Administrative Agent (in its capacity as such) (x) shall not have any responsibility or obligation to determine whether any Lender or any potential assignee Lender is a Disqualified Lender and (y) shall not have any liability with respect to any assignment or participation made to a Disqualified Lender.</w:t>
      </w:r>
    </w:p>
    <w:p>
      <w:pPr>
        <w:spacing w:after="0" w:line="162"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shall mean all federal, state, local and foreign laws (including common law), treaties, regulations, rules, ordinances, codes, decrees, judgments, directives, orders (including consent orders), and agreements in each case, relating to protection of the environment, natural resources, human health and safety (with respect to exposure to hazardous or toxic substances or wastes) or the presence, Release of, or exposure to, hazardous or toxic substances or wastes, or the generation, manufacture, processing, distribution, use, treatment, storage, transport, recycling or handling of, or the arrangement for such activities with respect to, hazardous or toxic substances or wastes.</w:t>
      </w:r>
    </w:p>
    <w:p>
      <w:pPr>
        <w:sectPr>
          <w:pgSz w:w="11900" w:h="16838" w:orient="portrait"/>
          <w:cols w:equalWidth="0" w:num="1">
            <w:col w:w="11420"/>
          </w:cols>
          <w:pgMar w:left="240" w:top="127" w:right="239" w:bottom="64" w:gutter="0" w:footer="0" w:header="0"/>
        </w:sectPr>
      </w:pPr>
    </w:p>
    <w:bookmarkStart w:id="59" w:name="page60"/>
    <w:bookmarkEnd w:id="59"/>
    <w:p>
      <w:pPr>
        <w:jc w:val="both"/>
        <w:ind w:firstLine="604"/>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Liability</w:t>
      </w:r>
      <w:r>
        <w:rPr>
          <w:rFonts w:ascii="Arial" w:cs="Arial" w:eastAsia="Arial" w:hAnsi="Arial"/>
          <w:sz w:val="20"/>
          <w:szCs w:val="20"/>
          <w:color w:val="auto"/>
        </w:rPr>
        <w:t>” shall mean all liabilities, obligations, damages, losses, claims, actions, suits, judgments, orders, fines, penalties, fees, expenses and costs (including administrative oversight costs, capital and operating costs, injunctive relief, costs associated with financial assurance, permitting or closure requirements, natural resource damages and investigation or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1"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39"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Interests</w:t>
      </w:r>
      <w:r>
        <w:rPr>
          <w:rFonts w:ascii="Arial" w:cs="Arial" w:eastAsia="Arial" w:hAnsi="Arial"/>
          <w:sz w:val="19"/>
          <w:szCs w:val="19"/>
          <w:color w:val="auto"/>
        </w:rPr>
        <w:t>” shall mean,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but excluding in each case any debt security that is convertible into, or exchanged for, Equity Interests.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shall mean the Employee Retirement Income Security Act of 1974, as amended from time to time.</w:t>
      </w:r>
    </w:p>
    <w:p>
      <w:pPr>
        <w:spacing w:after="0" w:line="210"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shall mean Person, any trade or business (whether or not incorporated) that, together with a Loan Party or any Restricted Subsidiary, is or, within the six year period immediately preceding the Original Closing Date, was treated as a single employer under Section 414(b) or (c) of the Code, or, solely for purposes of Section 302 of ERISA and Section 412 of the Code, is treated as a single employer under Section 414 of the Code.</w:t>
      </w:r>
    </w:p>
    <w:p>
      <w:pPr>
        <w:spacing w:after="0" w:line="161"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shall mean (a) a Reportable Event; (b) the failure to satisfy the minimum funding standard with respect to a Plan within the meaning of Sections 412 or 430 of the Code or Sections 302 or 303 of ERISA, whether or not waived (unless such failure is corrected by the final due date for the plan year for which such failure occurred), (c) a determination that a Plan is, or is expected to be, in “at risk” status (as defined in Section 303(i)(4) of ERISA or Section 430(i)(4) of the Code); (d) the receipt by a Loan Party, any Restricted Subsidiary or any of their respective ERISA Affiliates of notice pursuant to Section 305(b)(3)(D) of ERISA that a Multiemployer Plan is or will be in “endangered status” or “critical status” (as defined in Section 305(b) of ERISA), or is, or is expected to be, “insolvent” (within the meaning of Section 4245 of ERISA); (e) the filing pursuant to Section 431 of the Code or Section 304 of ERISA of an application for the extension of any amortization period; (f) the failure to timely make a contribution required to be made with respect to any Plan or Multiemployer Plan; (g) the filing of a notice to terminate any Plan if such termination would require material additional contributions in order to be considered a standard termination within the meaning of Section 4041(b) of ERISA; (h) the filing under Section 4041(c) of ERISA of a notice of intent to terminate any Plan or the termination of any Plan under Section 4041(c) of ERISA; (i) the filing pursuant to Section 412(c) of the Code or Section 302(c) of ERISA of an application for a waiver of the minimum funding standard with respect to any Plan; (j) the incurrence by a Loan Party, any Restricted Subsidiary or any of their respective ERISA Affiliates of any liability under Title IV of ERISA with respect to the termination of any Plan; (k) the receipt by a Loan Party, any Restricted Subsidiary or any of their respective ERISA Affiliates from the PBGC or a plan administrator of any notice of an intention to terminate any Plan or Plans or to appoint a trustee to administer any Plan under Section 4042 of ERISA; (l) the receipt by a Loan Party, any Restricted Subsidiary or any of their respective ERISA Affiliates of any notice, or the receipt by any Multiemployer Plan from a Loan Party, any Restricted Subsidiary or any of their respective ERISA Affiliates of any notice, concerning the imposition of Withdrawal Liability; (m) the occurrence of any event or condition that would reasonably be expected to result in the termination of a Plan or the appointment of a trustee to administer a Plan; (o) the occurrence of a nonexempt prohibited transaction (within the meaning of Section 406 of ERISA or Section 4975 of the Code) with respect to any Plan which could result in liability to a Loan Party or any Restricted Subsidiary or with respect to which a Loan Party or any Restricted Subsidiary is a “disqualified person” (as defined in Section 4975 of the Code) or a “party in interest” (as defined in Section 3(14) of ERISA);</w:t>
      </w:r>
    </w:p>
    <w:p>
      <w:pPr>
        <w:spacing w:after="0" w:line="8" w:lineRule="exact"/>
        <w:rPr>
          <w:sz w:val="20"/>
          <w:szCs w:val="20"/>
          <w:color w:val="auto"/>
        </w:rPr>
      </w:pPr>
    </w:p>
    <w:p>
      <w:pPr>
        <w:ind w:firstLine="1"/>
        <w:spacing w:after="0" w:line="314" w:lineRule="auto"/>
        <w:tabs>
          <w:tab w:leader="none" w:pos="2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of any liability with respect to any Plan or Multiemployer Plan under Title IV of ERISA (other than premiums due and not delinquent under Section 4007 of ERISA); or (q) engagement in any transaction that could be subject to Sections 4069 or 4212(c) of ERISA.</w:t>
      </w:r>
    </w:p>
    <w:p>
      <w:pPr>
        <w:spacing w:after="0" w:line="116" w:lineRule="exact"/>
        <w:rPr>
          <w:sz w:val="20"/>
          <w:szCs w:val="20"/>
          <w:color w:val="auto"/>
        </w:rPr>
      </w:pPr>
    </w:p>
    <w:p>
      <w:pPr>
        <w:ind w:firstLine="604"/>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Eurodollar</w:t>
      </w:r>
      <w:r>
        <w:rPr>
          <w:rFonts w:ascii="Arial" w:cs="Arial" w:eastAsia="Arial" w:hAnsi="Arial"/>
          <w:sz w:val="19"/>
          <w:szCs w:val="19"/>
          <w:color w:val="auto"/>
        </w:rPr>
        <w:t>”, when used in reference to any Loan or Borrowing, refers to whether such Loan, or the Loans comprising such Borrowing, are bearing interest at a rate (other than the Alternate Base Rate) determined by reference to the Adjusted LIBO Rate.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shall have the meaning assigned to such term in Article 8.</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Cash Flow</w:t>
      </w:r>
      <w:r>
        <w:rPr>
          <w:rFonts w:ascii="Arial" w:cs="Arial" w:eastAsia="Arial" w:hAnsi="Arial"/>
          <w:sz w:val="20"/>
          <w:szCs w:val="20"/>
          <w:color w:val="auto"/>
        </w:rPr>
        <w:t>” shall mean, for any period, an amount equal to:</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the sum, without duplication, of:</w:t>
      </w:r>
    </w:p>
    <w:p>
      <w:pPr>
        <w:spacing w:after="0" w:line="210" w:lineRule="exact"/>
        <w:rPr>
          <w:sz w:val="20"/>
          <w:szCs w:val="20"/>
          <w:color w:val="auto"/>
        </w:rPr>
      </w:pPr>
    </w:p>
    <w:p>
      <w:pPr>
        <w:ind w:left="1000" w:hanging="395"/>
        <w:spacing w:after="0"/>
        <w:tabs>
          <w:tab w:leader="none" w:pos="10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Consolidated Net Income for such period,</w:t>
      </w:r>
    </w:p>
    <w:p>
      <w:pPr>
        <w:spacing w:after="0" w:line="210" w:lineRule="exact"/>
        <w:rPr>
          <w:rFonts w:ascii="Arial" w:cs="Arial" w:eastAsia="Arial" w:hAnsi="Arial"/>
          <w:sz w:val="20"/>
          <w:szCs w:val="20"/>
          <w:color w:val="auto"/>
        </w:rPr>
      </w:pPr>
    </w:p>
    <w:p>
      <w:pPr>
        <w:ind w:left="1060" w:hanging="455"/>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amount equal to the amount of all non-cash charges to the extent deducted in arriving at such Consolidated Net Income,</w:t>
      </w:r>
    </w:p>
    <w:p>
      <w:pPr>
        <w:spacing w:after="0" w:line="233" w:lineRule="exact"/>
        <w:rPr>
          <w:rFonts w:ascii="Arial" w:cs="Arial" w:eastAsia="Arial" w:hAnsi="Arial"/>
          <w:sz w:val="18"/>
          <w:szCs w:val="18"/>
          <w:color w:val="auto"/>
        </w:rPr>
      </w:pPr>
    </w:p>
    <w:p>
      <w:pPr>
        <w:ind w:firstLine="605"/>
        <w:spacing w:after="0" w:line="278" w:lineRule="auto"/>
        <w:tabs>
          <w:tab w:leader="none" w:pos="1266"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decreases in Consolidated Working Capital for such period (other than any such decreases arising from acquisitions or dispositions by the Borrower and its Restricted Subsidiaries completed during such period),</w:t>
      </w:r>
    </w:p>
    <w:p>
      <w:pPr>
        <w:spacing w:after="0" w:line="146" w:lineRule="exact"/>
        <w:rPr>
          <w:rFonts w:ascii="Arial" w:cs="Arial" w:eastAsia="Arial" w:hAnsi="Arial"/>
          <w:sz w:val="20"/>
          <w:szCs w:val="20"/>
          <w:color w:val="auto"/>
        </w:rPr>
      </w:pPr>
    </w:p>
    <w:p>
      <w:pPr>
        <w:ind w:firstLine="605"/>
        <w:spacing w:after="0" w:line="278" w:lineRule="auto"/>
        <w:tabs>
          <w:tab w:leader="none" w:pos="1096" w:val="left"/>
        </w:tabs>
        <w:numPr>
          <w:ilvl w:val="0"/>
          <w:numId w:val="52"/>
        </w:numPr>
        <w:rPr>
          <w:rFonts w:ascii="Arial" w:cs="Arial" w:eastAsia="Arial" w:hAnsi="Arial"/>
          <w:sz w:val="20"/>
          <w:szCs w:val="20"/>
          <w:color w:val="auto"/>
        </w:rPr>
      </w:pPr>
      <w:r>
        <w:rPr>
          <w:rFonts w:ascii="Arial" w:cs="Arial" w:eastAsia="Arial" w:hAnsi="Arial"/>
          <w:sz w:val="20"/>
          <w:szCs w:val="20"/>
          <w:color w:val="auto"/>
        </w:rPr>
        <w:t>cash receipts in respect of Swap Contracts during such period to the extent such receipts were not otherwise included in arriving at such Consolidated Net Income,</w:t>
      </w:r>
    </w:p>
    <w:p>
      <w:pPr>
        <w:spacing w:after="0" w:line="146" w:lineRule="exact"/>
        <w:rPr>
          <w:rFonts w:ascii="Arial" w:cs="Arial" w:eastAsia="Arial" w:hAnsi="Arial"/>
          <w:sz w:val="20"/>
          <w:szCs w:val="20"/>
          <w:color w:val="auto"/>
        </w:rPr>
      </w:pPr>
    </w:p>
    <w:p>
      <w:pPr>
        <w:ind w:firstLine="605"/>
        <w:spacing w:after="0" w:line="278" w:lineRule="auto"/>
        <w:tabs>
          <w:tab w:leader="none" w:pos="1047"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amount of tax expense deducted in determining Consolidated Net Income for such period to the extent it exceeds the amount of cash taxes paid in such period,</w:t>
      </w:r>
    </w:p>
    <w:p>
      <w:pPr>
        <w:sectPr>
          <w:pgSz w:w="11900" w:h="16838" w:orient="portrait"/>
          <w:cols w:equalWidth="0" w:num="1">
            <w:col w:w="11420"/>
          </w:cols>
          <w:pgMar w:left="240" w:top="127" w:right="239" w:bottom="118" w:gutter="0" w:footer="0" w:header="0"/>
        </w:sectPr>
      </w:pPr>
    </w:p>
    <w:bookmarkStart w:id="60" w:name="page61"/>
    <w:bookmarkEnd w:id="60"/>
    <w:p>
      <w:pPr>
        <w:ind w:firstLine="605"/>
        <w:spacing w:after="0" w:line="335" w:lineRule="auto"/>
        <w:tabs>
          <w:tab w:leader="none" w:pos="11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amount equal to the aggregate net non-cash loss on Dispositions by the Borrower and its Restricted Subsidiaries during such period (other than Dispositions in the ordinary course of business) to the extent deducted in arriving at such Consolidated Net Income,</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minus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(b) the sum, without duplication, of:</w:t>
      </w:r>
    </w:p>
    <w:p>
      <w:pPr>
        <w:spacing w:after="0" w:line="210" w:lineRule="exact"/>
        <w:rPr>
          <w:sz w:val="20"/>
          <w:szCs w:val="20"/>
          <w:color w:val="auto"/>
        </w:rPr>
      </w:pPr>
    </w:p>
    <w:p>
      <w:pPr>
        <w:ind w:left="1000" w:hanging="395"/>
        <w:spacing w:after="0"/>
        <w:tabs>
          <w:tab w:leader="none" w:pos="10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included in arriving at such Consolidated Net Income,</w:t>
      </w:r>
    </w:p>
    <w:p>
      <w:pPr>
        <w:spacing w:after="0" w:line="210" w:lineRule="exact"/>
        <w:rPr>
          <w:rFonts w:ascii="Arial" w:cs="Arial" w:eastAsia="Arial" w:hAnsi="Arial"/>
          <w:sz w:val="20"/>
          <w:szCs w:val="20"/>
          <w:color w:val="auto"/>
        </w:rPr>
      </w:pPr>
    </w:p>
    <w:p>
      <w:pPr>
        <w:ind w:firstLine="605"/>
        <w:spacing w:after="0" w:line="278" w:lineRule="auto"/>
        <w:tabs>
          <w:tab w:leader="none" w:pos="1082"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amount of Capital Expenditures made in cash during such period (or committed to be made within 90 days after the end of such period) to the extent financed with Internally Generated Cash,</w:t>
      </w:r>
    </w:p>
    <w:p>
      <w:pPr>
        <w:spacing w:after="0" w:line="146" w:lineRule="exact"/>
        <w:rPr>
          <w:rFonts w:ascii="Arial" w:cs="Arial" w:eastAsia="Arial" w:hAnsi="Arial"/>
          <w:sz w:val="20"/>
          <w:szCs w:val="20"/>
          <w:color w:val="auto"/>
        </w:rPr>
      </w:pPr>
    </w:p>
    <w:p>
      <w:pPr>
        <w:jc w:val="both"/>
        <w:ind w:firstLine="605"/>
        <w:spacing w:after="0" w:line="263" w:lineRule="auto"/>
        <w:tabs>
          <w:tab w:leader="none" w:pos="115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aggregate amount of payments made in cash during such period (or committed to be paid in cash within 90 days after the end of such period) (other than Capital Expenditures) and capitalized in accordance with GAAP to the extent financed with Internally Generated Cash,</w:t>
      </w:r>
    </w:p>
    <w:p>
      <w:pPr>
        <w:spacing w:after="0" w:line="162" w:lineRule="exact"/>
        <w:rPr>
          <w:rFonts w:ascii="Arial" w:cs="Arial" w:eastAsia="Arial" w:hAnsi="Arial"/>
          <w:sz w:val="20"/>
          <w:szCs w:val="20"/>
          <w:color w:val="auto"/>
        </w:rPr>
      </w:pPr>
    </w:p>
    <w:p>
      <w:pPr>
        <w:jc w:val="both"/>
        <w:ind w:firstLine="605"/>
        <w:spacing w:after="0" w:line="266" w:lineRule="auto"/>
        <w:tabs>
          <w:tab w:leader="none" w:pos="1173"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aggregate amount of all principal payments of Indebtedness of the Borrower and its Restricted Subsidiaries during such period, in each case to the extent financed with Internally Generated Cash (including (A) the principal component of payments in respect of Capitalized Leases and (B) voluntary prepayments or buybacks of Term Loans made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(in an amount equal to the discounted amount actually paid in respect of the principal amount of such Term Loans), but excluding (W) all voluntary prepayments of Term Loans (other than voluntary prepayments made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(X) all prepayments of Indebtedness on the Restatement Effective Date in connection with the Refinancing Transactions, (Y) all prepayments, redemptions or repurchases in respect of (i) Permitted Second Priority Additional Debt (or any Permitted Refinancing thereof), except to the extent permitted under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and (ii) Junior Financing, except to the extent permitted under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and (Z) all prepayments of loans under the ABL Facility or any other revolving credit facility made during such period unless there is a corresponding permanent commitment reduction in connection therewith (it being agreed that any amount excluded pursuant to clause (W), (X), (Y) or (Z) may not be deducted under any other clause of this definition),</w:t>
      </w:r>
    </w:p>
    <w:p>
      <w:pPr>
        <w:spacing w:after="0" w:line="167" w:lineRule="exact"/>
        <w:rPr>
          <w:rFonts w:ascii="Arial" w:cs="Arial" w:eastAsia="Arial" w:hAnsi="Arial"/>
          <w:sz w:val="19"/>
          <w:szCs w:val="19"/>
          <w:color w:val="auto"/>
        </w:rPr>
      </w:pPr>
    </w:p>
    <w:p>
      <w:pPr>
        <w:ind w:firstLine="605"/>
        <w:spacing w:after="0" w:line="335" w:lineRule="auto"/>
        <w:tabs>
          <w:tab w:leader="none" w:pos="10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101" w:lineRule="exact"/>
        <w:rPr>
          <w:rFonts w:ascii="Arial" w:cs="Arial" w:eastAsia="Arial" w:hAnsi="Arial"/>
          <w:sz w:val="18"/>
          <w:szCs w:val="18"/>
          <w:color w:val="auto"/>
        </w:rPr>
      </w:pPr>
    </w:p>
    <w:p>
      <w:pPr>
        <w:ind w:firstLine="605"/>
        <w:spacing w:after="0" w:line="278" w:lineRule="auto"/>
        <w:tabs>
          <w:tab w:leader="none" w:pos="127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increases in Consolidated Working Capital for such period (other than any such increases arising from acquisitions or dispositions by the Borrower and its Restricted Subsidiaries during such period),</w:t>
      </w:r>
    </w:p>
    <w:p>
      <w:pPr>
        <w:spacing w:after="0" w:line="146" w:lineRule="exact"/>
        <w:rPr>
          <w:rFonts w:ascii="Arial" w:cs="Arial" w:eastAsia="Arial" w:hAnsi="Arial"/>
          <w:sz w:val="20"/>
          <w:szCs w:val="20"/>
          <w:color w:val="auto"/>
        </w:rPr>
      </w:pPr>
    </w:p>
    <w:p>
      <w:pPr>
        <w:jc w:val="both"/>
        <w:ind w:firstLine="605"/>
        <w:spacing w:after="0" w:line="263" w:lineRule="auto"/>
        <w:tabs>
          <w:tab w:leader="none" w:pos="1237" w:val="left"/>
        </w:tabs>
        <w:numPr>
          <w:ilvl w:val="0"/>
          <w:numId w:val="54"/>
        </w:numPr>
        <w:rPr>
          <w:rFonts w:ascii="Arial" w:cs="Arial" w:eastAsia="Arial" w:hAnsi="Arial"/>
          <w:sz w:val="20"/>
          <w:szCs w:val="20"/>
          <w:color w:val="auto"/>
        </w:rPr>
      </w:pPr>
      <w:r>
        <w:rPr>
          <w:rFonts w:ascii="Arial" w:cs="Arial" w:eastAsia="Arial" w:hAnsi="Arial"/>
          <w:sz w:val="20"/>
          <w:szCs w:val="20"/>
          <w:color w:val="auto"/>
        </w:rPr>
        <w:t>cash payments by the Borrower and its Restricted Subsidiaries during such period in respect of long-term liabilities of the Borrower and its Restricted Subsidiaries other than Indebtedness and that were made with Internally Generated Cash and were not deducted or were excluded in calculating Consolidated Net Income,</w:t>
      </w:r>
    </w:p>
    <w:p>
      <w:pPr>
        <w:spacing w:after="0" w:line="162" w:lineRule="exact"/>
        <w:rPr>
          <w:rFonts w:ascii="Arial" w:cs="Arial" w:eastAsia="Arial" w:hAnsi="Arial"/>
          <w:sz w:val="20"/>
          <w:szCs w:val="20"/>
          <w:color w:val="auto"/>
        </w:rPr>
      </w:pPr>
    </w:p>
    <w:p>
      <w:pPr>
        <w:jc w:val="both"/>
        <w:ind w:firstLine="605"/>
        <w:spacing w:after="0" w:line="276" w:lineRule="auto"/>
        <w:tabs>
          <w:tab w:leader="none" w:pos="1212"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amount of Investments and acquisitions made during such period (or committed to be made within 90 days after the end of such period) in cash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7.02(a)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(net of the cash return on any such Investments received during such period, except to the extent such return was included in the determination of Consolidated Net Income) to the extent that such Investments and acquisitions were not expensed and were financed with Internally Generated Cash,</w:t>
      </w:r>
    </w:p>
    <w:p>
      <w:pPr>
        <w:spacing w:after="0" w:line="152" w:lineRule="exact"/>
        <w:rPr>
          <w:rFonts w:ascii="Arial" w:cs="Arial" w:eastAsia="Arial" w:hAnsi="Arial"/>
          <w:sz w:val="19"/>
          <w:szCs w:val="19"/>
          <w:color w:val="auto"/>
        </w:rPr>
      </w:pPr>
    </w:p>
    <w:p>
      <w:pPr>
        <w:jc w:val="both"/>
        <w:ind w:firstLine="605"/>
        <w:spacing w:after="0" w:line="263" w:lineRule="auto"/>
        <w:tabs>
          <w:tab w:leader="none" w:pos="1105"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amount of cash taxes paid in such period (or reasonably expected to be paid within 90 days of the end of such period) to the extent they exceed the amount of tax expense deducted in determining Consolidated Net Income for such period (which amounts shall be included in the calculation of Excess Cash Flow for the period in which they are expensed),</w:t>
      </w:r>
    </w:p>
    <w:p>
      <w:pPr>
        <w:spacing w:after="0" w:line="162" w:lineRule="exact"/>
        <w:rPr>
          <w:rFonts w:ascii="Arial" w:cs="Arial" w:eastAsia="Arial" w:hAnsi="Arial"/>
          <w:sz w:val="20"/>
          <w:szCs w:val="20"/>
          <w:color w:val="auto"/>
        </w:rPr>
      </w:pPr>
    </w:p>
    <w:p>
      <w:pPr>
        <w:ind w:firstLine="605"/>
        <w:spacing w:after="0" w:line="278" w:lineRule="auto"/>
        <w:tabs>
          <w:tab w:leader="none" w:pos="1112" w:val="left"/>
        </w:tabs>
        <w:numPr>
          <w:ilvl w:val="0"/>
          <w:numId w:val="54"/>
        </w:numPr>
        <w:rPr>
          <w:rFonts w:ascii="Arial" w:cs="Arial" w:eastAsia="Arial" w:hAnsi="Arial"/>
          <w:sz w:val="20"/>
          <w:szCs w:val="20"/>
          <w:color w:val="auto"/>
        </w:rPr>
      </w:pPr>
      <w:r>
        <w:rPr>
          <w:rFonts w:ascii="Arial" w:cs="Arial" w:eastAsia="Arial" w:hAnsi="Arial"/>
          <w:sz w:val="20"/>
          <w:szCs w:val="20"/>
          <w:color w:val="auto"/>
        </w:rPr>
        <w:t>cash expenditures in respect of Swap Contracts during such fiscal year to the extent such expenditures were not deducted or were excluded in arriving at such Consolidated Net Income, and</w:t>
      </w:r>
    </w:p>
    <w:p>
      <w:pPr>
        <w:spacing w:after="0" w:line="146" w:lineRule="exact"/>
        <w:rPr>
          <w:rFonts w:ascii="Arial" w:cs="Arial" w:eastAsia="Arial" w:hAnsi="Arial"/>
          <w:sz w:val="20"/>
          <w:szCs w:val="20"/>
          <w:color w:val="auto"/>
        </w:rPr>
      </w:pPr>
    </w:p>
    <w:p>
      <w:pPr>
        <w:ind w:firstLine="605"/>
        <w:spacing w:after="0" w:line="278" w:lineRule="auto"/>
        <w:tabs>
          <w:tab w:leader="none" w:pos="1106"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aggregate amount of Restricted Payments made in cash permitted by </w:t>
      </w:r>
      <w:r>
        <w:rPr>
          <w:rFonts w:ascii="Arial" w:cs="Arial" w:eastAsia="Arial" w:hAnsi="Arial"/>
          <w:sz w:val="20"/>
          <w:szCs w:val="20"/>
          <w:u w:val="single" w:color="auto"/>
          <w:color w:val="auto"/>
        </w:rPr>
        <w:t>Section 7.06(d)(i)</w:t>
      </w:r>
      <w:r>
        <w:rPr>
          <w:rFonts w:ascii="Arial" w:cs="Arial" w:eastAsia="Arial" w:hAnsi="Arial"/>
          <w:sz w:val="20"/>
          <w:szCs w:val="20"/>
          <w:color w:val="auto"/>
        </w:rPr>
        <w:t xml:space="preserve"> during such period (or committed to be made or paid in cash within the next 90 days after the end of such period).</w:t>
      </w:r>
    </w:p>
    <w:p>
      <w:pPr>
        <w:spacing w:after="0" w:line="147" w:lineRule="exact"/>
        <w:rPr>
          <w:sz w:val="20"/>
          <w:szCs w:val="20"/>
          <w:color w:val="auto"/>
        </w:rPr>
      </w:pPr>
    </w:p>
    <w:p>
      <w:pPr>
        <w:jc w:val="both"/>
        <w:ind w:firstLine="604"/>
        <w:spacing w:after="0" w:line="280" w:lineRule="auto"/>
        <w:rPr>
          <w:sz w:val="20"/>
          <w:szCs w:val="20"/>
          <w:color w:val="auto"/>
        </w:rPr>
      </w:pPr>
      <w:r>
        <w:rPr>
          <w:rFonts w:ascii="Arial" w:cs="Arial" w:eastAsia="Arial" w:hAnsi="Arial"/>
          <w:sz w:val="18"/>
          <w:szCs w:val="18"/>
          <w:color w:val="auto"/>
        </w:rPr>
        <w:t>Notwithstanding anything in the definition of any term used in the definition of Excess Cash Flow to the contrary, (i) all components of Excess Cash Flow shall be computed for the Borrower and its Restricted Subsidiaries on a consolidated basis and (ii) for purposes of calculating Excess Cash Flow for any period with respect to each Permitted Acquisition or other Investment of all or substantially all of the assets of another Person or business line permitted hereby consummated during such Excess Cash Flow Period and for the purposes of calculating Consolidated Working Capital, the (A) total assets of a target of such Permitted Acquisition or other Investment of all or substantially all of the assets of another Person or business line permitted hereby (other than cash and Cash Equivalents), as calculated as at the date of consummation of the applicable Permitted Acquisition or other Investment of all or substantially all of the assets of another Person or business line permitted hereby, which may properly be classified as current assets on a consolidated balance sheet of Borrower and its Restricted Subsidiaries in accordance with GAAP (assuming, for the purpose of this clause (A), that such Permitted Acquisition or other Investment of all or substantially all of the assets of another Person or business line permitted hereby has been consummated) and (B) the total liabilities of Borrower and its Restricted Subsidiaries, as calculated as at the date of consummation of the applicable Permitted Acquisition or other Investment of all or substantially all of the assets of another Person or business line permitted hereby, which may properly be classified as current liabilities (other than the current portion of any long term liabilities and accrued interest thereon) on a consolidated balance sheet of Borrower and its Restricted Subsidiaries in accordance with GAAP (assuming, for the purpose of this clause (B), that such Permitted Acquisition or other Investment of all or substantially all of the assets of another Person or business line permitted hereby has been consummated), shall, in the case of both immediately preceding clauses (A) and (B), be calculated as the difference between the Consolidated Working Capital at the end of the applicable period from the date of consummation of the Permitted Acquisition or other Investment of all or substantially all of the assets of another Person or business line permitted hereby. To the extent any amounts that are</w:t>
      </w:r>
    </w:p>
    <w:p>
      <w:pPr>
        <w:sectPr>
          <w:pgSz w:w="11900" w:h="16838" w:orient="portrait"/>
          <w:cols w:equalWidth="0" w:num="1">
            <w:col w:w="11420"/>
          </w:cols>
          <w:pgMar w:left="240" w:top="131" w:right="239" w:bottom="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20"/>
          <w:szCs w:val="20"/>
          <w:color w:val="auto"/>
        </w:rPr>
        <w:t>committed to be made or paid or are reasonably expected to be paid are deducted as permitted by clause (b) of the definition of Excess Cash Flow in respect of any period, such amounts shall not be deducted again for purposes of calculating Excess Cash Flow for the period in which such amounts are actually paid.</w:t>
      </w:r>
    </w:p>
    <w:p>
      <w:pPr>
        <w:spacing w:after="0" w:line="159"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 Period</w:t>
      </w:r>
      <w:r>
        <w:rPr>
          <w:rFonts w:ascii="Arial" w:cs="Arial" w:eastAsia="Arial" w:hAnsi="Arial"/>
          <w:sz w:val="18"/>
          <w:szCs w:val="18"/>
          <w:color w:val="auto"/>
        </w:rPr>
        <w:t xml:space="preserve">” shall mean each fiscal year of the Borrower commencing with the fiscal year ending December 31, 2019, but in all cases for purposes of calculating the Cumulative Retained Excess Cash Flow Amount shall only include such fiscal years for which financial statements and a Compliance Certificate have been delivered in accordance with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6.02(a)</w:t>
      </w:r>
      <w:r>
        <w:rPr>
          <w:rFonts w:ascii="Arial" w:cs="Arial" w:eastAsia="Arial" w:hAnsi="Arial"/>
          <w:sz w:val="18"/>
          <w:szCs w:val="18"/>
          <w:color w:val="auto"/>
        </w:rPr>
        <w:t xml:space="preserve">, respectively, and for which any prepayments required by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(if any) have been made (it being understood that the Retained Percentage of Excess Cash Flow for any Excess Cash Flow Period shall be included in the Cumulative Retained Excess Cash Flow Amount regardless of whether a prepayment is required by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except to the extent that a prepayment is not made in reliance on </w:t>
      </w:r>
      <w:r>
        <w:rPr>
          <w:rFonts w:ascii="Arial" w:cs="Arial" w:eastAsia="Arial" w:hAnsi="Arial"/>
          <w:sz w:val="18"/>
          <w:szCs w:val="18"/>
          <w:u w:val="single" w:color="auto"/>
          <w:color w:val="auto"/>
        </w:rPr>
        <w:t>Section 2.13(f)</w:t>
      </w:r>
      <w:r>
        <w:rPr>
          <w:rFonts w:ascii="Arial" w:cs="Arial" w:eastAsia="Arial" w:hAnsi="Arial"/>
          <w:sz w:val="18"/>
          <w:szCs w:val="18"/>
          <w:color w:val="auto"/>
        </w:rPr>
        <w:t xml:space="preserve">, in which case the Cumulative Retained Excess Cash Flow Amount shall be reduced by the Retained Percentage of the Excess Cash Flow for which the Applicable ECF Percentage has not been applied to make a prepayment pursuant to </w:t>
      </w:r>
      <w:r>
        <w:rPr>
          <w:rFonts w:ascii="Arial" w:cs="Arial" w:eastAsia="Arial" w:hAnsi="Arial"/>
          <w:sz w:val="18"/>
          <w:szCs w:val="18"/>
          <w:u w:val="single" w:color="auto"/>
          <w:color w:val="auto"/>
        </w:rPr>
        <w:t>Section 2.13(a)(i))</w:t>
      </w:r>
      <w:r>
        <w:rPr>
          <w:rFonts w:ascii="Arial" w:cs="Arial" w:eastAsia="Arial" w:hAnsi="Arial"/>
          <w:sz w:val="18"/>
          <w:szCs w:val="18"/>
          <w:color w:val="auto"/>
        </w:rPr>
        <w:t>.</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shall mean the Securities Exchange Act of 1934, as amended.</w:t>
      </w:r>
    </w:p>
    <w:p>
      <w:pPr>
        <w:spacing w:after="0" w:line="210"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Account</w:t>
      </w:r>
      <w:r>
        <w:rPr>
          <w:rFonts w:ascii="Arial" w:cs="Arial" w:eastAsia="Arial" w:hAnsi="Arial"/>
          <w:sz w:val="20"/>
          <w:szCs w:val="20"/>
          <w:color w:val="auto"/>
        </w:rPr>
        <w:t>” means (i) any Deposit Account specifically and exclusively used for payroll, payroll taxes and other employee wage and benefit payments to or for the benefit of Loan Parties’ salaried employees, (ii) any petty cash account to the extent the balance therein does not exceed (x) $1,000,000 in the aggregate for more than five (5) Business Days, and/or (y) $5,000,000 in the aggregate for more than one (1) Business Day, (iii) any zero-balance account, (iv) any account specifically and exclusively used to maintain cash collateral required pursuant to the ABL Credit Agreement, and (v) any escrow account.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CDA Proceeds</w:t>
      </w:r>
      <w:r>
        <w:rPr>
          <w:rFonts w:ascii="Arial" w:cs="Arial" w:eastAsia="Arial" w:hAnsi="Arial"/>
          <w:sz w:val="20"/>
          <w:szCs w:val="20"/>
          <w:color w:val="auto"/>
        </w:rPr>
        <w:t>” shall have the meaning assigned to such term in the definition of “Net Proceeds”.</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Foreign Subsidiary</w:t>
      </w:r>
      <w:r>
        <w:rPr>
          <w:rFonts w:ascii="Arial" w:cs="Arial" w:eastAsia="Arial" w:hAnsi="Arial"/>
          <w:sz w:val="18"/>
          <w:szCs w:val="18"/>
          <w:color w:val="auto"/>
        </w:rPr>
        <w:t xml:space="preserve">” shall mean any Foreign Subsidiary (other than any Canadian Subsidiary or Dutch Subsidiary) of the Borrower that does not individually have total assets or revenues (for the period of four fiscal quarters most recently ended) that exceed 3.0%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assets or revenues (for the period of four fiscal quarters most recently ended) of such Subsidiaries shall not at any time exceed 7.0%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if, as of the date the financial statements for any fiscal quarter of the Borrower are delivered or required to be delivered hereunder, the consolidated assets or revenues of all Excluded Foreign Subsidiaries shall have, as of the last day of such fiscal quarter, exceeded the limits set forth above, then within sixty (60) days (or such later date as agreed by the Administrative Agent and the Required Lenders in their reasonable discretion) after the date such financial statements are so delivered (or so required to be delivered), the Borrower shall cause one or more Foreign Subsidiaries to comply with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such that, as a result thereof, the consolidated assets and revenues of all Excluded Foreign Subsidiaries do not exceed such limits. For the avoidance of doubt, no Canadian Subsidiary or Dutch Subsidiary shall constitute an Excluded Foreign Subsidiary.</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Property</w:t>
      </w:r>
      <w:r>
        <w:rPr>
          <w:rFonts w:ascii="Arial" w:cs="Arial" w:eastAsia="Arial" w:hAnsi="Arial"/>
          <w:sz w:val="20"/>
          <w:szCs w:val="20"/>
          <w:color w:val="auto"/>
        </w:rPr>
        <w:t>” shall have the meaning assigned to such term in the Security Agreement.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Real Property</w:t>
      </w:r>
      <w:r>
        <w:rPr>
          <w:rFonts w:ascii="Arial" w:cs="Arial" w:eastAsia="Arial" w:hAnsi="Arial"/>
          <w:sz w:val="19"/>
          <w:szCs w:val="19"/>
          <w:color w:val="auto"/>
        </w:rPr>
        <w:t>” shall mean (a) any Real Property set forth on Schedule 1.01(a) and (b) any Pension Real Property.</w:t>
      </w:r>
    </w:p>
    <w:p>
      <w:pPr>
        <w:spacing w:after="0" w:line="222" w:lineRule="exact"/>
        <w:rPr>
          <w:sz w:val="20"/>
          <w:szCs w:val="20"/>
          <w:color w:val="auto"/>
        </w:rPr>
      </w:pPr>
    </w:p>
    <w:p>
      <w:pPr>
        <w:jc w:val="both"/>
        <w:ind w:firstLine="60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xml:space="preserve">” shall mean (a) any bona fide joint venture formed after the Restatement Effective Date with any Person that is not an Affiliate of any Loan Party, (b) any Immaterial Subsidiary, (c) any Subsidiary that is prohibited by applicable Law whether or not existing on the Restatement Effective Date or Contractual Obligations existing on the Restatement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contractual obligation is waived or otherwise removed or such consent, approval, license or authorization has been obtained), (d) any other Subsidiary with respect to which, in the reasonable judgment of the Administrative Agent (at the direction of the Required Lenders), in consultation with the Borrower, the burden or cost or other consequences (other than adverse tax consequences) of providing a Guarantee of the Obligations shall be excessive in view of the benefits to be obtained by the Lenders therefrom, (e) any other Subsidiary with respect to which, in the reasonable judgment of the Borrower, the tax consequences of providing a Guarantee could be adverse in consultation the Administrative Agent (provided that the Borrower shall give notice of such determination to the Required Lenders and, at the request of the Required Lenders, shall consult with the Required Lenders), (f) any Excluded Foreign Subsidiary of the Borrower, and (g) any Securitization Subsidiary, captive insurance company or non-profit Subsidiary; provided that no Person shall be an Excluded Subsidiary to the extent it guarantees or pledges any of its assets to secure, directly or indirectly, any other Indebtedness of any Loan Party in excess of the Threshold Amount; provided, further, that in the event that any Excluded Subsidiary guarantees or otherwise becomes an obligor under any Indebtedness, the aggregate principal amount of which exceeds the Threshold Amount, then such Excluded Subsidiary shall, notwithstanding the foregoing, no longer constitute an Excluded Subsidiary, and shall become a Loan Party hereunder.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8"/>
          <w:szCs w:val="18"/>
          <w:u w:val="single" w:color="auto"/>
          <w:color w:val="auto"/>
        </w:rPr>
        <w:t>Section 7.02(c)(iii)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7.02(p)</w:t>
      </w:r>
      <w:r>
        <w:rPr>
          <w:rFonts w:ascii="Arial" w:cs="Arial" w:eastAsia="Arial" w:hAnsi="Arial"/>
          <w:sz w:val="18"/>
          <w:szCs w:val="18"/>
          <w:color w:val="auto"/>
        </w:rPr>
        <w:t xml:space="preserve"> at the time such Person becomes an Excluded Subsidiary pursuant to clause (a) of the definition of “Excluded Subsidiary”.</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Credit Agreement</w:t>
      </w:r>
      <w:r>
        <w:rPr>
          <w:rFonts w:ascii="Arial" w:cs="Arial" w:eastAsia="Arial" w:hAnsi="Arial"/>
          <w:sz w:val="20"/>
          <w:szCs w:val="20"/>
          <w:color w:val="auto"/>
        </w:rPr>
        <w:t>” shall have the meaning assigned to such term in the recitals.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Loan Documents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1.14</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Extended Term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Amendment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ectPr>
          <w:pgSz w:w="11900" w:h="16838" w:orient="portrait"/>
          <w:cols w:equalWidth="0" w:num="1">
            <w:col w:w="11420"/>
          </w:cols>
          <w:pgMar w:left="240" w:top="131" w:right="239" w:bottom="0" w:gutter="0" w:footer="0" w:header="0"/>
        </w:sectPr>
      </w:pPr>
    </w:p>
    <w:bookmarkStart w:id="62" w:name="page63"/>
    <w:bookmarkEnd w:id="62"/>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Offer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shall mean the Tranche B-2 Term Loans, the Extended Term Loans or the Other Term Loans, as the context may require.</w:t>
      </w:r>
    </w:p>
    <w:p>
      <w:pPr>
        <w:spacing w:after="0" w:line="233"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 shall mean Sections 1471 through 1474 of the Code, as in effect on the Restatement Effective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66"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Effective Rate</w:t>
      </w:r>
      <w:r>
        <w:rPr>
          <w:rFonts w:ascii="Arial" w:cs="Arial" w:eastAsia="Arial" w:hAnsi="Arial"/>
          <w:sz w:val="19"/>
          <w:szCs w:val="19"/>
          <w:color w:val="auto"/>
        </w:rPr>
        <w:t>” shall mean,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for such transactions received by the Administrative Agent from three Federal funds brokers of recognized standing selected by it.</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w:t>
      </w:r>
      <w:r>
        <w:rPr>
          <w:rFonts w:ascii="Arial" w:cs="Arial" w:eastAsia="Arial" w:hAnsi="Arial"/>
          <w:sz w:val="19"/>
          <w:szCs w:val="19"/>
          <w:color w:val="auto"/>
        </w:rPr>
        <w:t>” shall mean the Fee Letter dated as of the Restatement Effective Date by and between the Borrower and Apollo.</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Flood Laws</w:t>
      </w:r>
      <w:r>
        <w:rPr>
          <w:rFonts w:ascii="Arial" w:cs="Arial" w:eastAsia="Arial" w:hAnsi="Arial"/>
          <w:sz w:val="20"/>
          <w:szCs w:val="20"/>
          <w:color w:val="auto"/>
        </w:rPr>
        <w:t>” shall mean the National Flood Insurance Reform Act of 1994 and related legislation (including the regulations of the Board).</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Disposition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2.13(f)</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Subsidiary</w:t>
      </w:r>
      <w:r>
        <w:rPr>
          <w:rFonts w:ascii="Arial" w:cs="Arial" w:eastAsia="Arial" w:hAnsi="Arial"/>
          <w:sz w:val="20"/>
          <w:szCs w:val="20"/>
          <w:color w:val="auto"/>
        </w:rPr>
        <w:t>” shall mean any direct or indirect Subsidiary of the Borrower which is not a Domestic Subsidiary.</w:t>
      </w:r>
    </w:p>
    <w:p>
      <w:pPr>
        <w:spacing w:after="0" w:line="210" w:lineRule="exact"/>
        <w:rPr>
          <w:sz w:val="20"/>
          <w:szCs w:val="20"/>
          <w:color w:val="auto"/>
        </w:rPr>
      </w:pPr>
    </w:p>
    <w:p>
      <w:pPr>
        <w:jc w:val="both"/>
        <w:ind w:firstLine="60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xml:space="preserve">” shall mean generally accepted accounting principles in the United States of America, as in effect from time to time, subject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42"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shall mean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Granting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10.04(i)</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shall mean,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xml:space="preserve">”)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“Guarantee” shall not include (i) endorsements for collection or deposit, in either case in the ordinary course of business, (ii) customary and reasonable indemnity obligations in effect on the Restatement Effective Date or entered into in connection with any acquisition or disposition of assets permitted under this Agreement (other than such obligations with respect to Indebtedness) or (iii) product warranties.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b w:val="1"/>
          <w:bCs w:val="1"/>
          <w:color w:val="auto"/>
        </w:rPr>
        <w:t>Guarantee</w:t>
      </w:r>
      <w:r>
        <w:rPr>
          <w:rFonts w:ascii="Arial" w:cs="Arial" w:eastAsia="Arial" w:hAnsi="Arial"/>
          <w:sz w:val="19"/>
          <w:szCs w:val="19"/>
          <w:color w:val="auto"/>
        </w:rPr>
        <w:t>” as a verb has a corresponding meaning.</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Guaranteed Obligations</w:t>
      </w:r>
      <w:r>
        <w:rPr>
          <w:rFonts w:ascii="Arial" w:cs="Arial" w:eastAsia="Arial" w:hAnsi="Arial"/>
          <w:sz w:val="20"/>
          <w:szCs w:val="20"/>
          <w:color w:val="auto"/>
        </w:rPr>
        <w:t xml:space="preserve">” shall have the meaning specified in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shall mean (i) each Domestic Subsidiary of the Borrower as of the Restatement Effective Date (other than an Excluded Subsidiary), (ii) each Canadian Subsidiary and Dutch Subsidiary of the Borrower that issues a Guarantee of the Obligations after the Restatement Effective Date pursuant to </w:t>
      </w: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and (iii) each Subsidiary that issues a Guarantee of the Obligations after the Restatement Effective Date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(which </w:t>
      </w:r>
      <w:r>
        <w:rPr>
          <w:rFonts w:ascii="Arial" w:cs="Arial" w:eastAsia="Arial" w:hAnsi="Arial"/>
          <w:sz w:val="18"/>
          <w:szCs w:val="18"/>
          <w:u w:val="single" w:color="auto"/>
          <w:color w:val="auto"/>
        </w:rPr>
        <w:t>Section 6.11</w:t>
      </w:r>
      <w:r>
        <w:rPr>
          <w:rFonts w:ascii="Arial" w:cs="Arial" w:eastAsia="Arial" w:hAnsi="Arial"/>
          <w:sz w:val="18"/>
          <w:szCs w:val="18"/>
          <w:color w:val="auto"/>
        </w:rPr>
        <w:t>, for the avoidance of doubt, does not require that any Excluded Subsidiary provide such a Guarantee) or otherwise. For avoidance of doubt, the Borrower may cause any Restricted Subsidiary that is not (and is not required to be) a Guarantor to Guarantee the Obligations by causing such Restricted Subsidiary to execute a joinder to this Agreement in form and substance reasonably satisfactory to the Administrative Agent, and any such Restricted Subsidiary shall be treated as a Guarantor hereunder for all purposes (each such Subsidiary, an “</w:t>
      </w:r>
      <w:r>
        <w:rPr>
          <w:rFonts w:ascii="Arial" w:cs="Arial" w:eastAsia="Arial" w:hAnsi="Arial"/>
          <w:sz w:val="18"/>
          <w:szCs w:val="18"/>
          <w:u w:val="single" w:color="auto"/>
          <w:color w:val="auto"/>
        </w:rPr>
        <w:t>Electing Guarantor</w:t>
      </w:r>
      <w:r>
        <w:rPr>
          <w:rFonts w:ascii="Arial" w:cs="Arial" w:eastAsia="Arial" w:hAnsi="Arial"/>
          <w:sz w:val="18"/>
          <w:szCs w:val="18"/>
          <w:color w:val="auto"/>
        </w:rPr>
        <w:t>”) and may also cause the Guaranty of any such Electing Guarantor, and any Liens securing such Guaranty, to be released upon providing written notice to the Administrative Agent and the Collateral Agent that such Electing Guarantor shall be treated as an Excluded Subsidiary to the extent consistent with the definition of</w:t>
      </w:r>
    </w:p>
    <w:p>
      <w:pPr>
        <w:sectPr>
          <w:pgSz w:w="11900" w:h="16838" w:orient="portrait"/>
          <w:cols w:equalWidth="0" w:num="1">
            <w:col w:w="11420"/>
          </w:cols>
          <w:pgMar w:left="240" w:top="240" w:right="239" w:bottom="0" w:gutter="0" w:footer="0" w:header="0"/>
        </w:sectPr>
      </w:pPr>
    </w:p>
    <w:bookmarkStart w:id="63" w:name="page64"/>
    <w:bookmarkEnd w:id="63"/>
    <w:p>
      <w:pPr>
        <w:spacing w:after="0" w:line="12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Excluded Subsidiary. The Guarantors as of the Restatement Effective Date are (A) set forth on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and (B) not Electing Guarantors.</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Guaranty</w:t>
      </w:r>
      <w:r>
        <w:rPr>
          <w:rFonts w:ascii="Arial" w:cs="Arial" w:eastAsia="Arial" w:hAnsi="Arial"/>
          <w:sz w:val="20"/>
          <w:szCs w:val="20"/>
          <w:color w:val="auto"/>
        </w:rPr>
        <w:t>” shall mean, collectively, the guaranty of the Obligations by the Guarantors pursuant to this Agreement.</w:t>
      </w:r>
    </w:p>
    <w:p>
      <w:pPr>
        <w:spacing w:after="0" w:line="210" w:lineRule="exact"/>
        <w:rPr>
          <w:sz w:val="20"/>
          <w:szCs w:val="20"/>
          <w:color w:val="auto"/>
        </w:rPr>
      </w:pPr>
    </w:p>
    <w:p>
      <w:pPr>
        <w:jc w:val="both"/>
        <w:ind w:firstLine="604"/>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shall mean (a) any petroleum products, distillates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w:t>
      </w:r>
      <w:r>
        <w:rPr>
          <w:rFonts w:ascii="Arial" w:cs="Arial" w:eastAsia="Arial" w:hAnsi="Arial"/>
          <w:sz w:val="20"/>
          <w:szCs w:val="20"/>
          <w:color w:val="auto"/>
        </w:rPr>
        <w:t>” shall mean the International Brotherhood of Teamsters.</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 Agreement</w:t>
      </w:r>
      <w:r>
        <w:rPr>
          <w:rFonts w:ascii="Arial" w:cs="Arial" w:eastAsia="Arial" w:hAnsi="Arial"/>
          <w:sz w:val="20"/>
          <w:szCs w:val="20"/>
          <w:color w:val="auto"/>
        </w:rPr>
        <w:t>” shall mean that certain National Master Freight Agreement, effective April 1, 2019, among the IBT, YRC Inc. (formerly, Yellow Transportation, Inc. and Roadway Express, Inc.), USF Holland LLC and New Penn Motor Express LLC, as amended, restated, modified, supplemented, extended, renewed or replaced from time to time.</w:t>
      </w:r>
    </w:p>
    <w:p>
      <w:pPr>
        <w:spacing w:after="0" w:line="157"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 Extension Agreement</w:t>
      </w:r>
      <w:r>
        <w:rPr>
          <w:rFonts w:ascii="Arial" w:cs="Arial" w:eastAsia="Arial" w:hAnsi="Arial"/>
          <w:sz w:val="20"/>
          <w:szCs w:val="20"/>
          <w:color w:val="auto"/>
        </w:rPr>
        <w:t>” shall mean that certain Extension of the Agreement for the Restructuring of the YRC Worldwide Inc. Operating Companies, by and among YRC Inc., USF Holland, Inc., New Penn Motor Express, Inc., USF Reddaway and the Teamsters National Freight Industry Negotiating Committee of the IBT.</w:t>
      </w:r>
    </w:p>
    <w:p>
      <w:pPr>
        <w:spacing w:after="0" w:line="157"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 Transactions</w:t>
      </w:r>
      <w:r>
        <w:rPr>
          <w:rFonts w:ascii="Arial" w:cs="Arial" w:eastAsia="Arial" w:hAnsi="Arial"/>
          <w:sz w:val="20"/>
          <w:szCs w:val="20"/>
          <w:color w:val="auto"/>
        </w:rPr>
        <w:t>” shall mean the modification and extension through March 31, 2024 or any date thereafter, including pursuant to a subsequent modification, extension, approval and ratification, of the IBT Agreement, and the approval and ratification of the IBT Extension Agreement by the members of the IBT in accordance in all material respects with all applicable laws, rules, regulations and other requirements relating thereto.</w:t>
      </w:r>
    </w:p>
    <w:p>
      <w:pPr>
        <w:spacing w:after="0" w:line="161"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xml:space="preserve">” shall mean any Subsidiary of the Borrower that does not individually have total assets or revenues (for the period of four fiscal quarters most recently ended) that exceed 1.0%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assets or revenues (for the period of four fiscal quarters most recently ended) of such Subsidiaries shall not at any time exceed 2.5%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if, as of the date the financial statements for any fiscal quarter of the Borrower are delivered or required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the consolidated assets or revenues of all Restricted Subsidiaries so designated by the Borrower as “</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shall have, as of the last day of such fiscal quarter, exceeded the limits set forth above, then within 10 Business Days (or such later date as agreed by the Administrative Agent and the Required Lenders in their reasonable discretion) after the date such financial statements are so delivered (or so required to be delivered), the Borrower shall redesignate one or more Immaterial Subsidiaries, in each case in a written notice to the Required Lenders and Administrative Agent, such that, as a result thereof, the consolidated assets and revenues of all Restricted Subsidiaries that are still designated as “</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do not exceed such limits. Upon any such Restricted Subsidiary ceasing to be an Immaterial Subsidiary pursuant to the preceding sentence, such Restricted Subsidiary, to the extent not otherwise qualifying as an Excluded Subsidiary, shall comply with </w:t>
      </w:r>
      <w:r>
        <w:rPr>
          <w:rFonts w:ascii="Arial" w:cs="Arial" w:eastAsia="Arial" w:hAnsi="Arial"/>
          <w:sz w:val="18"/>
          <w:szCs w:val="18"/>
          <w:u w:val="single" w:color="auto"/>
          <w:color w:val="auto"/>
        </w:rPr>
        <w:t>Section 6.11</w:t>
      </w:r>
      <w:r>
        <w:rPr>
          <w:rFonts w:ascii="Arial" w:cs="Arial" w:eastAsia="Arial" w:hAnsi="Arial"/>
          <w:sz w:val="18"/>
          <w:szCs w:val="18"/>
          <w:color w:val="auto"/>
        </w:rPr>
        <w:t>, to the extent applicable.</w:t>
      </w:r>
    </w:p>
    <w:p>
      <w:pPr>
        <w:spacing w:after="0" w:line="144"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shall mean, as to any Person at a particular time, without duplication and without reference to what constitutes indebtedness or a liability in accordance with GAAP, all of the following:</w:t>
      </w:r>
    </w:p>
    <w:p>
      <w:pPr>
        <w:spacing w:after="0" w:line="143" w:lineRule="exact"/>
        <w:rPr>
          <w:sz w:val="20"/>
          <w:szCs w:val="20"/>
          <w:color w:val="auto"/>
        </w:rPr>
      </w:pPr>
    </w:p>
    <w:p>
      <w:pPr>
        <w:ind w:firstLine="605"/>
        <w:spacing w:after="0" w:line="278" w:lineRule="auto"/>
        <w:tabs>
          <w:tab w:leader="none" w:pos="1088"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46" w:lineRule="exact"/>
        <w:rPr>
          <w:rFonts w:ascii="Arial" w:cs="Arial" w:eastAsia="Arial" w:hAnsi="Arial"/>
          <w:sz w:val="20"/>
          <w:szCs w:val="20"/>
          <w:color w:val="auto"/>
        </w:rPr>
      </w:pPr>
    </w:p>
    <w:p>
      <w:pPr>
        <w:jc w:val="both"/>
        <w:ind w:firstLine="605"/>
        <w:spacing w:after="0" w:line="263" w:lineRule="auto"/>
        <w:tabs>
          <w:tab w:leader="none" w:pos="12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62" w:lineRule="exact"/>
        <w:rPr>
          <w:rFonts w:ascii="Arial" w:cs="Arial" w:eastAsia="Arial" w:hAnsi="Arial"/>
          <w:sz w:val="20"/>
          <w:szCs w:val="20"/>
          <w:color w:val="auto"/>
        </w:rPr>
      </w:pPr>
    </w:p>
    <w:p>
      <w:pPr>
        <w:ind w:left="1020" w:hanging="415"/>
        <w:spacing w:after="0"/>
        <w:tabs>
          <w:tab w:leader="none" w:pos="10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0" w:lineRule="exact"/>
        <w:rPr>
          <w:rFonts w:ascii="Arial" w:cs="Arial" w:eastAsia="Arial" w:hAnsi="Arial"/>
          <w:sz w:val="20"/>
          <w:szCs w:val="20"/>
          <w:color w:val="auto"/>
        </w:rPr>
      </w:pPr>
    </w:p>
    <w:p>
      <w:pPr>
        <w:ind w:left="1040" w:hanging="435"/>
        <w:spacing w:after="0"/>
        <w:tabs>
          <w:tab w:leader="none" w:pos="10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w:t>
      </w:r>
    </w:p>
    <w:p>
      <w:pPr>
        <w:spacing w:after="0" w:line="210" w:lineRule="exact"/>
        <w:rPr>
          <w:rFonts w:ascii="Arial" w:cs="Arial" w:eastAsia="Arial" w:hAnsi="Arial"/>
          <w:sz w:val="20"/>
          <w:szCs w:val="20"/>
          <w:color w:val="auto"/>
        </w:rPr>
      </w:pPr>
    </w:p>
    <w:p>
      <w:pPr>
        <w:jc w:val="both"/>
        <w:ind w:firstLine="605"/>
        <w:spacing w:after="0" w:line="259" w:lineRule="auto"/>
        <w:tabs>
          <w:tab w:leader="none" w:pos="1071"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indebtedness (excluding prepaid interest thereon) described in clauses (a) through (d) and (f) through (h)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65" w:lineRule="exact"/>
        <w:rPr>
          <w:rFonts w:ascii="Arial" w:cs="Arial" w:eastAsia="Arial" w:hAnsi="Arial"/>
          <w:sz w:val="20"/>
          <w:szCs w:val="20"/>
          <w:color w:val="auto"/>
        </w:rPr>
      </w:pPr>
    </w:p>
    <w:p>
      <w:pPr>
        <w:ind w:left="1000" w:hanging="395"/>
        <w:spacing w:after="0"/>
        <w:tabs>
          <w:tab w:leader="none" w:pos="10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Attributable Indebtedness;</w:t>
      </w:r>
    </w:p>
    <w:p>
      <w:pPr>
        <w:spacing w:after="0" w:line="210" w:lineRule="exact"/>
        <w:rPr>
          <w:rFonts w:ascii="Arial" w:cs="Arial" w:eastAsia="Arial" w:hAnsi="Arial"/>
          <w:sz w:val="20"/>
          <w:szCs w:val="20"/>
          <w:color w:val="auto"/>
        </w:rPr>
      </w:pPr>
    </w:p>
    <w:p>
      <w:pPr>
        <w:jc w:val="both"/>
        <w:ind w:firstLine="605"/>
        <w:spacing w:after="0" w:line="263" w:lineRule="auto"/>
        <w:tabs>
          <w:tab w:leader="none" w:pos="1088"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obligations of such Person to purchase, redeem, retire or otherwise acquire for value any Disqualified Equity Interests (but solely to the extent required to occur on or prior to the Latest Maturity Date (other than as a result of a change of control, asset sale or similar event)); and</w:t>
      </w:r>
    </w:p>
    <w:p>
      <w:pPr>
        <w:spacing w:after="0" w:line="162" w:lineRule="exact"/>
        <w:rPr>
          <w:rFonts w:ascii="Arial" w:cs="Arial" w:eastAsia="Arial" w:hAnsi="Arial"/>
          <w:sz w:val="20"/>
          <w:szCs w:val="20"/>
          <w:color w:val="auto"/>
        </w:rPr>
      </w:pPr>
    </w:p>
    <w:p>
      <w:pPr>
        <w:ind w:left="1040" w:hanging="435"/>
        <w:spacing w:after="0"/>
        <w:tabs>
          <w:tab w:leader="none" w:pos="10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to the extent not otherwise included above, all Guarantees of such Person in respect of any of the foregoing.</w:t>
      </w:r>
    </w:p>
    <w:p>
      <w:pPr>
        <w:spacing w:after="0" w:line="210" w:lineRule="exact"/>
        <w:rPr>
          <w:sz w:val="20"/>
          <w:szCs w:val="20"/>
          <w:color w:val="auto"/>
        </w:rPr>
      </w:pPr>
    </w:p>
    <w:p>
      <w:pPr>
        <w:jc w:val="both"/>
        <w:ind w:firstLine="604"/>
        <w:spacing w:after="0" w:line="288" w:lineRule="auto"/>
        <w:rPr>
          <w:sz w:val="20"/>
          <w:szCs w:val="20"/>
          <w:color w:val="auto"/>
        </w:rPr>
      </w:pPr>
      <w:r>
        <w:rPr>
          <w:rFonts w:ascii="Arial" w:cs="Arial" w:eastAsia="Arial" w:hAnsi="Arial"/>
          <w:sz w:val="18"/>
          <w:szCs w:val="18"/>
          <w:color w:val="auto"/>
        </w:rPr>
        <w:t>For all purposes hereof, the Indebtedness of any Person (i) shall include the Indebtedness of any partnership or joint venture (other than a joint venture that is itself a corporation or limited liability company) in which such Person is a general partner or joint venturer, except to the extent such Person’s liability for such Indebtedness is otherwise expressly contractually limited and only to the extent such Indebtedness would be included in the calculation of Consolidated Total Debt and (ii) shall exclude (A) trade accounts payable in the ordinary course of business, (B) any earn-out obligation until such earn-out obligation has become due and payable, (C) any current and undeferred pension contributions or health and welfare contributions due from such Person and/or its applicable Subsidiaries to any Pension</w:t>
      </w:r>
    </w:p>
    <w:p>
      <w:pPr>
        <w:sectPr>
          <w:pgSz w:w="11900" w:h="16961" w:orient="portrait"/>
          <w:cols w:equalWidth="0" w:num="1">
            <w:col w:w="11420"/>
          </w:cols>
          <w:pgMar w:left="240" w:top="131" w:right="239" w:bottom="0" w:gutter="0" w:footer="0" w:header="0"/>
        </w:sectPr>
      </w:pPr>
    </w:p>
    <w:bookmarkStart w:id="64" w:name="page65"/>
    <w:bookmarkEnd w:id="64"/>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Fund Entity, (D) liabilities accrued in the ordinary course, (E) deferred revenues, liabilities associated with customer prepayments and deposits and any such obligations incurred under ERISA, and other accrued obligations (including transfer pricing), in each case incurred in the ordinary course of business, (F) operating leases, (G) customary obligations under employment agreements and deferred compensation and (H) deferred tax liabilities. The amount of any net obligation under any Swap Contract on any date shall be deemed to be the Swap Termination Value thereof as of such date. The amount of Indebtedness of any Person for purposes of clause (e) that is limited in recourse to the property encumbered thereby shall be deemed to be equal to the lesser of (i) the aggregate unpaid amount of such Indebtedness and (ii) the fair market value of the property encumbered thereby as determined by such Person in good faith.</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3.01(a)</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10.05(b)</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Information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10.16</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Security Agreement</w:t>
      </w:r>
      <w:r>
        <w:rPr>
          <w:rFonts w:ascii="Arial" w:cs="Arial" w:eastAsia="Arial" w:hAnsi="Arial"/>
          <w:sz w:val="20"/>
          <w:szCs w:val="20"/>
          <w:color w:val="auto"/>
        </w:rPr>
        <w:t>” shall have the meaning assigned to such term “Grant of Security Interest” in the Security Agreement.</w:t>
      </w:r>
    </w:p>
    <w:p>
      <w:pPr>
        <w:spacing w:after="0" w:line="139"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Intercompany Note</w:t>
      </w:r>
      <w:r>
        <w:rPr>
          <w:rFonts w:ascii="Arial" w:cs="Arial" w:eastAsia="Arial" w:hAnsi="Arial"/>
          <w:sz w:val="20"/>
          <w:szCs w:val="20"/>
          <w:color w:val="auto"/>
        </w:rPr>
        <w:t xml:space="preserve">” shall mean (i) for existing promissory notes as of the Restatement Effective Date, each promissory note (or amended and restated promissory note) with subordination language reasonably acceptable to the Required Lenders and (ii) for promissory notes issued after the Restatement Effective Date, a promissory note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Intercreditor Agreement”</w:t>
      </w:r>
      <w:r>
        <w:rPr>
          <w:rFonts w:ascii="Arial" w:cs="Arial" w:eastAsia="Arial" w:hAnsi="Arial"/>
          <w:sz w:val="20"/>
          <w:szCs w:val="20"/>
          <w:color w:val="auto"/>
        </w:rPr>
        <w:t xml:space="preserve"> shall include all permitted intercreditor agreements.</w:t>
      </w:r>
    </w:p>
    <w:p>
      <w:pPr>
        <w:spacing w:after="0" w:line="210" w:lineRule="exact"/>
        <w:rPr>
          <w:sz w:val="20"/>
          <w:szCs w:val="20"/>
          <w:color w:val="auto"/>
        </w:rPr>
      </w:pPr>
    </w:p>
    <w:p>
      <w:pPr>
        <w:jc w:val="both"/>
        <w:ind w:firstLine="604"/>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shall mean (a) with respect to any ABR Loan, the last Business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that would have been an Interest Payment Date had successive Interest Periods of three months’ duration been applicable to such Borrowing.</w:t>
      </w:r>
    </w:p>
    <w:p>
      <w:pPr>
        <w:spacing w:after="0" w:line="130" w:lineRule="exact"/>
        <w:rPr>
          <w:sz w:val="20"/>
          <w:szCs w:val="20"/>
          <w:color w:val="auto"/>
        </w:rPr>
      </w:pPr>
    </w:p>
    <w:p>
      <w:pPr>
        <w:jc w:val="both"/>
        <w:ind w:firstLine="604"/>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with respect to any Eurodollar Borrowing, the period commencing on the date of such Borrowing and ending on the numerically corresponding day (or, if there is no numerically corresponding day, on the last Business Day) in the calendar month that is 1, 2, 3 or 6 (or, if agreed by all applicable Lenders, 12) months thereafter (or any shorter period agreed by all applicable Lenders), as the Borrower may elect;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for any Loan shall extend beyond the maturity date of such Loan.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147"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Internally Generated Cash</w:t>
      </w:r>
      <w:r>
        <w:rPr>
          <w:rFonts w:ascii="Arial" w:cs="Arial" w:eastAsia="Arial" w:hAnsi="Arial"/>
          <w:sz w:val="20"/>
          <w:szCs w:val="20"/>
          <w:color w:val="auto"/>
        </w:rPr>
        <w:t>” shall mean cash resulting from operations of the Borrower and the Restricted Subsidiaries and not constituting (x) proceeds of the issuance of (or contributions in respect of) Equity Interests, (y) proceeds of Dispositions (other than in the ordinary course of business) and Casualty Events or (z) proceeds of the incurrence of Indebtedness.</w:t>
      </w:r>
    </w:p>
    <w:p>
      <w:pPr>
        <w:spacing w:after="0" w:line="15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related transactions) of all or substantially all of the property and assets or business of another Person or assets constituting a business unit, line of business or division of such Person. For purposes of covenant compliance, (i) the amount of any Investment shall equal (A) the amount actually invested, without adjustment for subsequent increases or decreases in the value of such Investment </w:t>
      </w:r>
      <w:r>
        <w:rPr>
          <w:rFonts w:ascii="Arial" w:cs="Arial" w:eastAsia="Arial" w:hAnsi="Arial"/>
          <w:sz w:val="18"/>
          <w:szCs w:val="18"/>
          <w:u w:val="single" w:color="auto"/>
          <w:color w:val="auto"/>
        </w:rPr>
        <w:t>minus</w:t>
      </w:r>
      <w:r>
        <w:rPr>
          <w:rFonts w:ascii="Arial" w:cs="Arial" w:eastAsia="Arial" w:hAnsi="Arial"/>
          <w:sz w:val="18"/>
          <w:szCs w:val="18"/>
          <w:color w:val="auto"/>
        </w:rPr>
        <w:t>, except for purposes of calculating the Cumulative Credit, (B) the aggregate amount of dividends, distributions or other payments received in cash in respect of such Investment (including by way of a sale or other disposition of such Investment) but not in excess of the original amount invested and (ii) the fair market value of any and all Investments (which for the avoidance of doubt shall include all debt, equity and other items described in the foregoing provisions of this definition) held by any Loan Party in any Guarantor that becomes an Excluded Subsidiary pursuant to clause (a) of the definition of “Excluded Subsidiary” shall be deemed to be an Investment incurred on the date such Guarantor becomes an Excluded Subsidiary pursuant to clause (a) of the definition of “Excluded Subsidiary”.</w:t>
      </w:r>
    </w:p>
    <w:p>
      <w:pPr>
        <w:spacing w:after="0" w:line="148"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Financing</w:t>
      </w:r>
      <w:r>
        <w:rPr>
          <w:rFonts w:ascii="Arial" w:cs="Arial" w:eastAsia="Arial" w:hAnsi="Arial"/>
          <w:sz w:val="20"/>
          <w:szCs w:val="20"/>
          <w:color w:val="auto"/>
        </w:rPr>
        <w:t>” shall mean any unsecured Indebtedness incurred by the Borrower or a Guarantor in the form of one or more series of unsecured notes or loans having an outstanding aggregate principal amount of not less than the Threshold Amount and any Subordinated Indebtedness (for greater certainty, not including the ABL Facility Indebtedness).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Financing Documentation</w:t>
      </w:r>
      <w:r>
        <w:rPr>
          <w:rFonts w:ascii="Arial" w:cs="Arial" w:eastAsia="Arial" w:hAnsi="Arial"/>
          <w:sz w:val="20"/>
          <w:szCs w:val="20"/>
          <w:color w:val="auto"/>
        </w:rPr>
        <w:t>” shall mean any documentation governing any Junior Financing.</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Latest Maturity Date</w:t>
      </w:r>
      <w:r>
        <w:rPr>
          <w:rFonts w:ascii="Arial" w:cs="Arial" w:eastAsia="Arial" w:hAnsi="Arial"/>
          <w:sz w:val="20"/>
          <w:szCs w:val="20"/>
          <w:color w:val="auto"/>
        </w:rPr>
        <w:t>” shall mean, at any date of determination, the latest maturity or expiration date applicable to any Loan hereunder at such time, including the latest maturity or expiration date of any Tranche B-2 Term Loan, any Other Term Loan or any Extended Term Loan, in each case as extended in accordance with this Agreement from time to time.</w:t>
      </w:r>
    </w:p>
    <w:p>
      <w:pPr>
        <w:spacing w:after="0" w:line="157"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Laws</w:t>
      </w:r>
      <w:r>
        <w:rPr>
          <w:rFonts w:ascii="Arial" w:cs="Arial" w:eastAsia="Arial" w:hAnsi="Arial"/>
          <w:sz w:val="19"/>
          <w:szCs w:val="19"/>
          <w:color w:val="auto"/>
        </w:rPr>
        <w:t>” shall mean, collectively, all international, foreign, federal, state and local laws (including common law),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w:t>
      </w:r>
    </w:p>
    <w:p>
      <w:pPr>
        <w:sectPr>
          <w:pgSz w:w="11900" w:h="16839" w:orient="portrait"/>
          <w:cols w:equalWidth="0" w:num="1">
            <w:col w:w="11420"/>
          </w:cols>
          <w:pgMar w:left="240" w:top="131" w:right="239" w:bottom="0" w:gutter="0" w:footer="0" w:header="0"/>
        </w:sectPr>
      </w:pPr>
    </w:p>
    <w:bookmarkStart w:id="65" w:name="page66"/>
    <w:bookmarkEnd w:id="65"/>
    <w:p>
      <w:pPr>
        <w:jc w:val="both"/>
        <w:spacing w:after="0" w:line="278" w:lineRule="auto"/>
        <w:rPr>
          <w:sz w:val="20"/>
          <w:szCs w:val="20"/>
          <w:color w:val="auto"/>
        </w:rPr>
      </w:pPr>
      <w:r>
        <w:rPr>
          <w:rFonts w:ascii="Arial" w:cs="Arial" w:eastAsia="Arial" w:hAnsi="Arial"/>
          <w:sz w:val="20"/>
          <w:szCs w:val="20"/>
          <w:color w:val="auto"/>
        </w:rPr>
        <w:t>applicable administrative orders, directed duties, requests, licenses, authorizations and permits of, requirements, and agreements with, any Governmental Authority.</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Leasehold Property</w:t>
      </w:r>
      <w:r>
        <w:rPr>
          <w:rFonts w:ascii="Arial" w:cs="Arial" w:eastAsia="Arial" w:hAnsi="Arial"/>
          <w:sz w:val="20"/>
          <w:szCs w:val="20"/>
          <w:color w:val="auto"/>
        </w:rPr>
        <w:t>” shall mean any leasehold interest of any Loan Party as lessee under any lease of Real Property.</w:t>
      </w:r>
    </w:p>
    <w:p>
      <w:pPr>
        <w:spacing w:after="0" w:line="210"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xml:space="preserve">” shall mean each lender from time to time party hereto. For avoidance of doubt, each Additional Lender is a Lender to the extent any such Person has executed and delivered a Refinancing Amendment, as the case may be, and to the extent such Refinancing Amendment shall have become effective in accordance with the terms hereof and thereof. As of the Restatement Effective Date,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w:t>
      </w:r>
      <w:r>
        <w:rPr>
          <w:rFonts w:ascii="Arial" w:cs="Arial" w:eastAsia="Arial" w:hAnsi="Arial"/>
          <w:sz w:val="20"/>
          <w:szCs w:val="20"/>
          <w:color w:val="auto"/>
        </w:rPr>
        <w:t xml:space="preserve"> sets forth the name of each Lender.</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 Indemnitees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10.05(b)</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xml:space="preserve">” shall mean, with respect to any Eurodollar Borrowing for any Interest Period, the rate per annum determined by the Administrative Agent by reference to the applicable Bloomberg LIBOR screen page at approximately 11:00 a.m. (London time) on the date that is two Business Days prior to the commencement of such Interest Period for deposits in Dollars (as set forth by any service selected by the Administrative Agent that has been nominated by the ICE Benchmark Administration as an authorized information vendor for the purpose of displaying such rates) for a period equal to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an interest rate is not ascertainable pursuant to the foregoing provisions of this definition, and except as set forth in </w:t>
      </w:r>
      <w:r>
        <w:rPr>
          <w:rFonts w:ascii="Arial" w:cs="Arial" w:eastAsia="Arial" w:hAnsi="Arial"/>
          <w:sz w:val="18"/>
          <w:szCs w:val="18"/>
          <w:u w:val="single" w:color="auto"/>
          <w:color w:val="auto"/>
        </w:rPr>
        <w:t>Section 10.24</w:t>
      </w:r>
      <w:r>
        <w:rPr>
          <w:rFonts w:ascii="Arial" w:cs="Arial" w:eastAsia="Arial" w:hAnsi="Arial"/>
          <w:sz w:val="18"/>
          <w:szCs w:val="18"/>
          <w:color w:val="auto"/>
        </w:rPr>
        <w:t>, the “</w:t>
      </w:r>
      <w:r>
        <w:rPr>
          <w:rFonts w:ascii="Arial" w:cs="Arial" w:eastAsia="Arial" w:hAnsi="Arial"/>
          <w:sz w:val="18"/>
          <w:szCs w:val="18"/>
          <w:b w:val="1"/>
          <w:bCs w:val="1"/>
          <w:color w:val="auto"/>
        </w:rPr>
        <w:t>LIBO Rate</w:t>
      </w:r>
      <w:r>
        <w:rPr>
          <w:rFonts w:ascii="Arial" w:cs="Arial" w:eastAsia="Arial" w:hAnsi="Arial"/>
          <w:sz w:val="18"/>
          <w:szCs w:val="18"/>
          <w:color w:val="auto"/>
        </w:rPr>
        <w:t>”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41" w:lineRule="exact"/>
        <w:rPr>
          <w:sz w:val="20"/>
          <w:szCs w:val="20"/>
          <w:color w:val="auto"/>
        </w:rPr>
      </w:pPr>
    </w:p>
    <w:p>
      <w:pPr>
        <w:jc w:val="both"/>
        <w:ind w:firstLine="604"/>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any mortgage, deed of trust,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or financing lease having substantially the same economic effect as any of the foregoing).</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w:t>
      </w:r>
      <w:r>
        <w:rPr>
          <w:rFonts w:ascii="Arial" w:cs="Arial" w:eastAsia="Arial" w:hAnsi="Arial"/>
          <w:sz w:val="20"/>
          <w:szCs w:val="20"/>
          <w:color w:val="auto"/>
        </w:rPr>
        <w:t>” shall mean any Term Loan.</w:t>
      </w:r>
    </w:p>
    <w:p>
      <w:pPr>
        <w:spacing w:after="0" w:line="210"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Documents</w:t>
      </w:r>
      <w:r>
        <w:rPr>
          <w:rFonts w:ascii="Arial" w:cs="Arial" w:eastAsia="Arial" w:hAnsi="Arial"/>
          <w:sz w:val="20"/>
          <w:szCs w:val="20"/>
          <w:color w:val="auto"/>
        </w:rPr>
        <w:t xml:space="preserve">” shall mean this Agreement (including, without limitation, any amendments to this Agreement), the Collateral Documents, the Custodial Administration Agreement, the Fee Letter, the Administrative Fee Letter, each Refinancing Amendment, each Extension Offer and each amendment of any Loan Document in connection therewith, and the Term Notes, if any, executed and delivered pursuant to </w:t>
      </w:r>
      <w:r>
        <w:rPr>
          <w:rFonts w:ascii="Arial" w:cs="Arial" w:eastAsia="Arial" w:hAnsi="Arial"/>
          <w:sz w:val="20"/>
          <w:szCs w:val="20"/>
          <w:u w:val="single" w:color="auto"/>
          <w:color w:val="auto"/>
        </w:rPr>
        <w:t>Section 2.04(e)</w:t>
      </w:r>
      <w:r>
        <w:rPr>
          <w:rFonts w:ascii="Arial" w:cs="Arial" w:eastAsia="Arial" w:hAnsi="Arial"/>
          <w:sz w:val="20"/>
          <w:szCs w:val="20"/>
          <w:color w:val="auto"/>
        </w:rPr>
        <w: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Parties</w:t>
      </w:r>
      <w:r>
        <w:rPr>
          <w:rFonts w:ascii="Arial" w:cs="Arial" w:eastAsia="Arial" w:hAnsi="Arial"/>
          <w:sz w:val="20"/>
          <w:szCs w:val="20"/>
          <w:color w:val="auto"/>
        </w:rPr>
        <w:t>” shall mean, collectively, the Borrower and each Guarantor.</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Margin Stock</w:t>
      </w:r>
      <w:r>
        <w:rPr>
          <w:rFonts w:ascii="Arial" w:cs="Arial" w:eastAsia="Arial" w:hAnsi="Arial"/>
          <w:sz w:val="20"/>
          <w:szCs w:val="20"/>
          <w:color w:val="auto"/>
        </w:rPr>
        <w:t>” shall have the meaning assigned to such term in Regulation U.</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Master Agreement</w:t>
      </w:r>
      <w:r>
        <w:rPr>
          <w:rFonts w:ascii="Arial" w:cs="Arial" w:eastAsia="Arial" w:hAnsi="Arial"/>
          <w:sz w:val="20"/>
          <w:szCs w:val="20"/>
          <w:color w:val="auto"/>
        </w:rPr>
        <w:t>” shall have the meaning specified in the definition of “</w:t>
      </w:r>
      <w:r>
        <w:rPr>
          <w:rFonts w:ascii="Arial" w:cs="Arial" w:eastAsia="Arial" w:hAnsi="Arial"/>
          <w:sz w:val="20"/>
          <w:szCs w:val="20"/>
          <w:b w:val="1"/>
          <w:bCs w:val="1"/>
          <w:color w:val="auto"/>
        </w:rPr>
        <w:t>Swap Contract</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Effect</w:t>
      </w:r>
      <w:r>
        <w:rPr>
          <w:rFonts w:ascii="Arial" w:cs="Arial" w:eastAsia="Arial" w:hAnsi="Arial"/>
          <w:sz w:val="20"/>
          <w:szCs w:val="20"/>
          <w:color w:val="auto"/>
        </w:rPr>
        <w:t>” shall mean a (a) material adverse effect on the business, operations, assets, liabilities (actual or contingent), operating results or financial condition of the Borrower and its Restricted Subsidiaries, taken as a whole; (b) material adverse effect on the ability of the Loan Parties (taken as a whole) to fully and timely perform their payment obligations under the Loan Documents to which the Borrower or any of the Loan Parties is a party; or (c) material adverse effect on the rights and remedies available to the Lenders, the Administrative Agent or the Collateral Agent under any Loan Document (other than due to the action or inaction of any Agent or any Lender).</w:t>
      </w:r>
    </w:p>
    <w:p>
      <w:pPr>
        <w:spacing w:after="0" w:line="164"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Real Property</w:t>
      </w:r>
      <w:r>
        <w:rPr>
          <w:rFonts w:ascii="Arial" w:cs="Arial" w:eastAsia="Arial" w:hAnsi="Arial"/>
          <w:sz w:val="20"/>
          <w:szCs w:val="20"/>
          <w:color w:val="auto"/>
        </w:rPr>
        <w:t>” shall mean each Real Property that is (i) owned in fee by a Loan Party, (ii) located in the United States and (iii) not an Excluded Real Property.</w:t>
      </w:r>
    </w:p>
    <w:p>
      <w:pPr>
        <w:spacing w:after="0" w:line="139"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shall mean, (i) with respect to the Tranche B-2 Term Loans, June 30, 2024 (the “</w:t>
      </w:r>
      <w:r>
        <w:rPr>
          <w:rFonts w:ascii="Arial" w:cs="Arial" w:eastAsia="Arial" w:hAnsi="Arial"/>
          <w:sz w:val="20"/>
          <w:szCs w:val="20"/>
          <w:b w:val="1"/>
          <w:bCs w:val="1"/>
          <w:color w:val="auto"/>
        </w:rPr>
        <w:t>Original Term Loan Maturity</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(ii) with respect to any tranche of Extended Term Loans, the final maturity date as specified in the applicable Extension Offer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accepted by the respective Lender or Lenders and (iii) with respect to any Other Term Loans, the final maturity date as specified in the applicable Refinancing Amendment;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such day is not a Business Day, the applicable Maturity Date shall be the Business Day immediately succeeding such day.</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Incremental Facility Amount</w:t>
      </w:r>
      <w:r>
        <w:rPr>
          <w:rFonts w:ascii="Arial" w:cs="Arial" w:eastAsia="Arial" w:hAnsi="Arial"/>
          <w:sz w:val="20"/>
          <w:szCs w:val="20"/>
          <w:color w:val="auto"/>
        </w:rPr>
        <w:t>” shall mean an amount not to exceed $200,000,000.</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Rate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Minimum Extension Condition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2.19(b)</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MNPI</w:t>
      </w:r>
      <w:r>
        <w:rPr>
          <w:rFonts w:ascii="Arial" w:cs="Arial" w:eastAsia="Arial" w:hAnsi="Arial"/>
          <w:sz w:val="19"/>
          <w:szCs w:val="19"/>
          <w:color w:val="auto"/>
        </w:rPr>
        <w:t>” shall mean material information concerning the Borrower, Subsidiary or Controlled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Borrower, the Subsidiaries or any Controlled Affiliate of any of the foregoing or any of their securities that could reasonably be expected to be material for purposes of the United States Federal and State securities laws and, where applicable, foreign securities laws.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Moody’s</w:t>
      </w:r>
      <w:r>
        <w:rPr>
          <w:rFonts w:ascii="Arial" w:cs="Arial" w:eastAsia="Arial" w:hAnsi="Arial"/>
          <w:sz w:val="20"/>
          <w:szCs w:val="20"/>
          <w:color w:val="auto"/>
        </w:rPr>
        <w:t>” shall mean Moody’s Investors Service, Inc., or any successor thereto.</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 Policies</w:t>
      </w:r>
      <w:r>
        <w:rPr>
          <w:rFonts w:ascii="Arial" w:cs="Arial" w:eastAsia="Arial" w:hAnsi="Arial"/>
          <w:sz w:val="20"/>
          <w:szCs w:val="20"/>
          <w:color w:val="auto"/>
        </w:rPr>
        <w:t>” shall have the meaning specified in the definition of “Collateral and Guarantee Requirement.”</w:t>
      </w:r>
    </w:p>
    <w:p>
      <w:pPr>
        <w:sectPr>
          <w:pgSz w:w="11900" w:h="16838" w:orient="portrait"/>
          <w:cols w:equalWidth="0" w:num="1">
            <w:col w:w="11420"/>
          </w:cols>
          <w:pgMar w:left="240" w:top="131" w:right="239" w:bottom="0" w:gutter="0" w:footer="0" w:header="0"/>
        </w:sectPr>
      </w:pPr>
    </w:p>
    <w:bookmarkStart w:id="66" w:name="page67"/>
    <w:bookmarkEnd w:id="66"/>
    <w:p>
      <w:pPr>
        <w:spacing w:after="0" w:line="32"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Mortgaged Property</w:t>
      </w:r>
      <w:r>
        <w:rPr>
          <w:rFonts w:ascii="Arial" w:cs="Arial" w:eastAsia="Arial" w:hAnsi="Arial"/>
          <w:sz w:val="20"/>
          <w:szCs w:val="20"/>
          <w:color w:val="auto"/>
        </w:rPr>
        <w:t xml:space="preserve">” shall have the meaning specified in the definition of “Collateral and Guarantee Requirement.” The Mortgaged Properties as of the Restatement Effective Date are set forth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139"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Mortgages</w:t>
      </w:r>
      <w:r>
        <w:rPr>
          <w:rFonts w:ascii="Arial" w:cs="Arial" w:eastAsia="Arial" w:hAnsi="Arial"/>
          <w:sz w:val="20"/>
          <w:szCs w:val="20"/>
          <w:color w:val="auto"/>
        </w:rPr>
        <w:t xml:space="preserve">” shall mean, collectively, the mortgages, deeds of trust, trust deeds, hypothecs deeds to secure debt and similar instruments by the Loan Parties in favor or for the benefit of the Collateral Agent on behalf of the Secured Parties creating and evidencing a Lien on a Mortgaged Property in form and substance reasonably satisfactory to the Required Lenders, Collateral Agent and the Borrower, and any other mortgages executed and delivered pursuant to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6.13</w:t>
      </w:r>
      <w:r>
        <w:rPr>
          <w:rFonts w:ascii="Arial" w:cs="Arial" w:eastAsia="Arial" w:hAnsi="Arial"/>
          <w:sz w:val="20"/>
          <w:szCs w:val="20"/>
          <w:color w:val="auto"/>
        </w:rPr>
        <w:t>.</w:t>
      </w:r>
    </w:p>
    <w:p>
      <w:pPr>
        <w:spacing w:after="0" w:line="161"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shall mean any multiemployer plan as defined in Section 4001(a)(3) of ERISA subject to the provisions of Title IV of ERISA to which a Loan Party, any Restricted Subsidiary or any of their respective ERISA Affiliates is an “employer” as defined in Section 3(5) of ERISA.</w:t>
      </w:r>
    </w:p>
    <w:p>
      <w:pPr>
        <w:spacing w:after="0" w:line="157" w:lineRule="exact"/>
        <w:rPr>
          <w:sz w:val="20"/>
          <w:szCs w:val="20"/>
          <w:color w:val="auto"/>
        </w:rPr>
      </w:pPr>
    </w:p>
    <w:p>
      <w:pPr>
        <w:jc w:val="both"/>
        <w:ind w:firstLine="60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Equity Proceeds</w:t>
      </w:r>
      <w:r>
        <w:rPr>
          <w:rFonts w:ascii="Arial" w:cs="Arial" w:eastAsia="Arial" w:hAnsi="Arial"/>
          <w:sz w:val="18"/>
          <w:szCs w:val="18"/>
          <w:color w:val="auto"/>
        </w:rPr>
        <w:t>” shall mean 50% of the cash proceeds from the issuance or sale by the Borrower (or contributions in respect) of any Equity Interests issued after the Restatement Effective Date, net of all taxes paid or reasonably estimated to be payable as a result thereof and fees (including investment banking fees and discounts), commissions, costs and other expenses, in each case incurred in connection with such issuance or sale, provided, that, if the amount of any estimated taxes exceeds the amount of taxes actually required to be paid in cash, the aggregate amount of such excess shall constitute Net Proceeds at the time such taxes are actually paid.</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Proceeds</w:t>
      </w:r>
      <w:r>
        <w:rPr>
          <w:rFonts w:ascii="Arial" w:cs="Arial" w:eastAsia="Arial" w:hAnsi="Arial"/>
          <w:sz w:val="20"/>
          <w:szCs w:val="20"/>
          <w:color w:val="auto"/>
        </w:rPr>
        <w:t>” shall mean:</w:t>
      </w:r>
    </w:p>
    <w:p>
      <w:pPr>
        <w:spacing w:after="0" w:line="214" w:lineRule="exact"/>
        <w:rPr>
          <w:sz w:val="20"/>
          <w:szCs w:val="20"/>
          <w:color w:val="auto"/>
        </w:rPr>
      </w:pPr>
    </w:p>
    <w:p>
      <w:pPr>
        <w:jc w:val="both"/>
        <w:ind w:firstLine="605"/>
        <w:spacing w:after="0" w:line="259" w:lineRule="auto"/>
        <w:tabs>
          <w:tab w:leader="none" w:pos="1130" w:val="left"/>
        </w:tabs>
        <w:numPr>
          <w:ilvl w:val="0"/>
          <w:numId w:val="56"/>
        </w:numPr>
        <w:rPr>
          <w:rFonts w:ascii="Arial" w:cs="Arial" w:eastAsia="Arial" w:hAnsi="Arial"/>
          <w:sz w:val="20"/>
          <w:szCs w:val="20"/>
          <w:color w:val="auto"/>
        </w:rPr>
      </w:pPr>
      <w:r>
        <w:rPr>
          <w:rFonts w:ascii="Arial" w:cs="Arial" w:eastAsia="Arial" w:hAnsi="Arial"/>
          <w:sz w:val="20"/>
          <w:szCs w:val="20"/>
          <w:color w:val="auto"/>
        </w:rPr>
        <w:t>100% of the cash proceeds actually received by the Borrower or any Restricted Subsidiaries (including any cash payments received by way of deferred payment of principal pursuant to a note or installment receivable or purchase price adjustment receivable or otherwise and including casualty insurance settlements and condemnation and similar awards, but in each case only as and when received) from any Disposition or Casualty Event, net of the following:</w:t>
      </w:r>
    </w:p>
    <w:p>
      <w:pPr>
        <w:spacing w:after="0" w:line="165" w:lineRule="exact"/>
        <w:rPr>
          <w:rFonts w:ascii="Arial" w:cs="Arial" w:eastAsia="Arial" w:hAnsi="Arial"/>
          <w:sz w:val="20"/>
          <w:szCs w:val="20"/>
          <w:color w:val="auto"/>
        </w:rPr>
      </w:pPr>
    </w:p>
    <w:p>
      <w:pPr>
        <w:ind w:left="600" w:firstLine="1213"/>
        <w:spacing w:after="0" w:line="278" w:lineRule="auto"/>
        <w:tabs>
          <w:tab w:leader="none" w:pos="2323" w:val="left"/>
        </w:tabs>
        <w:numPr>
          <w:ilvl w:val="1"/>
          <w:numId w:val="56"/>
        </w:numPr>
        <w:rPr>
          <w:rFonts w:ascii="Arial" w:cs="Arial" w:eastAsia="Arial" w:hAnsi="Arial"/>
          <w:sz w:val="20"/>
          <w:szCs w:val="20"/>
          <w:color w:val="auto"/>
        </w:rPr>
      </w:pPr>
      <w:r>
        <w:rPr>
          <w:rFonts w:ascii="Arial" w:cs="Arial" w:eastAsia="Arial" w:hAnsi="Arial"/>
          <w:sz w:val="20"/>
          <w:szCs w:val="20"/>
          <w:color w:val="auto"/>
        </w:rPr>
        <w:t>attorneys’ fees, accountants’ fees, investment banking fees, survey costs, title insurance premiums, and related search and recording charges, transfer taxes, deed or mortgage recording taxes,</w:t>
      </w:r>
    </w:p>
    <w:p>
      <w:pPr>
        <w:spacing w:after="0" w:line="146" w:lineRule="exact"/>
        <w:rPr>
          <w:rFonts w:ascii="Arial" w:cs="Arial" w:eastAsia="Arial" w:hAnsi="Arial"/>
          <w:sz w:val="20"/>
          <w:szCs w:val="20"/>
          <w:color w:val="auto"/>
        </w:rPr>
      </w:pPr>
    </w:p>
    <w:p>
      <w:pPr>
        <w:jc w:val="both"/>
        <w:ind w:left="600" w:firstLine="1213"/>
        <w:spacing w:after="0" w:line="259" w:lineRule="auto"/>
        <w:tabs>
          <w:tab w:leader="none" w:pos="2476" w:val="left"/>
        </w:tabs>
        <w:numPr>
          <w:ilvl w:val="1"/>
          <w:numId w:val="56"/>
        </w:numPr>
        <w:rPr>
          <w:rFonts w:ascii="Arial" w:cs="Arial" w:eastAsia="Arial" w:hAnsi="Arial"/>
          <w:sz w:val="20"/>
          <w:szCs w:val="20"/>
          <w:color w:val="auto"/>
        </w:rPr>
      </w:pPr>
      <w:r>
        <w:rPr>
          <w:rFonts w:ascii="Arial" w:cs="Arial" w:eastAsia="Arial" w:hAnsi="Arial"/>
          <w:sz w:val="20"/>
          <w:szCs w:val="20"/>
          <w:color w:val="auto"/>
        </w:rPr>
        <w:t>other than with respect to a Pension Real Property Event, required debt payments and required payments (including principal amount, premium or penalty, if any, interest, fees and expenses and other amounts) of other obligations that are secured by the applicable asset or property (other than pursuant to the Loan Documents, the ABL Facility Documentation (other than in respect of ABL Priority Collateral) or any Permitted Second Priority Additional Debt),</w:t>
      </w:r>
    </w:p>
    <w:p>
      <w:pPr>
        <w:spacing w:after="0" w:line="161" w:lineRule="exact"/>
        <w:rPr>
          <w:rFonts w:ascii="Arial" w:cs="Arial" w:eastAsia="Arial" w:hAnsi="Arial"/>
          <w:sz w:val="20"/>
          <w:szCs w:val="20"/>
          <w:color w:val="auto"/>
        </w:rPr>
      </w:pPr>
    </w:p>
    <w:p>
      <w:pPr>
        <w:jc w:val="both"/>
        <w:ind w:left="600" w:firstLine="1213"/>
        <w:spacing w:after="0" w:line="289" w:lineRule="auto"/>
        <w:tabs>
          <w:tab w:leader="none" w:pos="2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case of a Disposition or a Casualty Event with respect to any Pension Real Property (a “</w:t>
      </w:r>
      <w:r>
        <w:rPr>
          <w:rFonts w:ascii="Arial" w:cs="Arial" w:eastAsia="Arial" w:hAnsi="Arial"/>
          <w:sz w:val="18"/>
          <w:szCs w:val="18"/>
          <w:b w:val="1"/>
          <w:bCs w:val="1"/>
          <w:color w:val="auto"/>
        </w:rPr>
        <w:t>Pension Real</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 Event</w:t>
      </w:r>
      <w:r>
        <w:rPr>
          <w:rFonts w:ascii="Arial" w:cs="Arial" w:eastAsia="Arial" w:hAnsi="Arial"/>
          <w:sz w:val="18"/>
          <w:szCs w:val="18"/>
          <w:color w:val="auto"/>
        </w:rPr>
        <w:t>”), to the extent the Contribution Deferral Agreement (as in effect as of the date hereof) requires the repayment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prepayment with the Net Proceeds of such Pension Real Property Event of any Specified Pension Fund Obligations which are secured on a first lien basis by such Pension Real Property (such obligations, “</w:t>
      </w:r>
      <w:r>
        <w:rPr>
          <w:rFonts w:ascii="Arial" w:cs="Arial" w:eastAsia="Arial" w:hAnsi="Arial"/>
          <w:sz w:val="18"/>
          <w:szCs w:val="18"/>
          <w:b w:val="1"/>
          <w:bCs w:val="1"/>
          <w:color w:val="auto"/>
        </w:rPr>
        <w:t>CDA First Lien Obligations</w:t>
      </w:r>
      <w:r>
        <w:rPr>
          <w:rFonts w:ascii="Arial" w:cs="Arial" w:eastAsia="Arial" w:hAnsi="Arial"/>
          <w:sz w:val="18"/>
          <w:szCs w:val="18"/>
          <w:color w:val="auto"/>
        </w:rPr>
        <w:t>”), the Net Proceeds of such Pension Real Property Event shall be reduced by an amount equal to the amount of such Specified Pension Fund Obligations that are so repaid or prepaid with such proceeds and have not been declined by the holders thereof,</w:t>
      </w:r>
    </w:p>
    <w:p>
      <w:pPr>
        <w:spacing w:after="0" w:line="144" w:lineRule="exact"/>
        <w:rPr>
          <w:rFonts w:ascii="Arial" w:cs="Arial" w:eastAsia="Arial" w:hAnsi="Arial"/>
          <w:sz w:val="18"/>
          <w:szCs w:val="18"/>
          <w:color w:val="auto"/>
        </w:rPr>
      </w:pPr>
    </w:p>
    <w:p>
      <w:pPr>
        <w:jc w:val="both"/>
        <w:ind w:left="600" w:firstLine="1213"/>
        <w:spacing w:after="0" w:line="284" w:lineRule="auto"/>
        <w:tabs>
          <w:tab w:leader="none" w:pos="2451" w:val="left"/>
        </w:tabs>
        <w:numPr>
          <w:ilvl w:val="1"/>
          <w:numId w:val="56"/>
        </w:numPr>
        <w:rPr>
          <w:rFonts w:ascii="Arial" w:cs="Arial" w:eastAsia="Arial" w:hAnsi="Arial"/>
          <w:sz w:val="19"/>
          <w:szCs w:val="19"/>
          <w:color w:val="auto"/>
        </w:rPr>
      </w:pPr>
      <w:r>
        <w:rPr>
          <w:rFonts w:ascii="Arial" w:cs="Arial" w:eastAsia="Arial" w:hAnsi="Arial"/>
          <w:sz w:val="19"/>
          <w:szCs w:val="19"/>
          <w:color w:val="auto"/>
        </w:rPr>
        <w:t>in the case of any Disposition or Casualty Event by a non-wholly owned Restricted Subsidiary, the pro rata portion of the Net Proceeds thereof (calculated without regard to this clause (iv)) attributable to minority interests and not available for distribution to or for the account of the Borrower or a wholly owned Restricted Subsidiary as a result thereof,</w:t>
      </w:r>
    </w:p>
    <w:p>
      <w:pPr>
        <w:spacing w:after="0" w:line="143" w:lineRule="exact"/>
        <w:rPr>
          <w:rFonts w:ascii="Arial" w:cs="Arial" w:eastAsia="Arial" w:hAnsi="Arial"/>
          <w:sz w:val="19"/>
          <w:szCs w:val="19"/>
          <w:color w:val="auto"/>
        </w:rPr>
      </w:pPr>
    </w:p>
    <w:p>
      <w:pPr>
        <w:jc w:val="both"/>
        <w:ind w:left="600" w:firstLine="1213"/>
        <w:spacing w:after="0" w:line="284" w:lineRule="auto"/>
        <w:tabs>
          <w:tab w:leader="none" w:pos="2381" w:val="left"/>
        </w:tabs>
        <w:numPr>
          <w:ilvl w:val="1"/>
          <w:numId w:val="56"/>
        </w:numPr>
        <w:rPr>
          <w:rFonts w:ascii="Arial" w:cs="Arial" w:eastAsia="Arial" w:hAnsi="Arial"/>
          <w:sz w:val="19"/>
          <w:szCs w:val="19"/>
          <w:color w:val="auto"/>
        </w:rPr>
      </w:pPr>
      <w:r>
        <w:rPr>
          <w:rFonts w:ascii="Arial" w:cs="Arial" w:eastAsia="Arial" w:hAnsi="Arial"/>
          <w:sz w:val="19"/>
          <w:szCs w:val="19"/>
          <w:color w:val="auto"/>
        </w:rPr>
        <w:t>taxes paid or reasonably estimated to be payable as a result thereof (provided, that if the amount of any such estimated taxes exceeds the amount of taxes actually required to be paid in cash in respect of such Disposition or Casualty Event, the aggregate amount of such excess shall constitute Net Proceeds at the time such taxes are actually paid),</w:t>
      </w:r>
    </w:p>
    <w:p>
      <w:pPr>
        <w:spacing w:after="0" w:line="143" w:lineRule="exact"/>
        <w:rPr>
          <w:rFonts w:ascii="Arial" w:cs="Arial" w:eastAsia="Arial" w:hAnsi="Arial"/>
          <w:sz w:val="19"/>
          <w:szCs w:val="19"/>
          <w:color w:val="auto"/>
        </w:rPr>
      </w:pPr>
    </w:p>
    <w:p>
      <w:pPr>
        <w:jc w:val="both"/>
        <w:ind w:left="600" w:firstLine="1213"/>
        <w:spacing w:after="0" w:line="287" w:lineRule="auto"/>
        <w:tabs>
          <w:tab w:leader="none" w:pos="23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amount of any reasonable reserve established in accordance with GAAP against any adjustment to the sale price or any liabilities (other than any taxes deducted pursuant to clause (i) or (v) above) (x) related to any of the applicable assets and</w:t>
      </w:r>
    </w:p>
    <w:p>
      <w:pPr>
        <w:spacing w:after="0" w:line="1" w:lineRule="exact"/>
        <w:rPr>
          <w:rFonts w:ascii="Arial" w:cs="Arial" w:eastAsia="Arial" w:hAnsi="Arial"/>
          <w:sz w:val="18"/>
          <w:szCs w:val="18"/>
          <w:color w:val="auto"/>
        </w:rPr>
      </w:pPr>
    </w:p>
    <w:p>
      <w:pPr>
        <w:jc w:val="both"/>
        <w:ind w:left="600" w:firstLine="5"/>
        <w:spacing w:after="0" w:line="289" w:lineRule="auto"/>
        <w:tabs>
          <w:tab w:leader="none" w:pos="9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retained by the Borrower or any of the Restricted Subsidiaries with respect to the assets subject to the Disposition or Casualty Event including, without limitation,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and</w:t>
      </w:r>
    </w:p>
    <w:p>
      <w:pPr>
        <w:spacing w:after="0" w:line="142" w:lineRule="exact"/>
        <w:rPr>
          <w:rFonts w:ascii="Arial" w:cs="Arial" w:eastAsia="Arial" w:hAnsi="Arial"/>
          <w:sz w:val="18"/>
          <w:szCs w:val="18"/>
          <w:color w:val="auto"/>
        </w:rPr>
      </w:pPr>
    </w:p>
    <w:p>
      <w:pPr>
        <w:ind w:left="600" w:firstLine="1213"/>
        <w:spacing w:after="0" w:line="278" w:lineRule="auto"/>
        <w:tabs>
          <w:tab w:leader="none" w:pos="2418"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any funded escrow established pursuant to the documents evidencing any such sale or disposition to secure any indemnification obligations or adjustments to the purchase price associated with any such sale or disposition;</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no Event of Default exists such proceeds, other than Real Property Disposition Proceeds, may be applied by the Borrower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Restricted Subsidiary to acquire, maintain, develop, construct, improve, upgrade or repair assets useful in the business of the Borrower or its Restricted Subsidiaries or to make Permitted Acquisitions or any acquisition permitted hereunder of all or substantially all the assets of, or all the Equity Interests (other than directors’ qualifying shares) in, a Person or division or line of business of a Person (or any subsequent investment made in a Person, division or line of business previously acquired), in each case within 270 days of such receipt, and such portion of such proceeds shall not constitute Net Proceeds except to the extent not, within 270 days of such receipt, so used or contractually committed with a third party to be so used (it being understood that if any portion of such proceeds are not so used within such 270 day period but within such 270 day period are contractually committed with a third party to be used, then upon the termination of such contract or if such Net Proceeds are not so used within the later of such 270 day period and 180 days from the entry into such contractual commitment, such remaining portion shall constitute Net Proceeds as of the date of such termination or expiry without giving effect to this proviso; it being understood that such proceeds shall constitute Net Proceeds if there is a Specified Default at the time of a proposed reinvestment unless such proposed reinvestment is made pursuant to a binding commitment with a third party entered into at a time when no Specified Default was continuing);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except with respect to Real Property Disposition Proceeds, no proceeds realized in a single transaction or</w:t>
      </w:r>
    </w:p>
    <w:p>
      <w:pPr>
        <w:sectPr>
          <w:pgSz w:w="11900" w:h="16870" w:orient="portrait"/>
          <w:cols w:equalWidth="0" w:num="1">
            <w:col w:w="11420"/>
          </w:cols>
          <w:pgMar w:left="240" w:top="127" w:right="239" w:bottom="0" w:gutter="0" w:footer="0" w:header="0"/>
        </w:sectPr>
      </w:pPr>
    </w:p>
    <w:bookmarkStart w:id="67" w:name="page68"/>
    <w:bookmarkEnd w:id="67"/>
    <w:p>
      <w:pPr>
        <w:spacing w:after="0" w:line="278" w:lineRule="auto"/>
        <w:rPr>
          <w:sz w:val="20"/>
          <w:szCs w:val="20"/>
          <w:color w:val="auto"/>
        </w:rPr>
      </w:pPr>
      <w:r>
        <w:rPr>
          <w:rFonts w:ascii="Arial" w:cs="Arial" w:eastAsia="Arial" w:hAnsi="Arial"/>
          <w:sz w:val="20"/>
          <w:szCs w:val="20"/>
          <w:color w:val="auto"/>
        </w:rPr>
        <w:t>series of related transactions shall constitute Net Proceeds unless the aggregate net proceeds exceeds $7,500,000 in any fiscal year (and thereafter only net cash proceeds in excess of such amount shall constitute Net Proceeds under this clause (a)), and</w:t>
      </w:r>
    </w:p>
    <w:p>
      <w:pPr>
        <w:spacing w:after="0" w:line="147" w:lineRule="exact"/>
        <w:rPr>
          <w:sz w:val="20"/>
          <w:szCs w:val="20"/>
          <w:color w:val="auto"/>
        </w:rPr>
      </w:pPr>
    </w:p>
    <w:p>
      <w:pPr>
        <w:jc w:val="both"/>
        <w:ind w:firstLine="605"/>
        <w:spacing w:after="0" w:line="256" w:lineRule="auto"/>
        <w:tabs>
          <w:tab w:leader="none" w:pos="1091"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100% of the cash proceeds from the incurrence, issuance or sale by the Borrower or any of the Restricted Subsidiaries of any Indebtedness, net of all taxes paid or reasonably estimated to be payable as a result thereof and fees (including investment banking fees and discounts), commissions, costs and other expenses, in each case incurred in connection with such issuance or sale, </w:t>
      </w:r>
      <w:r>
        <w:rPr>
          <w:rFonts w:ascii="Arial" w:cs="Arial" w:eastAsia="Arial" w:hAnsi="Arial"/>
          <w:sz w:val="20"/>
          <w:szCs w:val="20"/>
          <w:i w:val="1"/>
          <w:iCs w:val="1"/>
          <w:color w:val="auto"/>
        </w:rPr>
        <w:t>provided</w:t>
      </w:r>
      <w:r>
        <w:rPr>
          <w:rFonts w:ascii="Arial" w:cs="Arial" w:eastAsia="Arial" w:hAnsi="Arial"/>
          <w:sz w:val="20"/>
          <w:szCs w:val="20"/>
          <w:color w:val="auto"/>
        </w:rPr>
        <w:t>, that if the amount of any estimated taxes exceeds the amount of taxes actually required to be paid in cash, the aggregate amount of such excess shall constitute Net Proceeds at the time such taxes are actually paid.</w:t>
      </w:r>
    </w:p>
    <w:p>
      <w:pPr>
        <w:spacing w:after="0" w:line="170"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20"/>
          <w:szCs w:val="20"/>
          <w:color w:val="auto"/>
        </w:rPr>
        <w:t>For purposes of calculating the amount of Net Proceeds, fees, commissions and other costs and expenses payable to the Borrower or the Restricted Subsidiaries shall be disregarded.</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Non-Consenting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3.06(b)</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 Otherwise Applied</w:t>
      </w:r>
      <w:r>
        <w:rPr>
          <w:rFonts w:ascii="Arial" w:cs="Arial" w:eastAsia="Arial" w:hAnsi="Arial"/>
          <w:sz w:val="20"/>
          <w:szCs w:val="20"/>
          <w:color w:val="auto"/>
        </w:rPr>
        <w:t xml:space="preserve">” shall mean, with reference to any amount of net proceeds of any transaction or event, that such amount (a) was not required to be applied to prepay the Loans pursuant to </w:t>
      </w:r>
      <w:r>
        <w:rPr>
          <w:rFonts w:ascii="Arial" w:cs="Arial" w:eastAsia="Arial" w:hAnsi="Arial"/>
          <w:sz w:val="20"/>
          <w:szCs w:val="20"/>
          <w:u w:val="single" w:color="auto"/>
          <w:color w:val="auto"/>
        </w:rPr>
        <w:t>Section 2.13(a)</w:t>
      </w:r>
      <w:r>
        <w:rPr>
          <w:rFonts w:ascii="Arial" w:cs="Arial" w:eastAsia="Arial" w:hAnsi="Arial"/>
          <w:sz w:val="20"/>
          <w:szCs w:val="20"/>
          <w:color w:val="auto"/>
        </w:rPr>
        <w:t xml:space="preserve"> and (b) was not previously applied in determining the permissibility of a transaction under the Loan Documents where such permissibility was (or may have been) pursuant to </w:t>
      </w:r>
      <w:r>
        <w:rPr>
          <w:rFonts w:ascii="Arial" w:cs="Arial" w:eastAsia="Arial" w:hAnsi="Arial"/>
          <w:sz w:val="20"/>
          <w:szCs w:val="20"/>
          <w:u w:val="single" w:color="auto"/>
          <w:color w:val="auto"/>
        </w:rPr>
        <w:t>Section 7.02(p)(y)</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7.03(ee)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7.06(e)(y)</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7.13(a)(vi)</w:t>
      </w:r>
      <w:r>
        <w:rPr>
          <w:rFonts w:ascii="Arial" w:cs="Arial" w:eastAsia="Arial" w:hAnsi="Arial"/>
          <w:sz w:val="20"/>
          <w:szCs w:val="20"/>
          <w:color w:val="auto"/>
        </w:rPr>
        <w:t>.</w:t>
      </w:r>
    </w:p>
    <w:p>
      <w:pPr>
        <w:spacing w:after="0" w:line="161" w:lineRule="exact"/>
        <w:rPr>
          <w:sz w:val="20"/>
          <w:szCs w:val="20"/>
          <w:color w:val="auto"/>
        </w:rPr>
      </w:pPr>
    </w:p>
    <w:p>
      <w:pPr>
        <w:jc w:val="both"/>
        <w:ind w:firstLine="604"/>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shall mean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(or would accrue but for the operation of applicable Debtor Relief Laws), regardless of whether such interest and fees are allowed or allowable claims in such proceeding. Without limiting the generality of the foregoing, the Obligations of the Loan Parties under the Loan Documents include</w:t>
      </w:r>
    </w:p>
    <w:p>
      <w:pPr>
        <w:spacing w:after="0" w:line="3" w:lineRule="exact"/>
        <w:rPr>
          <w:sz w:val="20"/>
          <w:szCs w:val="20"/>
          <w:color w:val="auto"/>
        </w:rPr>
      </w:pPr>
    </w:p>
    <w:p>
      <w:pPr>
        <w:jc w:val="both"/>
        <w:ind w:firstLine="1"/>
        <w:spacing w:after="0" w:line="252" w:lineRule="auto"/>
        <w:tabs>
          <w:tab w:leader="none" w:pos="292"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obligation (including guarantee obligations) to pay principal, interest, reimbursement obligations, charges, expenses, fees, Attorney Costs, indemnities and other amounts payable by any Loan Party under any Loan Document and (b) the obligation of any Loan Party to reimburse any amount in respect of any of the foregoing that any Agent or Lender, in its sole discretion, may elect to pay or advance on behalf of such Loan Party.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shall have the meaning assigned to such term in the definition of “Blocked Person”.</w:t>
      </w:r>
    </w:p>
    <w:p>
      <w:pPr>
        <w:spacing w:after="0" w:line="210" w:lineRule="exact"/>
        <w:rPr>
          <w:sz w:val="20"/>
          <w:szCs w:val="20"/>
          <w:color w:val="auto"/>
        </w:rPr>
      </w:pPr>
    </w:p>
    <w:p>
      <w:pPr>
        <w:jc w:val="both"/>
        <w:ind w:firstLine="604"/>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Organization Documents</w:t>
      </w:r>
      <w:r>
        <w:rPr>
          <w:rFonts w:ascii="Arial" w:cs="Arial" w:eastAsia="Arial" w:hAnsi="Arial"/>
          <w:sz w:val="20"/>
          <w:szCs w:val="20"/>
          <w:color w:val="auto"/>
        </w:rPr>
        <w:t>”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Closing Date</w:t>
      </w:r>
      <w:r>
        <w:rPr>
          <w:rFonts w:ascii="Arial" w:cs="Arial" w:eastAsia="Arial" w:hAnsi="Arial"/>
          <w:sz w:val="20"/>
          <w:szCs w:val="20"/>
          <w:color w:val="auto"/>
        </w:rPr>
        <w:t>” shall mean February 13, 2014.</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Term Loan Maturity Date</w:t>
      </w:r>
      <w:r>
        <w:rPr>
          <w:rFonts w:ascii="Arial" w:cs="Arial" w:eastAsia="Arial" w:hAnsi="Arial"/>
          <w:sz w:val="20"/>
          <w:szCs w:val="20"/>
          <w:color w:val="auto"/>
        </w:rPr>
        <w:t>” shall have the meaning assigned to such term in the definition of “Maturity Date”.</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Applicable Indebtedness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2.13(a)(ii)</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Survey Documentation</w:t>
      </w:r>
      <w:r>
        <w:rPr>
          <w:rFonts w:ascii="Arial" w:cs="Arial" w:eastAsia="Arial" w:hAnsi="Arial"/>
          <w:sz w:val="19"/>
          <w:szCs w:val="19"/>
          <w:color w:val="auto"/>
        </w:rPr>
        <w:t>” shall have the meaning specified in the definition of “Collateral and Guarantee Requirement”.</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3.01(b)</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Term Loan Commitments</w:t>
      </w:r>
      <w:r>
        <w:rPr>
          <w:rFonts w:ascii="Arial" w:cs="Arial" w:eastAsia="Arial" w:hAnsi="Arial"/>
          <w:sz w:val="20"/>
          <w:szCs w:val="20"/>
          <w:color w:val="auto"/>
        </w:rPr>
        <w:t>” shall mean one or more Classes of term loan commitments hereunder that result from a Refinancing Amendment entered into after the Restatement Effective Date.</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Term Loans</w:t>
      </w:r>
      <w:r>
        <w:rPr>
          <w:rFonts w:ascii="Arial" w:cs="Arial" w:eastAsia="Arial" w:hAnsi="Arial"/>
          <w:sz w:val="20"/>
          <w:szCs w:val="20"/>
          <w:color w:val="auto"/>
        </w:rPr>
        <w:t>” shall mean one or more Classes of Term Loans that result from a Refinancing Amendment entered into after the Restatement Effective Date.</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 Register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10.04(f)</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PBGC</w:t>
      </w:r>
      <w:r>
        <w:rPr>
          <w:rFonts w:ascii="Arial" w:cs="Arial" w:eastAsia="Arial" w:hAnsi="Arial"/>
          <w:sz w:val="20"/>
          <w:szCs w:val="20"/>
          <w:color w:val="auto"/>
        </w:rPr>
        <w:t>” shall mean the Pension Benefit Guaranty Corporation referred to and defined in ERISA and any successor entity performing similar functions.</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Fund Entities</w:t>
      </w:r>
      <w:r>
        <w:rPr>
          <w:rFonts w:ascii="Arial" w:cs="Arial" w:eastAsia="Arial" w:hAnsi="Arial"/>
          <w:sz w:val="20"/>
          <w:szCs w:val="20"/>
          <w:color w:val="auto"/>
        </w:rPr>
        <w:t xml:space="preserve">” shall mean those entities identified on </w:t>
      </w:r>
      <w:r>
        <w:rPr>
          <w:rFonts w:ascii="Arial" w:cs="Arial" w:eastAsia="Arial" w:hAnsi="Arial"/>
          <w:sz w:val="20"/>
          <w:szCs w:val="20"/>
          <w:u w:val="single" w:color="auto"/>
          <w:color w:val="auto"/>
        </w:rPr>
        <w:t>Schedule 1.01(d)</w:t>
      </w:r>
      <w:r>
        <w:rPr>
          <w:rFonts w:ascii="Arial" w:cs="Arial" w:eastAsia="Arial" w:hAnsi="Arial"/>
          <w:sz w:val="20"/>
          <w:szCs w:val="20"/>
          <w:color w:val="auto"/>
        </w:rPr>
        <w:t xml:space="preserve"> hereto.</w:t>
      </w:r>
    </w:p>
    <w:p>
      <w:pPr>
        <w:spacing w:after="0" w:line="210" w:lineRule="exact"/>
        <w:rPr>
          <w:sz w:val="20"/>
          <w:szCs w:val="20"/>
          <w:color w:val="auto"/>
        </w:rPr>
      </w:pPr>
    </w:p>
    <w:p>
      <w:pPr>
        <w:jc w:val="both"/>
        <w:ind w:firstLine="60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Contribution Cap</w:t>
      </w:r>
      <w:r>
        <w:rPr>
          <w:rFonts w:ascii="Arial" w:cs="Arial" w:eastAsia="Arial" w:hAnsi="Arial"/>
          <w:sz w:val="18"/>
          <w:szCs w:val="18"/>
          <w:color w:val="auto"/>
        </w:rPr>
        <w:t>” means, as of any date of determination, (i) for any such date of determination occurring from and after the Restatement Effective Date and on or prior to the first anniversary of the Restatement Effective Date, $150,000,000, (ii) for any such date of determination occurring after the first anniversary of the Restatement Effective Date but on or prior to the second anniversary of the Restatement Effective Date, $153,000,000, (iii) for any such date of determination occurring after the second anniversary of the Restatement Effective Date but on or prior to the third anniversary of the Restatement Effective Date, $156,060,000, (iv) for any such date of determination occurring after the third anniversary of the Restatement Effective Date but on or prior to the fourth anniversary of the Restatement Effective Date, $159,181,200 and (v) for any such date of determination occurring thereafter, $162,364,824.</w:t>
      </w:r>
    </w:p>
    <w:p>
      <w:pPr>
        <w:sectPr>
          <w:pgSz w:w="11900" w:h="16838" w:orient="portrait"/>
          <w:cols w:equalWidth="0" w:num="1">
            <w:col w:w="11420"/>
          </w:cols>
          <w:pgMar w:left="240" w:top="131" w:right="239" w:bottom="30" w:gutter="0" w:footer="0" w:header="0"/>
        </w:sectPr>
      </w:pPr>
    </w:p>
    <w:bookmarkStart w:id="68" w:name="page69"/>
    <w:bookmarkEnd w:id="68"/>
    <w:p>
      <w:pPr>
        <w:spacing w:after="0" w:line="11" w:lineRule="exact"/>
        <w:rPr>
          <w:sz w:val="20"/>
          <w:szCs w:val="20"/>
          <w:color w:val="auto"/>
        </w:rPr>
      </w:pPr>
    </w:p>
    <w:p>
      <w:pPr>
        <w:jc w:val="both"/>
        <w:ind w:firstLine="604"/>
        <w:spacing w:after="0" w:line="34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Real Property</w:t>
      </w:r>
      <w:r>
        <w:rPr>
          <w:rFonts w:ascii="Arial" w:cs="Arial" w:eastAsia="Arial" w:hAnsi="Arial"/>
          <w:sz w:val="18"/>
          <w:szCs w:val="18"/>
          <w:color w:val="auto"/>
        </w:rPr>
        <w:t>” shall mean any Real Property for so long as such Real Property secures the obligations of the Borrower under the Contribution Deferral Agreement on a first lien basis on the Restatement Effective Date, as set forth on Schedule 1.01(a).</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Real Property Event</w:t>
      </w:r>
      <w:r>
        <w:rPr>
          <w:rFonts w:ascii="Arial" w:cs="Arial" w:eastAsia="Arial" w:hAnsi="Arial"/>
          <w:sz w:val="20"/>
          <w:szCs w:val="20"/>
          <w:color w:val="auto"/>
        </w:rPr>
        <w:t>” shall have the meaning assigned to such term in the definition of “Net Proceeds”.</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Perfection Certificate</w:t>
      </w:r>
      <w:r>
        <w:rPr>
          <w:rFonts w:ascii="Arial" w:cs="Arial" w:eastAsia="Arial" w:hAnsi="Arial"/>
          <w:sz w:val="20"/>
          <w:szCs w:val="20"/>
          <w:color w:val="auto"/>
        </w:rPr>
        <w:t>” shall mean a certificate substantially in the form of Exhibit II to the Security Agreement or any other form reasonably approved by the Collateral Agent and the Borrower, as the same shall be supplemented from time to time.</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Permits</w:t>
      </w:r>
      <w:r>
        <w:rPr>
          <w:rFonts w:ascii="Arial" w:cs="Arial" w:eastAsia="Arial" w:hAnsi="Arial"/>
          <w:sz w:val="20"/>
          <w:szCs w:val="20"/>
          <w:color w:val="auto"/>
        </w:rPr>
        <w:t>” shall mean all necessary certificates, licenses, permits, franchises, trade names, certificates of occupancy, consents and other approvals required under applicable Laws for the operation of any Real Property.</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Acquisition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7.02(h)</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Acquisition Provisions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Additional Debt</w:t>
      </w:r>
      <w:r>
        <w:rPr>
          <w:rFonts w:ascii="Arial" w:cs="Arial" w:eastAsia="Arial" w:hAnsi="Arial"/>
          <w:sz w:val="18"/>
          <w:szCs w:val="18"/>
          <w:color w:val="auto"/>
        </w:rPr>
        <w:t>” shall mean Indebtedness incurred by the Borrower or any Guarantor, which Indebtedness may be (x) in the form of one or more series of notes or in the form of bank loans and, in either case, secured by the Collateral on a junior basis to the Obligations (“</w:t>
      </w:r>
      <w:r>
        <w:rPr>
          <w:rFonts w:ascii="Arial" w:cs="Arial" w:eastAsia="Arial" w:hAnsi="Arial"/>
          <w:sz w:val="18"/>
          <w:szCs w:val="18"/>
          <w:b w:val="1"/>
          <w:bCs w:val="1"/>
          <w:color w:val="auto"/>
        </w:rPr>
        <w:t>Permitted Second Priority Additional Debt</w:t>
      </w:r>
      <w:r>
        <w:rPr>
          <w:rFonts w:ascii="Arial" w:cs="Arial" w:eastAsia="Arial" w:hAnsi="Arial"/>
          <w:sz w:val="18"/>
          <w:szCs w:val="18"/>
          <w:color w:val="auto"/>
        </w:rPr>
        <w:t xml:space="preserve">”) or (y) in the form of one or more series of notes or in the form of bank loans and unsecured;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not at any time guaranteed by any Subsidiaries other than Subsidiaries that are Guarantors, (ii) the other terms and conditions of such Indebtedness (excluding pricing, fees, rate floors and optional prepayment or redemption terms), if different from the Term Loans, are customary market terms for Indebtedness of such type but in no event shall such terms and conditions (taken as a whole) be materially more restrictive to the Borrower and its Subsidiaries than the terms and conditions hereof (</w:t>
      </w:r>
      <w:r>
        <w:rPr>
          <w:rFonts w:ascii="Arial" w:cs="Arial" w:eastAsia="Arial" w:hAnsi="Arial"/>
          <w:sz w:val="18"/>
          <w:szCs w:val="18"/>
          <w:i w:val="1"/>
          <w:iCs w:val="1"/>
          <w:color w:val="auto"/>
        </w:rPr>
        <w:t>provided</w:t>
      </w:r>
      <w:r>
        <w:rPr>
          <w:rFonts w:ascii="Arial" w:cs="Arial" w:eastAsia="Arial" w:hAnsi="Arial"/>
          <w:sz w:val="18"/>
          <w:szCs w:val="18"/>
          <w:color w:val="auto"/>
        </w:rPr>
        <w:t>, that the financial maintenance covenant on the then outstanding Term Loans shall be amended to provide the Lenders the benefit of any financial maintenance covenant of such Permitted Additional Debt that is in addition to or more restrictive in any material manner than the financial maintenance covenant on the then outstanding Term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certificate of a Responsible Officer delivered to the Administrative Agent at least five Business Days prior to the incurrence of such Indebtedness (or such shorter period as the Administrative Agent with the consent of the Required Lenders may agree in their sole discretion), together with a reasonably detailed description of the material terms and conditions of such Indebtedness or drafts of the documentation relating thereto, stating that the Borrower has determined in good faith that such terms and conditions satisfy the requirement of this clause (ii) shall be conclusive evidence that such terms and conditions satisfy such requirement unless the Administrative Agent or the Required Lenders notify the Borrower within such five Business Day period (or such shorter period as the Administrative Agent with the consent of the Required Lenders may agree in its sole discretion) that it disagrees with such determination (including a reasonable description of the basis upon which it disagrees)), (iii) [reserved], (iv) no Default shall exist immediately prior to or after giving effect to such incurrence subject, in the case of any such Indebtedness which is Alternative Incremental Indebtedness, to the Permitted Acquisition Provisions (if applicable) and (v) if such Indebtedness is Permitted Additional Debt that is secured, a Senior Representative acting on behalf of the holders of such Indebtedness shall have become party to or otherwise subject to the provisions of the Second Lien Intercreditor Agreement. Permitted Additional Debt will include any Registered Equivalent Notes issued in exchange therefor.</w:t>
      </w:r>
    </w:p>
    <w:p>
      <w:pPr>
        <w:spacing w:after="0" w:line="391" w:lineRule="exact"/>
        <w:rPr>
          <w:sz w:val="20"/>
          <w:szCs w:val="20"/>
          <w:color w:val="auto"/>
        </w:rPr>
      </w:pPr>
    </w:p>
    <w:p>
      <w:pPr>
        <w:jc w:val="both"/>
        <w:ind w:firstLine="60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w:t>
      </w:r>
      <w:r>
        <w:rPr>
          <w:rFonts w:ascii="Arial" w:cs="Arial" w:eastAsia="Arial" w:hAnsi="Arial"/>
          <w:sz w:val="18"/>
          <w:szCs w:val="18"/>
          <w:color w:val="auto"/>
        </w:rPr>
        <w:t xml:space="preserve">” shall mean, with respect to any Person, any modification, refinancing, refunding, renewal, replacement or extension of any Indebtedness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original aggregate principal amount (or accreted value, if applicable) does not exceed the aggregate principal amount (or accreted value, if applicable) of the Indebtedness so modified, refinanced, refunded, renewed, replaced or extended except (i) by an amount equal to accrued but unpaid interest, premiums and fees payable by the terms of such Indebtedness and reasonable fees, expenses, original issue discount and upfront fees incurred in connection with such modification, refinancing, refunding, renewal, replacement or extension and (ii) by an amount equal to any existing available commitments unutilized thereunder, (b) other than with respect to a Permitted Refinancing in respect of Indebtedness permitted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the Indebtedness resulting from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at the time thereof, no Event of Default shall have occurred and be continuing, (d) if such Indebtedness being modified, refinanced, refunded, renewed, replaced or extended is Indebtedness permitted pursuant to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7.03(p)</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7.03(q)</w:t>
      </w:r>
      <w:r>
        <w:rPr>
          <w:rFonts w:ascii="Arial" w:cs="Arial" w:eastAsia="Arial" w:hAnsi="Arial"/>
          <w:sz w:val="18"/>
          <w:szCs w:val="18"/>
          <w:color w:val="auto"/>
        </w:rPr>
        <w:t>, or is otherwise a Junior Financing, (i) to the extent such Indebtedness being modified, refinanced, refunded, renewed, replaced or extended is subordinated in right of payment or in lien priority to the Obligations, the Indebtedness resulting from such modification, refinancing, refunding, renewal, replacement or extension is subordinated in right of payment or in lien priority, as applicable, to the Obligations on terms (taken as a whole) (x) at least as favorable to the Lenders as those contained in the documentation governing the Indebtedness being modified, refinanced, refunded, renewed, replaced or extended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certificate of a Responsible Officer delivered to the Administrative Agent at least five Business Days prior to the incurrence of such Indebtedness (or such shorter period as the Administrative Agent with the consent of the Required Lenders may agree in its sole discretion),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it disagrees with such determination (including a reasonable description of the basis upon which it disagrees)) or (y) otherwise reasonably acceptable to the Required Lenders)), and (ii) the obligors (including any guarantors) in respect of the Indebtedness resulting from such modification, refinancing, refunding, renewal, replacement or extension shall not include any Person other than the obligors (including any guarantors) of the Indebtedness being modified, refinanced, refunded, renewed, replaced or extended unless otherwise permitted hereby, (e) in the case of any Permitted Refinancing in respect of the ABL Facility, such Permitted Refinancing is a revolving working capital facility and is secured only by all or any portion of the collateral securing the ABL Facility (but not by any other assets) pursuant to one or more security agreements subject, in the case of assets constituting (or required to constitute) Collateral, to the ABL Intercreditor Agreement, (f) in the case of any Credit Agreement Refinancing Indebtedness, the Permitted Refinancing shall constitute Credit Agreement Refinancing Indebtedness and (g) to the extent such Indebtedness being modified, refinanced, refunded, renewed, replaced or extended is unsecured, the Indebtedness resulting from such modification, refinancing,</w:t>
      </w:r>
    </w:p>
    <w:p>
      <w:pPr>
        <w:sectPr>
          <w:pgSz w:w="11900" w:h="16849" w:orient="portrait"/>
          <w:cols w:equalWidth="0" w:num="1">
            <w:col w:w="11420"/>
          </w:cols>
          <w:pgMar w:left="240" w:top="127" w:right="239" w:bottom="0" w:gutter="0" w:footer="0" w:header="0"/>
        </w:sectPr>
      </w:pPr>
    </w:p>
    <w:bookmarkStart w:id="69" w:name="page70"/>
    <w:bookmarkEnd w:id="69"/>
    <w:p>
      <w:pPr>
        <w:jc w:val="both"/>
        <w:spacing w:after="0" w:line="309" w:lineRule="auto"/>
        <w:rPr>
          <w:sz w:val="20"/>
          <w:szCs w:val="20"/>
          <w:color w:val="auto"/>
        </w:rPr>
      </w:pPr>
      <w:r>
        <w:rPr>
          <w:rFonts w:ascii="Arial" w:cs="Arial" w:eastAsia="Arial" w:hAnsi="Arial"/>
          <w:sz w:val="19"/>
          <w:szCs w:val="19"/>
          <w:color w:val="auto"/>
        </w:rPr>
        <w:t>refunding, renewal, replacement or extension must be unsecured. When used with respect to any specified Indebtedness, “</w:t>
      </w:r>
      <w:r>
        <w:rPr>
          <w:rFonts w:ascii="Arial" w:cs="Arial" w:eastAsia="Arial" w:hAnsi="Arial"/>
          <w:sz w:val="19"/>
          <w:szCs w:val="19"/>
          <w:b w:val="1"/>
          <w:bCs w:val="1"/>
          <w:color w:val="auto"/>
        </w:rPr>
        <w:t>Permitted</w:t>
      </w:r>
      <w:r>
        <w:rPr>
          <w:rFonts w:ascii="Arial" w:cs="Arial" w:eastAsia="Arial" w:hAnsi="Arial"/>
          <w:sz w:val="19"/>
          <w:szCs w:val="19"/>
          <w:color w:val="auto"/>
        </w:rPr>
        <w:t xml:space="preserve"> </w:t>
      </w:r>
      <w:r>
        <w:rPr>
          <w:rFonts w:ascii="Arial" w:cs="Arial" w:eastAsia="Arial" w:hAnsi="Arial"/>
          <w:sz w:val="19"/>
          <w:szCs w:val="19"/>
          <w:b w:val="1"/>
          <w:bCs w:val="1"/>
          <w:color w:val="auto"/>
        </w:rPr>
        <w:t>Refinancing</w:t>
      </w:r>
      <w:r>
        <w:rPr>
          <w:rFonts w:ascii="Arial" w:cs="Arial" w:eastAsia="Arial" w:hAnsi="Arial"/>
          <w:sz w:val="19"/>
          <w:szCs w:val="19"/>
          <w:color w:val="auto"/>
        </w:rPr>
        <w:t>” shall mean the Indebtedness incurred to effectuate a Permitted Refinancing of such specified Indebtedness.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Repricing Amendment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10.08(b)</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Second Priority Additional Debt</w:t>
      </w:r>
      <w:r>
        <w:rPr>
          <w:rFonts w:ascii="Arial" w:cs="Arial" w:eastAsia="Arial" w:hAnsi="Arial"/>
          <w:sz w:val="20"/>
          <w:szCs w:val="20"/>
          <w:color w:val="auto"/>
        </w:rPr>
        <w:t>” shall have the meaning assigned to such term in the definition of “Permitted Additional Debt”.</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mean any natural person, corporation, limited liability company, trust, joint venture, association, company, partnership, Governmental Authority or other entity.</w:t>
      </w:r>
    </w:p>
    <w:p>
      <w:pPr>
        <w:spacing w:after="0" w:line="139" w:lineRule="exact"/>
        <w:rPr>
          <w:sz w:val="20"/>
          <w:szCs w:val="20"/>
          <w:color w:val="auto"/>
        </w:rPr>
      </w:pPr>
    </w:p>
    <w:p>
      <w:pPr>
        <w:jc w:val="both"/>
        <w:ind w:firstLine="60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shall mean any employee pension benefit plan within the meaning of Section 3(2) of ERISA (other than a Multiemployer Plan) subject to the provisions of Title IV of ERISA or Sections 412 and 430 of the Code or Sections 302 and 303 of ERISA and in respect of which a Loan Party, any Restricted Subsidiary or any of their respective ERISA Affiliates is, or if such plan were terminated would under Section 4069 of ERISA be deemed to be, or within the six year period immediately preceding the date hereof was, a “contributing sponsor” as defined in Section 4001(a)(13) of ERISA or an “employer” as defined in Section 3(5) of ERISA.</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Platform</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Premium</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2.12(d)</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Prime Rate</w:t>
      </w:r>
      <w:r>
        <w:rPr>
          <w:rFonts w:ascii="Arial" w:cs="Arial" w:eastAsia="Arial" w:hAnsi="Arial"/>
          <w:sz w:val="20"/>
          <w:szCs w:val="20"/>
          <w:color w:val="auto"/>
        </w:rPr>
        <w:t>” shall mean, as of any day,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66"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Forma Basis</w:t>
      </w:r>
      <w:r>
        <w:rPr>
          <w:rFonts w:ascii="Arial" w:cs="Arial" w:eastAsia="Arial" w:hAnsi="Arial"/>
          <w:sz w:val="20"/>
          <w:szCs w:val="20"/>
          <w:color w:val="auto"/>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w:t>
      </w:r>
      <w:r>
        <w:rPr>
          <w:rFonts w:ascii="Arial" w:cs="Arial" w:eastAsia="Arial" w:hAnsi="Arial"/>
          <w:sz w:val="20"/>
          <w:szCs w:val="20"/>
          <w:color w:val="auto"/>
        </w:rPr>
        <w:t>.</w:t>
      </w:r>
    </w:p>
    <w:p>
      <w:pPr>
        <w:spacing w:after="0" w:line="157"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Rata Share</w:t>
      </w:r>
      <w:r>
        <w:rPr>
          <w:rFonts w:ascii="Arial" w:cs="Arial" w:eastAsia="Arial" w:hAnsi="Arial"/>
          <w:sz w:val="20"/>
          <w:szCs w:val="20"/>
          <w:color w:val="auto"/>
        </w:rPr>
        <w:t>” shall mean, with respect to each Lender at any time a fraction (expressed as a percentage, carried out to the ninth decimal place), the numerator of which is the amount of the Commitments (or, if Commitments have been terminated, the principal amount of the Loans) under the applicable Facility or Facilities of such Lender at such time and the denominator of which is the amount of the aggregate Commitments (or, if the Commitments have been terminated, the principal amount of the Loans) under the applicable Facility or Facilities at such time.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Projections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6.01(c)</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Equity Interests</w:t>
      </w:r>
      <w:r>
        <w:rPr>
          <w:rFonts w:ascii="Arial" w:cs="Arial" w:eastAsia="Arial" w:hAnsi="Arial"/>
          <w:sz w:val="20"/>
          <w:szCs w:val="20"/>
          <w:color w:val="auto"/>
        </w:rPr>
        <w:t>” shall mean any Equity Interests that are not Disqualified Equity Interests.</w:t>
      </w:r>
    </w:p>
    <w:p>
      <w:pPr>
        <w:spacing w:after="0" w:line="210" w:lineRule="exact"/>
        <w:rPr>
          <w:sz w:val="20"/>
          <w:szCs w:val="20"/>
          <w:color w:val="auto"/>
        </w:rPr>
      </w:pPr>
    </w:p>
    <w:p>
      <w:pPr>
        <w:jc w:val="both"/>
        <w:ind w:firstLine="604"/>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Securitization Financing</w:t>
      </w:r>
      <w:r>
        <w:rPr>
          <w:rFonts w:ascii="Arial" w:cs="Arial" w:eastAsia="Arial" w:hAnsi="Arial"/>
          <w:sz w:val="19"/>
          <w:szCs w:val="19"/>
          <w:color w:val="auto"/>
        </w:rPr>
        <w:t>” means any Securitization Facility of a Securitization Subsidiary that meets the following conditions: (i) the Borrower shall have determined in good faith that such Securitization Facility (including financing terms, covenants, termination events and other provisions) is in the aggregate economically fair and reasonable to the Borrower and its Restricted Subsidiaries party to the Securitization Facility; (ii) all sales of Securitization Assets and related assets by the Borrower or any Restricted Subsidiary to the Securitization Subsidiary or any other Person are made at fair market value (as determined in good faith by the Borrower); (iii) the financing terms, covenants, termination events and other provisions thereof shall be on market terms (as determined in good faith by the Borrower) and may include Standard Securitization Undertakings; and (iv) the obligations under such Securitization Facility are non-recourse (except for customary representations, warranties, covenants and indemnities made in connection with such facilities) to the Borrower or any of its Restricted Subsidiaries (other than a Securitization Subsidiary).</w:t>
      </w:r>
    </w:p>
    <w:p>
      <w:pPr>
        <w:spacing w:after="0" w:line="157" w:lineRule="exact"/>
        <w:rPr>
          <w:sz w:val="20"/>
          <w:szCs w:val="20"/>
          <w:color w:val="auto"/>
        </w:rPr>
      </w:pPr>
    </w:p>
    <w:p>
      <w:pPr>
        <w:jc w:val="both"/>
        <w:ind w:firstLine="604"/>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30" w:lineRule="exact"/>
        <w:rPr>
          <w:sz w:val="20"/>
          <w:szCs w:val="20"/>
          <w:color w:val="auto"/>
        </w:rPr>
      </w:pPr>
    </w:p>
    <w:p>
      <w:pPr>
        <w:jc w:val="both"/>
        <w:ind w:firstLine="604"/>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 Disposition Proceeds</w:t>
      </w:r>
      <w:r>
        <w:rPr>
          <w:rFonts w:ascii="Arial" w:cs="Arial" w:eastAsia="Arial" w:hAnsi="Arial"/>
          <w:sz w:val="18"/>
          <w:szCs w:val="18"/>
          <w:color w:val="auto"/>
        </w:rPr>
        <w:t xml:space="preserve">” shall mean any Net Proceeds realized from a Disposition of, or Sale and Leaseback Transaction with respect to, any Real Property, including, for the avoidance of doubt, any Pension Property (in each case, consummated on or after the Restatement Effective Date);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Dispositions of, or Sale and Leaseback Transactions with respect to, Real Property on which a trucking terminal is located and vacant/adjacent property located nearby, an initial amount of Net Proceeds not exceeding $40,000,000 for all such Dispositions and Sale and Leaseback Transactions in the aggregate for the term of this Agreement shall not constitute Real Property Disposition Proceeds, and all such Net Proceeds thereafter shall constitute Real Property Disposition Proceeds.</w:t>
      </w:r>
    </w:p>
    <w:p>
      <w:pPr>
        <w:spacing w:after="0" w:line="141" w:lineRule="exact"/>
        <w:rPr>
          <w:sz w:val="20"/>
          <w:szCs w:val="20"/>
          <w:color w:val="auto"/>
        </w:rPr>
      </w:pPr>
    </w:p>
    <w:p>
      <w:pPr>
        <w:jc w:val="both"/>
        <w:ind w:firstLine="60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Assets</w:t>
      </w:r>
      <w:r>
        <w:rPr>
          <w:rFonts w:ascii="Arial" w:cs="Arial" w:eastAsia="Arial" w:hAnsi="Arial"/>
          <w:sz w:val="18"/>
          <w:szCs w:val="18"/>
          <w:color w:val="auto"/>
        </w:rPr>
        <w:t>” shall mean (a) any accounts receivable owed to the Borrower or a Restricted Subsidiary subject to a Receivables Facility and the proceeds thereof and (b) all collateral securing such accounts receivable, all contracts and contract rights, in each case, of the type which would constitute ABL Priority Collateral (as defined in the ABL Intercreditor Agreement), guarantees or other obligations in respect of such accounts receivable, all records with respect to such accounts receivable and any other assets customarily transferred together with accounts receivable in connection with a non-recourse accounts receivable factoring arrangement, except for</w:t>
      </w:r>
    </w:p>
    <w:p>
      <w:pPr>
        <w:sectPr>
          <w:pgSz w:w="11900" w:h="16838" w:orient="portrait"/>
          <w:cols w:equalWidth="0" w:num="1">
            <w:col w:w="11420"/>
          </w:cols>
          <w:pgMar w:left="240" w:top="127" w:right="239" w:bottom="0" w:gutter="0" w:footer="0" w:header="0"/>
        </w:sectPr>
      </w:pPr>
    </w:p>
    <w:bookmarkStart w:id="70" w:name="page71"/>
    <w:bookmarkEnd w:id="70"/>
    <w:p>
      <w:pPr>
        <w:spacing w:after="0" w:line="2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Standard Securitization Undertakings, assigned or otherwise transferred or pledged by the Borrower in connection with a Receivables Facility.</w:t>
      </w:r>
    </w:p>
    <w:p>
      <w:pPr>
        <w:spacing w:after="0" w:line="143" w:lineRule="exact"/>
        <w:rPr>
          <w:sz w:val="20"/>
          <w:szCs w:val="20"/>
          <w:color w:val="auto"/>
        </w:rPr>
      </w:pPr>
    </w:p>
    <w:p>
      <w:pPr>
        <w:jc w:val="both"/>
        <w:ind w:firstLine="604"/>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Facility</w:t>
      </w:r>
      <w:r>
        <w:rPr>
          <w:rFonts w:ascii="Arial" w:cs="Arial" w:eastAsia="Arial" w:hAnsi="Arial"/>
          <w:sz w:val="18"/>
          <w:szCs w:val="18"/>
          <w:color w:val="auto"/>
        </w:rPr>
        <w:t>” shall mean an arrangement between the Borrower or a Restricted Subsidiary and another Person pursuant to which (a) the Borrower or such Restricted Subsidiary, as applicable, sells (directly or indirectly) in the ordinary course of business to such Person accounts receivable owing by customers, together with Receivables Assets related thereto, (b) the obligations of the Borrower or such Restricted Subsidiary, as applicable, thereunder are non-recourse (except for Securitization Purchase Obligations) to the Borrower and such Restricted Subsidiary and (c) the financing terms, covenants, termination events and other provisions thereof shall be on market terms (as determined in good faith by the Borrower) and may include Standard Securitization Undertakings.</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Debt</w:t>
      </w:r>
      <w:r>
        <w:rPr>
          <w:rFonts w:ascii="Arial" w:cs="Arial" w:eastAsia="Arial" w:hAnsi="Arial"/>
          <w:sz w:val="20"/>
          <w:szCs w:val="20"/>
          <w:color w:val="auto"/>
        </w:rPr>
        <w:t>” shall have the meaning specified in the definition of “Credit Agreement Refinancing Indebtedness”.</w:t>
      </w:r>
    </w:p>
    <w:p>
      <w:pPr>
        <w:spacing w:after="0" w:line="210"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Refinancing Amendment</w:t>
      </w:r>
      <w:r>
        <w:rPr>
          <w:rFonts w:ascii="Arial" w:cs="Arial" w:eastAsia="Arial" w:hAnsi="Arial"/>
          <w:sz w:val="20"/>
          <w:szCs w:val="20"/>
          <w:color w:val="auto"/>
        </w:rPr>
        <w:t xml:space="preserve">” shall mean an amendment to this Agreement executed by each of (a) the Borrower, (b) the Administrative Agent, (c) each Additional Lender that will make an Other Term Loan pursuant to such Refinancing Amendment and (d) each existing Lender that agrees to provide any portion of the Credit Agreement Refinancing Indebtedness being incurred pursuant thereto, in accordance with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61" w:lineRule="exact"/>
        <w:rPr>
          <w:sz w:val="20"/>
          <w:szCs w:val="20"/>
          <w:color w:val="auto"/>
        </w:rPr>
      </w:pPr>
    </w:p>
    <w:p>
      <w:pPr>
        <w:ind w:left="600" w:right="3700"/>
        <w:spacing w:after="0" w:line="5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Transaction</w:t>
      </w:r>
      <w:r>
        <w:rPr>
          <w:rFonts w:ascii="Arial" w:cs="Arial" w:eastAsia="Arial" w:hAnsi="Arial"/>
          <w:sz w:val="18"/>
          <w:szCs w:val="18"/>
          <w:color w:val="auto"/>
        </w:rPr>
        <w:t>” shall have the meaning assigned to such term in the recitals “</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10.04(d)</w:t>
      </w:r>
      <w:r>
        <w:rPr>
          <w:rFonts w:ascii="Arial" w:cs="Arial" w:eastAsia="Arial" w:hAnsi="Arial"/>
          <w:sz w:val="18"/>
          <w:szCs w:val="18"/>
          <w:color w:val="auto"/>
        </w:rPr>
        <w:t>.</w:t>
      </w:r>
    </w:p>
    <w:p>
      <w:pPr>
        <w:spacing w:after="0" w:line="1"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Equivalent Notes</w:t>
      </w:r>
      <w:r>
        <w:rPr>
          <w:rFonts w:ascii="Arial" w:cs="Arial" w:eastAsia="Arial" w:hAnsi="Arial"/>
          <w:sz w:val="20"/>
          <w:szCs w:val="20"/>
          <w:color w:val="auto"/>
        </w:rPr>
        <w:t>” shall mean,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5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 T</w:t>
      </w:r>
      <w:r>
        <w:rPr>
          <w:rFonts w:ascii="Arial" w:cs="Arial" w:eastAsia="Arial" w:hAnsi="Arial"/>
          <w:sz w:val="20"/>
          <w:szCs w:val="20"/>
          <w:color w:val="auto"/>
        </w:rPr>
        <w:t>” shall mean Regulation T of the Board as from time to time in effect and all official rulings and interpretations thereunder or thereof.</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 U</w:t>
      </w:r>
      <w:r>
        <w:rPr>
          <w:rFonts w:ascii="Arial" w:cs="Arial" w:eastAsia="Arial" w:hAnsi="Arial"/>
          <w:sz w:val="20"/>
          <w:szCs w:val="20"/>
          <w:color w:val="auto"/>
        </w:rPr>
        <w:t>” shall mean Regulation U of the Board as from time to time in effect and all official rulings and interpretations thereunder or thereof.</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Rejection Notice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Fund</w:t>
      </w:r>
      <w:r>
        <w:rPr>
          <w:rFonts w:ascii="Arial" w:cs="Arial" w:eastAsia="Arial" w:hAnsi="Arial"/>
          <w:sz w:val="20"/>
          <w:szCs w:val="20"/>
          <w:color w:val="auto"/>
        </w:rPr>
        <w:t>” shall mean, with respect to any Lender that is a fund or commingled investment vehicle that invests in loans, any other fund that invests in loans and is managed or advised by the same investment advisor/manager as such Lender or by an Affiliate of such investment advisor/manager.</w:t>
      </w:r>
    </w:p>
    <w:p>
      <w:pPr>
        <w:spacing w:after="0" w:line="15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Parties</w:t>
      </w:r>
      <w:r>
        <w:rPr>
          <w:rFonts w:ascii="Arial" w:cs="Arial" w:eastAsia="Arial" w:hAnsi="Arial"/>
          <w:sz w:val="20"/>
          <w:szCs w:val="20"/>
          <w:color w:val="auto"/>
        </w:rPr>
        <w:t>” shall mean, with respect to any specified Person, such Person’s Affiliates and the respective directors, trustees, officers, employees, agents and advisors of such Person and such Person’s Affiliates.</w:t>
      </w:r>
    </w:p>
    <w:p>
      <w:pPr>
        <w:spacing w:after="0" w:line="139" w:lineRule="exact"/>
        <w:rPr>
          <w:sz w:val="20"/>
          <w:szCs w:val="20"/>
          <w:color w:val="auto"/>
        </w:rPr>
      </w:pPr>
    </w:p>
    <w:p>
      <w:pPr>
        <w:jc w:val="both"/>
        <w:ind w:firstLine="604"/>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w:t>
      </w:r>
      <w:r>
        <w:rPr>
          <w:rFonts w:ascii="Arial" w:cs="Arial" w:eastAsia="Arial" w:hAnsi="Arial"/>
          <w:sz w:val="19"/>
          <w:szCs w:val="19"/>
          <w:color w:val="auto"/>
        </w:rPr>
        <w:t>” shall mean any release, spill, emission, leaking, dumping, injection, pouring, deposit, disposal, discharge, dispersal, leaching or migration into or through the environment or from, within or upon any vessel, vehicle, building, structure, facility or fixture.</w:t>
      </w:r>
    </w:p>
    <w:p>
      <w:pPr>
        <w:spacing w:after="0" w:line="11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Reportable Event</w:t>
      </w:r>
      <w:r>
        <w:rPr>
          <w:rFonts w:ascii="Arial" w:cs="Arial" w:eastAsia="Arial" w:hAnsi="Arial"/>
          <w:sz w:val="20"/>
          <w:szCs w:val="20"/>
          <w:color w:val="auto"/>
        </w:rPr>
        <w:t>” shall mean any of the events set forth in Section 4043(c) of ERISA or the regulations issued thereunder, other than events for which the thirty (30) day notice period has been waived with respect to a Plan.</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Request for Credit Extension</w:t>
      </w:r>
      <w:r>
        <w:rPr>
          <w:rFonts w:ascii="Arial" w:cs="Arial" w:eastAsia="Arial" w:hAnsi="Arial"/>
          <w:sz w:val="20"/>
          <w:szCs w:val="20"/>
          <w:color w:val="auto"/>
        </w:rPr>
        <w:t xml:space="preserve">” shall mean a request by the Borrower in accordance with the terms of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and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or such other form as shall be approved by the Administrative Agent.</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Class Lenders</w:t>
      </w:r>
      <w:r>
        <w:rPr>
          <w:rFonts w:ascii="Arial" w:cs="Arial" w:eastAsia="Arial" w:hAnsi="Arial"/>
          <w:sz w:val="20"/>
          <w:szCs w:val="20"/>
          <w:color w:val="auto"/>
        </w:rPr>
        <w:t>” shall mean, as of any date of determination, Lenders of a Class having more than 50% of the sum of the outstanding Loans and unused Commitments of the applicable Class.</w:t>
      </w:r>
    </w:p>
    <w:p>
      <w:pPr>
        <w:spacing w:after="0" w:line="139"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shall mean, at any time, Lenders having Loans and unused Term Loan Commitments representing more than 50% of the sum of all Loans outstanding and unused Term Loan Commitments at such time.</w:t>
      </w:r>
    </w:p>
    <w:p>
      <w:pPr>
        <w:spacing w:after="0" w:line="139"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Opinion State</w:t>
      </w:r>
      <w:r>
        <w:rPr>
          <w:rFonts w:ascii="Arial" w:cs="Arial" w:eastAsia="Arial" w:hAnsi="Arial"/>
          <w:sz w:val="20"/>
          <w:szCs w:val="20"/>
          <w:color w:val="auto"/>
        </w:rPr>
        <w:t>” shall mean each of the following states: Pennsylvania, California, Ohio, New York, Illinois, New Jersey, Texas, Michigan, Tennessee, North Carolina, Oregon, Georgia, Maryland, Indiana, Missouri, Wisconsin, South Carolina, Nevada, Minnesota and Utah.</w:t>
      </w:r>
    </w:p>
    <w:p>
      <w:pPr>
        <w:spacing w:after="0" w:line="157"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Responsible Officer</w:t>
      </w:r>
      <w:r>
        <w:rPr>
          <w:rFonts w:ascii="Arial" w:cs="Arial" w:eastAsia="Arial" w:hAnsi="Arial"/>
          <w:sz w:val="20"/>
          <w:szCs w:val="20"/>
          <w:color w:val="auto"/>
        </w:rPr>
        <w:t>” shall mean the chief executive officer, president, vice president, chief financial officer, treasurer, assistant treasurer, director of treasury or other similar officer of a Loan Party and, as to any document delivered on the Restatement Effective Date, any secretary or assistant secretary of such Loan Party. Any document delivered hereunder that is signed by a Responsible Officer of a Loan Party shall be conclusively presumed by the recipient of such document to have been authorized by all necessary corporate, partnership and/or other action on the part of such Loan Party and such Responsible Officer shall be conclusively presumed by the recipient of such document to have acted on behalf of such Loan Party.</w:t>
      </w:r>
    </w:p>
    <w:p>
      <w:pPr>
        <w:spacing w:after="0" w:line="164"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Restatement Effective Date</w:t>
      </w:r>
      <w:r>
        <w:rPr>
          <w:rFonts w:ascii="Arial" w:cs="Arial" w:eastAsia="Arial" w:hAnsi="Arial"/>
          <w:sz w:val="20"/>
          <w:szCs w:val="20"/>
          <w:color w:val="auto"/>
        </w:rPr>
        <w:t xml:space="preserve">” means the date on which the conditions specified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satisfied (or waived in accordance with Article 9), which date is September 11, 2019.</w:t>
      </w:r>
    </w:p>
    <w:p>
      <w:pPr>
        <w:spacing w:after="0" w:line="139" w:lineRule="exact"/>
        <w:rPr>
          <w:sz w:val="20"/>
          <w:szCs w:val="20"/>
          <w:color w:val="auto"/>
        </w:rPr>
      </w:pPr>
    </w:p>
    <w:p>
      <w:pPr>
        <w:jc w:val="both"/>
        <w:ind w:firstLine="604"/>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shall mean any dividend or other distribution (whether in cash, securities or other property) with respect to any Equity Interest of the Borrower or any Restricted Subsidiary, or any payment (whether in cash, securities or other property), including any sinking fund or similar deposit, on account of the purchase, redemption, retirement, defeasance, acquisition, cancellation or termination</w:t>
      </w:r>
    </w:p>
    <w:p>
      <w:pPr>
        <w:sectPr>
          <w:pgSz w:w="11900" w:h="16867" w:orient="portrait"/>
          <w:cols w:equalWidth="0" w:num="1">
            <w:col w:w="11420"/>
          </w:cols>
          <w:pgMar w:left="240" w:top="131" w:right="239" w:bottom="0" w:gutter="0" w:footer="0" w:header="0"/>
        </w:sectPr>
      </w:pPr>
    </w:p>
    <w:bookmarkStart w:id="71" w:name="page72"/>
    <w:bookmarkEnd w:id="71"/>
    <w:p>
      <w:pPr>
        <w:jc w:val="both"/>
        <w:spacing w:after="0" w:line="278" w:lineRule="auto"/>
        <w:rPr>
          <w:sz w:val="20"/>
          <w:szCs w:val="20"/>
          <w:color w:val="auto"/>
        </w:rPr>
      </w:pPr>
      <w:r>
        <w:rPr>
          <w:rFonts w:ascii="Arial" w:cs="Arial" w:eastAsia="Arial" w:hAnsi="Arial"/>
          <w:sz w:val="20"/>
          <w:szCs w:val="20"/>
          <w:color w:val="auto"/>
        </w:rPr>
        <w:t>of any such Equity Interest of the Borrower or any Restricted Subsidiary, or on account of any return of capital to the Borrower’s or a Restricted Subsidiary’s stockholders, partners or members (or the equivalent Persons thereof).</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Subsidiary</w:t>
      </w:r>
      <w:r>
        <w:rPr>
          <w:rFonts w:ascii="Arial" w:cs="Arial" w:eastAsia="Arial" w:hAnsi="Arial"/>
          <w:sz w:val="20"/>
          <w:szCs w:val="20"/>
          <w:color w:val="auto"/>
        </w:rPr>
        <w:t>” shall mean each Subsidiary of the Borrower.</w:t>
      </w:r>
    </w:p>
    <w:p>
      <w:pPr>
        <w:spacing w:after="0" w:line="210" w:lineRule="exact"/>
        <w:rPr>
          <w:sz w:val="20"/>
          <w:szCs w:val="20"/>
          <w:color w:val="auto"/>
        </w:rPr>
      </w:pPr>
    </w:p>
    <w:p>
      <w:pPr>
        <w:jc w:val="both"/>
        <w:ind w:right="20"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Retained Percentage</w:t>
      </w:r>
      <w:r>
        <w:rPr>
          <w:rFonts w:ascii="Arial" w:cs="Arial" w:eastAsia="Arial" w:hAnsi="Arial"/>
          <w:sz w:val="20"/>
          <w:szCs w:val="20"/>
          <w:color w:val="auto"/>
        </w:rPr>
        <w:t>” shall mean, with respect to any Excess Cash Flow Period (a) 100% minus (b) the Applicable ECF Percentage with respect to such Excess Cash Flow Period.</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S&amp;P</w:t>
      </w:r>
      <w:r>
        <w:rPr>
          <w:rFonts w:ascii="Arial" w:cs="Arial" w:eastAsia="Arial" w:hAnsi="Arial"/>
          <w:sz w:val="20"/>
          <w:szCs w:val="20"/>
          <w:color w:val="auto"/>
        </w:rPr>
        <w:t>” shall mean Standard &amp; Poor’s Ratings Service, or any successor thereto.</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and Leaseback Transaction</w:t>
      </w:r>
      <w:r>
        <w:rPr>
          <w:rFonts w:ascii="Arial" w:cs="Arial" w:eastAsia="Arial" w:hAnsi="Arial"/>
          <w:sz w:val="20"/>
          <w:szCs w:val="20"/>
          <w:color w:val="auto"/>
        </w:rPr>
        <w:t>” shall mean any arrangement, directly or indirectly, whereby a seller or transferor shall sell or otherwise transfer any real or personal property and then or thereafter lease, or repurchase under an extended purchase contract, conditional sales or other title retention agreement, the same property.</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shall mean the Securities and Exchange Commission or any Governmental Authority that is the successor thereto.</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Lien Intercreditor Agreement</w:t>
      </w:r>
      <w:r>
        <w:rPr>
          <w:rFonts w:ascii="Arial" w:cs="Arial" w:eastAsia="Arial" w:hAnsi="Arial"/>
          <w:sz w:val="20"/>
          <w:szCs w:val="20"/>
          <w:color w:val="auto"/>
        </w:rPr>
        <w:t>” shall mean a “junior lien” intercreditor agreement among the Collateral Agent and one or more Second Lien Representatives for holders of Permitted Second Priority Additional Debt, in form and substance reasonably satisfactory to the Required Lenders and the Borrower.</w:t>
      </w:r>
    </w:p>
    <w:p>
      <w:pPr>
        <w:spacing w:after="0" w:line="157"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Representative</w:t>
      </w:r>
      <w:r>
        <w:rPr>
          <w:rFonts w:ascii="Arial" w:cs="Arial" w:eastAsia="Arial" w:hAnsi="Arial"/>
          <w:sz w:val="19"/>
          <w:szCs w:val="19"/>
          <w:color w:val="auto"/>
        </w:rPr>
        <w:t>” shall mean, with respect to any series of Permitted Second Priority Additional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Parties</w:t>
      </w:r>
      <w:r>
        <w:rPr>
          <w:rFonts w:ascii="Arial" w:cs="Arial" w:eastAsia="Arial" w:hAnsi="Arial"/>
          <w:sz w:val="20"/>
          <w:szCs w:val="20"/>
          <w:color w:val="auto"/>
        </w:rPr>
        <w:t>” shall have the meaning assigned to such term in the Security Agreement.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w:t>
      </w:r>
      <w:r>
        <w:rPr>
          <w:rFonts w:ascii="Arial" w:cs="Arial" w:eastAsia="Arial" w:hAnsi="Arial"/>
          <w:sz w:val="20"/>
          <w:szCs w:val="20"/>
          <w:color w:val="auto"/>
        </w:rPr>
        <w:t>” as defined in the UCC.</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shall mean the Securities Act of 1933, as amended.</w:t>
      </w:r>
    </w:p>
    <w:p>
      <w:pPr>
        <w:spacing w:after="0" w:line="210"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Securitization Asset</w:t>
      </w:r>
      <w:r>
        <w:rPr>
          <w:rFonts w:ascii="Arial" w:cs="Arial" w:eastAsia="Arial" w:hAnsi="Arial"/>
          <w:sz w:val="19"/>
          <w:szCs w:val="19"/>
          <w:color w:val="auto"/>
        </w:rPr>
        <w:t>” shall mean (a) any accounts receivable or related assets and the collections and proceeds thereof, in each case subject to a Securitization Facility and (b) all collateral securing such receivable or asset, all contracts and contract rights in each case, of the type which would constitute ABL Priority Collateral (as defined in the ABL Intercreditor Agreement), guaranties or other obligations in respect of such receivable or asset, lockbox accounts, books and records with respect to such account or asset and any other assets customarily transferred (or in respect of which security interests are customarily granted) together with accounts or assets in a securitization financing and which in the case of clause (a) and (b) above are sold, conveyed, assigned or otherwise transferred or pledged by any Loan Party in connection with a Qualified Securitization Financing.</w:t>
      </w:r>
    </w:p>
    <w:p>
      <w:pPr>
        <w:spacing w:after="0" w:line="154" w:lineRule="exact"/>
        <w:rPr>
          <w:sz w:val="20"/>
          <w:szCs w:val="20"/>
          <w:color w:val="auto"/>
        </w:rPr>
      </w:pPr>
    </w:p>
    <w:p>
      <w:pPr>
        <w:jc w:val="both"/>
        <w:ind w:firstLine="604"/>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Facility</w:t>
      </w:r>
      <w:r>
        <w:rPr>
          <w:rFonts w:ascii="Arial" w:cs="Arial" w:eastAsia="Arial" w:hAnsi="Arial"/>
          <w:sz w:val="18"/>
          <w:szCs w:val="18"/>
          <w:color w:val="auto"/>
        </w:rPr>
        <w:t xml:space="preserve">” shall mean any transaction or series of securitization financings that may be entered into by the Borrower or any of its Restricted Subsidiaries pursuant to which the Borrower or any of its Restricted Subsidiaries may sell, convey or otherwise transfer, or may grant a security interest in, Securitization Assets to either (a) any Person that is not a Restricted Subsidiary or (b) any other Subsidiary of the Borrower (that in turn sells such Securitization Assets to a Securitization Subsidiary) or a Securitization Subsidiary that in turn sells such Securitization Assets to a Person that is not a Restricted Subsidiary, or may grant a security interest in, any Securitization Assets of the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is understood and agreed that the ABL Facility is deemed a Securitization Facility.</w:t>
      </w:r>
    </w:p>
    <w:p>
      <w:pPr>
        <w:spacing w:after="0" w:line="141"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Securitization Fees</w:t>
      </w:r>
      <w:r>
        <w:rPr>
          <w:rFonts w:ascii="Arial" w:cs="Arial" w:eastAsia="Arial" w:hAnsi="Arial"/>
          <w:sz w:val="20"/>
          <w:szCs w:val="20"/>
          <w:color w:val="auto"/>
        </w:rPr>
        <w:t>” shall mean distributions or payments made directly or by means of discounts with respect to any Securitization Asset or participation interest therein issued or sold in connection with, and other fees and expenses (including fees and expenses of legal counsel) paid to a Person that is not a Securitization Subsidiary in connection with, any Qualified Securitization Financing or a Receivables Facility.</w:t>
      </w:r>
    </w:p>
    <w:p>
      <w:pPr>
        <w:spacing w:after="0" w:line="161"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Securitization Purchase Obligation</w:t>
      </w:r>
      <w:r>
        <w:rPr>
          <w:rFonts w:ascii="Arial" w:cs="Arial" w:eastAsia="Arial" w:hAnsi="Arial"/>
          <w:sz w:val="20"/>
          <w:szCs w:val="20"/>
          <w:color w:val="auto"/>
        </w:rPr>
        <w:t>” shall mean any obligation of the Borrower or a Restricted Subsidiary in respect of Securitization Assets or Receivables Assets in a Qualified Securitization Financing or a Receivables Facility to purchase Securitization Assets arising as a result of a breach of a representation, warranty or covenant or otherwise, including, without limitation, as a result of a receivable or portion thereof becoming subject to any asserted defense, dispute, offset or counterclaim of any kind as a result of any action taken by, any failure to take action by or any other event relating to such party.</w:t>
      </w:r>
    </w:p>
    <w:p>
      <w:pPr>
        <w:spacing w:after="0" w:line="166"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Securitization Subsidiary</w:t>
      </w:r>
      <w:r>
        <w:rPr>
          <w:rFonts w:ascii="Arial" w:cs="Arial" w:eastAsia="Arial" w:hAnsi="Arial"/>
          <w:sz w:val="19"/>
          <w:szCs w:val="19"/>
          <w:color w:val="auto"/>
        </w:rPr>
        <w:t>” shall mean any Subsidiary of the Borrower in each case formed for the purpose of and that solely engages in one or more Qualified Securitization Financings and other activities reasonably related thereto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w:t>
      </w:r>
    </w:p>
    <w:p>
      <w:pPr>
        <w:spacing w:after="0" w:line="145" w:lineRule="exact"/>
        <w:rPr>
          <w:sz w:val="20"/>
          <w:szCs w:val="20"/>
          <w:color w:val="auto"/>
        </w:rPr>
      </w:pPr>
    </w:p>
    <w:p>
      <w:pPr>
        <w:jc w:val="both"/>
        <w:ind w:firstLine="60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Agreement</w:t>
      </w:r>
      <w:r>
        <w:rPr>
          <w:rFonts w:ascii="Arial" w:cs="Arial" w:eastAsia="Arial" w:hAnsi="Arial"/>
          <w:sz w:val="19"/>
          <w:szCs w:val="19"/>
          <w:color w:val="auto"/>
        </w:rPr>
        <w:t>” shall mean, except as the context may otherwise require, both (a) the Amended and Restated Security Agreement dated as of the Restatement Effective Date among the Borrower, the Guarantors party thereto and the Collateral Agent and (b) the Security and Collateral Agency Agreement, dated as of the date hereof, among the Collateral Agent, as collateral agent and term loan representative, the ABL Agent, as ABL representative, and the Borrower and the other Loan Parties party thereto, as each of the same may be further amended, restated, modified, supplemented, extended, renewed, restructured or replaced.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Agreement Supplement</w:t>
      </w:r>
      <w:r>
        <w:rPr>
          <w:rFonts w:ascii="Arial" w:cs="Arial" w:eastAsia="Arial" w:hAnsi="Arial"/>
          <w:sz w:val="20"/>
          <w:szCs w:val="20"/>
          <w:color w:val="auto"/>
        </w:rPr>
        <w:t>” shall have the meaning specified in the Security Agreement.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Financial Officer</w:t>
      </w:r>
      <w:r>
        <w:rPr>
          <w:rFonts w:ascii="Arial" w:cs="Arial" w:eastAsia="Arial" w:hAnsi="Arial"/>
          <w:sz w:val="20"/>
          <w:szCs w:val="20"/>
          <w:color w:val="auto"/>
        </w:rPr>
        <w:t>” of any Person shall mean the chief financial officer, principal accounting officer, treasurer, controller or other similar officer of such Person.</w:t>
      </w:r>
    </w:p>
    <w:p>
      <w:pPr>
        <w:sectPr>
          <w:pgSz w:w="11900" w:h="16838" w:orient="portrait"/>
          <w:cols w:equalWidth="0" w:num="1">
            <w:col w:w="11420"/>
          </w:cols>
          <w:pgMar w:left="240" w:top="131" w:right="239" w:bottom="0" w:gutter="0" w:footer="0" w:header="0"/>
        </w:sectPr>
      </w:pPr>
    </w:p>
    <w:bookmarkStart w:id="72" w:name="page73"/>
    <w:bookmarkEnd w:id="72"/>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Single-Employer Plans</w:t>
      </w:r>
      <w:r>
        <w:rPr>
          <w:rFonts w:ascii="Arial" w:cs="Arial" w:eastAsia="Arial" w:hAnsi="Arial"/>
          <w:sz w:val="20"/>
          <w:szCs w:val="20"/>
          <w:color w:val="auto"/>
        </w:rPr>
        <w:t>” shall mean the Roadway LLC Pension Plan, the Yellow Corporation Pension Plan and the YRC Retiree Pension Plan or any other Plans sponsored or maintained by the Borrower or any Restricted Subsidiary.</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Default</w:t>
      </w:r>
      <w:r>
        <w:rPr>
          <w:rFonts w:ascii="Arial" w:cs="Arial" w:eastAsia="Arial" w:hAnsi="Arial"/>
          <w:sz w:val="20"/>
          <w:szCs w:val="20"/>
          <w:color w:val="auto"/>
        </w:rPr>
        <w:t xml:space="preserve">” shall mean an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Pension Fund Obligations</w:t>
      </w:r>
      <w:r>
        <w:rPr>
          <w:rFonts w:ascii="Arial" w:cs="Arial" w:eastAsia="Arial" w:hAnsi="Arial"/>
          <w:sz w:val="20"/>
          <w:szCs w:val="20"/>
          <w:color w:val="auto"/>
        </w:rPr>
        <w:t>” shall mean the payment obligations due from the Borrower and/or its applicable Subsidiaries to the Pension Fund Entities under the terms and conditions of the Contribution Deferral Agreement.</w:t>
      </w:r>
    </w:p>
    <w:p>
      <w:pPr>
        <w:spacing w:after="0" w:line="139" w:lineRule="exact"/>
        <w:rPr>
          <w:sz w:val="20"/>
          <w:szCs w:val="20"/>
          <w:color w:val="auto"/>
        </w:rPr>
      </w:pPr>
    </w:p>
    <w:p>
      <w:pPr>
        <w:jc w:val="both"/>
        <w:ind w:firstLine="604"/>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any Investment that results in a Person becoming a Restricted Subsidiary, any Permitted Acquisition, any Disposition that results in a Restricted Subsidiary ceasing to be a Subsidiary of the Borrower, any Investment constituting an acquisition of assets constituting a business unit, line of business or division of another Person or any Disposition of a business unit, line of business or division of the Borrower or a Restricted Subsidiary, in each case consummated after the Restatement Effective Date and whether by merger, consolidation, amalgamation or otherwise, and any incurrence or repayment of Indebtedness or Restricted Payment, in each case, that by the terms of this Agreement requires a financial ratio or test to be calculated on a “Pro Forma Basis”.</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SPV</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10.04(i)</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Standard Securitization Undertakings</w:t>
      </w:r>
      <w:r>
        <w:rPr>
          <w:rFonts w:ascii="Arial" w:cs="Arial" w:eastAsia="Arial" w:hAnsi="Arial"/>
          <w:sz w:val="19"/>
          <w:szCs w:val="19"/>
          <w:color w:val="auto"/>
        </w:rPr>
        <w:t>” shall mean representations, warranties, covenants, guarantees and indemnities entered into by the Borrower or any Subsidiary of the Borrower which the Borrower has determined in good faith to be customary in a Securitization Facility, it being understood that any Securitization Purchase Obligation shall be deemed to be a Standard Securitization Undertaking or, in the case of a Receivables Facility, a non-credit related recourse accounts receivable factoring arrangement.</w:t>
      </w:r>
    </w:p>
    <w:p>
      <w:pPr>
        <w:spacing w:after="0" w:line="145" w:lineRule="exact"/>
        <w:rPr>
          <w:sz w:val="20"/>
          <w:szCs w:val="20"/>
          <w:color w:val="auto"/>
        </w:rPr>
      </w:pPr>
    </w:p>
    <w:p>
      <w:pPr>
        <w:jc w:val="both"/>
        <w:ind w:firstLine="60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Statutory Reserves</w:t>
      </w:r>
      <w:r>
        <w:rPr>
          <w:rFonts w:ascii="Arial" w:cs="Arial" w:eastAsia="Arial" w:hAnsi="Arial"/>
          <w:sz w:val="19"/>
          <w:szCs w:val="19"/>
          <w:color w:val="auto"/>
        </w:rPr>
        <w:t>”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and any other banking authority, domestic or foreign, to which the Administrative Agent or any Lender (including any branch, Affiliate or other fronting office making or holding a Loan) is subject for Eurocurrency Liabilities (as defined in Regulation D of the Board). Eurodollar Loans shall be deemed to constitute Eurocurrency Liabilities (as defined in Regulation D of the Board)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55"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Indebtedness</w:t>
      </w:r>
      <w:r>
        <w:rPr>
          <w:rFonts w:ascii="Arial" w:cs="Arial" w:eastAsia="Arial" w:hAnsi="Arial"/>
          <w:sz w:val="20"/>
          <w:szCs w:val="20"/>
          <w:color w:val="auto"/>
        </w:rPr>
        <w:t>” shall mean any Indebtedness that is, or is required to be, subordinated in right of payment to the Obligations.</w:t>
      </w:r>
    </w:p>
    <w:p>
      <w:pPr>
        <w:spacing w:after="0" w:line="139"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of a Person shall mean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(ii) the management of which is otherwise Controlled, directly or indirectly, through one or more intermediaries, or both, by such Person. Unless otherwise specified, all references herein to a “</w:t>
      </w:r>
      <w:r>
        <w:rPr>
          <w:rFonts w:ascii="Arial" w:cs="Arial" w:eastAsia="Arial" w:hAnsi="Arial"/>
          <w:sz w:val="20"/>
          <w:szCs w:val="20"/>
          <w:b w:val="1"/>
          <w:bCs w:val="1"/>
          <w:color w:val="auto"/>
        </w:rPr>
        <w:t>Subsidiary</w:t>
      </w:r>
      <w:r>
        <w:rPr>
          <w:rFonts w:ascii="Arial" w:cs="Arial" w:eastAsia="Arial" w:hAnsi="Arial"/>
          <w:sz w:val="20"/>
          <w:szCs w:val="20"/>
          <w:color w:val="auto"/>
        </w:rPr>
        <w:t>” or to “</w:t>
      </w:r>
      <w:r>
        <w:rPr>
          <w:rFonts w:ascii="Arial" w:cs="Arial" w:eastAsia="Arial" w:hAnsi="Arial"/>
          <w:sz w:val="20"/>
          <w:szCs w:val="20"/>
          <w:b w:val="1"/>
          <w:bCs w:val="1"/>
          <w:color w:val="auto"/>
        </w:rPr>
        <w:t>Subsidiaries</w:t>
      </w:r>
      <w:r>
        <w:rPr>
          <w:rFonts w:ascii="Arial" w:cs="Arial" w:eastAsia="Arial" w:hAnsi="Arial"/>
          <w:sz w:val="20"/>
          <w:szCs w:val="20"/>
          <w:color w:val="auto"/>
        </w:rPr>
        <w:t>” shall refer to a Subsidiary or Subsidiaries of the Borrower.</w:t>
      </w:r>
    </w:p>
    <w:p>
      <w:pPr>
        <w:spacing w:after="0" w:line="164" w:lineRule="exact"/>
        <w:rPr>
          <w:sz w:val="20"/>
          <w:szCs w:val="20"/>
          <w:color w:val="auto"/>
        </w:rPr>
      </w:pPr>
    </w:p>
    <w:p>
      <w:pPr>
        <w:jc w:val="both"/>
        <w:ind w:firstLine="604"/>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Succession Agreement</w:t>
      </w:r>
      <w:r>
        <w:rPr>
          <w:rFonts w:ascii="Arial" w:cs="Arial" w:eastAsia="Arial" w:hAnsi="Arial"/>
          <w:sz w:val="19"/>
          <w:szCs w:val="19"/>
          <w:color w:val="auto"/>
        </w:rPr>
        <w:t>” means that certain Successor Agent Agreement dated as of the Restatement Effective Date, among Cortland Products Corp., as successor agent, Credit Suisse AG, as retiring agent, the Borrower and the Tranche B-2 Term Lenders.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Successor Borrower</w:t>
      </w:r>
      <w:r>
        <w:rPr>
          <w:rFonts w:ascii="Arial" w:cs="Arial" w:eastAsia="Arial" w:hAnsi="Arial"/>
          <w:sz w:val="20"/>
          <w:szCs w:val="20"/>
          <w:color w:val="auto"/>
        </w:rPr>
        <w:t xml:space="preserve">” shall have the meaning specified in </w:t>
      </w:r>
      <w:r>
        <w:rPr>
          <w:rFonts w:ascii="Arial" w:cs="Arial" w:eastAsia="Arial" w:hAnsi="Arial"/>
          <w:sz w:val="20"/>
          <w:szCs w:val="20"/>
          <w:u w:val="single" w:color="auto"/>
          <w:color w:val="auto"/>
        </w:rPr>
        <w:t>Section 7.04(d)</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Survey</w:t>
      </w:r>
      <w:r>
        <w:rPr>
          <w:rFonts w:ascii="Arial" w:cs="Arial" w:eastAsia="Arial" w:hAnsi="Arial"/>
          <w:sz w:val="20"/>
          <w:szCs w:val="20"/>
          <w:color w:val="auto"/>
        </w:rPr>
        <w:t>” shall have the meaning assigned to such term in the definition of “Collateral and Guarantee Requirement”.</w:t>
      </w:r>
    </w:p>
    <w:p>
      <w:pPr>
        <w:spacing w:after="0" w:line="210" w:lineRule="exact"/>
        <w:rPr>
          <w:sz w:val="20"/>
          <w:szCs w:val="20"/>
          <w:color w:val="auto"/>
        </w:rPr>
      </w:pPr>
    </w:p>
    <w:p>
      <w:pPr>
        <w:jc w:val="both"/>
        <w:ind w:firstLine="60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Contract</w:t>
      </w:r>
      <w:r>
        <w:rPr>
          <w:rFonts w:ascii="Arial" w:cs="Arial" w:eastAsia="Arial" w:hAnsi="Arial"/>
          <w:sz w:val="19"/>
          <w:szCs w:val="19"/>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b w:val="1"/>
          <w:bCs w:val="1"/>
          <w:color w:val="auto"/>
        </w:rPr>
        <w:t>Master Agreement</w:t>
      </w:r>
      <w:r>
        <w:rPr>
          <w:rFonts w:ascii="Arial" w:cs="Arial" w:eastAsia="Arial" w:hAnsi="Arial"/>
          <w:sz w:val="19"/>
          <w:szCs w:val="19"/>
          <w:color w:val="auto"/>
        </w:rPr>
        <w:t>”), including any such obligations or liabilities under any Master Agreement.</w:t>
      </w:r>
    </w:p>
    <w:p>
      <w:pPr>
        <w:spacing w:after="0" w:line="162"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Termination Value</w:t>
      </w:r>
      <w:r>
        <w:rPr>
          <w:rFonts w:ascii="Arial" w:cs="Arial" w:eastAsia="Arial" w:hAnsi="Arial"/>
          <w:sz w:val="20"/>
          <w:szCs w:val="20"/>
          <w:color w:val="auto"/>
        </w:rPr>
        <w:t>” shall mean,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3.01(a)</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Borrowing</w:t>
      </w:r>
      <w:r>
        <w:rPr>
          <w:rFonts w:ascii="Arial" w:cs="Arial" w:eastAsia="Arial" w:hAnsi="Arial"/>
          <w:sz w:val="20"/>
          <w:szCs w:val="20"/>
          <w:color w:val="auto"/>
        </w:rPr>
        <w:t>” shall mean a Borrowing comprised of Term Loans.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Lender</w:t>
      </w:r>
      <w:r>
        <w:rPr>
          <w:rFonts w:ascii="Arial" w:cs="Arial" w:eastAsia="Arial" w:hAnsi="Arial"/>
          <w:sz w:val="20"/>
          <w:szCs w:val="20"/>
          <w:color w:val="auto"/>
        </w:rPr>
        <w:t>” shall mean a Lender with a Term Loan Commitment or an outstanding Term Loan.</w:t>
      </w:r>
    </w:p>
    <w:p>
      <w:pPr>
        <w:sectPr>
          <w:pgSz w:w="11900" w:h="16838" w:orient="portrait"/>
          <w:cols w:equalWidth="0" w:num="1">
            <w:col w:w="11420"/>
          </w:cols>
          <w:pgMar w:left="240" w:top="127" w:right="239" w:bottom="0" w:gutter="0" w:footer="0" w:header="0"/>
        </w:sectPr>
      </w:pPr>
    </w:p>
    <w:bookmarkStart w:id="73" w:name="page74"/>
    <w:bookmarkEnd w:id="73"/>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w:t>
      </w:r>
      <w:r>
        <w:rPr>
          <w:rFonts w:ascii="Arial" w:cs="Arial" w:eastAsia="Arial" w:hAnsi="Arial"/>
          <w:sz w:val="20"/>
          <w:szCs w:val="20"/>
          <w:color w:val="auto"/>
        </w:rPr>
        <w:t>” shall mean the Tranche B-2 Term Loan Commitment.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Loans</w:t>
      </w:r>
      <w:r>
        <w:rPr>
          <w:rFonts w:ascii="Arial" w:cs="Arial" w:eastAsia="Arial" w:hAnsi="Arial"/>
          <w:sz w:val="20"/>
          <w:szCs w:val="20"/>
          <w:color w:val="auto"/>
        </w:rPr>
        <w:t>” shall mean the Tranche B-2 Term Loans, Extended Term Loans and Other Term Loans.</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Note</w:t>
      </w:r>
      <w:r>
        <w:rPr>
          <w:rFonts w:ascii="Arial" w:cs="Arial" w:eastAsia="Arial" w:hAnsi="Arial"/>
          <w:sz w:val="20"/>
          <w:szCs w:val="20"/>
          <w:color w:val="auto"/>
        </w:rPr>
        <w:t xml:space="preserve">” shall mean a promissory note of the Borrower payable to any Term Lender or its registered assigns, in substantially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hereto, evidencing the aggregate Indebtedness of the Borrower to such Term Lender resulting from the Term Loans made by such Term Lender.</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Priority Collateral</w:t>
      </w:r>
      <w:r>
        <w:rPr>
          <w:rFonts w:ascii="Arial" w:cs="Arial" w:eastAsia="Arial" w:hAnsi="Arial"/>
          <w:sz w:val="20"/>
          <w:szCs w:val="20"/>
          <w:color w:val="auto"/>
        </w:rPr>
        <w:t>” shall have the meaning assigned to such term in the ABL Intercreditor Agreement.</w:t>
      </w:r>
    </w:p>
    <w:p>
      <w:pPr>
        <w:spacing w:after="0" w:line="210" w:lineRule="exact"/>
        <w:rPr>
          <w:sz w:val="20"/>
          <w:szCs w:val="20"/>
          <w:color w:val="auto"/>
        </w:rPr>
      </w:pPr>
    </w:p>
    <w:p>
      <w:pPr>
        <w:jc w:val="both"/>
        <w:ind w:firstLine="604"/>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xml:space="preserve">” shall mean, for any date of determination under this Agreement, the most recent period as of such date of four consecutive fiscal quarters of the Borrower for which financial statements have been delivered (or were required to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 as applicable, or, prior to the first such requirement, the four fiscal quarter period ended June 30, 2019.</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Threshold Amount</w:t>
      </w:r>
      <w:r>
        <w:rPr>
          <w:rFonts w:ascii="Arial" w:cs="Arial" w:eastAsia="Arial" w:hAnsi="Arial"/>
          <w:sz w:val="20"/>
          <w:szCs w:val="20"/>
          <w:color w:val="auto"/>
        </w:rPr>
        <w:t>” shall mean $30,000,000.</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Title Company</w:t>
      </w:r>
      <w:r>
        <w:rPr>
          <w:rFonts w:ascii="Arial" w:cs="Arial" w:eastAsia="Arial" w:hAnsi="Arial"/>
          <w:sz w:val="20"/>
          <w:szCs w:val="20"/>
          <w:color w:val="auto"/>
        </w:rPr>
        <w:t>” shall mean Chicago Title Insurance Company.</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Leverage Ratio</w:t>
      </w:r>
      <w:r>
        <w:rPr>
          <w:rFonts w:ascii="Arial" w:cs="Arial" w:eastAsia="Arial" w:hAnsi="Arial"/>
          <w:sz w:val="20"/>
          <w:szCs w:val="20"/>
          <w:color w:val="auto"/>
        </w:rPr>
        <w:t>” shall mean, as of any date, the ratio of (a) Consolidated Total Debt as of such date to (b) Consolidated EBITDA for the Test Period applicable as of such date.</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B-2 Term Lender</w:t>
      </w:r>
      <w:r>
        <w:rPr>
          <w:rFonts w:ascii="Arial" w:cs="Arial" w:eastAsia="Arial" w:hAnsi="Arial"/>
          <w:sz w:val="18"/>
          <w:szCs w:val="18"/>
          <w:color w:val="auto"/>
        </w:rPr>
        <w:t>” shall mean a Lender with a Tranche B-2 Term Loan Commitment or an outstanding Tranche B-2 Term</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Loan.</w:t>
      </w:r>
    </w:p>
    <w:p>
      <w:pPr>
        <w:spacing w:after="0" w:line="188" w:lineRule="exact"/>
        <w:rPr>
          <w:sz w:val="20"/>
          <w:szCs w:val="20"/>
          <w:color w:val="auto"/>
        </w:r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B-2 Term Loan Commitment</w:t>
      </w:r>
      <w:r>
        <w:rPr>
          <w:rFonts w:ascii="Arial" w:cs="Arial" w:eastAsia="Arial" w:hAnsi="Arial"/>
          <w:sz w:val="20"/>
          <w:szCs w:val="20"/>
          <w:color w:val="auto"/>
        </w:rPr>
        <w:t>” shall mean, with respect to each Lender, the commitment, if any, of such Lender to make a Tranche B-2 Term Loan hereunder, expressed as an amount representing the maximum principal amount of the Tranche B-2 Term Loan to be made by such Lender hereunder. The initial aggregate amount of the Tranche B-2 Term Loan Commitments as of the Restatement Effective Date is $600,000,000.</w:t>
      </w:r>
    </w:p>
    <w:p>
      <w:pPr>
        <w:spacing w:after="0" w:line="161"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B-2 Term Loans</w:t>
      </w:r>
      <w:r>
        <w:rPr>
          <w:rFonts w:ascii="Arial" w:cs="Arial" w:eastAsia="Arial" w:hAnsi="Arial"/>
          <w:sz w:val="20"/>
          <w:szCs w:val="20"/>
          <w:color w:val="auto"/>
        </w:rPr>
        <w:t xml:space="preserve">” shall mean the term loans made by the Lenders on the Restatement Effective Date to the Borrower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For the avoidance of doubt, a Term Loan shall no longer be a “Tranche B-2 Term Loan” when it shall have become an “Extended Term Loan”.</w:t>
      </w:r>
    </w:p>
    <w:p>
      <w:pPr>
        <w:sectPr>
          <w:pgSz w:w="11900" w:h="16838" w:orient="portrait"/>
          <w:cols w:equalWidth="0" w:num="1">
            <w:col w:w="11420"/>
          </w:cols>
          <w:pgMar w:left="240" w:top="127" w:right="239" w:bottom="0" w:gutter="0" w:footer="0" w:header="0"/>
        </w:sectPr>
      </w:pPr>
    </w:p>
    <w:p>
      <w:pPr>
        <w:spacing w:after="0" w:line="157" w:lineRule="exact"/>
        <w:rPr>
          <w:sz w:val="20"/>
          <w:szCs w:val="20"/>
          <w:color w:val="auto"/>
        </w:rPr>
      </w:pPr>
    </w:p>
    <w:p>
      <w:pPr>
        <w:jc w:val="both"/>
        <w:ind w:firstLine="604"/>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Expenses</w:t>
      </w:r>
      <w:r>
        <w:rPr>
          <w:rFonts w:ascii="Arial" w:cs="Arial" w:eastAsia="Arial" w:hAnsi="Arial"/>
          <w:sz w:val="18"/>
          <w:szCs w:val="18"/>
          <w:color w:val="auto"/>
        </w:rPr>
        <w:t>” shall mean any costs, fees or expenses incurred or connection with the Transactions, this Agreement and the other Loan Documents; attributable to clause (b) of the definition of Transactions shall not exceed $250,000.</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firstLine="23"/>
        <w:spacing w:after="0" w:line="305" w:lineRule="auto"/>
        <w:rPr>
          <w:sz w:val="20"/>
          <w:szCs w:val="20"/>
          <w:color w:val="auto"/>
        </w:rPr>
      </w:pPr>
      <w:r>
        <w:rPr>
          <w:rFonts w:ascii="Arial" w:cs="Arial" w:eastAsia="Arial" w:hAnsi="Arial"/>
          <w:sz w:val="19"/>
          <w:szCs w:val="19"/>
          <w:color w:val="auto"/>
        </w:rPr>
        <w:t xml:space="preserve">paid by the Borrower or any of its Subsidiaries in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amount of Transaction Expenses</w:t>
      </w:r>
    </w:p>
    <w:p>
      <w:pPr>
        <w:spacing w:after="0" w:line="359" w:lineRule="exact"/>
        <w:rPr>
          <w:sz w:val="20"/>
          <w:szCs w:val="20"/>
          <w:color w:val="auto"/>
        </w:rPr>
      </w:pPr>
    </w:p>
    <w:p>
      <w:pPr>
        <w:sectPr>
          <w:pgSz w:w="11900" w:h="16838" w:orient="portrait"/>
          <w:cols w:equalWidth="0" w:num="2">
            <w:col w:w="7060" w:space="60"/>
            <w:col w:w="4300"/>
          </w:cols>
          <w:pgMar w:left="240" w:top="127" w:right="239" w:bottom="0" w:gutter="0" w:footer="0" w:header="0"/>
          <w:type w:val="continuous"/>
        </w:sectPr>
      </w:pPr>
    </w:p>
    <w:p>
      <w:pPr>
        <w:jc w:val="both"/>
        <w:ind w:firstLine="60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Transactions</w:t>
      </w:r>
      <w:r>
        <w:rPr>
          <w:rFonts w:ascii="Arial" w:cs="Arial" w:eastAsia="Arial" w:hAnsi="Arial"/>
          <w:sz w:val="20"/>
          <w:szCs w:val="20"/>
          <w:color w:val="auto"/>
        </w:rPr>
        <w:t>” shall mean, collectively, (a) the execution and delivery by the Loan Parties of the Loan Documents to which they are a party and the making of the Borrowings hereunder on the Restatement Effective Date, (b) the execution and delivery by the Borrower and the Subsidiaries party thereto of an amendment to the ABL Facility Documentation in connection with the matters described in clause (a), (c) the Refinancing Transactions and (d) the payment of the Transaction Expenses.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Transferred Guarantor</w:t>
      </w:r>
      <w:r>
        <w:rPr>
          <w:rFonts w:ascii="Arial" w:cs="Arial" w:eastAsia="Arial" w:hAnsi="Arial"/>
          <w:sz w:val="20"/>
          <w:szCs w:val="20"/>
          <w:color w:val="auto"/>
        </w:rPr>
        <w:t xml:space="preserve">” shall have the meaning specified in the </w:t>
      </w:r>
      <w:r>
        <w:rPr>
          <w:rFonts w:ascii="Arial" w:cs="Arial" w:eastAsia="Arial" w:hAnsi="Arial"/>
          <w:sz w:val="20"/>
          <w:szCs w:val="20"/>
          <w:u w:val="single" w:color="auto"/>
          <w:color w:val="auto"/>
        </w:rPr>
        <w:t>Section 11.10</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Type</w:t>
      </w:r>
      <w:r>
        <w:rPr>
          <w:rFonts w:ascii="Arial" w:cs="Arial" w:eastAsia="Arial" w:hAnsi="Arial"/>
          <w:sz w:val="20"/>
          <w:szCs w:val="20"/>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20"/>
          <w:szCs w:val="20"/>
          <w:b w:val="1"/>
          <w:bCs w:val="1"/>
          <w:color w:val="auto"/>
        </w:rPr>
        <w:t>Rate</w:t>
      </w:r>
      <w:r>
        <w:rPr>
          <w:rFonts w:ascii="Arial" w:cs="Arial" w:eastAsia="Arial" w:hAnsi="Arial"/>
          <w:sz w:val="20"/>
          <w:szCs w:val="20"/>
          <w:color w:val="auto"/>
        </w:rPr>
        <w:t>” shall mean the Adjusted LIBO Rate and the Alternate Base Rate.</w:t>
      </w:r>
    </w:p>
    <w:p>
      <w:pPr>
        <w:spacing w:after="0" w:line="157" w:lineRule="exact"/>
        <w:rPr>
          <w:sz w:val="20"/>
          <w:szCs w:val="20"/>
          <w:color w:val="auto"/>
        </w:rPr>
      </w:pPr>
    </w:p>
    <w:p>
      <w:pPr>
        <w:jc w:val="both"/>
        <w:ind w:firstLine="604"/>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Unaudited Financial Statements</w:t>
      </w:r>
      <w:r>
        <w:rPr>
          <w:rFonts w:ascii="Arial" w:cs="Arial" w:eastAsia="Arial" w:hAnsi="Arial"/>
          <w:sz w:val="19"/>
          <w:szCs w:val="19"/>
          <w:color w:val="auto"/>
        </w:rPr>
        <w:t>” shall mean the unaudited consolidated balance sheets and related statements of operations and cash flows of the Borrower and its consolidated Subsidiaries as at the end of and for the fiscal quarter ended June 30, 2019.</w:t>
      </w:r>
    </w:p>
    <w:p>
      <w:pPr>
        <w:spacing w:after="0" w:line="117"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Uniform Commercial Code</w:t>
      </w:r>
      <w:r>
        <w:rPr>
          <w:rFonts w:ascii="Arial" w:cs="Arial" w:eastAsia="Arial" w:hAnsi="Arial"/>
          <w:sz w:val="20"/>
          <w:szCs w:val="20"/>
          <w:color w:val="auto"/>
        </w:rPr>
        <w:t>” or “</w:t>
      </w:r>
      <w:r>
        <w:rPr>
          <w:rFonts w:ascii="Arial" w:cs="Arial" w:eastAsia="Arial" w:hAnsi="Arial"/>
          <w:sz w:val="20"/>
          <w:szCs w:val="20"/>
          <w:b w:val="1"/>
          <w:bCs w:val="1"/>
          <w:color w:val="auto"/>
        </w:rPr>
        <w:t>UCC</w:t>
      </w:r>
      <w:r>
        <w:rPr>
          <w:rFonts w:ascii="Arial" w:cs="Arial" w:eastAsia="Arial" w:hAnsi="Arial"/>
          <w:sz w:val="20"/>
          <w:szCs w:val="20"/>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and “</w:t>
      </w:r>
      <w:r>
        <w:rPr>
          <w:rFonts w:ascii="Arial" w:cs="Arial" w:eastAsia="Arial" w:hAnsi="Arial"/>
          <w:sz w:val="20"/>
          <w:szCs w:val="20"/>
          <w:b w:val="1"/>
          <w:bCs w:val="1"/>
          <w:color w:val="auto"/>
        </w:rPr>
        <w:t>U.S.</w:t>
      </w:r>
      <w:r>
        <w:rPr>
          <w:rFonts w:ascii="Arial" w:cs="Arial" w:eastAsia="Arial" w:hAnsi="Arial"/>
          <w:sz w:val="20"/>
          <w:szCs w:val="20"/>
          <w:color w:val="auto"/>
        </w:rPr>
        <w:t>” mean the United States of America.</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 Tax Compliance Certificate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3.01(d)</w:t>
      </w:r>
      <w:r>
        <w:rPr>
          <w:rFonts w:ascii="Arial" w:cs="Arial" w:eastAsia="Arial" w:hAnsi="Arial"/>
          <w:sz w:val="20"/>
          <w:szCs w:val="20"/>
          <w:color w:val="auto"/>
        </w:rPr>
        <w:t>.</w:t>
      </w:r>
    </w:p>
    <w:p>
      <w:pPr>
        <w:spacing w:after="0" w:line="210"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USA PATRIOT Act</w:t>
      </w:r>
      <w:r>
        <w:rPr>
          <w:rFonts w:ascii="Arial" w:cs="Arial" w:eastAsia="Arial" w:hAnsi="Arial"/>
          <w:sz w:val="20"/>
          <w:szCs w:val="20"/>
          <w:color w:val="auto"/>
        </w:rPr>
        <w:t>” shall mean The Uniting and Strengthening America by Providing Appropriate Tools Required to Intercept and Obstruct Terrorism Act of 2001 (Title III of Pub. L. No. 107-56 (signed into law October 26, 2001)).</w:t>
      </w:r>
    </w:p>
    <w:p>
      <w:pPr>
        <w:spacing w:after="0" w:line="139"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xml:space="preserve">” 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determining the Weighted Average Life to Maturity of any Refinanced Debt or any Indebtedness that is being modified, refinanced, refunded, renewed, replaced, restructured or extended (the “</w:t>
      </w:r>
      <w:r>
        <w:rPr>
          <w:rFonts w:ascii="Arial" w:cs="Arial" w:eastAsia="Arial" w:hAnsi="Arial"/>
          <w:sz w:val="18"/>
          <w:szCs w:val="18"/>
          <w:b w:val="1"/>
          <w:bCs w:val="1"/>
          <w:color w:val="auto"/>
        </w:rPr>
        <w:t>Applicable Indebtedness</w:t>
      </w:r>
      <w:r>
        <w:rPr>
          <w:rFonts w:ascii="Arial" w:cs="Arial" w:eastAsia="Arial" w:hAnsi="Arial"/>
          <w:sz w:val="18"/>
          <w:szCs w:val="18"/>
          <w:color w:val="auto"/>
        </w:rPr>
        <w:t>”), the effects of any amortization of or prepayments made on such Applicable Indebtedness prior to the date of the applicable modification, refinancing, restructuring, refunding, renewal, replacement or extension shall be disregarded.</w:t>
      </w:r>
    </w:p>
    <w:p>
      <w:pPr>
        <w:sectPr>
          <w:pgSz w:w="11900" w:h="16838" w:orient="portrait"/>
          <w:cols w:equalWidth="0" w:num="1">
            <w:col w:w="11420"/>
          </w:cols>
          <w:pgMar w:left="240" w:top="127" w:right="239" w:bottom="0" w:gutter="0" w:footer="0" w:header="0"/>
          <w:type w:val="continuous"/>
        </w:sectPr>
      </w:pPr>
    </w:p>
    <w:bookmarkStart w:id="74" w:name="page75"/>
    <w:bookmarkEnd w:id="74"/>
    <w:p>
      <w:pPr>
        <w:spacing w:after="0" w:line="119"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wholly owned</w:t>
      </w:r>
      <w:r>
        <w:rPr>
          <w:rFonts w:ascii="Arial" w:cs="Arial" w:eastAsia="Arial" w:hAnsi="Arial"/>
          <w:sz w:val="20"/>
          <w:szCs w:val="20"/>
          <w:color w:val="auto"/>
        </w:rPr>
        <w:t>” shall mean,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5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Withdrawal Liability</w:t>
      </w:r>
      <w:r>
        <w:rPr>
          <w:rFonts w:ascii="Arial" w:cs="Arial" w:eastAsia="Arial" w:hAnsi="Arial"/>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43"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Other Interpretive Provisions.</w:t>
      </w:r>
      <w:r>
        <w:rPr>
          <w:rFonts w:ascii="Arial" w:cs="Arial" w:eastAsia="Arial" w:hAnsi="Arial"/>
          <w:sz w:val="20"/>
          <w:szCs w:val="20"/>
          <w:color w:val="auto"/>
        </w:rPr>
        <w:t xml:space="preserve"> With reference to this Agreement and each other Loan Document, unless otherwise specified herein or in such other Loan Document:</w:t>
      </w:r>
    </w:p>
    <w:p>
      <w:pPr>
        <w:spacing w:after="0" w:line="134" w:lineRule="exact"/>
        <w:rPr>
          <w:sz w:val="20"/>
          <w:szCs w:val="20"/>
          <w:color w:val="auto"/>
        </w:rPr>
      </w:pPr>
    </w:p>
    <w:p>
      <w:pPr>
        <w:ind w:left="1000" w:hanging="395"/>
        <w:spacing w:after="0"/>
        <w:tabs>
          <w:tab w:leader="none" w:pos="10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23" w:lineRule="exact"/>
        <w:rPr>
          <w:rFonts w:ascii="Arial" w:cs="Arial" w:eastAsia="Arial" w:hAnsi="Arial"/>
          <w:sz w:val="20"/>
          <w:szCs w:val="20"/>
          <w:color w:val="auto"/>
        </w:rPr>
      </w:pPr>
    </w:p>
    <w:p>
      <w:pPr>
        <w:ind w:firstLine="605"/>
        <w:spacing w:after="0" w:line="291" w:lineRule="auto"/>
        <w:tabs>
          <w:tab w:leader="none" w:pos="1019" w:val="left"/>
        </w:tabs>
        <w:numPr>
          <w:ilvl w:val="0"/>
          <w:numId w:val="60"/>
        </w:numPr>
        <w:rPr>
          <w:rFonts w:ascii="Arial" w:cs="Arial" w:eastAsia="Arial" w:hAnsi="Arial"/>
          <w:sz w:val="20"/>
          <w:szCs w:val="20"/>
          <w:color w:val="auto"/>
        </w:rPr>
      </w:pPr>
      <w:r>
        <w:rPr>
          <w:rFonts w:ascii="Arial" w:cs="Arial" w:eastAsia="Arial" w:hAnsi="Arial"/>
          <w:sz w:val="20"/>
          <w:szCs w:val="20"/>
          <w:color w:val="auto"/>
        </w:rPr>
        <w:t>(i) The words “herein,” “hereto,” “hereof” and “hereunder” and words of similar import when used in any Loan Document shall refer to such Loan Document as a whole and not to any particular provision thereof.</w:t>
      </w:r>
    </w:p>
    <w:p>
      <w:pPr>
        <w:spacing w:after="0" w:line="134" w:lineRule="exact"/>
        <w:rPr>
          <w:sz w:val="20"/>
          <w:szCs w:val="20"/>
          <w:color w:val="auto"/>
        </w:rPr>
      </w:pPr>
    </w:p>
    <w:p>
      <w:pPr>
        <w:ind w:left="960" w:hanging="355"/>
        <w:spacing w:after="0"/>
        <w:tabs>
          <w:tab w:leader="none" w:pos="9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Article, Section, Exhibit and Schedule references are to the Loan Document in which such reference appears.</w:t>
      </w:r>
    </w:p>
    <w:p>
      <w:pPr>
        <w:spacing w:after="0" w:line="223" w:lineRule="exact"/>
        <w:rPr>
          <w:rFonts w:ascii="Arial" w:cs="Arial" w:eastAsia="Arial" w:hAnsi="Arial"/>
          <w:sz w:val="20"/>
          <w:szCs w:val="20"/>
          <w:color w:val="auto"/>
        </w:rPr>
      </w:pPr>
    </w:p>
    <w:p>
      <w:pPr>
        <w:ind w:left="1020" w:hanging="415"/>
        <w:spacing w:after="0"/>
        <w:tabs>
          <w:tab w:leader="none" w:pos="10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term “including” is by way of example and not limitation.</w:t>
      </w:r>
    </w:p>
    <w:p>
      <w:pPr>
        <w:spacing w:after="0" w:line="223" w:lineRule="exact"/>
        <w:rPr>
          <w:sz w:val="20"/>
          <w:szCs w:val="20"/>
          <w:color w:val="auto"/>
        </w:rPr>
      </w:pPr>
    </w:p>
    <w:p>
      <w:pPr>
        <w:ind w:firstLine="605"/>
        <w:spacing w:after="0" w:line="291" w:lineRule="auto"/>
        <w:tabs>
          <w:tab w:leader="none" w:pos="118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34" w:lineRule="exact"/>
        <w:rPr>
          <w:rFonts w:ascii="Arial" w:cs="Arial" w:eastAsia="Arial" w:hAnsi="Arial"/>
          <w:sz w:val="20"/>
          <w:szCs w:val="20"/>
          <w:color w:val="auto"/>
        </w:rPr>
      </w:pPr>
    </w:p>
    <w:p>
      <w:pPr>
        <w:ind w:firstLine="605"/>
        <w:spacing w:after="0" w:line="291" w:lineRule="auto"/>
        <w:tabs>
          <w:tab w:leader="none" w:pos="1145"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34" w:lineRule="exact"/>
        <w:rPr>
          <w:rFonts w:ascii="Arial" w:cs="Arial" w:eastAsia="Arial" w:hAnsi="Arial"/>
          <w:sz w:val="20"/>
          <w:szCs w:val="20"/>
          <w:color w:val="auto"/>
        </w:rPr>
      </w:pPr>
    </w:p>
    <w:p>
      <w:pPr>
        <w:ind w:firstLine="605"/>
        <w:spacing w:after="0" w:line="291" w:lineRule="auto"/>
        <w:tabs>
          <w:tab w:leader="none" w:pos="995"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words “</w:t>
      </w:r>
      <w:r>
        <w:rPr>
          <w:rFonts w:ascii="Arial" w:cs="Arial" w:eastAsia="Arial" w:hAnsi="Arial"/>
          <w:sz w:val="20"/>
          <w:szCs w:val="20"/>
          <w:u w:val="single" w:color="auto"/>
          <w:color w:val="auto"/>
        </w:rPr>
        <w:t>asset</w:t>
      </w:r>
      <w:r>
        <w:rPr>
          <w:rFonts w:ascii="Arial" w:cs="Arial" w:eastAsia="Arial" w:hAnsi="Arial"/>
          <w:sz w:val="20"/>
          <w:szCs w:val="20"/>
          <w:color w:val="auto"/>
        </w:rPr>
        <w:t>” and “</w:t>
      </w:r>
      <w:r>
        <w:rPr>
          <w:rFonts w:ascii="Arial" w:cs="Arial" w:eastAsia="Arial" w:hAnsi="Arial"/>
          <w:sz w:val="20"/>
          <w:szCs w:val="20"/>
          <w:u w:val="single" w:color="auto"/>
          <w:color w:val="auto"/>
        </w:rPr>
        <w:t>property</w:t>
      </w:r>
      <w:r>
        <w:rPr>
          <w:rFonts w:ascii="Arial" w:cs="Arial" w:eastAsia="Arial" w:hAnsi="Arial"/>
          <w:sz w:val="20"/>
          <w:szCs w:val="20"/>
          <w:color w:val="auto"/>
        </w:rPr>
        <w:t>” shall be construed to have the same meaning and effect and to refer to any and all tangible and intangible assets and properties, including cash, securities, accounts and contract rights.</w:t>
      </w:r>
    </w:p>
    <w:p>
      <w:pPr>
        <w:spacing w:after="0" w:line="134" w:lineRule="exact"/>
        <w:rPr>
          <w:rFonts w:ascii="Arial" w:cs="Arial" w:eastAsia="Arial" w:hAnsi="Arial"/>
          <w:sz w:val="20"/>
          <w:szCs w:val="20"/>
          <w:color w:val="auto"/>
        </w:rPr>
      </w:pPr>
    </w:p>
    <w:p>
      <w:pPr>
        <w:ind w:firstLine="605"/>
        <w:spacing w:after="0" w:line="291" w:lineRule="auto"/>
        <w:tabs>
          <w:tab w:leader="none" w:pos="998" w:val="left"/>
        </w:tabs>
        <w:numPr>
          <w:ilvl w:val="0"/>
          <w:numId w:val="62"/>
        </w:numPr>
        <w:rPr>
          <w:rFonts w:ascii="Arial" w:cs="Arial" w:eastAsia="Arial" w:hAnsi="Arial"/>
          <w:sz w:val="20"/>
          <w:szCs w:val="20"/>
          <w:color w:val="auto"/>
        </w:rPr>
      </w:pPr>
      <w:r>
        <w:rPr>
          <w:rFonts w:ascii="Arial" w:cs="Arial" w:eastAsia="Arial" w:hAnsi="Arial"/>
          <w:sz w:val="20"/>
          <w:szCs w:val="20"/>
          <w:color w:val="auto"/>
        </w:rPr>
        <w:t>All references to “knowledge” or “awareness” of any Loan Party or a Restricted Subsidiary thereof means the actual knowledge of a Responsible Officer of a Loan Party or such Restricted Subsidiary.</w:t>
      </w:r>
    </w:p>
    <w:p>
      <w:pPr>
        <w:spacing w:after="0" w:line="134" w:lineRule="exact"/>
        <w:rPr>
          <w:rFonts w:ascii="Arial" w:cs="Arial" w:eastAsia="Arial" w:hAnsi="Arial"/>
          <w:sz w:val="20"/>
          <w:szCs w:val="20"/>
          <w:color w:val="auto"/>
        </w:rPr>
      </w:pPr>
    </w:p>
    <w:p>
      <w:pPr>
        <w:ind w:firstLine="605"/>
        <w:spacing w:after="0" w:line="291" w:lineRule="auto"/>
        <w:tabs>
          <w:tab w:leader="none" w:pos="1007" w:val="left"/>
        </w:tabs>
        <w:numPr>
          <w:ilvl w:val="0"/>
          <w:numId w:val="62"/>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34" w:lineRule="exact"/>
        <w:rPr>
          <w:rFonts w:ascii="Arial" w:cs="Arial" w:eastAsia="Arial" w:hAnsi="Arial"/>
          <w:sz w:val="20"/>
          <w:szCs w:val="20"/>
          <w:color w:val="auto"/>
        </w:rPr>
      </w:pPr>
    </w:p>
    <w:p>
      <w:pPr>
        <w:ind w:left="1000" w:hanging="395"/>
        <w:spacing w:after="0"/>
        <w:tabs>
          <w:tab w:leader="none" w:pos="10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word “or” is not exclusive.</w:t>
      </w:r>
    </w:p>
    <w:p>
      <w:pPr>
        <w:spacing w:after="0" w:line="223" w:lineRule="exact"/>
        <w:rPr>
          <w:rFonts w:ascii="Arial" w:cs="Arial" w:eastAsia="Arial" w:hAnsi="Arial"/>
          <w:sz w:val="20"/>
          <w:szCs w:val="20"/>
          <w:color w:val="auto"/>
        </w:rPr>
      </w:pPr>
    </w:p>
    <w:p>
      <w:pPr>
        <w:jc w:val="both"/>
        <w:ind w:firstLine="605"/>
        <w:spacing w:after="0" w:line="284"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with any one of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w:t>
      </w:r>
      <w:r>
        <w:rPr>
          <w:rFonts w:ascii="Arial" w:cs="Arial" w:eastAsia="Arial" w:hAnsi="Arial"/>
          <w:sz w:val="18"/>
          <w:szCs w:val="18"/>
          <w:u w:val="single" w:color="auto"/>
          <w:color w:val="auto"/>
        </w:rPr>
        <w:t>7.08</w:t>
      </w:r>
      <w:r>
        <w:rPr>
          <w:rFonts w:ascii="Arial" w:cs="Arial" w:eastAsia="Arial" w:hAnsi="Arial"/>
          <w:sz w:val="18"/>
          <w:szCs w:val="18"/>
          <w:color w:val="auto"/>
        </w:rPr>
        <w:t xml:space="preserve">,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7.13</w:t>
      </w:r>
      <w:r>
        <w:rPr>
          <w:rFonts w:ascii="Arial" w:cs="Arial" w:eastAsia="Arial" w:hAnsi="Arial"/>
          <w:sz w:val="18"/>
          <w:szCs w:val="18"/>
          <w:color w:val="auto"/>
        </w:rPr>
        <w:t xml:space="preserve">, in the event that any Lien, Investment, Indebtedness, Disposition, Restricted Payment, affiliate transaction, Contractual Obligation or prepayment of Indebtedness meets the criteria of more than one of the categories of transactions permitted pursuant to any clause of such Section, such transaction (or portion thereof) at any time shall be permitted under one or more of such clauses as determined by the Borrower (and the Borrower shall be entitled to redesignate use of any such clauses from time to time) in its sole discretion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permitted to subsequently reclassify any Lien, Investment, Indebtedness, Disposition, Restricted Payment, affiliate transaction, Contractual Obligation or prepayment of Indebtedness as having been incurred under a Non-Fixed Basket if such Lien, Investment, Indebtedness, Disposition, Restricted Payment, affiliate transaction, Contractual Obligation or prepayment of Indebtedness was originally incurred under a Fixed Basket or any other Basket that is not a Non-Fixed Basket. For all purposes hereunder, (x) “</w:t>
      </w:r>
      <w:r>
        <w:rPr>
          <w:rFonts w:ascii="Arial" w:cs="Arial" w:eastAsia="Arial" w:hAnsi="Arial"/>
          <w:sz w:val="18"/>
          <w:szCs w:val="18"/>
          <w:b w:val="1"/>
          <w:bCs w:val="1"/>
          <w:color w:val="auto"/>
        </w:rPr>
        <w:t>Fixed Basket</w:t>
      </w:r>
      <w:r>
        <w:rPr>
          <w:rFonts w:ascii="Arial" w:cs="Arial" w:eastAsia="Arial" w:hAnsi="Arial"/>
          <w:sz w:val="18"/>
          <w:szCs w:val="18"/>
          <w:color w:val="auto"/>
        </w:rPr>
        <w:t>” shall mean any Basket that is subject to a fixed-dollar limit and (y) “</w:t>
      </w:r>
      <w:r>
        <w:rPr>
          <w:rFonts w:ascii="Arial" w:cs="Arial" w:eastAsia="Arial" w:hAnsi="Arial"/>
          <w:sz w:val="18"/>
          <w:szCs w:val="18"/>
          <w:b w:val="1"/>
          <w:bCs w:val="1"/>
          <w:color w:val="auto"/>
        </w:rPr>
        <w:t>Non-Fixed Basket</w:t>
      </w:r>
      <w:r>
        <w:rPr>
          <w:rFonts w:ascii="Arial" w:cs="Arial" w:eastAsia="Arial" w:hAnsi="Arial"/>
          <w:sz w:val="18"/>
          <w:szCs w:val="18"/>
          <w:color w:val="auto"/>
        </w:rPr>
        <w:t>” shall mean any Basket that is subject to compliance with a financial ratio or test (including Total Net Leverage Ratio) or based on a percentage of Consolidated EBITDA or total assets.</w:t>
      </w:r>
    </w:p>
    <w:p>
      <w:pPr>
        <w:spacing w:after="0" w:line="149" w:lineRule="exact"/>
        <w:rPr>
          <w:rFonts w:ascii="Arial" w:cs="Arial" w:eastAsia="Arial" w:hAnsi="Arial"/>
          <w:sz w:val="18"/>
          <w:szCs w:val="18"/>
          <w:color w:val="auto"/>
        </w:rPr>
      </w:pPr>
    </w:p>
    <w:p>
      <w:pPr>
        <w:ind w:left="960" w:hanging="355"/>
        <w:spacing w:after="0"/>
        <w:tabs>
          <w:tab w:leader="none" w:pos="9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usage of the term “written” includes electronic messages, including e-mail.</w:t>
      </w:r>
    </w:p>
    <w:p>
      <w:pPr>
        <w:spacing w:after="0" w:line="223" w:lineRule="exact"/>
        <w:rPr>
          <w:rFonts w:ascii="Arial" w:cs="Arial" w:eastAsia="Arial" w:hAnsi="Arial"/>
          <w:sz w:val="20"/>
          <w:szCs w:val="20"/>
          <w:color w:val="auto"/>
        </w:rPr>
      </w:pPr>
    </w:p>
    <w:p>
      <w:pPr>
        <w:ind w:right="40" w:firstLine="605"/>
        <w:spacing w:after="0" w:line="276" w:lineRule="auto"/>
        <w:tabs>
          <w:tab w:leader="none" w:pos="1007"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reference herein or in any other Loan Document to (i) a transfer, assignment, sale, disposition or transfer, or similar term, shall be deemed to apply to a division of or by a limited liability company, or an allocation of assets to a series of a limited liability company, as if it were a transfer, assignment, sale or transfer, or similar term, as applicable, to a separate Person, and (ii) a merger, consolidation, amalgamation or consolidation, or similar term, shall be deemed to apply to the unwinding of such a division or allocation, as if it were a merger, consolidation, amalgamation or consolidation or similar term, as applicable, with a separate Person.</w:t>
      </w:r>
    </w:p>
    <w:p>
      <w:pPr>
        <w:spacing w:after="0" w:line="153"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i w:val="1"/>
          <w:iCs w:val="1"/>
          <w:color w:val="auto"/>
        </w:rPr>
        <w:t>Certifications.</w:t>
      </w:r>
      <w:r>
        <w:rPr>
          <w:rFonts w:ascii="Arial" w:cs="Arial" w:eastAsia="Arial" w:hAnsi="Arial"/>
          <w:sz w:val="20"/>
          <w:szCs w:val="20"/>
          <w:color w:val="auto"/>
        </w:rPr>
        <w:t xml:space="preserve"> All certifications to be made hereunder by an officer or representative of a Loan Party shall be made by such a Person in his or her capacity solely as an officer or representative of such Loan Party, on such Loan Party’s behalf and not in such Person’s individual capacity.</w:t>
      </w:r>
    </w:p>
    <w:p>
      <w:pPr>
        <w:spacing w:after="0" w:line="155"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i w:val="1"/>
          <w:iCs w:val="1"/>
          <w:color w:val="auto"/>
        </w:rPr>
        <w:t>Accounting Terms.</w:t>
      </w:r>
      <w:r>
        <w:rPr>
          <w:rFonts w:ascii="Arial" w:cs="Arial" w:eastAsia="Arial" w:hAnsi="Arial"/>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or therein.</w:t>
      </w:r>
    </w:p>
    <w:p>
      <w:pPr>
        <w:spacing w:after="0" w:line="155" w:lineRule="exact"/>
        <w:rPr>
          <w:sz w:val="20"/>
          <w:szCs w:val="20"/>
          <w:color w:val="auto"/>
        </w:rPr>
      </w:pPr>
    </w:p>
    <w:p>
      <w:pPr>
        <w:jc w:val="both"/>
        <w:ind w:firstLine="604"/>
        <w:spacing w:after="0" w:line="281"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i w:val="1"/>
          <w:iCs w:val="1"/>
          <w:color w:val="auto"/>
        </w:rPr>
        <w:t>Rounding.</w:t>
      </w:r>
      <w:r>
        <w:rPr>
          <w:rFonts w:ascii="Arial" w:cs="Arial" w:eastAsia="Arial" w:hAnsi="Arial"/>
          <w:sz w:val="19"/>
          <w:szCs w:val="19"/>
          <w:color w:val="auto"/>
        </w:rPr>
        <w:t xml:space="preserve">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7" w:lineRule="exact"/>
        <w:rPr>
          <w:sz w:val="20"/>
          <w:szCs w:val="20"/>
          <w:color w:val="auto"/>
        </w:rPr>
      </w:pPr>
    </w:p>
    <w:p>
      <w:pPr>
        <w:jc w:val="both"/>
        <w:ind w:firstLine="604"/>
        <w:spacing w:after="0" w:line="319"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References to Agreements, Laws, Etc.</w:t>
      </w:r>
      <w:r>
        <w:rPr>
          <w:rFonts w:ascii="Arial" w:cs="Arial" w:eastAsia="Arial" w:hAnsi="Arial"/>
          <w:sz w:val="19"/>
          <w:szCs w:val="19"/>
          <w:color w:val="auto"/>
        </w:rPr>
        <w:t xml:space="preserve"> Unless otherwise expressly provided herein, (a) references to Organization Documents, agreements (including the Loan Documents) and other contractual instruments shall be deemed to include all subsequent</w:t>
      </w:r>
    </w:p>
    <w:p>
      <w:pPr>
        <w:sectPr>
          <w:pgSz w:w="11900" w:h="16957" w:orient="portrait"/>
          <w:cols w:equalWidth="0" w:num="1">
            <w:col w:w="11420"/>
          </w:cols>
          <w:pgMar w:left="240" w:top="177" w:right="239" w:bottom="0" w:gutter="0" w:footer="0" w:header="0"/>
        </w:sectPr>
      </w:pPr>
    </w:p>
    <w:bookmarkStart w:id="75" w:name="page76"/>
    <w:bookmarkEnd w:id="75"/>
    <w:p>
      <w:pPr>
        <w:spacing w:after="0" w:line="3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amendments, restatements, extensions, supplements, replacements, extensions, renewals, refinancings, restructurings and other modifications thereto, but only to the extent that such amendments, restatements, extensions, supplements, replacements, extensions, renewals, refinancings, restructurings and other modifications are not prohibited by hereby; and (b) references to any Law shall include all statutory and regulatory provisions consolidating, amending, replacing, supplementing or interpreting such Law.</w:t>
      </w:r>
    </w:p>
    <w:p>
      <w:pPr>
        <w:spacing w:after="0" w:line="153"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20"/>
          <w:szCs w:val="20"/>
          <w:i w:val="1"/>
          <w:iCs w:val="1"/>
          <w:color w:val="auto"/>
        </w:rPr>
        <w:t>Times of Day.</w:t>
      </w:r>
      <w:r>
        <w:rPr>
          <w:rFonts w:ascii="Arial" w:cs="Arial" w:eastAsia="Arial" w:hAnsi="Arial"/>
          <w:sz w:val="20"/>
          <w:szCs w:val="20"/>
          <w:color w:val="auto"/>
        </w:rPr>
        <w:t xml:space="preserve"> Unless otherwise specified, all references herein to times of day shall be references to Eastern time (daylight or standard, as applicable).</w:t>
      </w:r>
    </w:p>
    <w:p>
      <w:pPr>
        <w:spacing w:after="0" w:line="134"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1.08. </w:t>
      </w:r>
      <w:r>
        <w:rPr>
          <w:rFonts w:ascii="Arial" w:cs="Arial" w:eastAsia="Arial" w:hAnsi="Arial"/>
          <w:sz w:val="20"/>
          <w:szCs w:val="20"/>
          <w:i w:val="1"/>
          <w:iCs w:val="1"/>
          <w:color w:val="auto"/>
        </w:rPr>
        <w:t>Timing of Payment or Performance.</w:t>
      </w:r>
      <w:r>
        <w:rPr>
          <w:rFonts w:ascii="Arial" w:cs="Arial" w:eastAsia="Arial" w:hAnsi="Arial"/>
          <w:sz w:val="20"/>
          <w:szCs w:val="20"/>
          <w:color w:val="auto"/>
        </w:rPr>
        <w:t xml:space="preserve"> Except as otherwise expressly provided herein,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62"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1.09. </w:t>
      </w:r>
      <w:r>
        <w:rPr>
          <w:rFonts w:ascii="Arial" w:cs="Arial" w:eastAsia="Arial" w:hAnsi="Arial"/>
          <w:sz w:val="20"/>
          <w:szCs w:val="20"/>
          <w:i w:val="1"/>
          <w:iCs w:val="1"/>
          <w:color w:val="auto"/>
        </w:rPr>
        <w:t>Cumulative Credit Transactions.</w:t>
      </w:r>
      <w:r>
        <w:rPr>
          <w:rFonts w:ascii="Arial" w:cs="Arial" w:eastAsia="Arial" w:hAnsi="Arial"/>
          <w:sz w:val="20"/>
          <w:szCs w:val="20"/>
          <w:color w:val="auto"/>
        </w:rPr>
        <w:t xml:space="preserve"> If more than one action occurs on any given date the permissibility of the taking of which is determined hereunder by reference to the amount of the Cumulative Credit immediately prior to the taking of such action, the permissibility of the taking of each such action shall be determined independently and in no event may any two or more such actions be treated as occurring simultaneously.</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8"/>
          <w:szCs w:val="18"/>
          <w:i w:val="1"/>
          <w:iCs w:val="1"/>
          <w:color w:val="auto"/>
        </w:rPr>
        <w:t>Pro Forma Calculations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91" w:lineRule="auto"/>
        <w:tabs>
          <w:tab w:leader="none" w:pos="10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Total Leverage Ratio shall be calculated in the manner prescribed by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clauses (b), (c) or (d) of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when calculating the Total Leverage Ratio for purposes of the Applicable ECF Percentage of Excess Cash Flow, the events described in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that occurred subsequent to the end of the applicable Test Period shall not be given pro forma effect (provided, further, that the foregoing limitation will not be constituted to limit the deductibility of any amounts that are committed to be made or paid or are reasonably expected to be paid in the calculation of Excess Cash Flow for any period as provided for in the definition of Excess Cash Flow).</w:t>
      </w:r>
    </w:p>
    <w:p>
      <w:pPr>
        <w:spacing w:after="0" w:line="142" w:lineRule="exact"/>
        <w:rPr>
          <w:rFonts w:ascii="Arial" w:cs="Arial" w:eastAsia="Arial" w:hAnsi="Arial"/>
          <w:sz w:val="18"/>
          <w:szCs w:val="18"/>
          <w:color w:val="auto"/>
        </w:rPr>
      </w:pPr>
    </w:p>
    <w:p>
      <w:pPr>
        <w:jc w:val="both"/>
        <w:ind w:firstLine="605"/>
        <w:spacing w:after="0" w:line="269" w:lineRule="auto"/>
        <w:tabs>
          <w:tab w:leader="none" w:pos="1195"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For purposes of calculating the Total Leverage Ratio, Specified Transactions (and the incurrence or repayment of any Indebtedness in connection therewith) that have been made (i) during the applicable Test Period or (ii) subsequent to such Test Period and prior to or simultaneously with the event for which the calculation of any such ratio is made shall be calculated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then the Total Leverage Ratio shall be calculated to give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thereto in accordance with this </w:t>
      </w:r>
      <w:r>
        <w:rPr>
          <w:rFonts w:ascii="Arial" w:cs="Arial" w:eastAsia="Arial" w:hAnsi="Arial"/>
          <w:sz w:val="19"/>
          <w:szCs w:val="19"/>
          <w:u w:val="single" w:color="auto"/>
          <w:color w:val="auto"/>
        </w:rPr>
        <w:t>Section 1.10</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605"/>
        <w:spacing w:after="0" w:line="273" w:lineRule="auto"/>
        <w:tabs>
          <w:tab w:leader="none" w:pos="1008"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Whenever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is to be given to a Specified Transaction,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calculations shall be made in good faith by a Senior Financial Officer of the Borrower and may include, for the avoidance of doubt, Cost Savings to the extent permitted by, and subject to the requirements of, clause (a)(viii) of the definition of “Consolidated EBITDA”. Notwithstanding the foregoing, all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adjustments under this clause (c) shall not, taken together with those added pursuant to clause (a)(viii) of the definition of “Consolidated EBITDA”, increase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Consolidated EBITDA by more than 5% for any Test Period (calculated prior to giving effect to any addback pursuant to this clause (c) or clause (a)(viii) of the definition of “Consolidated EBITDA”).</w:t>
      </w:r>
    </w:p>
    <w:p>
      <w:pPr>
        <w:spacing w:after="0" w:line="157" w:lineRule="exact"/>
        <w:rPr>
          <w:rFonts w:ascii="Arial" w:cs="Arial" w:eastAsia="Arial" w:hAnsi="Arial"/>
          <w:sz w:val="19"/>
          <w:szCs w:val="19"/>
          <w:color w:val="auto"/>
        </w:rPr>
      </w:pPr>
    </w:p>
    <w:p>
      <w:pPr>
        <w:jc w:val="both"/>
        <w:ind w:firstLine="605"/>
        <w:spacing w:after="0" w:line="284" w:lineRule="auto"/>
        <w:tabs>
          <w:tab w:leader="none" w:pos="10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In the event that the Borrower or any Restricted Subsidiary incurs (including by assumption or guarantees) or repays (including by redemption, repayment, retirement or extinguishment) any Indebtedness included in the calculations of the Total Leverage Ratio (other than Indebtedness incurred or repaid under any revolving credit facility in the ordinary course of business for working capital purposes and not incurred in reliance on </w:t>
      </w:r>
      <w:r>
        <w:rPr>
          <w:rFonts w:ascii="Arial" w:cs="Arial" w:eastAsia="Arial" w:hAnsi="Arial"/>
          <w:sz w:val="18"/>
          <w:szCs w:val="18"/>
          <w:u w:val="single" w:color="auto"/>
          <w:color w:val="auto"/>
        </w:rPr>
        <w:t>Section 7.03(t)</w:t>
      </w:r>
      <w:r>
        <w:rPr>
          <w:rFonts w:ascii="Arial" w:cs="Arial" w:eastAsia="Arial" w:hAnsi="Arial"/>
          <w:sz w:val="18"/>
          <w:szCs w:val="18"/>
          <w:color w:val="auto"/>
        </w:rPr>
        <w:t xml:space="preserve">), (i) during the applicable Test Period or (ii) subsequent to the end of the applicable Test Period and prior to or simultaneously with the event for which the calculation of any such ratio is made, then the Total Leverage Ratio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incurrence or repayment of Indebtedness, to the extent required, as if the same had occurred on the last day of the applicable Test Period of the Total Leverage Ratio. Interest on a Capitalized Lease shall be deemed to accrue at an interest rate reasonably determined by a responsible financial or accounting officer of the Borrower to be the rate of interest implicit in such Capitalized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Borrower or Restricted Subsidiary may designate.</w:t>
      </w:r>
    </w:p>
    <w:p>
      <w:pPr>
        <w:spacing w:after="0" w:line="149" w:lineRule="exact"/>
        <w:rPr>
          <w:rFonts w:ascii="Arial" w:cs="Arial" w:eastAsia="Arial" w:hAnsi="Arial"/>
          <w:sz w:val="18"/>
          <w:szCs w:val="18"/>
          <w:color w:val="auto"/>
        </w:rPr>
      </w:pPr>
    </w:p>
    <w:p>
      <w:pPr>
        <w:jc w:val="both"/>
        <w:ind w:firstLine="605"/>
        <w:spacing w:after="0" w:line="290" w:lineRule="auto"/>
        <w:tabs>
          <w:tab w:leader="none" w:pos="1096" w:val="left"/>
        </w:tabs>
        <w:numPr>
          <w:ilvl w:val="0"/>
          <w:numId w:val="63"/>
        </w:numPr>
        <w:rPr>
          <w:rFonts w:ascii="Arial" w:cs="Arial" w:eastAsia="Arial" w:hAnsi="Arial"/>
          <w:sz w:val="19"/>
          <w:szCs w:val="19"/>
          <w:color w:val="auto"/>
        </w:rPr>
      </w:pPr>
      <w:r>
        <w:rPr>
          <w:rFonts w:ascii="Arial" w:cs="Arial" w:eastAsia="Arial" w:hAnsi="Arial"/>
          <w:sz w:val="19"/>
          <w:szCs w:val="19"/>
          <w:color w:val="auto"/>
        </w:rPr>
        <w:t>Whenever any provision of this Agreement requires the Borrower to have a Total Leverage Ratio on a Pro Forma Basis in connection with any action to be taken by the Borrower hereunder, the Borrower shall deliver to the Administrative Agent a certificate of a Responsible Officer setting forth in reasonable detail the calculations demonstrating such compliance or such Total Leverage Ratio.</w:t>
      </w:r>
    </w:p>
    <w:p>
      <w:pPr>
        <w:spacing w:after="0" w:line="139" w:lineRule="exact"/>
        <w:rPr>
          <w:sz w:val="20"/>
          <w:szCs w:val="20"/>
          <w:color w:val="auto"/>
        </w:rPr>
      </w:pPr>
    </w:p>
    <w:p>
      <w:pPr>
        <w:jc w:val="both"/>
        <w:ind w:firstLine="604"/>
        <w:spacing w:after="0" w:line="285"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i w:val="1"/>
          <w:iCs w:val="1"/>
          <w:color w:val="auto"/>
        </w:rPr>
        <w:t>Certain Accounting Matters.</w:t>
      </w:r>
      <w:r>
        <w:rPr>
          <w:rFonts w:ascii="Arial" w:cs="Arial" w:eastAsia="Arial" w:hAnsi="Arial"/>
          <w:sz w:val="18"/>
          <w:szCs w:val="18"/>
          <w:color w:val="auto"/>
        </w:rPr>
        <w:t xml:space="preserve"> Notwithstanding any other provision contained herein or in any other Loan Document, all terms of an accounting or financial nature used herein shall be construed, and all computations of amounts and ratios referred to herein shall be made, (a) without giving effect to any election under Statement of Financial Accounting Standards 159 or Accounting Standards Codification 825-10-25 (or any other Accounting Standards Codification or Financial Accounting Standard having a similar result or effect) to value any Indebtedness or other liabilities of the Borrower or any of its Restricted Subsidiaries at “fair value”, as defined therein; and (b) without giving effect to any treatment of Indebtedness in respect of convertible debt instruments under Accounting Standards Codification 470-20 and/or Statement of Financial Accounting Standards 150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Furthermore, unless the Borrower elects otherwise, notwithstanding any other provision contained herein or in any other Loan Document, for all purposes under this Agreement and the other</w:t>
      </w:r>
    </w:p>
    <w:p>
      <w:pPr>
        <w:sectPr>
          <w:pgSz w:w="11900" w:h="16871" w:orient="portrait"/>
          <w:cols w:equalWidth="0" w:num="1">
            <w:col w:w="11420"/>
          </w:cols>
          <w:pgMar w:left="240" w:top="131" w:right="239" w:bottom="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20"/>
          <w:szCs w:val="20"/>
          <w:color w:val="auto"/>
        </w:rPr>
        <w:t xml:space="preserve">Loan Documents, including negative covenants, financials covenants and component definitions, operating leases and Capitalized Leases will be deemed to be treated in a manner consistent with their current treatment under GAAP as in effect on December 31, 2018, notwithstanding any modifications or interpretive changes thereto that may occur thereafter. For the avoidance of doubt, the principal amount of any non-interest bearing Indebtedness or other discount security constituting Indebtedness at any date shall be the principal amount thereof that would be shown on a balance sheet of the Borrower dated such date prepared in accordance with GAAP, except as expressly set forth in clauses (a) and (b) of this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170"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i w:val="1"/>
          <w:iCs w:val="1"/>
          <w:color w:val="auto"/>
        </w:rPr>
        <w:t>Classification of Loans and Borrowings.</w:t>
      </w:r>
      <w:r>
        <w:rPr>
          <w:rFonts w:ascii="Arial" w:cs="Arial" w:eastAsia="Arial" w:hAnsi="Arial"/>
          <w:sz w:val="20"/>
          <w:szCs w:val="20"/>
          <w:color w:val="auto"/>
        </w:rPr>
        <w:t xml:space="preserve"> For purposes of this Agreement, Loans may be classified and referred to by Class (e.g., a “Tranche B-2 Term Loan”) or by Type (e.g., a “Eurodollar Loan”) or by Class and Type (e.g., a “Eurodollar Term Loan”). Borrowings also may be classified and referred to by Class (e.g., a “Term Borrowing”) or by Type (e.g., a “Eurodollar Borrowing”) or by Class and Type (e.g., a “Eurodollar Term Borrowing”).</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i w:val="1"/>
          <w:iCs w:val="1"/>
          <w:color w:val="auto"/>
        </w:rPr>
        <w:t>Currency Equivalents Generally</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55" w:lineRule="auto"/>
        <w:tabs>
          <w:tab w:leader="none" w:pos="1096"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with </w:t>
      </w:r>
      <w:r>
        <w:rPr>
          <w:rFonts w:ascii="Arial" w:cs="Arial" w:eastAsia="Arial" w:hAnsi="Arial"/>
          <w:sz w:val="20"/>
          <w:szCs w:val="20"/>
          <w:u w:val="single" w:color="auto"/>
          <w:color w:val="auto"/>
        </w:rPr>
        <w:t>Sections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w:t>
      </w:r>
      <w:r>
        <w:rPr>
          <w:rFonts w:ascii="Arial" w:cs="Arial" w:eastAsia="Arial" w:hAnsi="Arial"/>
          <w:sz w:val="20"/>
          <w:szCs w:val="20"/>
          <w:u w:val="single" w:color="auto"/>
          <w:color w:val="auto"/>
        </w:rPr>
        <w:t>7.08</w:t>
      </w:r>
      <w:r>
        <w:rPr>
          <w:rFonts w:ascii="Arial" w:cs="Arial" w:eastAsia="Arial" w:hAnsi="Arial"/>
          <w:sz w:val="20"/>
          <w:szCs w:val="20"/>
          <w:color w:val="auto"/>
        </w:rPr>
        <w:t xml:space="preserve">, </w:t>
      </w:r>
      <w:r>
        <w:rPr>
          <w:rFonts w:ascii="Arial" w:cs="Arial" w:eastAsia="Arial" w:hAnsi="Arial"/>
          <w:sz w:val="20"/>
          <w:szCs w:val="20"/>
          <w:u w:val="single" w:color="auto"/>
          <w:color w:val="auto"/>
        </w:rPr>
        <w:t>7.09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7.13</w:t>
      </w:r>
      <w:r>
        <w:rPr>
          <w:rFonts w:ascii="Arial" w:cs="Arial" w:eastAsia="Arial" w:hAnsi="Arial"/>
          <w:sz w:val="20"/>
          <w:szCs w:val="20"/>
          <w:color w:val="auto"/>
        </w:rPr>
        <w:t xml:space="preserve"> with respect to any amount of Indebtedness, Lien, Asset Sale, Restricted Payment, Capital Expenditure, affiliate transaction, Contractual Obligation, prepayment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and once incurred or made, the amount of such Indebtedness, Lien, Asset Sale, Restricted Payment, Capital Expenditure, affiliate transaction, Contractual Obligation, prepayment of Indebtedness or Investment, shall be always deemed to be at the Dollar amount on such date, regardless of later changes in currency exchange rates.</w:t>
      </w:r>
    </w:p>
    <w:p>
      <w:pPr>
        <w:spacing w:after="0" w:line="171" w:lineRule="exact"/>
        <w:rPr>
          <w:rFonts w:ascii="Arial" w:cs="Arial" w:eastAsia="Arial" w:hAnsi="Arial"/>
          <w:sz w:val="20"/>
          <w:szCs w:val="20"/>
          <w:color w:val="auto"/>
        </w:rPr>
      </w:pPr>
    </w:p>
    <w:p>
      <w:pPr>
        <w:jc w:val="both"/>
        <w:ind w:firstLine="605"/>
        <w:spacing w:after="0" w:line="259" w:lineRule="auto"/>
        <w:tabs>
          <w:tab w:leader="none" w:pos="1032" w:val="left"/>
        </w:tabs>
        <w:numPr>
          <w:ilvl w:val="0"/>
          <w:numId w:val="64"/>
        </w:numPr>
        <w:rPr>
          <w:rFonts w:ascii="Arial" w:cs="Arial" w:eastAsia="Arial" w:hAnsi="Arial"/>
          <w:sz w:val="20"/>
          <w:szCs w:val="20"/>
          <w:color w:val="auto"/>
        </w:rPr>
      </w:pPr>
      <w:r>
        <w:rPr>
          <w:rFonts w:ascii="Arial" w:cs="Arial" w:eastAsia="Arial" w:hAnsi="Arial"/>
          <w:sz w:val="20"/>
          <w:szCs w:val="20"/>
          <w:color w:val="auto"/>
        </w:rPr>
        <w:t>For purposes of determining the Total Leverage Ratio, amounts denominated in a currency other than Dollars will be converted to Dollars at the currency exchange rates used in preparing the Borrower’s financial statements corresponding to the Test Period with respect to the applicable date of determination and will, in the case of Indebtedness, reflect the currency translation effects, determined in accordance with GAAP, of Swap Contracts permitted hereunder for currency exchange risks with respect to the applicable currency in effect on the date of determination of the Dollar equivalent of such Indebtedness.</w:t>
      </w:r>
    </w:p>
    <w:p>
      <w:pPr>
        <w:spacing w:after="0" w:line="169" w:lineRule="exact"/>
        <w:rPr>
          <w:sz w:val="20"/>
          <w:szCs w:val="20"/>
          <w:color w:val="auto"/>
        </w:rPr>
      </w:pPr>
    </w:p>
    <w:p>
      <w:pPr>
        <w:jc w:val="both"/>
        <w:ind w:firstLine="604"/>
        <w:spacing w:after="0" w:line="255"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20"/>
          <w:szCs w:val="20"/>
          <w:i w:val="1"/>
          <w:iCs w:val="1"/>
          <w:color w:val="auto"/>
        </w:rPr>
        <w:t>Effect of Amendment and Restatement</w:t>
      </w:r>
      <w:r>
        <w:rPr>
          <w:rFonts w:ascii="Arial" w:cs="Arial" w:eastAsia="Arial" w:hAnsi="Arial"/>
          <w:sz w:val="20"/>
          <w:szCs w:val="20"/>
          <w:color w:val="auto"/>
        </w:rPr>
        <w:t>. On the Restatement Effective Date, the Existing Credit Agreement shall be amended and restated in its entirety in the form hereof. The parties hereto acknowledge and agree that except as modified in this Agreement and the other Loan Documents delivered on the Restatement Effective Date, the Existing Credit Agreement and all Loan Documents thereunder (collectively, together with the Existing Credit Agreement, the “</w:t>
      </w:r>
      <w:r>
        <w:rPr>
          <w:rFonts w:ascii="Arial" w:cs="Arial" w:eastAsia="Arial" w:hAnsi="Arial"/>
          <w:sz w:val="20"/>
          <w:szCs w:val="20"/>
          <w:b w:val="1"/>
          <w:bCs w:val="1"/>
          <w:color w:val="auto"/>
        </w:rPr>
        <w:t>Existing Loan Documents</w:t>
      </w:r>
      <w:r>
        <w:rPr>
          <w:rFonts w:ascii="Arial" w:cs="Arial" w:eastAsia="Arial" w:hAnsi="Arial"/>
          <w:sz w:val="20"/>
          <w:szCs w:val="20"/>
          <w:color w:val="auto"/>
        </w:rPr>
        <w:t>”) are hereby reaffirmed, ratified and confirmed on behalf of the parties hereto and thereto on the date hereof, and the Obligations thereunder shall be amended and completely restated hereby, but this Agreement shall not constitute a novation, extinguishment or substitution of such Obligations or in any way impair the Liens created pursuant to the Existing Loan Documents or affect the priority thereof, all of which are hereby reaffirmed, ratified and confirmed.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2</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THE CREDITS</w:t>
      </w:r>
    </w:p>
    <w:p>
      <w:pPr>
        <w:spacing w:after="0" w:line="205"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8"/>
          <w:szCs w:val="18"/>
          <w:i w:val="1"/>
          <w:iCs w:val="1"/>
          <w:color w:val="auto"/>
        </w:rPr>
        <w:t>Tranche B-2 Term Loan Commitments.</w:t>
      </w:r>
    </w:p>
    <w:p>
      <w:pPr>
        <w:spacing w:after="0" w:line="223" w:lineRule="exact"/>
        <w:rPr>
          <w:sz w:val="20"/>
          <w:szCs w:val="20"/>
          <w:color w:val="auto"/>
        </w:rPr>
      </w:pPr>
    </w:p>
    <w:p>
      <w:pPr>
        <w:ind w:left="1000" w:hanging="395"/>
        <w:spacing w:after="0"/>
        <w:tabs>
          <w:tab w:leader="none" w:pos="10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jc w:val="both"/>
        <w:ind w:right="100" w:firstLine="605"/>
        <w:spacing w:after="0" w:line="263" w:lineRule="auto"/>
        <w:tabs>
          <w:tab w:leader="none" w:pos="1007" w:val="left"/>
        </w:tabs>
        <w:numPr>
          <w:ilvl w:val="0"/>
          <w:numId w:val="65"/>
        </w:numPr>
        <w:rPr>
          <w:rFonts w:ascii="Arial" w:cs="Arial" w:eastAsia="Arial" w:hAnsi="Arial"/>
          <w:sz w:val="20"/>
          <w:szCs w:val="20"/>
          <w:color w:val="auto"/>
        </w:rPr>
      </w:pPr>
      <w:r>
        <w:rPr>
          <w:rFonts w:ascii="Arial" w:cs="Arial" w:eastAsia="Arial" w:hAnsi="Arial"/>
          <w:sz w:val="20"/>
          <w:szCs w:val="20"/>
          <w:color w:val="auto"/>
        </w:rPr>
        <w:t>Subject to the terms and conditions and relying upon the representations and warranties set forth herein, each Tranche B-2 Term Lender agrees, severally and not jointly, to make a Tranche B-2 Term Loan to the Borrower on the Restatement Effective Date in a principal amount not to exceed its Tranche B-2 Term Loan Commitment. Amounts repaid or prepaid in respect of Tranche B-2 Term Loan may not be reborrowed.</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7"/>
          <w:szCs w:val="17"/>
          <w:i w:val="1"/>
          <w:iCs w:val="1"/>
          <w:color w:val="auto"/>
        </w:rPr>
        <w:t>Loans</w:t>
      </w:r>
      <w:r>
        <w:rPr>
          <w:rFonts w:ascii="Arial" w:cs="Arial" w:eastAsia="Arial" w:hAnsi="Arial"/>
          <w:sz w:val="17"/>
          <w:szCs w:val="17"/>
          <w:color w:val="auto"/>
        </w:rPr>
        <w:t>.</w:t>
      </w:r>
    </w:p>
    <w:p>
      <w:pPr>
        <w:spacing w:after="0" w:line="223" w:lineRule="exact"/>
        <w:rPr>
          <w:sz w:val="20"/>
          <w:szCs w:val="20"/>
          <w:color w:val="auto"/>
        </w:rPr>
      </w:pPr>
    </w:p>
    <w:p>
      <w:pPr>
        <w:jc w:val="both"/>
        <w:ind w:firstLine="605"/>
        <w:spacing w:after="0" w:line="286" w:lineRule="auto"/>
        <w:tabs>
          <w:tab w:leader="none" w:pos="1083"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Each Loan shall be made as part of a Borrowing consisting of Loans made by the Lenders ratably in accordance with their applicable Commitments;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The Loans comprising any Borrowing shall be in an aggregate principal amount that is</w:t>
      </w:r>
    </w:p>
    <w:p>
      <w:pPr>
        <w:ind w:firstLine="1"/>
        <w:spacing w:after="0" w:line="314" w:lineRule="auto"/>
        <w:tabs>
          <w:tab w:leader="none" w:pos="2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integral multiple of $1,000,000 and not less than $5,000,000 (except, with respect to any Other Term Loans, to the extent otherwise provided in the applicable Refinancing Amendment) or (ii) equal to the remaining available balance of the applicable Commitments.</w:t>
      </w:r>
    </w:p>
    <w:p>
      <w:pPr>
        <w:spacing w:after="0" w:line="119" w:lineRule="exact"/>
        <w:rPr>
          <w:rFonts w:ascii="Arial" w:cs="Arial" w:eastAsia="Arial" w:hAnsi="Arial"/>
          <w:sz w:val="18"/>
          <w:szCs w:val="18"/>
          <w:color w:val="auto"/>
        </w:rPr>
      </w:pPr>
    </w:p>
    <w:p>
      <w:pPr>
        <w:jc w:val="both"/>
        <w:ind w:firstLine="605"/>
        <w:spacing w:after="0" w:line="269" w:lineRule="auto"/>
        <w:tabs>
          <w:tab w:leader="none" w:pos="1132"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each Borrowing shall be comprised entirely of ABR Loans or Eurodollar Loans as the Borrower may request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Each Lender may at its option make any Eurodollar Loan by causing any domestic or foreign branch or Affiliate of such Lender to make such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exercise of such option shall not affect the obligation of the Borrower to repay such Loan to such Lender in accordance with the terms of this Agreement. Borrowings of more than one Type may be outstanding at the same time;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Borrower shall not be entitled to request any Borrowing that, if made, would result in more than five Eurodollar Borrowings outstanding hereunder at any time plus up to an additional 3 Interest Periods in respect of each (i) [reserved], (ii) Extended Term Loans and (iii) Other Term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total number of such additional Interest Periods does not exceed 15 at any one time. For purposes of the foregoing, Borrowings having different Interest Periods, regardless of whether they commence on the same date, shall be considered separate Borrowings.</w:t>
      </w:r>
    </w:p>
    <w:p>
      <w:pPr>
        <w:sectPr>
          <w:pgSz w:w="11900" w:h="16838" w:orient="portrait"/>
          <w:cols w:equalWidth="0" w:num="1">
            <w:col w:w="11420"/>
          </w:cols>
          <w:pgMar w:left="240" w:top="131" w:right="239" w:bottom="0" w:gutter="0" w:footer="0" w:header="0"/>
        </w:sectPr>
      </w:pPr>
    </w:p>
    <w:bookmarkStart w:id="77" w:name="page78"/>
    <w:bookmarkEnd w:id="77"/>
    <w:p>
      <w:pPr>
        <w:jc w:val="both"/>
        <w:ind w:firstLine="605"/>
        <w:spacing w:after="0" w:line="263" w:lineRule="auto"/>
        <w:tabs>
          <w:tab w:leader="none" w:pos="1058" w:val="left"/>
        </w:tabs>
        <w:numPr>
          <w:ilvl w:val="0"/>
          <w:numId w:val="68"/>
        </w:numPr>
        <w:rPr>
          <w:rFonts w:ascii="Arial" w:cs="Arial" w:eastAsia="Arial" w:hAnsi="Arial"/>
          <w:sz w:val="20"/>
          <w:szCs w:val="20"/>
          <w:color w:val="auto"/>
        </w:rPr>
      </w:pPr>
      <w:r>
        <w:rPr>
          <w:rFonts w:ascii="Arial" w:cs="Arial" w:eastAsia="Arial" w:hAnsi="Arial"/>
          <w:sz w:val="20"/>
          <w:szCs w:val="20"/>
          <w:color w:val="auto"/>
        </w:rPr>
        <w:t>Each Lender shall make each Tranche B-2 Term Loan to be made by it hereunder on the Restatement Effective Date by wire transfer of immediately available funds to the Administrative Agent’s Office not later than 1:00 p.m., New York City time, and upon receipt of all requested funds the Administrative Agent shall promptly credit the amounts so received to an account designated by the Borrower in the applicable Request for Credit Extension.</w:t>
      </w:r>
    </w:p>
    <w:p>
      <w:pPr>
        <w:spacing w:after="0" w:line="162" w:lineRule="exact"/>
        <w:rPr>
          <w:rFonts w:ascii="Arial" w:cs="Arial" w:eastAsia="Arial" w:hAnsi="Arial"/>
          <w:sz w:val="20"/>
          <w:szCs w:val="20"/>
          <w:color w:val="auto"/>
        </w:rPr>
      </w:pPr>
    </w:p>
    <w:p>
      <w:pPr>
        <w:jc w:val="both"/>
        <w:ind w:firstLine="605"/>
        <w:spacing w:after="0" w:line="267" w:lineRule="auto"/>
        <w:tabs>
          <w:tab w:leader="none" w:pos="1044" w:val="left"/>
        </w:tabs>
        <w:numPr>
          <w:ilvl w:val="0"/>
          <w:numId w:val="68"/>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date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(c)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such Lender and the Borrower severally agree to repay to the Administrative Agent forthwith on demand such corresponding amount together with interest thereon, for each day from the date such amount is made available to the Borrower to but excluding the date such amount is repaid to the Administrative Agent at (i) in the case of the Borrower, a rate per annum equal to the interest rate applicable at the time to the Loans comprising such Borrowing, and (ii) in the case of such Lender, a rate determined by the Administrative Agent to represent its cost of overnight or short-term funds (which determination shall be conclusive absent manifest error). If such Lender shall repay to the Administrative Agent such corresponding amount, such amount shall constitute such Lender’s Loan as part of such Borrowing for purposes of this Agreement.</w:t>
      </w:r>
    </w:p>
    <w:p>
      <w:pPr>
        <w:spacing w:after="0" w:line="166"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Borrowing Procedure.</w:t>
      </w:r>
      <w:r>
        <w:rPr>
          <w:rFonts w:ascii="Arial" w:cs="Arial" w:eastAsia="Arial" w:hAnsi="Arial"/>
          <w:sz w:val="18"/>
          <w:szCs w:val="18"/>
          <w:color w:val="auto"/>
        </w:rPr>
        <w:t xml:space="preserve"> In order to request a Borrowing, the Borrower shall notify the Administrative Agent of such request in writing (a) in the case of a Eurodollar Borrowing, not later than 1:00 p.m., New York City time, three Business Days before a proposed Borrowing (or, in the case of the extension of credit on the Restatement Effective Date, prior to the proposed Borrowing), and (b) in the case of an ABR Borrowing, not later than 1:00 p.m., New York City time, one Business Day before a proposed Borrowing. Each such Request for Credit Extension shall be irrevocable (but may be conditioned upon the prepayment of indebtedness or the consummation of a specified transaction) and shall specify the following information: (i) the Class of Loans to be borrowed and whether such Borrowing is to be a Eurodollar Borrowing or an ABR Borrowing; (ii) the date of such Borrowing (which shall be a Business Day); (iii) the number and location of the account to which funds are to be disbursed; (iv) the amount of such Borrowing; and (v) if such Borrowing is to be a Eurodollar Borrowing, the Interest Period with respect thereto;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 contrary specification in any Request for Credit Extension, each requested Borrowing shall comply with the requirements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If no election as to the Type of Borrowing is specified in any such notice, then the requested Borrowing shall be an ABR Borrowing. If no Interest Period with respect to any Eurodollar Borrowing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the contents thereof), and of each Lender’s portion of the requested Borrowing.</w:t>
      </w:r>
    </w:p>
    <w:p>
      <w:pPr>
        <w:spacing w:after="0" w:line="157"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i w:val="1"/>
          <w:iCs w:val="1"/>
          <w:color w:val="auto"/>
        </w:rPr>
        <w:t>Evidence of Debt; Repayment of Loans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90" w:lineRule="auto"/>
        <w:tabs>
          <w:tab w:leader="none" w:pos="10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Borrower hereby unconditionally promises to pay to the Administrative Agent for the account of each Lender the principal amount of each Term Loan of such Lender as provided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(or, in the case of Extended Term Loans or Other Term Loans, as provided for in the applicable Extension Offer, Refinancing Amendment or other governing documentation).</w:t>
      </w:r>
    </w:p>
    <w:p>
      <w:pPr>
        <w:spacing w:after="0" w:line="139" w:lineRule="exact"/>
        <w:rPr>
          <w:rFonts w:ascii="Arial" w:cs="Arial" w:eastAsia="Arial" w:hAnsi="Arial"/>
          <w:sz w:val="19"/>
          <w:szCs w:val="19"/>
          <w:color w:val="auto"/>
        </w:rPr>
      </w:pPr>
    </w:p>
    <w:p>
      <w:pPr>
        <w:jc w:val="both"/>
        <w:ind w:firstLine="605"/>
        <w:spacing w:after="0" w:line="270" w:lineRule="auto"/>
        <w:tabs>
          <w:tab w:leader="none" w:pos="1095"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under this Agreement.</w:t>
      </w:r>
    </w:p>
    <w:p>
      <w:pPr>
        <w:spacing w:after="0" w:line="155" w:lineRule="exact"/>
        <w:rPr>
          <w:rFonts w:ascii="Arial" w:cs="Arial" w:eastAsia="Arial" w:hAnsi="Arial"/>
          <w:sz w:val="20"/>
          <w:szCs w:val="20"/>
          <w:color w:val="auto"/>
        </w:rPr>
      </w:pPr>
    </w:p>
    <w:p>
      <w:pPr>
        <w:jc w:val="both"/>
        <w:ind w:firstLine="605"/>
        <w:spacing w:after="0" w:line="263" w:lineRule="auto"/>
        <w:tabs>
          <w:tab w:leader="none" w:pos="1008"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will record (i) the amount of each Loan made hereunder, the Class and Type thereof and, if applicable, the Interest Period applicable thereto, (ii) the amount of any principal or interest due and payable or to become due and payable from the Borrower to each Lender hereunder and (iii) the amount of any sum received by the Administrative Agent hereunder from the Borrower or any Guarantor and each Lender’s share thereof.</w:t>
      </w:r>
    </w:p>
    <w:p>
      <w:pPr>
        <w:spacing w:after="0" w:line="162" w:lineRule="exact"/>
        <w:rPr>
          <w:rFonts w:ascii="Arial" w:cs="Arial" w:eastAsia="Arial" w:hAnsi="Arial"/>
          <w:sz w:val="20"/>
          <w:szCs w:val="20"/>
          <w:color w:val="auto"/>
        </w:rPr>
      </w:pPr>
    </w:p>
    <w:p>
      <w:pPr>
        <w:jc w:val="both"/>
        <w:ind w:firstLine="605"/>
        <w:spacing w:after="0" w:line="259" w:lineRule="auto"/>
        <w:tabs>
          <w:tab w:leader="none" w:pos="1095"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paragraphs (b) and (c) above shall be prima facie evidence of the existence and amounts of the obligations therein recorded; </w:t>
      </w:r>
      <w:r>
        <w:rPr>
          <w:rFonts w:ascii="Arial" w:cs="Arial" w:eastAsia="Arial" w:hAnsi="Arial"/>
          <w:sz w:val="20"/>
          <w:szCs w:val="20"/>
          <w:i w:val="1"/>
          <w:iCs w:val="1"/>
          <w:color w:val="auto"/>
        </w:rPr>
        <w:t>provided, however</w:t>
      </w:r>
      <w:r>
        <w:rPr>
          <w:rFonts w:ascii="Arial" w:cs="Arial" w:eastAsia="Arial" w:hAnsi="Arial"/>
          <w:sz w:val="20"/>
          <w:szCs w:val="20"/>
          <w:color w:val="auto"/>
        </w:rPr>
        <w:t>, that (i) the failure of any Lender or the Administrative Agent to maintain such accounts or any error therein shall not in any manner affect the obligations of the Borrower to repay the Loans in accordance with their terms and (ii) in the event of any conflict between the accounts set forth in paragraphs (b) and (c) above, the amounts set forth in the accounts maintained pursuant to paragraph (c) shall prevail.</w:t>
      </w:r>
    </w:p>
    <w:p>
      <w:pPr>
        <w:spacing w:after="0" w:line="168" w:lineRule="exact"/>
        <w:rPr>
          <w:rFonts w:ascii="Arial" w:cs="Arial" w:eastAsia="Arial" w:hAnsi="Arial"/>
          <w:sz w:val="20"/>
          <w:szCs w:val="20"/>
          <w:color w:val="auto"/>
        </w:rPr>
      </w:pPr>
    </w:p>
    <w:p>
      <w:pPr>
        <w:jc w:val="both"/>
        <w:ind w:firstLine="605"/>
        <w:spacing w:after="0" w:line="257" w:lineRule="auto"/>
        <w:tabs>
          <w:tab w:leader="none" w:pos="1083"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Any Lender may request that Loans made by it hereunder be evidenced by a Term Note. In such event, the Borrower shall promptly execute and deliver to such Lender a Term Note payable to such Lender and its registered assigns in accordance with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Notwithstanding any other provision of this Agreement, in the event any Lender shall request and receive a Term Note, the interests represented by such Term Note shall at all times (including after any assignment of all or part of such interests pursuant to </w:t>
      </w:r>
      <w:r>
        <w:rPr>
          <w:rFonts w:ascii="Arial" w:cs="Arial" w:eastAsia="Arial" w:hAnsi="Arial"/>
          <w:sz w:val="20"/>
          <w:szCs w:val="20"/>
          <w:u w:val="single" w:color="auto"/>
          <w:color w:val="auto"/>
        </w:rPr>
        <w:t>Section 10.04</w:t>
      </w:r>
      <w:r>
        <w:rPr>
          <w:rFonts w:ascii="Arial" w:cs="Arial" w:eastAsia="Arial" w:hAnsi="Arial"/>
          <w:sz w:val="20"/>
          <w:szCs w:val="20"/>
          <w:color w:val="auto"/>
        </w:rPr>
        <w:t>) be represented by one or more promissory notes payable to the payee named therein or its registered assigns, unless such Term Note is duly cancelled.</w:t>
      </w:r>
    </w:p>
    <w:p>
      <w:pPr>
        <w:spacing w:after="0" w:line="170" w:lineRule="exact"/>
        <w:rPr>
          <w:rFonts w:ascii="Arial" w:cs="Arial" w:eastAsia="Arial" w:hAnsi="Arial"/>
          <w:sz w:val="20"/>
          <w:szCs w:val="20"/>
          <w:color w:val="auto"/>
        </w:rPr>
      </w:pPr>
    </w:p>
    <w:p>
      <w:pPr>
        <w:ind w:firstLine="605"/>
        <w:spacing w:after="0" w:line="291" w:lineRule="auto"/>
        <w:tabs>
          <w:tab w:leader="none" w:pos="1111"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shall at all times be interpreted and administered in such a way that the Term Notes will be issued in “registered form” within the meaning of Treasury Regulation Section 5f.163-1(a).</w:t>
      </w:r>
    </w:p>
    <w:p>
      <w:pPr>
        <w:spacing w:after="0" w:line="134"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7"/>
          <w:szCs w:val="17"/>
          <w:i w:val="1"/>
          <w:iCs w:val="1"/>
          <w:color w:val="auto"/>
        </w:rPr>
        <w:t>Fees</w:t>
      </w:r>
      <w:r>
        <w:rPr>
          <w:rFonts w:ascii="Arial" w:cs="Arial" w:eastAsia="Arial" w:hAnsi="Arial"/>
          <w:sz w:val="17"/>
          <w:szCs w:val="17"/>
          <w:color w:val="auto"/>
        </w:rPr>
        <w:t>.</w:t>
      </w:r>
    </w:p>
    <w:p>
      <w:pPr>
        <w:spacing w:after="0" w:line="223" w:lineRule="exact"/>
        <w:rPr>
          <w:sz w:val="20"/>
          <w:szCs w:val="20"/>
          <w:color w:val="auto"/>
        </w:rPr>
      </w:pPr>
    </w:p>
    <w:p>
      <w:pPr>
        <w:jc w:val="both"/>
        <w:ind w:firstLine="605"/>
        <w:spacing w:after="0" w:line="270" w:lineRule="auto"/>
        <w:tabs>
          <w:tab w:leader="none" w:pos="1071"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its own account, the administrative agent fees applicable to the Facilities payable in the amounts and at the times agreed upon between the Borrower and the Administrative Agent as set forth in the Administrative Agent Fee Letter (the “</w:t>
      </w:r>
      <w:r>
        <w:rPr>
          <w:rFonts w:ascii="Arial" w:cs="Arial" w:eastAsia="Arial" w:hAnsi="Arial"/>
          <w:sz w:val="20"/>
          <w:szCs w:val="20"/>
          <w:b w:val="1"/>
          <w:bCs w:val="1"/>
          <w:color w:val="auto"/>
        </w:rPr>
        <w:t>Fees</w:t>
      </w:r>
      <w:r>
        <w:rPr>
          <w:rFonts w:ascii="Arial" w:cs="Arial" w:eastAsia="Arial" w:hAnsi="Arial"/>
          <w:sz w:val="20"/>
          <w:szCs w:val="20"/>
          <w:color w:val="auto"/>
        </w:rPr>
        <w:t>”).</w:t>
      </w:r>
    </w:p>
    <w:p>
      <w:pPr>
        <w:sectPr>
          <w:pgSz w:w="11900" w:h="16838" w:orient="portrait"/>
          <w:cols w:equalWidth="0" w:num="1">
            <w:col w:w="11420"/>
          </w:cols>
          <w:pgMar w:left="240" w:top="156" w:right="239" w:bottom="0" w:gutter="0" w:footer="0" w:header="0"/>
        </w:sectPr>
      </w:pPr>
    </w:p>
    <w:bookmarkStart w:id="78" w:name="page79"/>
    <w:bookmarkEnd w:id="78"/>
    <w:p>
      <w:pPr>
        <w:ind w:firstLine="605"/>
        <w:spacing w:after="0" w:line="291" w:lineRule="auto"/>
        <w:tabs>
          <w:tab w:leader="none" w:pos="1007" w:val="left"/>
        </w:tabs>
        <w:numPr>
          <w:ilvl w:val="0"/>
          <w:numId w:val="71"/>
        </w:numPr>
        <w:rPr>
          <w:rFonts w:ascii="Arial" w:cs="Arial" w:eastAsia="Arial" w:hAnsi="Arial"/>
          <w:sz w:val="20"/>
          <w:szCs w:val="20"/>
          <w:color w:val="auto"/>
        </w:rPr>
      </w:pPr>
      <w:r>
        <w:rPr>
          <w:rFonts w:ascii="Arial" w:cs="Arial" w:eastAsia="Arial" w:hAnsi="Arial"/>
          <w:sz w:val="20"/>
          <w:szCs w:val="20"/>
          <w:color w:val="auto"/>
        </w:rPr>
        <w:t>All Fees shall be paid on the dates due, in immediately available funds, to the Administrative Agent. Once paid, none of the Fees shall be refundable under any circumstances.</w:t>
      </w:r>
    </w:p>
    <w:p>
      <w:pPr>
        <w:spacing w:after="0" w:line="134"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i w:val="1"/>
          <w:iCs w:val="1"/>
          <w:color w:val="auto"/>
        </w:rPr>
        <w:t>Interest on Loans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313" w:lineRule="auto"/>
        <w:tabs>
          <w:tab w:leader="none" w:pos="10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2.07</w:t>
      </w:r>
      <w:r>
        <w:rPr>
          <w:rFonts w:ascii="Arial" w:cs="Arial" w:eastAsia="Arial" w:hAnsi="Arial"/>
          <w:sz w:val="18"/>
          <w:szCs w:val="18"/>
          <w:color w:val="auto"/>
        </w:rPr>
        <w:t>, the Loans comprising each ABR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Alternate Base Rate plus the Applicable Margin.</w:t>
      </w:r>
    </w:p>
    <w:p>
      <w:pPr>
        <w:spacing w:after="0" w:line="121" w:lineRule="exact"/>
        <w:rPr>
          <w:rFonts w:ascii="Arial" w:cs="Arial" w:eastAsia="Arial" w:hAnsi="Arial"/>
          <w:sz w:val="18"/>
          <w:szCs w:val="18"/>
          <w:color w:val="auto"/>
        </w:rPr>
      </w:pPr>
    </w:p>
    <w:p>
      <w:pPr>
        <w:jc w:val="both"/>
        <w:ind w:firstLine="605"/>
        <w:spacing w:after="0" w:line="270" w:lineRule="auto"/>
        <w:tabs>
          <w:tab w:leader="none" w:pos="1019"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Section 2.07</w:t>
      </w:r>
      <w:r>
        <w:rPr>
          <w:rFonts w:ascii="Arial" w:cs="Arial" w:eastAsia="Arial" w:hAnsi="Arial"/>
          <w:sz w:val="20"/>
          <w:szCs w:val="20"/>
          <w:color w:val="auto"/>
        </w:rPr>
        <w:t>, the Loans comprising each Eurodollar Borrowing shall bear interest (computed on the basis of the actual number of days elapsed over a year of 360 days) at a rate per annum equal to the Adjusted LIBO Rate for the Interest Period in effect for such Borrowing plus the Applicable Margin.</w:t>
      </w:r>
    </w:p>
    <w:p>
      <w:pPr>
        <w:spacing w:after="0" w:line="155" w:lineRule="exact"/>
        <w:rPr>
          <w:rFonts w:ascii="Arial" w:cs="Arial" w:eastAsia="Arial" w:hAnsi="Arial"/>
          <w:sz w:val="20"/>
          <w:szCs w:val="20"/>
          <w:color w:val="auto"/>
        </w:rPr>
      </w:pPr>
    </w:p>
    <w:p>
      <w:pPr>
        <w:jc w:val="both"/>
        <w:ind w:firstLine="605"/>
        <w:spacing w:after="0" w:line="313" w:lineRule="auto"/>
        <w:tabs>
          <w:tab w:leader="none" w:pos="10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on each Loan shall be payable on the Interest Payment Dates applicable to such Loan except as otherwise provided in this Agreement. The applicable Alternate Base Rate or Adjusted LIBO Rate for each Interest Period or day within an Interest Period, as the case may be, shall be determined by the Administrative Agent, and such determination shall be conclusive absent manifest error.</w:t>
      </w:r>
    </w:p>
    <w:p>
      <w:pPr>
        <w:spacing w:after="0" w:line="121" w:lineRule="exact"/>
        <w:rPr>
          <w:sz w:val="20"/>
          <w:szCs w:val="20"/>
          <w:color w:val="auto"/>
        </w:rPr>
      </w:pPr>
    </w:p>
    <w:p>
      <w:pPr>
        <w:jc w:val="both"/>
        <w:ind w:firstLine="604"/>
        <w:spacing w:after="0" w:line="268"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i w:val="1"/>
          <w:iCs w:val="1"/>
          <w:color w:val="auto"/>
        </w:rPr>
        <w:t>Default Interest.</w:t>
      </w:r>
      <w:r>
        <w:rPr>
          <w:rFonts w:ascii="Arial" w:cs="Arial" w:eastAsia="Arial" w:hAnsi="Arial"/>
          <w:sz w:val="19"/>
          <w:szCs w:val="19"/>
          <w:color w:val="auto"/>
        </w:rPr>
        <w:t xml:space="preserve"> Automatically from and after the occurrence and during the continuance of an Event of Default </w:t>
      </w:r>
      <w:r>
        <w:rPr>
          <w:rFonts w:ascii="Arial" w:cs="Arial" w:eastAsia="Arial" w:hAnsi="Arial"/>
          <w:sz w:val="19"/>
          <w:szCs w:val="19"/>
          <w:u w:val="single" w:color="auto"/>
          <w:color w:val="auto"/>
        </w:rPr>
        <w:t>under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8.01(a)</w:t>
      </w:r>
      <w:r>
        <w:rPr>
          <w:rFonts w:ascii="Arial" w:cs="Arial" w:eastAsia="Arial" w:hAnsi="Arial"/>
          <w:sz w:val="19"/>
          <w:szCs w:val="19"/>
          <w:color w:val="auto"/>
        </w:rPr>
        <w:t>,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or at the election of the Required Lenders during the continuance of any other Event of Default, the principal amount of all Loans outstanding and, to the extent permitted by applicable law, any interest payments on the Loans or any fees or other amounts owed hereunder, shall thereafter, after as well as before judgment, bear interest (including post-petition interest in any proceeding under Debtor Relief Laws) payable on written demand at a rate that is 2.0% per annum in excess of the interest rate otherwise payable hereunder with respect to the applicable Loans (or, in the case of any such fees and other amounts, at a rate which is 2.0% per annum in excess of the interest rate otherwise payable hereunder for ABR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Eurodollar Term Loans, upon the expiration of the Interest Period in effect at the time any such increase in interest rate is effective, if such Eurodollar Rate Loans shall become ABR Loans in accordance with </w:t>
      </w:r>
      <w:r>
        <w:rPr>
          <w:rFonts w:ascii="Arial" w:cs="Arial" w:eastAsia="Arial" w:hAnsi="Arial"/>
          <w:sz w:val="19"/>
          <w:szCs w:val="19"/>
          <w:u w:val="single" w:color="auto"/>
          <w:color w:val="auto"/>
        </w:rPr>
        <w:t>Section 2.10(e)</w:t>
      </w:r>
      <w:r>
        <w:rPr>
          <w:rFonts w:ascii="Arial" w:cs="Arial" w:eastAsia="Arial" w:hAnsi="Arial"/>
          <w:sz w:val="19"/>
          <w:szCs w:val="19"/>
          <w:color w:val="auto"/>
        </w:rPr>
        <w:t>, such Loans shall thereafter bear interest payable upon written demand at a rate which is 2.0% per annum in excess of the interest rate otherwise payable hereunder for ABR Loans.</w:t>
      </w:r>
    </w:p>
    <w:p>
      <w:pPr>
        <w:spacing w:after="0" w:line="165" w:lineRule="exact"/>
        <w:rPr>
          <w:sz w:val="20"/>
          <w:szCs w:val="20"/>
          <w:color w:val="auto"/>
        </w:rPr>
      </w:pPr>
    </w:p>
    <w:p>
      <w:pPr>
        <w:jc w:val="both"/>
        <w:ind w:firstLine="604"/>
        <w:spacing w:after="0" w:line="269"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Alternate Rate of Interest.</w:t>
      </w:r>
      <w:r>
        <w:rPr>
          <w:rFonts w:ascii="Arial" w:cs="Arial" w:eastAsia="Arial" w:hAnsi="Arial"/>
          <w:sz w:val="19"/>
          <w:szCs w:val="19"/>
          <w:color w:val="auto"/>
        </w:rPr>
        <w:t xml:space="preserve"> In the event, and on each occasion, that on the day two Business Days prior to the commencement of any Interest Period for a Eurodollar Borrowing the Administrative Agent shall have determined that Dollar deposits in the principal amounts of the Loans comprising such Borrowing are not generally available in the London interbank market, or that the rates at which such Dollar deposits are being offered will not adequately and fairly reflect the cost to the majority of Lenders of making or maintaining Eurodollar Loans during such Interest Period, or that reasonable means do not exist for ascertaining the Adjusted LIBO Rate, the Administrative Agent shall, as soon as practicable thereafter, give written or fax notice of such determination to the Borrower and the Lenders. In the event of any such determination, until the Administrative Agent shall have revoked such notice, any request by the Borrower for a Eurodollar Borrowing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shall be deemed to be a request for an ABR Borrowing. Each determination by the Administrative Agent under this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shall be conclusive absent manifest error.</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8"/>
          <w:szCs w:val="18"/>
          <w:i w:val="1"/>
          <w:iCs w:val="1"/>
          <w:color w:val="auto"/>
        </w:rPr>
        <w:t>Termination and Reduction of Commitments</w:t>
      </w:r>
      <w:r>
        <w:rPr>
          <w:rFonts w:ascii="Arial" w:cs="Arial" w:eastAsia="Arial" w:hAnsi="Arial"/>
          <w:sz w:val="18"/>
          <w:szCs w:val="18"/>
          <w:color w:val="auto"/>
        </w:rPr>
        <w:t>.</w:t>
      </w:r>
    </w:p>
    <w:p>
      <w:pPr>
        <w:spacing w:after="0" w:line="223" w:lineRule="exact"/>
        <w:rPr>
          <w:sz w:val="20"/>
          <w:szCs w:val="20"/>
          <w:color w:val="auto"/>
        </w:rPr>
      </w:pPr>
    </w:p>
    <w:p>
      <w:pPr>
        <w:ind w:firstLine="605"/>
        <w:spacing w:after="0" w:line="291" w:lineRule="auto"/>
        <w:tabs>
          <w:tab w:leader="none" w:pos="105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Term Loan Commitment for the Tranche B-2 Term Loan in effect on the Restatement Effective Date shall automatically terminate upon the making of the Tranche B-2 Term Loans on the Restatement Effective Date.</w:t>
      </w:r>
    </w:p>
    <w:p>
      <w:pPr>
        <w:spacing w:after="0" w:line="134" w:lineRule="exact"/>
        <w:rPr>
          <w:rFonts w:ascii="Arial" w:cs="Arial" w:eastAsia="Arial" w:hAnsi="Arial"/>
          <w:sz w:val="20"/>
          <w:szCs w:val="20"/>
          <w:color w:val="auto"/>
        </w:rPr>
      </w:pPr>
    </w:p>
    <w:p>
      <w:pPr>
        <w:jc w:val="both"/>
        <w:ind w:firstLine="605"/>
        <w:spacing w:after="0" w:line="289" w:lineRule="auto"/>
        <w:tabs>
          <w:tab w:leader="none" w:pos="10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Upon at least one Business Days’ prior irrevocable written or fax notice to the Administrative Agent, the Borrower may at any time in whole permanently terminate, or from time to time in part permanently reduce, any Class of unfunded Term Loan Commitments;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partial reduction of any Class of Term Loan Commitments shall be in an integral multiple of $1,000,000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 minimum amount of $1,000,000; provided further that, a notice of termination of the Commitments of any Class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w:t>
      </w:r>
    </w:p>
    <w:p>
      <w:pPr>
        <w:spacing w:after="0" w:line="142" w:lineRule="exact"/>
        <w:rPr>
          <w:rFonts w:ascii="Arial" w:cs="Arial" w:eastAsia="Arial" w:hAnsi="Arial"/>
          <w:sz w:val="18"/>
          <w:szCs w:val="18"/>
          <w:color w:val="auto"/>
        </w:rPr>
      </w:pPr>
    </w:p>
    <w:p>
      <w:pPr>
        <w:ind w:left="600" w:firstLine="609"/>
        <w:spacing w:after="0" w:line="291" w:lineRule="auto"/>
        <w:tabs>
          <w:tab w:leader="none" w:pos="1620" w:val="left"/>
        </w:tabs>
        <w:numPr>
          <w:ilvl w:val="1"/>
          <w:numId w:val="73"/>
        </w:numPr>
        <w:rPr>
          <w:rFonts w:ascii="Arial" w:cs="Arial" w:eastAsia="Arial" w:hAnsi="Arial"/>
          <w:sz w:val="20"/>
          <w:szCs w:val="20"/>
          <w:color w:val="auto"/>
        </w:rPr>
      </w:pPr>
      <w:r>
        <w:rPr>
          <w:rFonts w:ascii="Arial" w:cs="Arial" w:eastAsia="Arial" w:hAnsi="Arial"/>
          <w:sz w:val="20"/>
          <w:szCs w:val="20"/>
          <w:color w:val="auto"/>
        </w:rPr>
        <w:t>Each reduction in the Term Loan Commitments hereunder shall be made ratably among the Lenders in accordance with their respective applicable Commitments.</w:t>
      </w:r>
    </w:p>
    <w:p>
      <w:pPr>
        <w:spacing w:after="0" w:line="134"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i w:val="1"/>
          <w:iCs w:val="1"/>
          <w:color w:val="auto"/>
        </w:rPr>
        <w:t>Conversion and Continuation of Borrowings.</w:t>
      </w:r>
      <w:r>
        <w:rPr>
          <w:rFonts w:ascii="Arial" w:cs="Arial" w:eastAsia="Arial" w:hAnsi="Arial"/>
          <w:sz w:val="20"/>
          <w:szCs w:val="20"/>
          <w:color w:val="auto"/>
        </w:rPr>
        <w:t xml:space="preserve"> The Borrower shall have the right at any time upon prior irrevocable written notice to the Administrative Agent (a) not later than 1:00 p.m., New York City time, one Business Day prior to the day of any conversion, to convert any Eurodollar Borrowing into an ABR Borrowing, (b) not later than 1:00 p.m., New York City time, three Business Days prior to conversion or continuation, to convert any ABR Borrowing into a Eurodollar Borrowing or to continue any Eurodollar Borrowing as a Eurodollar Borrowing for an additional Interest Period, and (c) not later than 1:00 p.m., New York City time, three Business Days prior to conversion, to convert the Interest Period with respect to any Eurodollar Borrowing to another permissible Interest Period, subject in each case to the following:</w:t>
      </w:r>
    </w:p>
    <w:p>
      <w:pPr>
        <w:spacing w:after="0" w:line="170" w:lineRule="exact"/>
        <w:rPr>
          <w:sz w:val="20"/>
          <w:szCs w:val="20"/>
          <w:color w:val="auto"/>
        </w:rPr>
      </w:pPr>
    </w:p>
    <w:p>
      <w:pPr>
        <w:ind w:left="1560" w:hanging="351"/>
        <w:spacing w:after="0"/>
        <w:tabs>
          <w:tab w:leader="none" w:pos="15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firstLine="1209"/>
        <w:spacing w:after="0" w:line="291" w:lineRule="auto"/>
        <w:tabs>
          <w:tab w:leader="none" w:pos="1672" w:val="left"/>
        </w:tabs>
        <w:numPr>
          <w:ilvl w:val="0"/>
          <w:numId w:val="74"/>
        </w:numPr>
        <w:rPr>
          <w:rFonts w:ascii="Arial" w:cs="Arial" w:eastAsia="Arial" w:hAnsi="Arial"/>
          <w:sz w:val="20"/>
          <w:szCs w:val="20"/>
          <w:color w:val="auto"/>
        </w:rPr>
      </w:pPr>
      <w:r>
        <w:rPr>
          <w:rFonts w:ascii="Arial" w:cs="Arial" w:eastAsia="Arial" w:hAnsi="Arial"/>
          <w:sz w:val="20"/>
          <w:szCs w:val="20"/>
          <w:color w:val="auto"/>
        </w:rPr>
        <w:t>each conversion or continuation shall be made pro rata among the Lenders in accordance with the respective principal amounts of the Loans comprising the converted or continued Borrowing;</w:t>
      </w:r>
    </w:p>
    <w:p>
      <w:pPr>
        <w:spacing w:after="0" w:line="134" w:lineRule="exact"/>
        <w:rPr>
          <w:rFonts w:ascii="Arial" w:cs="Arial" w:eastAsia="Arial" w:hAnsi="Arial"/>
          <w:sz w:val="20"/>
          <w:szCs w:val="20"/>
          <w:color w:val="auto"/>
        </w:rPr>
      </w:pPr>
    </w:p>
    <w:p>
      <w:pPr>
        <w:jc w:val="both"/>
        <w:ind w:firstLine="1209"/>
        <w:spacing w:after="0" w:line="270" w:lineRule="auto"/>
        <w:tabs>
          <w:tab w:leader="none" w:pos="1715"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if less than all the outstanding principal amount of any Borrowing shall be converted or continued, then each resulting Borrowing shall satisfy the limitations specified in </w:t>
      </w:r>
      <w:r>
        <w:rPr>
          <w:rFonts w:ascii="Arial" w:cs="Arial" w:eastAsia="Arial" w:hAnsi="Arial"/>
          <w:sz w:val="20"/>
          <w:szCs w:val="20"/>
          <w:u w:val="single" w:color="auto"/>
          <w:color w:val="auto"/>
        </w:rPr>
        <w:t>Sections 2.02(a)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2.02(b)</w:t>
      </w:r>
      <w:r>
        <w:rPr>
          <w:rFonts w:ascii="Arial" w:cs="Arial" w:eastAsia="Arial" w:hAnsi="Arial"/>
          <w:sz w:val="20"/>
          <w:szCs w:val="20"/>
          <w:color w:val="auto"/>
        </w:rPr>
        <w:t xml:space="preserve"> regarding the principal amount and maximum number of Borrowings of the relevant Type;</w:t>
      </w:r>
    </w:p>
    <w:p>
      <w:pPr>
        <w:sectPr>
          <w:pgSz w:w="11900" w:h="16838" w:orient="portrait"/>
          <w:cols w:equalWidth="0" w:num="1">
            <w:col w:w="11420"/>
          </w:cols>
          <w:pgMar w:left="240" w:top="131" w:right="239" w:bottom="0" w:gutter="0" w:footer="0" w:header="0"/>
        </w:sectPr>
      </w:pPr>
    </w:p>
    <w:bookmarkStart w:id="79" w:name="page80"/>
    <w:bookmarkEnd w:id="79"/>
    <w:p>
      <w:pPr>
        <w:spacing w:after="0" w:line="16" w:lineRule="exact"/>
        <w:rPr>
          <w:sz w:val="20"/>
          <w:szCs w:val="20"/>
          <w:color w:val="auto"/>
        </w:rPr>
      </w:pPr>
    </w:p>
    <w:p>
      <w:pPr>
        <w:jc w:val="both"/>
        <w:ind w:left="79" w:firstLine="525"/>
        <w:spacing w:after="0" w:line="263" w:lineRule="auto"/>
        <w:tabs>
          <w:tab w:leader="none" w:pos="1023" w:val="left"/>
        </w:tabs>
        <w:numPr>
          <w:ilvl w:val="0"/>
          <w:numId w:val="75"/>
        </w:numPr>
        <w:rPr>
          <w:rFonts w:ascii="Arial" w:cs="Arial" w:eastAsia="Arial" w:hAnsi="Arial"/>
          <w:sz w:val="20"/>
          <w:szCs w:val="20"/>
          <w:color w:val="auto"/>
        </w:rPr>
      </w:pPr>
      <w:r>
        <w:rPr>
          <w:rFonts w:ascii="Arial" w:cs="Arial" w:eastAsia="Arial" w:hAnsi="Arial"/>
          <w:sz w:val="20"/>
          <w:szCs w:val="20"/>
          <w:color w:val="auto"/>
        </w:rPr>
        <w:t>each conversion shall be effected by each Lender and the Administrative Agent by recording for the account of such Lender the new Loan of such Lender resulting from such conversion and reducing the Loan (or portion thereof) of such Lender being converted by an equivalent principal amount; accrued interest on any Eurodollar Loan (or portion thereof) being converted shall be paid by the Borrower at the time of conversion;</w:t>
      </w:r>
    </w:p>
    <w:p>
      <w:pPr>
        <w:spacing w:after="0" w:line="162" w:lineRule="exact"/>
        <w:rPr>
          <w:rFonts w:ascii="Arial" w:cs="Arial" w:eastAsia="Arial" w:hAnsi="Arial"/>
          <w:sz w:val="20"/>
          <w:szCs w:val="20"/>
          <w:color w:val="auto"/>
        </w:rPr>
      </w:pPr>
    </w:p>
    <w:p>
      <w:pPr>
        <w:ind w:left="79" w:firstLine="1129"/>
        <w:spacing w:after="0" w:line="291" w:lineRule="auto"/>
        <w:tabs>
          <w:tab w:leader="none" w:pos="167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any Eurodollar Borrowing is converted on a day prior to the last day of the Interest Period applicable thereto, the Borrower shall pay, upon demand, any amounts due to the Lenders pursuant to </w:t>
      </w:r>
      <w:r>
        <w:rPr>
          <w:rFonts w:ascii="Arial" w:cs="Arial" w:eastAsia="Arial" w:hAnsi="Arial"/>
          <w:sz w:val="20"/>
          <w:szCs w:val="20"/>
          <w:u w:val="single" w:color="auto"/>
          <w:color w:val="auto"/>
        </w:rPr>
        <w:t>Section 3.04</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ind w:left="-1" w:firstLine="605"/>
        <w:spacing w:after="0" w:line="291" w:lineRule="auto"/>
        <w:tabs>
          <w:tab w:leader="none" w:pos="995"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portion of a Borrowing maturing or required to be repaid in less than one month may not be converted into or continued as a Eurodollar Borrowing, unless agreed by all applicable Lenders;</w:t>
      </w:r>
    </w:p>
    <w:p>
      <w:pPr>
        <w:spacing w:after="0" w:line="134" w:lineRule="exact"/>
        <w:rPr>
          <w:rFonts w:ascii="Arial" w:cs="Arial" w:eastAsia="Arial" w:hAnsi="Arial"/>
          <w:sz w:val="20"/>
          <w:szCs w:val="20"/>
          <w:color w:val="auto"/>
        </w:rPr>
      </w:pPr>
    </w:p>
    <w:p>
      <w:pPr>
        <w:jc w:val="both"/>
        <w:ind w:left="-1" w:firstLine="605"/>
        <w:spacing w:after="0" w:line="270" w:lineRule="auto"/>
        <w:tabs>
          <w:tab w:leader="none" w:pos="1056"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portion of a Eurodollar Borrowing that cannot be converted into or continued as a Eurodollar Borrowing by reason of the immediately preceding clause shall be automatically converted at the end of the Interest Period in effect for such Borrowing into an ABR Borrowing; and</w:t>
      </w:r>
    </w:p>
    <w:p>
      <w:pPr>
        <w:spacing w:after="0" w:line="155" w:lineRule="exact"/>
        <w:rPr>
          <w:rFonts w:ascii="Arial" w:cs="Arial" w:eastAsia="Arial" w:hAnsi="Arial"/>
          <w:sz w:val="20"/>
          <w:szCs w:val="20"/>
          <w:color w:val="auto"/>
        </w:rPr>
      </w:pPr>
    </w:p>
    <w:p>
      <w:pPr>
        <w:ind w:left="-1" w:firstLine="605"/>
        <w:spacing w:after="0" w:line="350" w:lineRule="auto"/>
        <w:tabs>
          <w:tab w:leader="none" w:pos="10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notice to the Borrower from the Administrative Agent given at the request of the Required Lenders, after the occurrence and during the continuance of an Event of Default, no outstanding Loan may be converted into, or continued as, a Eurodollar Loan.</w:t>
      </w:r>
    </w:p>
    <w:p>
      <w:pPr>
        <w:spacing w:after="0" w:line="88" w:lineRule="exact"/>
        <w:rPr>
          <w:sz w:val="20"/>
          <w:szCs w:val="20"/>
          <w:color w:val="auto"/>
        </w:rPr>
      </w:pPr>
    </w:p>
    <w:p>
      <w:pPr>
        <w:ind w:left="599"/>
        <w:spacing w:after="0"/>
        <w:rPr>
          <w:sz w:val="20"/>
          <w:szCs w:val="20"/>
          <w:color w:val="auto"/>
        </w:rPr>
      </w:pPr>
      <w:r>
        <w:rPr>
          <w:rFonts w:ascii="Arial" w:cs="Arial" w:eastAsia="Arial" w:hAnsi="Arial"/>
          <w:sz w:val="18"/>
          <w:szCs w:val="18"/>
          <w:color w:val="auto"/>
        </w:rPr>
        <w:t>Each such Request for Credit Extension shall (except as set forth herein) be irrevocable and shall refer to this Agreement and specify</w:t>
      </w:r>
    </w:p>
    <w:p>
      <w:pPr>
        <w:spacing w:after="0" w:line="50" w:lineRule="exact"/>
        <w:rPr>
          <w:sz w:val="20"/>
          <w:szCs w:val="20"/>
          <w:color w:val="auto"/>
        </w:rPr>
      </w:pPr>
    </w:p>
    <w:p>
      <w:pPr>
        <w:jc w:val="both"/>
        <w:ind w:left="-1" w:firstLine="1"/>
        <w:spacing w:after="0" w:line="265" w:lineRule="auto"/>
        <w:tabs>
          <w:tab w:leader="none" w:pos="262"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identity and amount of the Borrowing that the Borrower requests be converted or continued, (ii) whether such Borrowing is to be converted to or continued as a Eurodollar Borrowing or an ABR Borrowing, (iii) if such Request for Credit Extension requests a conversion, the date of such conversion (which shall be a Business Day) and (iv) if such Borrowing is to be converted to or continued as a Eurodollar Borrowing, the Interest Period with respect thereto. If no Interest Period is specified in any such Request for Credit Extension with respect to any conversion to or continuation as a Eurodollar Borrowing, the Borrower shall be deemed to have selected an Interest Period of one month’s duration. The Administrative Agent shall promptly advise the Lenders of any Request for Credit Extension and of each Lender’s portion of any converted or continued Borrowing. If the Borrower shall not have given a Request for Credit Extension in accordance with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to continue any Borrowing into a subsequent Interest Period (and shall not otherwise have given notice in accordance with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to convert such Borrowing), such Borrowing shall, at the end of the Interest Period applicable thereto (unless repaid pursuant to the terms hereof), automatically be converted into an ABR Borrowing.</w:t>
      </w:r>
    </w:p>
    <w:p>
      <w:pPr>
        <w:spacing w:after="0" w:line="162" w:lineRule="exact"/>
        <w:rPr>
          <w:sz w:val="20"/>
          <w:szCs w:val="20"/>
          <w:color w:val="auto"/>
        </w:rPr>
      </w:pPr>
    </w:p>
    <w:p>
      <w:pPr>
        <w:ind w:left="599"/>
        <w:spacing w:after="0"/>
        <w:tabs>
          <w:tab w:leader="none" w:pos="1859"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i w:val="1"/>
          <w:iCs w:val="1"/>
          <w:color w:val="auto"/>
        </w:rPr>
        <w:t>Repayment of Term Borrowings</w:t>
      </w:r>
      <w:r>
        <w:rPr>
          <w:rFonts w:ascii="Arial" w:cs="Arial" w:eastAsia="Arial" w:hAnsi="Arial"/>
          <w:sz w:val="18"/>
          <w:szCs w:val="18"/>
          <w:color w:val="auto"/>
        </w:rPr>
        <w:t>.</w:t>
      </w:r>
    </w:p>
    <w:p>
      <w:pPr>
        <w:spacing w:after="0" w:line="223" w:lineRule="exact"/>
        <w:rPr>
          <w:sz w:val="20"/>
          <w:szCs w:val="20"/>
          <w:color w:val="auto"/>
        </w:rPr>
      </w:pPr>
    </w:p>
    <w:p>
      <w:pPr>
        <w:jc w:val="both"/>
        <w:ind w:left="-1" w:firstLine="605"/>
        <w:spacing w:after="0" w:line="255" w:lineRule="auto"/>
        <w:tabs>
          <w:tab w:leader="none" w:pos="1045"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Borrower shall repay to the Administrative Agent for the ratable account of the applicable Term Lenders on the Maturity Date for such Tranche B-2 Term Loans, the aggregate principal amount of such Tranche B-2 Term Loans outstanding on such date, together in each case with accrued and unpaid interest on the principal amount to be paid to but excluding the date of such payment. Upon the conversion of Tranche B-2 Term Loans to Extended Term Loans or the refinancing of Tranche B-2 Term Loans with Credit Agreement Refinancing Indebtedness, all scheduled amortization payments, if any, shall be reduced ratably by the aggregate principal amount of the Tranche B-2 Term Loans so converted, refinanced or replaced. The Borrower shall repay Extended Term Loans and Other Term Loans in such amounts and on such date or dates as shall be specified therefor in the applicable Extension Offer, Refinancing Amendment or other governing documentation.</w:t>
      </w:r>
    </w:p>
    <w:p>
      <w:pPr>
        <w:spacing w:after="0" w:line="171" w:lineRule="exact"/>
        <w:rPr>
          <w:rFonts w:ascii="Arial" w:cs="Arial" w:eastAsia="Arial" w:hAnsi="Arial"/>
          <w:sz w:val="20"/>
          <w:szCs w:val="20"/>
          <w:color w:val="auto"/>
        </w:rPr>
      </w:pPr>
    </w:p>
    <w:p>
      <w:pPr>
        <w:jc w:val="both"/>
        <w:ind w:left="-1" w:firstLine="605"/>
        <w:spacing w:after="0" w:line="270" w:lineRule="auto"/>
        <w:tabs>
          <w:tab w:leader="none" w:pos="1019"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the extent not previously paid, all Term Loans (including, for avoidance of doubt, Term Loans that are not Tranche B-2 Term Loans) shall be due and payable on the applicable Maturity Date, together with accrued and unpaid interest on the principal amount to be paid to but excluding the date of payment.</w:t>
      </w:r>
    </w:p>
    <w:p>
      <w:pPr>
        <w:spacing w:after="0" w:line="155" w:lineRule="exact"/>
        <w:rPr>
          <w:rFonts w:ascii="Arial" w:cs="Arial" w:eastAsia="Arial" w:hAnsi="Arial"/>
          <w:sz w:val="20"/>
          <w:szCs w:val="20"/>
          <w:color w:val="auto"/>
        </w:rPr>
      </w:pPr>
    </w:p>
    <w:p>
      <w:pPr>
        <w:ind w:left="999" w:hanging="395"/>
        <w:spacing w:after="0"/>
        <w:tabs>
          <w:tab w:leader="none" w:pos="99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All repayments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subject to </w:t>
      </w:r>
      <w:r>
        <w:rPr>
          <w:rFonts w:ascii="Arial" w:cs="Arial" w:eastAsia="Arial" w:hAnsi="Arial"/>
          <w:sz w:val="18"/>
          <w:szCs w:val="18"/>
          <w:u w:val="single" w:color="auto"/>
          <w:color w:val="auto"/>
        </w:rPr>
        <w:t>Section 3.04</w:t>
      </w:r>
      <w:r>
        <w:rPr>
          <w:rFonts w:ascii="Arial" w:cs="Arial" w:eastAsia="Arial" w:hAnsi="Arial"/>
          <w:sz w:val="18"/>
          <w:szCs w:val="18"/>
          <w:color w:val="auto"/>
        </w:rPr>
        <w:t>, but shall otherwise be without premium or penalty.</w:t>
      </w:r>
    </w:p>
    <w:p>
      <w:pPr>
        <w:spacing w:after="0" w:line="246" w:lineRule="exact"/>
        <w:rPr>
          <w:sz w:val="20"/>
          <w:szCs w:val="20"/>
          <w:color w:val="auto"/>
        </w:rPr>
      </w:pPr>
    </w:p>
    <w:p>
      <w:pPr>
        <w:ind w:left="599"/>
        <w:spacing w:after="0"/>
        <w:tabs>
          <w:tab w:leader="none" w:pos="1859"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i w:val="1"/>
          <w:iCs w:val="1"/>
          <w:color w:val="auto"/>
        </w:rPr>
        <w:t>Voluntary Prepayment</w:t>
      </w:r>
      <w:r>
        <w:rPr>
          <w:rFonts w:ascii="Arial" w:cs="Arial" w:eastAsia="Arial" w:hAnsi="Arial"/>
          <w:sz w:val="18"/>
          <w:szCs w:val="18"/>
          <w:color w:val="auto"/>
        </w:rPr>
        <w:t>.</w:t>
      </w:r>
    </w:p>
    <w:p>
      <w:pPr>
        <w:spacing w:after="0" w:line="223" w:lineRule="exact"/>
        <w:rPr>
          <w:sz w:val="20"/>
          <w:szCs w:val="20"/>
          <w:color w:val="auto"/>
        </w:rPr>
      </w:pPr>
    </w:p>
    <w:p>
      <w:pPr>
        <w:jc w:val="both"/>
        <w:ind w:left="-1" w:firstLine="605"/>
        <w:spacing w:after="0" w:line="301" w:lineRule="auto"/>
        <w:tabs>
          <w:tab w:leader="none" w:pos="10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Borrower shall have the right at any time and from time to time to prepay any Borrowing, in whole or in part, upon at least three Business Days’ prior written (email) notice in the case of Eurodollar Loans, or written (email) notice at least one Business Day prior to the date of prepayment in the case of ABR Loans, to the Administrative Agent before 1:00 p.m., New York City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partial prepayment shall be in an amount that is an integral multiple of $1,000,000 and not less than $2,500,000.</w:t>
      </w:r>
    </w:p>
    <w:p>
      <w:pPr>
        <w:spacing w:after="0" w:line="131" w:lineRule="exact"/>
        <w:rPr>
          <w:rFonts w:ascii="Arial" w:cs="Arial" w:eastAsia="Arial" w:hAnsi="Arial"/>
          <w:sz w:val="18"/>
          <w:szCs w:val="18"/>
          <w:color w:val="auto"/>
        </w:rPr>
      </w:pPr>
    </w:p>
    <w:p>
      <w:pPr>
        <w:ind w:left="-1" w:firstLine="605"/>
        <w:spacing w:after="0" w:line="291" w:lineRule="auto"/>
        <w:tabs>
          <w:tab w:leader="none" w:pos="1056"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Except as may otherwise be set forth in any Extension Offer or any Refinancing Amendment, voluntary prepayments of Term Loans pursuant to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applied ratably to each Class of Term Loans then outstanding.</w:t>
      </w:r>
    </w:p>
    <w:p>
      <w:pPr>
        <w:spacing w:after="0" w:line="134" w:lineRule="exact"/>
        <w:rPr>
          <w:rFonts w:ascii="Arial" w:cs="Arial" w:eastAsia="Arial" w:hAnsi="Arial"/>
          <w:sz w:val="20"/>
          <w:szCs w:val="20"/>
          <w:color w:val="auto"/>
        </w:rPr>
      </w:pPr>
    </w:p>
    <w:p>
      <w:pPr>
        <w:jc w:val="both"/>
        <w:ind w:left="-1" w:firstLine="605"/>
        <w:spacing w:after="0" w:line="254" w:lineRule="auto"/>
        <w:tabs>
          <w:tab w:leader="none" w:pos="1007"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Each notice of prepayment shall specify the prepayment date and the principal amount of each Borrowing (or portion thereof) to be prepaid shall be irrevocable and shall commit the Borrower to prepay such Borrowing by the amount stated therein on the date stated therein; </w:t>
      </w:r>
      <w:r>
        <w:rPr>
          <w:rFonts w:ascii="Arial" w:cs="Arial" w:eastAsia="Arial" w:hAnsi="Arial"/>
          <w:sz w:val="20"/>
          <w:szCs w:val="20"/>
          <w:i w:val="1"/>
          <w:iCs w:val="1"/>
          <w:color w:val="auto"/>
        </w:rPr>
        <w:t>provided, however</w:t>
      </w:r>
      <w:r>
        <w:rPr>
          <w:rFonts w:ascii="Arial" w:cs="Arial" w:eastAsia="Arial" w:hAnsi="Arial"/>
          <w:sz w:val="20"/>
          <w:szCs w:val="20"/>
          <w:color w:val="auto"/>
        </w:rPr>
        <w:t>, that a notice of prepayment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shall apply to any prepayment that is not made as a result of the failure of such condition). All prepayments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2.12(d)</w:t>
      </w:r>
      <w:r>
        <w:rPr>
          <w:rFonts w:ascii="Arial" w:cs="Arial" w:eastAsia="Arial" w:hAnsi="Arial"/>
          <w:sz w:val="20"/>
          <w:szCs w:val="20"/>
          <w:color w:val="auto"/>
        </w:rPr>
        <w:t xml:space="preserve"> (to the extent applicable) and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but otherwise without premium or penalty. All prepayments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accompanied by accrued and unpaid interest on the principal amount to be prepaid to but excluding the date of payment.</w:t>
      </w:r>
    </w:p>
    <w:p>
      <w:pPr>
        <w:spacing w:after="0" w:line="171" w:lineRule="exact"/>
        <w:rPr>
          <w:rFonts w:ascii="Arial" w:cs="Arial" w:eastAsia="Arial" w:hAnsi="Arial"/>
          <w:sz w:val="20"/>
          <w:szCs w:val="20"/>
          <w:color w:val="auto"/>
        </w:rPr>
      </w:pPr>
    </w:p>
    <w:p>
      <w:pPr>
        <w:jc w:val="both"/>
        <w:ind w:left="-1" w:firstLine="680"/>
        <w:spacing w:after="0" w:line="350" w:lineRule="auto"/>
        <w:tabs>
          <w:tab w:leader="none" w:pos="1132"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 the event that, (i) the Borrower voluntarily prepays any Tranche B-2 Term Loans, (ii) the Borrower makes any mandatory prepayment of the Tranche B-2 Term Loans pursuant to </w:t>
      </w:r>
      <w:r>
        <w:rPr>
          <w:rFonts w:ascii="Arial" w:cs="Arial" w:eastAsia="Arial" w:hAnsi="Arial"/>
          <w:sz w:val="18"/>
          <w:szCs w:val="18"/>
          <w:u w:val="single" w:color="auto"/>
          <w:color w:val="auto"/>
        </w:rPr>
        <w:t>Sections 2.13(a)(ii)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2.13(a)(iv)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2.13(a)(v)</w:t>
      </w:r>
      <w:r>
        <w:rPr>
          <w:rFonts w:ascii="Arial" w:cs="Arial" w:eastAsia="Arial" w:hAnsi="Arial"/>
          <w:sz w:val="18"/>
          <w:szCs w:val="18"/>
          <w:color w:val="auto"/>
        </w:rPr>
        <w:t>, (iii) a Term Lender is</w:t>
      </w:r>
    </w:p>
    <w:p>
      <w:pPr>
        <w:sectPr>
          <w:pgSz w:w="11900" w:h="16854" w:orient="portrait"/>
          <w:cols w:equalWidth="0" w:num="1">
            <w:col w:w="11419"/>
          </w:cols>
          <w:pgMar w:left="241" w:top="156" w:right="239" w:bottom="0" w:gutter="0" w:footer="0" w:header="0"/>
        </w:sectPr>
      </w:pPr>
    </w:p>
    <w:bookmarkStart w:id="80" w:name="page81"/>
    <w:bookmarkEnd w:id="80"/>
    <w:p>
      <w:pPr>
        <w:jc w:val="both"/>
        <w:spacing w:after="0" w:line="279" w:lineRule="auto"/>
        <w:rPr>
          <w:sz w:val="20"/>
          <w:szCs w:val="20"/>
          <w:color w:val="auto"/>
        </w:rPr>
      </w:pPr>
      <w:r>
        <w:rPr>
          <w:rFonts w:ascii="Arial" w:cs="Arial" w:eastAsia="Arial" w:hAnsi="Arial"/>
          <w:sz w:val="18"/>
          <w:szCs w:val="18"/>
          <w:color w:val="auto"/>
        </w:rPr>
        <w:t xml:space="preserve">deemed a Non-Consenting Lender and must assign its Tranche B-2 Term Loans pursuant to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or (iv) the Tranche B-2 Term Loans are accelerated, then in each case, the Borrower shall pay to the Administrative Agent on the date of such prepayment, assignment or acceleration, for the ratable account of each applicable Term Lender, a prepayment premium equal to (x) 3% of the aggregate amount of the applicable Tranche B-2 Term Loans being prepaid, accelerated or assigned if such prepayment, acceleration or assignment occurs after the Restatement Effective Date but prior to the first anniversary of the Restatement Effective Date, (y) 2% of the aggregate amount of the applicable Tranche B-2 Term Loans being prepaid, accelerated or assigned if such prepayment or assignment occurs on or after the first but prior to the second anniversary of the Restatement Effective Date and (z) 1% of the aggregate amount of the applicable Tranche B-2 Term Loans being prepaid, accelerated or assigned if such prepayment, acceleration or assignment occurs on or after the second but prior to the third anniversary of the Restatement Effective Date (the foregoing premiums, the “</w:t>
      </w:r>
      <w:r>
        <w:rPr>
          <w:rFonts w:ascii="Arial" w:cs="Arial" w:eastAsia="Arial" w:hAnsi="Arial"/>
          <w:sz w:val="18"/>
          <w:szCs w:val="18"/>
          <w:b w:val="1"/>
          <w:bCs w:val="1"/>
          <w:color w:val="auto"/>
        </w:rPr>
        <w:t>Prepayment Premium</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for the avoidance of doubt, no Prepayment Premium shall be payable on or following the third anniversary of the Restatement Effective Date and</w:t>
      </w:r>
    </w:p>
    <w:p>
      <w:pPr>
        <w:spacing w:after="0" w:line="3" w:lineRule="exact"/>
        <w:rPr>
          <w:sz w:val="20"/>
          <w:szCs w:val="20"/>
          <w:color w:val="auto"/>
        </w:rPr>
      </w:pPr>
    </w:p>
    <w:p>
      <w:pPr>
        <w:jc w:val="both"/>
        <w:ind w:firstLine="1"/>
        <w:spacing w:after="0" w:line="279" w:lineRule="auto"/>
        <w:tabs>
          <w:tab w:leader="none" w:pos="32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Prepayment Premium shall not apply to mandatory prepayments of the Tranche B-2 Term Loans pursuant to </w:t>
      </w:r>
      <w:r>
        <w:rPr>
          <w:rFonts w:ascii="Arial" w:cs="Arial" w:eastAsia="Arial" w:hAnsi="Arial"/>
          <w:sz w:val="18"/>
          <w:szCs w:val="18"/>
          <w:u w:val="single" w:color="auto"/>
          <w:color w:val="auto"/>
        </w:rPr>
        <w:t>Section 2.13(a)(ii)</w:t>
      </w:r>
      <w:r>
        <w:rPr>
          <w:rFonts w:ascii="Arial" w:cs="Arial" w:eastAsia="Arial" w:hAnsi="Arial"/>
          <w:sz w:val="18"/>
          <w:szCs w:val="18"/>
          <w:color w:val="auto"/>
        </w:rPr>
        <w:t xml:space="preserve"> that do not exceed $100,000,000 in the aggregate during the term of this Agreement. Without limiting the generality of the foregoing, it is understood and agreed that if the Tranche B-2 Term Loans are accelerated or otherwise become due prior to their maturity date, in each case, in respect of any Event of Default (including upon the occurrence of a bankruptcy or insolvency event (including the acceleration of claims by operation of law)), the Prepayment Premium applicable with respect to a voluntary prepayment of the Tranche B-2 Term Loans will also be due and payable on the date of such acceleration or such other prior due date as though the Tranche B-2 Term Loans were voluntarily prepaid as of such date and shall constitute part of the Obligations, in view of the impracticability and extreme difficulty of ascertaining actual damages and by mutual agreement of the parties as to a reasonable calculation of each Term Lender’s loss as a result thereof. Any premium payable above shall be presumed to be the liquidated damages sustained by each Term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Term Lenders and the Borrower giving specific consideration in this transaction for such agreement to pay the Prepayment Premium; and (D) the Borrower shall be estopped hereafter from claiming differently than as agreed to in this paragraph.</w:t>
      </w:r>
    </w:p>
    <w:p>
      <w:pPr>
        <w:spacing w:after="0" w:line="158" w:lineRule="exact"/>
        <w:rPr>
          <w:sz w:val="20"/>
          <w:szCs w:val="20"/>
          <w:color w:val="auto"/>
        </w:rPr>
      </w:pPr>
    </w:p>
    <w:p>
      <w:pPr>
        <w:ind w:left="680"/>
        <w:spacing w:after="0"/>
        <w:tabs>
          <w:tab w:leader="none" w:pos="194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8"/>
          <w:szCs w:val="18"/>
          <w:i w:val="1"/>
          <w:iCs w:val="1"/>
          <w:color w:val="auto"/>
        </w:rPr>
        <w:t>Mandatory Prepayments</w:t>
      </w:r>
      <w:r>
        <w:rPr>
          <w:rFonts w:ascii="Arial" w:cs="Arial" w:eastAsia="Arial" w:hAnsi="Arial"/>
          <w:sz w:val="18"/>
          <w:szCs w:val="18"/>
          <w:color w:val="auto"/>
        </w:rPr>
        <w:t>.</w:t>
      </w:r>
    </w:p>
    <w:p>
      <w:pPr>
        <w:spacing w:after="0" w:line="223" w:lineRule="exact"/>
        <w:rPr>
          <w:sz w:val="20"/>
          <w:szCs w:val="20"/>
          <w:color w:val="auto"/>
        </w:rPr>
      </w:pPr>
    </w:p>
    <w:p>
      <w:pPr>
        <w:jc w:val="both"/>
        <w:ind w:firstLine="680"/>
        <w:spacing w:after="0" w:line="281" w:lineRule="auto"/>
        <w:tabs>
          <w:tab w:leader="none" w:pos="1083"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(i) Within five (5) Business Days after the earlier of (x) 90 days after the end of each Excess Cash Flow Period and (y) the date on which financial statements have been delivered pursuant to Section 6.01(a) (commencing with the Excess Cash Flow Period ended December 31, 2019) and the related Compliance Certificate has been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the Borrower shall cause to be prepaid an aggregate amount of Term Loans in an amount equal to (A) the Applicable ECF Percentage of Excess Cash Flow, if any, for the Excess Cash Flow Period covered or required to have been covered by such financial statements minus (B) the sum of (1) all voluntary prepayments of principal of Term Loans (including the amount of cash used to make all debt buybacks and repurchases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10.04(k</w:t>
      </w:r>
      <w:r>
        <w:rPr>
          <w:rFonts w:ascii="Arial" w:cs="Arial" w:eastAsia="Arial" w:hAnsi="Arial"/>
          <w:sz w:val="18"/>
          <w:szCs w:val="18"/>
          <w:color w:val="auto"/>
        </w:rPr>
        <w:t>)) and (2) all voluntary prepayments of loans under the ABL Facility during such fiscal year to the extent accompanied by a corresponding permanent reduction in the commitments under the ABL Facility and, in the case of each of the immediately preceding clauses</w:t>
      </w:r>
    </w:p>
    <w:p>
      <w:pPr>
        <w:spacing w:after="0" w:line="4" w:lineRule="exact"/>
        <w:rPr>
          <w:rFonts w:ascii="Arial" w:cs="Arial" w:eastAsia="Arial" w:hAnsi="Arial"/>
          <w:sz w:val="18"/>
          <w:szCs w:val="18"/>
          <w:color w:val="auto"/>
        </w:rPr>
      </w:pPr>
    </w:p>
    <w:p>
      <w:pPr>
        <w:jc w:val="both"/>
        <w:ind w:firstLine="1"/>
        <w:spacing w:after="0" w:line="277" w:lineRule="auto"/>
        <w:tabs>
          <w:tab w:leader="none" w:pos="3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and (2), to the extent such prepayments are funded with Internally Generated Cash;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prepayment required under this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shall be reduced to the extent (but only to the extent) that (x) after giving effect to such prepayment, the sum of</w:t>
      </w: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 xml:space="preserve">(a) the maximum aggregate amount available to be drawn under the ABL Credit Agreement that would not result in a Financial Covenant Trigger Period under the ABL Facility (or any similar term under any replacement ABL Facility) plus (b) the aggregate amount of cash and Cash Equivalents of the Borrower and its Restricted Subsidiaries (other than any cash or Cash Equivalents appearing on the consolidated balance sheet of the Borrower as “restricted” (or with a like designation)) would be less than $200,000,000 and (y) the Borrower shall have delivered to the Administrative Agent a certificate of a Responsible Officer certifying as to the foregoing. Notwithstanding anything to the contrary contained herein, the Borrower shall not be obligated to make any such prepayments described in this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(and no Default or Event of Default shall arise as a result of such nonpayment) to the extent such payment would otherwise constitute a violation or breach of the ABL Credit Agreement in respect of minimum liquidity requirements (as in effect on the date hereof in respect of such restriction, or as otherwise modified, supplemented or amended in a manner not adverse to the Lenders).</w:t>
      </w:r>
    </w:p>
    <w:p>
      <w:pPr>
        <w:spacing w:after="0" w:line="154" w:lineRule="exact"/>
        <w:rPr>
          <w:rFonts w:ascii="Arial" w:cs="Arial" w:eastAsia="Arial" w:hAnsi="Arial"/>
          <w:sz w:val="18"/>
          <w:szCs w:val="18"/>
          <w:color w:val="auto"/>
        </w:rPr>
      </w:pPr>
    </w:p>
    <w:p>
      <w:pPr>
        <w:jc w:val="both"/>
        <w:ind w:firstLine="1209"/>
        <w:spacing w:after="0" w:line="285" w:lineRule="auto"/>
        <w:tabs>
          <w:tab w:leader="none" w:pos="1728"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If (1) the Borrower or any Restricted Subsidiary Disposes of any Real Property or Disposes of any other property or assets pursuant to </w:t>
      </w:r>
      <w:r>
        <w:rPr>
          <w:rFonts w:ascii="Arial" w:cs="Arial" w:eastAsia="Arial" w:hAnsi="Arial"/>
          <w:sz w:val="18"/>
          <w:szCs w:val="18"/>
          <w:u w:val="single" w:color="auto"/>
          <w:color w:val="auto"/>
        </w:rPr>
        <w:t>Section 7.05 (j)</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or under any transaction that would be prohibited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(other than (x) so long as the ABL Credit Agreement is in effect, any Disposition of ABL Priority Collateral and (y) leases of Real Property entered into in the ordinary course of business (excluding Sale and Leaseback Transactions)), or (2) any Casualty Event occurs, which results in the realization or receipt by the Borrower or a Restricted Subsidiary of Net Proceeds, the Borrower shall cause to be prepaid on or prior to the date which is ten (10) Business Days after the date of the realization or receipt by the Borrower or any Restricted Subsidiary of such Net Proceeds an aggregate principal amount of Term Loans in an amount equal to 100% of the Net Proceeds (or, in the case of any Disposition of, or Sale and Leaseback Transaction, with respect to Real Property, 100% of the Real Property Disposition Proceeds) realized or received.</w:t>
      </w:r>
    </w:p>
    <w:p>
      <w:pPr>
        <w:spacing w:after="0" w:line="147" w:lineRule="exact"/>
        <w:rPr>
          <w:rFonts w:ascii="Arial" w:cs="Arial" w:eastAsia="Arial" w:hAnsi="Arial"/>
          <w:sz w:val="18"/>
          <w:szCs w:val="18"/>
          <w:color w:val="auto"/>
        </w:rPr>
      </w:pPr>
    </w:p>
    <w:p>
      <w:pPr>
        <w:jc w:val="both"/>
        <w:ind w:firstLine="1209"/>
        <w:spacing w:after="0" w:line="273" w:lineRule="auto"/>
        <w:tabs>
          <w:tab w:leader="none" w:pos="1792" w:val="left"/>
        </w:tabs>
        <w:numPr>
          <w:ilvl w:val="2"/>
          <w:numId w:val="81"/>
        </w:numPr>
        <w:rPr>
          <w:rFonts w:ascii="Arial" w:cs="Arial" w:eastAsia="Arial" w:hAnsi="Arial"/>
          <w:sz w:val="19"/>
          <w:szCs w:val="19"/>
          <w:color w:val="auto"/>
        </w:rPr>
      </w:pPr>
      <w:r>
        <w:rPr>
          <w:rFonts w:ascii="Arial" w:cs="Arial" w:eastAsia="Arial" w:hAnsi="Arial"/>
          <w:sz w:val="19"/>
          <w:szCs w:val="19"/>
          <w:color w:val="auto"/>
        </w:rPr>
        <w:t xml:space="preserve">If the Borrower or any Restricted Subsidiary incurs or issues any Indebtedness after the Restatement Effective Date (other than Indebtedness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(other than any Credit Agreement Refinancing Indebtedness)), the Borrower shall cause to be prepaid an aggregate principal amount of Term Loans in an amount equal to 100% of all Net Proceeds received therefrom on or prior to the date which is five (5) Business Days after (or, in the case of Credit Agreement Refinancing Indebtedness, one Business Day after) the receipt by the Borrower or such Restricted Subsidiary of such Net Proceeds.</w:t>
      </w:r>
    </w:p>
    <w:p>
      <w:pPr>
        <w:spacing w:after="0" w:line="154" w:lineRule="exact"/>
        <w:rPr>
          <w:rFonts w:ascii="Arial" w:cs="Arial" w:eastAsia="Arial" w:hAnsi="Arial"/>
          <w:sz w:val="19"/>
          <w:szCs w:val="19"/>
          <w:color w:val="auto"/>
        </w:rPr>
      </w:pPr>
    </w:p>
    <w:p>
      <w:pPr>
        <w:jc w:val="both"/>
        <w:ind w:firstLine="1209"/>
        <w:spacing w:after="0" w:line="259" w:lineRule="auto"/>
        <w:tabs>
          <w:tab w:leader="none" w:pos="1943" w:val="left"/>
        </w:tabs>
        <w:numPr>
          <w:ilvl w:val="2"/>
          <w:numId w:val="81"/>
        </w:numPr>
        <w:rPr>
          <w:rFonts w:ascii="Arial" w:cs="Arial" w:eastAsia="Arial" w:hAnsi="Arial"/>
          <w:sz w:val="20"/>
          <w:szCs w:val="20"/>
          <w:color w:val="auto"/>
        </w:rPr>
      </w:pPr>
      <w:r>
        <w:rPr>
          <w:rFonts w:ascii="Arial" w:cs="Arial" w:eastAsia="Arial" w:hAnsi="Arial"/>
          <w:sz w:val="20"/>
          <w:szCs w:val="20"/>
          <w:color w:val="auto"/>
        </w:rPr>
        <w:t>If the Borrower issues any Alternative Incremental Indebtedness or any Subordinated Indebtedness after the Restatement Effective Date, the Borrower shall cause to be prepaid an aggregate principal amount of Term Loans in an amount equal to 33% of all Net Proceeds received therefrom on or prior to the date which is five (5) Business Days after the receipt by the Borrower of such Net Proceeds.</w:t>
      </w:r>
    </w:p>
    <w:p>
      <w:pPr>
        <w:sectPr>
          <w:pgSz w:w="11900" w:h="16838" w:orient="portrait"/>
          <w:cols w:equalWidth="0" w:num="1">
            <w:col w:w="11420"/>
          </w:cols>
          <w:pgMar w:left="240" w:top="131" w:right="239" w:bottom="0" w:gutter="0" w:footer="0" w:header="0"/>
        </w:sectPr>
      </w:pPr>
    </w:p>
    <w:bookmarkStart w:id="81" w:name="page82"/>
    <w:bookmarkEnd w:id="81"/>
    <w:p>
      <w:pPr>
        <w:spacing w:after="0" w:line="167" w:lineRule="exact"/>
        <w:rPr>
          <w:sz w:val="20"/>
          <w:szCs w:val="20"/>
          <w:color w:val="auto"/>
        </w:rPr>
      </w:pPr>
    </w:p>
    <w:p>
      <w:pPr>
        <w:jc w:val="both"/>
        <w:ind w:firstLine="1209"/>
        <w:spacing w:after="0" w:line="276" w:lineRule="auto"/>
        <w:tabs>
          <w:tab w:leader="none" w:pos="1674"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If the Borrower issues any Equity Interests after the Restatement Effective Date, the Borrower shall cause to be prepaid an aggregate principal amount of Term Loans in an amount equal to 50% of all Net Equity Proceeds received therefrom on or prior to the date which is five (5) Business Days after the receipt by the Borrower of such Net Equity Proceeds;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only be required to apply up to $30,000,000 in the aggregate of Net Equity Proceeds pursuant to this </w:t>
      </w:r>
      <w:r>
        <w:rPr>
          <w:rFonts w:ascii="Arial" w:cs="Arial" w:eastAsia="Arial" w:hAnsi="Arial"/>
          <w:sz w:val="19"/>
          <w:szCs w:val="19"/>
          <w:u w:val="single" w:color="auto"/>
          <w:color w:val="auto"/>
        </w:rPr>
        <w:t>Section 2.13(a)(v)</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605"/>
        <w:spacing w:after="0" w:line="263" w:lineRule="auto"/>
        <w:tabs>
          <w:tab w:leader="none" w:pos="120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Except as may otherwise be set forth in any Extension Offer, any Refinancing Amendment, any Permitted Repricing Amendment or any other governing documentation, each prepayment of Term Loans pursuant to </w:t>
      </w:r>
      <w:r>
        <w:rPr>
          <w:rFonts w:ascii="Arial" w:cs="Arial" w:eastAsia="Arial" w:hAnsi="Arial"/>
          <w:sz w:val="20"/>
          <w:szCs w:val="20"/>
          <w:u w:val="single" w:color="auto"/>
          <w:color w:val="auto"/>
        </w:rPr>
        <w:t>Section 2.13(a)</w:t>
      </w:r>
      <w:r>
        <w:rPr>
          <w:rFonts w:ascii="Arial" w:cs="Arial" w:eastAsia="Arial" w:hAnsi="Arial"/>
          <w:sz w:val="20"/>
          <w:szCs w:val="20"/>
          <w:color w:val="auto"/>
        </w:rPr>
        <w:t xml:space="preserve"> shall be applied ratably to each Class of Term Loans then outstanding;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prepayment of Term Loans pursuant to the parenthetical in </w:t>
      </w:r>
      <w:r>
        <w:rPr>
          <w:rFonts w:ascii="Arial" w:cs="Arial" w:eastAsia="Arial" w:hAnsi="Arial"/>
          <w:sz w:val="20"/>
          <w:szCs w:val="20"/>
          <w:u w:val="single" w:color="auto"/>
          <w:color w:val="auto"/>
        </w:rPr>
        <w:t>Section 2.13(a)(iii)</w:t>
      </w:r>
      <w:r>
        <w:rPr>
          <w:rFonts w:ascii="Arial" w:cs="Arial" w:eastAsia="Arial" w:hAnsi="Arial"/>
          <w:sz w:val="20"/>
          <w:szCs w:val="20"/>
          <w:color w:val="auto"/>
        </w:rPr>
        <w:t xml:space="preserve"> shall be applied solely to each applicable Class of Refinanced Debt.</w:t>
      </w:r>
    </w:p>
    <w:p>
      <w:pPr>
        <w:spacing w:after="0" w:line="162" w:lineRule="exact"/>
        <w:rPr>
          <w:rFonts w:ascii="Arial" w:cs="Arial" w:eastAsia="Arial" w:hAnsi="Arial"/>
          <w:sz w:val="20"/>
          <w:szCs w:val="20"/>
          <w:color w:val="auto"/>
        </w:rPr>
      </w:pPr>
    </w:p>
    <w:p>
      <w:pPr>
        <w:jc w:val="both"/>
        <w:ind w:firstLine="605"/>
        <w:spacing w:after="0" w:line="270" w:lineRule="auto"/>
        <w:tabs>
          <w:tab w:leader="none" w:pos="1134"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With respect to each Class of Term Loans, each prepayment pursuant to </w:t>
      </w:r>
      <w:r>
        <w:rPr>
          <w:rFonts w:ascii="Arial" w:cs="Arial" w:eastAsia="Arial" w:hAnsi="Arial"/>
          <w:sz w:val="20"/>
          <w:szCs w:val="20"/>
          <w:u w:val="single" w:color="auto"/>
          <w:color w:val="auto"/>
        </w:rPr>
        <w:t>Section 2.13(a)</w:t>
      </w:r>
      <w:r>
        <w:rPr>
          <w:rFonts w:ascii="Arial" w:cs="Arial" w:eastAsia="Arial" w:hAnsi="Arial"/>
          <w:sz w:val="20"/>
          <w:szCs w:val="20"/>
          <w:color w:val="auto"/>
        </w:rPr>
        <w:t xml:space="preserve"> shall be paid to the Lenders in accordance with their respective Pro Rata Shares, subject to </w:t>
      </w:r>
      <w:r>
        <w:rPr>
          <w:rFonts w:ascii="Arial" w:cs="Arial" w:eastAsia="Arial" w:hAnsi="Arial"/>
          <w:sz w:val="20"/>
          <w:szCs w:val="20"/>
          <w:u w:val="single" w:color="auto"/>
          <w:color w:val="auto"/>
        </w:rPr>
        <w:t>Section 2.13(d)</w:t>
      </w:r>
      <w:r>
        <w:rPr>
          <w:rFonts w:ascii="Arial" w:cs="Arial" w:eastAsia="Arial" w:hAnsi="Arial"/>
          <w:sz w:val="20"/>
          <w:szCs w:val="20"/>
          <w:color w:val="auto"/>
        </w:rPr>
        <w:t xml:space="preserve">. For the avoidance of doubt, this </w:t>
      </w:r>
      <w:r>
        <w:rPr>
          <w:rFonts w:ascii="Arial" w:cs="Arial" w:eastAsia="Arial" w:hAnsi="Arial"/>
          <w:sz w:val="20"/>
          <w:szCs w:val="20"/>
          <w:u w:val="single" w:color="auto"/>
          <w:color w:val="auto"/>
        </w:rPr>
        <w:t>Section 2.13(c)</w:t>
      </w:r>
      <w:r>
        <w:rPr>
          <w:rFonts w:ascii="Arial" w:cs="Arial" w:eastAsia="Arial" w:hAnsi="Arial"/>
          <w:sz w:val="20"/>
          <w:szCs w:val="20"/>
          <w:color w:val="auto"/>
        </w:rPr>
        <w:t xml:space="preserve"> is applicable to any prepayment made with the Net Proceeds of Credit Agreement Refinancing Indebtedness.</w:t>
      </w:r>
    </w:p>
    <w:p>
      <w:pPr>
        <w:spacing w:after="0" w:line="155" w:lineRule="exact"/>
        <w:rPr>
          <w:rFonts w:ascii="Arial" w:cs="Arial" w:eastAsia="Arial" w:hAnsi="Arial"/>
          <w:sz w:val="20"/>
          <w:szCs w:val="20"/>
          <w:color w:val="auto"/>
        </w:rPr>
      </w:pPr>
    </w:p>
    <w:p>
      <w:pPr>
        <w:jc w:val="both"/>
        <w:ind w:firstLine="605"/>
        <w:spacing w:after="0" w:line="283" w:lineRule="auto"/>
        <w:tabs>
          <w:tab w:leader="none" w:pos="10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in writing of any mandatory prepayment of Term Loans required to be made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by 1:00 p.m., New York City time, least three (3) Business Days prior to the date of such prepayment. Each such notice shall specify the date of such prepayment and provide a reasonably detailed calculation of the amount of such estimated prepayment. The Administrative Agent will promptly notify each applicable Lender of the contents of the Borrower’s prepayment notice and of such Lender’s Pro Rata Share or other applicable share of the prepayment. Each Term Lender may reject all of its Pro Rata Share or other applicable share of any mandatory prepayment (such declined amounts, the “</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of Term Loans required to be made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by providing written notice (each, a “</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to the Administrative Agent and the Borrower no later than 5:00 p.m., New York City time, one Business Day prior to after the date of such prepayment;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no Lender may reject any prepayment made with proceeds of Credit Agreement Refinancing Indebtedness. If a Term Lender fails to deliver a Rejection Notice to the Administrative Agent within the time frame specified above, any such failure will be deemed an acceptance of the total amount of such mandatory prepayment of Term Loans unless the Borrower and the Administrative Agent, with the consent of the Required Lenders, agree to an extension of time for such failure to be corrected. Any Declined Proceeds shall be retained by the Borrower.</w:t>
      </w:r>
    </w:p>
    <w:p>
      <w:pPr>
        <w:spacing w:after="0" w:line="154" w:lineRule="exact"/>
        <w:rPr>
          <w:rFonts w:ascii="Arial" w:cs="Arial" w:eastAsia="Arial" w:hAnsi="Arial"/>
          <w:sz w:val="18"/>
          <w:szCs w:val="18"/>
          <w:color w:val="auto"/>
        </w:rPr>
      </w:pPr>
    </w:p>
    <w:p>
      <w:pPr>
        <w:jc w:val="both"/>
        <w:ind w:firstLine="605"/>
        <w:spacing w:after="0" w:line="283"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Funding Losses, Etc</w:t>
      </w:r>
      <w:r>
        <w:rPr>
          <w:rFonts w:ascii="Arial" w:cs="Arial" w:eastAsia="Arial" w:hAnsi="Arial"/>
          <w:sz w:val="18"/>
          <w:szCs w:val="18"/>
          <w:color w:val="auto"/>
        </w:rPr>
        <w:t>. All prepayments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accompanied by accrued and unpaid interest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principal amount to be prepaid to but excluding the date of payment and shall be made together with, in the case of any such prepayment of a Eurodollar Loan on a day prior to the last day of an Interest Period therefor, any amounts owing in respect of such Eurodollar Loan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All prepayments under </w:t>
      </w:r>
      <w:r>
        <w:rPr>
          <w:rFonts w:ascii="Arial" w:cs="Arial" w:eastAsia="Arial" w:hAnsi="Arial"/>
          <w:sz w:val="18"/>
          <w:szCs w:val="18"/>
          <w:u w:val="single" w:color="auto"/>
          <w:color w:val="auto"/>
        </w:rPr>
        <w:t>Section 2.13(a)(iii)</w:t>
      </w:r>
      <w:r>
        <w:rPr>
          <w:rFonts w:ascii="Arial" w:cs="Arial" w:eastAsia="Arial" w:hAnsi="Arial"/>
          <w:sz w:val="18"/>
          <w:szCs w:val="18"/>
          <w:color w:val="auto"/>
        </w:rPr>
        <w:t xml:space="preserve"> shall be subject to </w:t>
      </w:r>
      <w:r>
        <w:rPr>
          <w:rFonts w:ascii="Arial" w:cs="Arial" w:eastAsia="Arial" w:hAnsi="Arial"/>
          <w:sz w:val="18"/>
          <w:szCs w:val="18"/>
          <w:u w:val="single" w:color="auto"/>
          <w:color w:val="auto"/>
        </w:rPr>
        <w:t>Section 2.12(d)</w:t>
      </w:r>
      <w:r>
        <w:rPr>
          <w:rFonts w:ascii="Arial" w:cs="Arial" w:eastAsia="Arial" w:hAnsi="Arial"/>
          <w:sz w:val="18"/>
          <w:szCs w:val="18"/>
          <w:color w:val="auto"/>
        </w:rPr>
        <w:t xml:space="preserve"> (to the extent applicable). Notwithstanding any of the other provisions of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so long as no Event of Default shall have occurred and be continuing, if any prepayment of Eurodollar Loans is required to be made under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prior to the last day of the Interest Period therefor, the Borrower may, in its sole discretion, deposit the amount of any such prepayment otherwise required to be made thereunder (including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firstLine="605"/>
        <w:spacing w:after="0" w:line="281" w:lineRule="auto"/>
        <w:tabs>
          <w:tab w:leader="none" w:pos="1023"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Foreign Dispositions; Foreign Excess Cash Flow</w:t>
      </w:r>
      <w:r>
        <w:rPr>
          <w:rFonts w:ascii="Arial" w:cs="Arial" w:eastAsia="Arial" w:hAnsi="Arial"/>
          <w:sz w:val="18"/>
          <w:szCs w:val="18"/>
          <w:color w:val="auto"/>
        </w:rPr>
        <w:t>. Notwithstanding any other provisions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(A)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or all of the Net Proceeds of any Disposition by a Foreign Subsidiary (“</w:t>
      </w:r>
      <w:r>
        <w:rPr>
          <w:rFonts w:ascii="Arial" w:cs="Arial" w:eastAsia="Arial" w:hAnsi="Arial"/>
          <w:sz w:val="18"/>
          <w:szCs w:val="18"/>
          <w:b w:val="1"/>
          <w:bCs w:val="1"/>
          <w:color w:val="auto"/>
        </w:rPr>
        <w:t>Foreign Disposition</w:t>
      </w:r>
      <w:r>
        <w:rPr>
          <w:rFonts w:ascii="Arial" w:cs="Arial" w:eastAsia="Arial" w:hAnsi="Arial"/>
          <w:sz w:val="18"/>
          <w:szCs w:val="18"/>
          <w:color w:val="auto"/>
        </w:rPr>
        <w:t xml:space="preserve">”) or Excess Cash Flow attributable to Foreign Subsidiaries are (x) prohibited or delayed by applicable local law or (y) restricted by applicable organizational or constitutive documents or any agreement, from being repatriated to the United States, in each case the portion of such Net Proceeds or Excess Cash Flow so affected will not be required to be applied to repay Term Loans at the times provided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but may be retained by the applicable Foreign Subsidiary (the Borrower hereby agreeing to use reasonable efforts (as determined in the Borrower’s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or constitutive document impediment to permit such repatriation), and if within one year following the date on which the respective payment would otherwise have been required, such repatriation of any of such affected Net Proceeds or Excess Cash Flow is permitted under the applicable local law, applicable organizational or constitutive document impediment, such repatriation will be promptly effected and such repatriated Net Proceeds or Excess Cash Flow will be promptly (and in any event not later than 5 Business Days after such repatriation could be made) applied (net of additional taxes, costs and expenses payable or reserved against as a result thereof) (whether or not repatriation actually occurs) to the repayment of the Term Loans pursuant to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(B) to the extent that the Borrower has determined in good faith that repatriation of any of or all the Net Proceeds of any Foreign Disposition or Foreign Subsidiary Excess Cash Flow could cause adverse tax consequences to the Borrower, such Net Proceeds or Excess Cash Flow so affected may be retained by the applicable Foreign Subsidiary. The non-application of any prepayment amounts as a consequence of the foregoing provisions will not, for the avoidance of doubt, constitute a Default or an Event of Default.</w:t>
      </w:r>
    </w:p>
    <w:p>
      <w:pPr>
        <w:spacing w:after="0" w:line="156"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i w:val="1"/>
          <w:iCs w:val="1"/>
          <w:color w:val="auto"/>
        </w:rPr>
        <w:t>Pro Rata Treatment.</w:t>
      </w:r>
      <w:r>
        <w:rPr>
          <w:rFonts w:ascii="Arial" w:cs="Arial" w:eastAsia="Arial" w:hAnsi="Arial"/>
          <w:sz w:val="19"/>
          <w:szCs w:val="19"/>
          <w:color w:val="auto"/>
        </w:rPr>
        <w:t xml:space="preserve"> Except as required under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each Borrowing, each payment or prepayment of principal of any Borrowing, each payment of interest on the Loans, each reduction of the Term Loan Commitments and each conversion of any Borrowing to or continuation of any Borrowing as a Borrowing of any Type shall be allocated pro rata among the Lenders of the applicable Class in accordance with their respective applicable Commitments (or, if such Commitments shall have expired or been terminated, in accordance with the respective principal amounts of their outstanding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not be construed to apply to any payment made by the Borrower pursuant to and in accordance with the express terms of this Agreement. Each Lender agrees that in computing such Lender’s portion of any Borrowing to be made hereunder, the Administrative Agent may, in its discretion, round each Lender’s percentage of such Borrowing to the next higher or lower whole Dollar amount.</w:t>
      </w:r>
    </w:p>
    <w:p>
      <w:pPr>
        <w:spacing w:after="0" w:line="160" w:lineRule="exact"/>
        <w:rPr>
          <w:sz w:val="20"/>
          <w:szCs w:val="20"/>
          <w:color w:val="auto"/>
        </w:rPr>
      </w:pPr>
    </w:p>
    <w:p>
      <w:pPr>
        <w:jc w:val="both"/>
        <w:ind w:firstLine="604"/>
        <w:spacing w:after="0" w:line="350"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Sharing of Setoffs.</w:t>
      </w:r>
      <w:r>
        <w:rPr>
          <w:rFonts w:ascii="Arial" w:cs="Arial" w:eastAsia="Arial" w:hAnsi="Arial"/>
          <w:sz w:val="18"/>
          <w:szCs w:val="18"/>
          <w:color w:val="auto"/>
        </w:rPr>
        <w:t xml:space="preserve"> Each Lender agrees that if it shall, through the exercise of a right of banker’s lien, setoff or counterclaim against the Borrower or any other Loan Party, or pursuant to a secured claim under Section 506 of Title 11 of the United States</w:t>
      </w:r>
    </w:p>
    <w:p>
      <w:pPr>
        <w:sectPr>
          <w:pgSz w:w="11900" w:h="17005" w:orient="portrait"/>
          <w:cols w:equalWidth="0" w:num="1">
            <w:col w:w="11420"/>
          </w:cols>
          <w:pgMar w:left="240" w:top="131" w:right="239" w:bottom="0" w:gutter="0" w:footer="0" w:header="0"/>
        </w:sectPr>
      </w:pPr>
    </w:p>
    <w:bookmarkStart w:id="82" w:name="page83"/>
    <w:bookmarkEnd w:id="82"/>
    <w:p>
      <w:pPr>
        <w:jc w:val="both"/>
        <w:spacing w:after="0" w:line="279" w:lineRule="auto"/>
        <w:rPr>
          <w:sz w:val="20"/>
          <w:szCs w:val="20"/>
          <w:color w:val="auto"/>
        </w:rPr>
      </w:pPr>
      <w:r>
        <w:rPr>
          <w:rFonts w:ascii="Arial" w:cs="Arial" w:eastAsia="Arial" w:hAnsi="Arial"/>
          <w:sz w:val="18"/>
          <w:szCs w:val="18"/>
          <w:color w:val="auto"/>
        </w:rPr>
        <w:t xml:space="preserve">Code or other security or interest arising from, or in lieu of, such secured claim, received by such Lender under any applicable bankruptcy, insolvency or other similar law or otherwise, or by any other means, obtain payment (voluntary or involuntary) in respect of any Loan or Loans as a result of which the unpaid principal portion of its Loans shall be proportionately less than the unpaid principal portion of the Loans of any other Lender, it shall be deemed simultaneously to have purchased from such other Lender at face value, and shall promptly pay to such other Lender the purchase price for, a participation in the Loans of such other Lender, so that the aggregate unpaid principal amount of the Loans and participations in Loans held by each Lender shall be in the same proportion to the aggregate unpaid principal amount of all Loans then outstanding as the principal amount of its Loans prior to such exercise of banker’s lien, setoff or counterclaim or other event was to the principal amount of all Loans outstanding prior to such exercise of banker’s lien, setoff or counterclaim or other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if any such purchase or purchases or adjustments shall be made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payment giving rise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thereto shall thereafter be recovered, such purchase or purchases or adjustments shall be rescinded to the extent of such recovery and the purchase price or prices or adjustment restored without interest, and (ii)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as to which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applicable payment, assignment, sale or participation to the Borrower is expressly permitted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construed to apply). The Borrower expressly consents to the foregoing arrangements and agrees that any Lender holding a participation in a Loan deemed to have been so purchased may exercise any and all rights of banker’s lien, setoff or counterclaim with respect to any and all moneys owing by the Borrower to such Lender by reason thereof as fully as if such Lender had made a Loan directly to the Borrower in the amount of such participation. For the avoidance of doubt, neither this Section nor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limit the ability of the Borrower to (i) purchase and retire Term Loans pursuant to an open market purchase or a Dutch Auction or (ii) pay principal, fees, premiums and interest with respect to Other Term Loans following the effectiveness of any Refinancing Amendment or any Extension Offer, as applicable, on a basis different from the Loans of such Class that will continue to be held by Lenders that were not Extending Lenders or Lenders pursuant to such Refinancing Amendment, as applicable.</w:t>
      </w:r>
    </w:p>
    <w:p>
      <w:pPr>
        <w:spacing w:after="0" w:line="200" w:lineRule="exact"/>
        <w:rPr>
          <w:sz w:val="20"/>
          <w:szCs w:val="20"/>
          <w:color w:val="auto"/>
        </w:rPr>
      </w:pPr>
    </w:p>
    <w:p>
      <w:pPr>
        <w:spacing w:after="0" w:line="207"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7"/>
          <w:szCs w:val="17"/>
          <w:i w:val="1"/>
          <w:iCs w:val="1"/>
          <w:color w:val="auto"/>
        </w:rPr>
        <w:t>Payments</w:t>
      </w:r>
      <w:r>
        <w:rPr>
          <w:rFonts w:ascii="Arial" w:cs="Arial" w:eastAsia="Arial" w:hAnsi="Arial"/>
          <w:sz w:val="17"/>
          <w:szCs w:val="17"/>
          <w:color w:val="auto"/>
        </w:rPr>
        <w:t>.</w:t>
      </w:r>
    </w:p>
    <w:p>
      <w:pPr>
        <w:spacing w:after="0" w:line="223" w:lineRule="exact"/>
        <w:rPr>
          <w:sz w:val="20"/>
          <w:szCs w:val="20"/>
          <w:color w:val="auto"/>
        </w:rPr>
      </w:pPr>
    </w:p>
    <w:p>
      <w:pPr>
        <w:jc w:val="both"/>
        <w:ind w:left="600" w:firstLine="5"/>
        <w:spacing w:after="0" w:line="256" w:lineRule="auto"/>
        <w:tabs>
          <w:tab w:leader="none" w:pos="1029"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Borrower shall make each payment (including principal of or interest on any Borrowing or any Fees or other amounts due and payable) hereunder and under any other Loan Document not later than 2:00 p.m., New York City time, on the date when due in immediately available Dollars, without setoff, defense or counterclaim. Any amounts received after such time on any date may, in the discretion of the Administrative Agent, be deemed to have been received on the next succeeding Business Day for purposes of calculating interest thereon. Each such payment shall be made to the Administrative Agent at the Administrative Agent’s Office. The Administrative Agent shall promptly distribute to each Lender any payments received by the Administrative Agent on behalf of such Lender.</w:t>
      </w:r>
    </w:p>
    <w:p>
      <w:pPr>
        <w:spacing w:after="0" w:line="170" w:lineRule="exact"/>
        <w:rPr>
          <w:rFonts w:ascii="Arial" w:cs="Arial" w:eastAsia="Arial" w:hAnsi="Arial"/>
          <w:sz w:val="20"/>
          <w:szCs w:val="20"/>
          <w:color w:val="auto"/>
        </w:rPr>
      </w:pPr>
    </w:p>
    <w:p>
      <w:pPr>
        <w:jc w:val="both"/>
        <w:ind w:left="600" w:firstLine="5"/>
        <w:spacing w:after="0" w:line="263" w:lineRule="auto"/>
        <w:tabs>
          <w:tab w:leader="none" w:pos="10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Reserved</w:t>
      </w:r>
      <w:r>
        <w:rPr>
          <w:rFonts w:ascii="Arial" w:cs="Arial" w:eastAsia="Arial" w:hAnsi="Arial"/>
          <w:sz w:val="17"/>
          <w:szCs w:val="17"/>
          <w:color w:val="auto"/>
        </w:rPr>
        <w:t>].</w:t>
      </w:r>
    </w:p>
    <w:p>
      <w:pPr>
        <w:spacing w:after="0" w:line="223"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7"/>
          <w:szCs w:val="17"/>
          <w:i w:val="1"/>
          <w:iCs w:val="1"/>
          <w:color w:val="auto"/>
        </w:rPr>
        <w:t>Refinancing Amendments</w:t>
      </w:r>
      <w:r>
        <w:rPr>
          <w:rFonts w:ascii="Arial" w:cs="Arial" w:eastAsia="Arial" w:hAnsi="Arial"/>
          <w:sz w:val="17"/>
          <w:szCs w:val="17"/>
          <w:color w:val="auto"/>
        </w:rPr>
        <w:t>.</w:t>
      </w:r>
    </w:p>
    <w:p>
      <w:pPr>
        <w:spacing w:after="0" w:line="223" w:lineRule="exact"/>
        <w:rPr>
          <w:sz w:val="20"/>
          <w:szCs w:val="20"/>
          <w:color w:val="auto"/>
        </w:rPr>
      </w:pPr>
    </w:p>
    <w:p>
      <w:pPr>
        <w:jc w:val="both"/>
        <w:ind w:left="520" w:firstLine="9"/>
        <w:spacing w:after="0" w:line="279" w:lineRule="auto"/>
        <w:tabs>
          <w:tab w:leader="none" w:pos="9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At any time after the Restatement Effective Date, the Borrower may obtain, from any Lender or any Additional Lender, Credit Agreement Refinancing Indebtedness (other than Permitted Additional Debt) in respect of all or any portion of the Term Loans then outstanding under this Agreement, in the form of Other Term Loans or Other Term Loan Commitments pursuant to a Refinancing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Credit Agreement Refinancing Indebtedness will rank pari passu in right of payment and of security with the other Loans and Commitments hereunder, (B) such Credit Agreement Refinancing Indebtedness will have such pricing, fees, interest, premiums and optional prepayment terms as may be agreed by the Borrower and the Lenders thereof (</w:t>
      </w:r>
      <w:r>
        <w:rPr>
          <w:rFonts w:ascii="Arial" w:cs="Arial" w:eastAsia="Arial" w:hAnsi="Arial"/>
          <w:sz w:val="18"/>
          <w:szCs w:val="18"/>
          <w:i w:val="1"/>
          <w:iCs w:val="1"/>
          <w:color w:val="auto"/>
        </w:rPr>
        <w:t>provided</w:t>
      </w:r>
      <w:r>
        <w:rPr>
          <w:rFonts w:ascii="Arial" w:cs="Arial" w:eastAsia="Arial" w:hAnsi="Arial"/>
          <w:sz w:val="18"/>
          <w:szCs w:val="18"/>
          <w:color w:val="auto"/>
        </w:rPr>
        <w:t>, that such Credit Agreement Refinancing Indebtedness may participate on a pro rata basis or on a less than pro rata basis (but not on a greater than pro rata basis) in any voluntary or mandatory prepayments hereunder, as specified in the applicable Refinancing Amendment), (C) such Credit Agreement Refinancing Indebtedness will have a maturity date later than the maturity date of, and will have a Weighted Average Life to Maturity that is not shorter than, the Refinanced Debt, (D) the covenants, events of default and guarantees of such Credit Agreement Refinancing Indebtedness, if not consistent with the terms of the Tranche B-2 Term Loans, shall be on customary market terms for Indebtedness of such type (as determined by the Borrower in good faith)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financial maintenance covenant on the then outstanding Term Loans shall be amended to provide the Lenders the benefit of any financial maintenance covenant of such Credit Agreement Refinancing Indebtedness that is in addition to or more restrictive in any material manner than the financial maintenance covenant on the then outstanding Term Loans)), (E) the proceeds of such Credit Agreement Refinancing Indebtedness shall be applied, substantially concurrently with the incurrence thereof, to the prepayment of outstanding Term Loans being so refinanced and (F) other than in the case of Credit Agreement Refinancing Indebtedness the proceeds of which are applied to pay all outstanding Term Loans and other Obligations in full in cash, the Borrower shall have obtained the consent of the Required Lenders. The effectiveness of any Refinancing Amendment shall be subject to the satisfaction (or waiver) on the date thereof of each of the conditions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for purposes thereof the incurrence of the Credit Agreement Refinancing Indebtedness shall be deemed to be a Request for Credit Extension) and, to the extent reasonably requested by the Administrative Agent and the Required Lenders, receipt by the Administrative Agent of customary legal opinions, board resolutions, officers’ certificates and a solvency certification or representation, in each case materially consistent with those delivered on the Restatement Effective Date under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changes to such legal opinions resulting from a change in law, change in fact or change to counsel’s form of opinion reasonably satisfactory to the Administrative Agent), and customary reaffirmation agreements. Each Class of Credit Agreement Refinancing Indebtedness incurred under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shall be in an aggregate</w:t>
      </w:r>
    </w:p>
    <w:p>
      <w:pPr>
        <w:sectPr>
          <w:pgSz w:w="11900" w:h="16838" w:orient="portrait"/>
          <w:cols w:equalWidth="0" w:num="1">
            <w:col w:w="11420"/>
          </w:cols>
          <w:pgMar w:left="240" w:top="131" w:right="239" w:bottom="0" w:gutter="0" w:footer="0" w:header="0"/>
        </w:sectPr>
      </w:pPr>
    </w:p>
    <w:bookmarkStart w:id="83" w:name="page84"/>
    <w:bookmarkEnd w:id="83"/>
    <w:p>
      <w:pPr>
        <w:spacing w:after="0" w:line="66"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principal amount that is (x) not less than $40,000,000 and (y) an integral multiple of $1,000,000 in excess thereof. The Administrative Agent shall promptly notify each Lender as to the effectiveness of each Refinancing Amendment.</w:t>
      </w:r>
    </w:p>
    <w:p>
      <w:pPr>
        <w:spacing w:after="0" w:line="147" w:lineRule="exact"/>
        <w:rPr>
          <w:sz w:val="20"/>
          <w:szCs w:val="20"/>
          <w:color w:val="auto"/>
        </w:rPr>
      </w:pPr>
    </w:p>
    <w:p>
      <w:pPr>
        <w:jc w:val="both"/>
        <w:ind w:firstLine="9"/>
        <w:spacing w:after="0" w:line="252" w:lineRule="auto"/>
        <w:tabs>
          <w:tab w:leader="none" w:pos="528"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w:t>
      </w:r>
      <w:r>
        <w:rPr>
          <w:rFonts w:ascii="Arial" w:cs="Arial" w:eastAsia="Arial" w:hAnsi="Arial"/>
          <w:sz w:val="20"/>
          <w:szCs w:val="20"/>
          <w:u w:val="single" w:color="auto"/>
          <w:color w:val="auto"/>
        </w:rPr>
        <w:t>Section 2.18</w:t>
      </w:r>
      <w:r>
        <w:rPr>
          <w:rFonts w:ascii="Arial" w:cs="Arial" w:eastAsia="Arial" w:hAnsi="Arial"/>
          <w:sz w:val="20"/>
          <w:szCs w:val="20"/>
          <w:color w:val="auto"/>
        </w:rPr>
        <w:t>, and the Required Lenders hereby expressly authorize the Administrative Agent to enter into any such Refinancing Amendment. Without limiting the foregoing, in connection with any Refinancing Amendment, the respective Loan Parties shall (at their expense) amend (and the Collateral Agent is hereby directed to amend) any Mortgage that has a maturity date prior to the Latest Maturity Date after giving effect to such Refinancing Amendment so that such maturity date is extended to the then Latest Maturity Date (or such later date as may be advised by local counsel to the Collateral Agent).</w:t>
      </w:r>
    </w:p>
    <w:p>
      <w:pPr>
        <w:spacing w:after="0" w:line="177" w:lineRule="exact"/>
        <w:rPr>
          <w:rFonts w:ascii="Arial" w:cs="Arial" w:eastAsia="Arial" w:hAnsi="Arial"/>
          <w:sz w:val="20"/>
          <w:szCs w:val="20"/>
          <w:color w:val="auto"/>
        </w:rPr>
      </w:pPr>
    </w:p>
    <w:p>
      <w:pPr>
        <w:ind w:left="440" w:hanging="431"/>
        <w:spacing w:after="0"/>
        <w:tabs>
          <w:tab w:leader="none" w:pos="4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10.08</w:t>
      </w:r>
      <w:r>
        <w:rPr>
          <w:rFonts w:ascii="Arial" w:cs="Arial" w:eastAsia="Arial" w:hAnsi="Arial"/>
          <w:sz w:val="20"/>
          <w:szCs w:val="20"/>
          <w:color w:val="auto"/>
        </w:rPr>
        <w:t xml:space="preserve"> to the contrary.</w:t>
      </w:r>
    </w:p>
    <w:p>
      <w:pPr>
        <w:spacing w:after="0" w:line="210"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7"/>
          <w:szCs w:val="17"/>
          <w:i w:val="1"/>
          <w:iCs w:val="1"/>
          <w:color w:val="auto"/>
        </w:rPr>
        <w:t>Extensions of Term Loans</w:t>
      </w:r>
      <w:r>
        <w:rPr>
          <w:rFonts w:ascii="Arial" w:cs="Arial" w:eastAsia="Arial" w:hAnsi="Arial"/>
          <w:sz w:val="17"/>
          <w:szCs w:val="17"/>
          <w:color w:val="auto"/>
        </w:rPr>
        <w:t>.</w:t>
      </w:r>
    </w:p>
    <w:p>
      <w:pPr>
        <w:spacing w:after="0" w:line="219" w:lineRule="exact"/>
        <w:rPr>
          <w:sz w:val="20"/>
          <w:szCs w:val="20"/>
          <w:color w:val="auto"/>
        </w:rPr>
      </w:pPr>
    </w:p>
    <w:p>
      <w:pPr>
        <w:jc w:val="both"/>
        <w:ind w:firstLine="9"/>
        <w:spacing w:after="0" w:line="279" w:lineRule="auto"/>
        <w:tabs>
          <w:tab w:leader="none" w:pos="4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b w:val="1"/>
          <w:bCs w:val="1"/>
          <w:color w:val="auto"/>
        </w:rPr>
        <w:t>Extension Offer</w:t>
      </w:r>
      <w:r>
        <w:rPr>
          <w:rFonts w:ascii="Arial" w:cs="Arial" w:eastAsia="Arial" w:hAnsi="Arial"/>
          <w:sz w:val="18"/>
          <w:szCs w:val="18"/>
          <w:color w:val="auto"/>
        </w:rPr>
        <w:t>”) made from time to time by the Borrower to all Lenders of a Class of Term Loans with a like Maturity Date on a pro rata basis (based on the aggregate outstanding principal amount of the respective Term Loans of such Class with the same Maturity Date) and on the same terms to each such Lender, the Borrower may from time to time with the consent of any Lender that shall have accepted such offer extend the maturity date of any Term Loans and otherwise modify the terms of such Term Loans of such Lender pursuant to the terms of the relevant Extension Offer (including, without limitation, by increasing the interest rate or fees payable in respect of such Term Loans and/or modifying the amortization schedule in respect of such Term Loans) (each, an “</w:t>
      </w:r>
      <w:r>
        <w:rPr>
          <w:rFonts w:ascii="Arial" w:cs="Arial" w:eastAsia="Arial" w:hAnsi="Arial"/>
          <w:sz w:val="18"/>
          <w:szCs w:val="18"/>
          <w:b w:val="1"/>
          <w:bCs w:val="1"/>
          <w:color w:val="auto"/>
        </w:rPr>
        <w:t>Extension</w:t>
      </w:r>
      <w:r>
        <w:rPr>
          <w:rFonts w:ascii="Arial" w:cs="Arial" w:eastAsia="Arial" w:hAnsi="Arial"/>
          <w:sz w:val="18"/>
          <w:szCs w:val="18"/>
          <w:color w:val="auto"/>
        </w:rPr>
        <w:t>”, and each group of Term Loans as so extended, as well as the group of original Term Loans not so extended, being a “</w:t>
      </w:r>
      <w:r>
        <w:rPr>
          <w:rFonts w:ascii="Arial" w:cs="Arial" w:eastAsia="Arial" w:hAnsi="Arial"/>
          <w:sz w:val="18"/>
          <w:szCs w:val="18"/>
          <w:b w:val="1"/>
          <w:bCs w:val="1"/>
          <w:color w:val="auto"/>
        </w:rPr>
        <w:t>tranche</w:t>
      </w:r>
      <w:r>
        <w:rPr>
          <w:rFonts w:ascii="Arial" w:cs="Arial" w:eastAsia="Arial" w:hAnsi="Arial"/>
          <w:sz w:val="18"/>
          <w:szCs w:val="18"/>
          <w:color w:val="auto"/>
        </w:rPr>
        <w:t>”; any Extended Term Loans shall constitute a separate tranche of Term Loans from the tranche of Term Loans from which they were converted and a separate Class of Term Loans), so long as the following terms are satisfied (or waived): (i) no Event of Default shall exist at the time the notice in respect of an Extension Offer is delivered to the Lenders, and no Event of Default shall exist immediately prior to or after giving effect to the effectiveness of any Extended Term Loans, (ii) except as to interest rates, fees, amortization, final maturity date, premium, AHYDO “catch up” payments, required prepayment dates and participation in prepayments (which shall, subject to immediately succeeding clauses (iii), (iv) and (v), be determined by the Borrower and set forth in the relevant Extension Offer), the Term Loans of any Term Lender extended pursuant to any Extension (“</w:t>
      </w:r>
      <w:r>
        <w:rPr>
          <w:rFonts w:ascii="Arial" w:cs="Arial" w:eastAsia="Arial" w:hAnsi="Arial"/>
          <w:sz w:val="18"/>
          <w:szCs w:val="18"/>
          <w:b w:val="1"/>
          <w:bCs w:val="1"/>
          <w:color w:val="auto"/>
        </w:rPr>
        <w:t>Extended Term Loans</w:t>
      </w:r>
      <w:r>
        <w:rPr>
          <w:rFonts w:ascii="Arial" w:cs="Arial" w:eastAsia="Arial" w:hAnsi="Arial"/>
          <w:sz w:val="18"/>
          <w:szCs w:val="18"/>
          <w:color w:val="auto"/>
        </w:rPr>
        <w:t>”) shall have the same terms and conditions that are substantially identical to, or less favorable to the lenders or investors providing such Extended Term Loans as the tranche of Term Loans subject to such Extension Offer, (iii) the final maturity date of any Extended Term Loans shall be no earlier than the then Latest Maturity Date and the amortization schedule, if any, applicable to Term Loans for periods prior to the then applicable Latest Maturity Date may not be increased, (iv) the Weighted Average Life to Maturity of any Extended Term Loans shall be no shorter than the remaining Weighted Average Life to Maturity of the Term Loans extended thereby, (v) any Extended Term Loans may participate on a pro rata basis or on a less than pro rata basis (but not on a greater than pro rata basis) in any voluntary or mandatory prepayments hereunder, as specified in the applicable Extension Offer, (vi) if the aggregate principal amount of Term Loans (calculated on the face amount thereof) in respect of which Term Lenders shall have accepted the relevant Extension Offer shall exceed the maximum aggregate principal amount of Term Loans offered to be extended by the Borrower pursuant to such Extension Offer, then the Term Loans of such Term Lenders shall be extended ratably up to such maximum amount based on the respective principal amounts (but not to exceed actual holdings of record) with respect to which such Term Lenders have accepted such Extension Offer, (vii) all documentation in respect of such Extension shall be consistent with the foregoing, and (viii) any applicable Minimum Extension Condition shall be satisfied unless waived by the Borrower.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both"/>
        <w:ind w:firstLine="9"/>
        <w:spacing w:after="0" w:line="283" w:lineRule="auto"/>
        <w:tabs>
          <w:tab w:leader="none" w:pos="57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With respect to all Extensions consummated by the Borrower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 such Extensions shall not constitute voluntary or mandatory payments or prepayments for purposes of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and (ii) no Extension Offer is required to be in any minimum amount or any minimum increment,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may at its election specify as a condition (a “</w:t>
      </w:r>
      <w:r>
        <w:rPr>
          <w:rFonts w:ascii="Arial" w:cs="Arial" w:eastAsia="Arial" w:hAnsi="Arial"/>
          <w:sz w:val="18"/>
          <w:szCs w:val="18"/>
          <w:b w:val="1"/>
          <w:bCs w:val="1"/>
          <w:color w:val="auto"/>
        </w:rPr>
        <w:t>Minimum Extension Condition</w:t>
      </w:r>
      <w:r>
        <w:rPr>
          <w:rFonts w:ascii="Arial" w:cs="Arial" w:eastAsia="Arial" w:hAnsi="Arial"/>
          <w:sz w:val="18"/>
          <w:szCs w:val="18"/>
          <w:color w:val="auto"/>
        </w:rPr>
        <w:t xml:space="preserve">”) to consummating any such Extension that a minimum amount (to be determined and specified in the relevant Extension Offer in the Borrower’s sole discretion and may be waived by the Borrower) of Term Loans of any or all applicable Classes be tendered. The Administrative Agent and the Lenders hereby consent to the Extensions and the other transactions contemplated by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(including, for the avoidance of doubt, payment of any interest, fees or premium in respect of any Extended Term Loans on such terms as may be set forth in the relevant Extension Offer) and hereby waive the requirements of any provision of this Agreement (including, without limitation,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any other Loan Document that may otherwise prohibit any such Extension or any other transaction contemplated by this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firstLine="9"/>
        <w:spacing w:after="0" w:line="282" w:lineRule="auto"/>
        <w:tabs>
          <w:tab w:leader="none" w:pos="4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the parties hereto hereby (A) agrees that this Agreement and the other Loan Documents may be amended to give effect to each Extension (an “</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without the consent of any other Lenders, to the extent (but only to the extent) necessary to (i) reflect the existence and terms of the Extended Term Loans incurred pursuant thereto, (ii) modify the scheduled repayments set forth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with respect to any Class of Term Loans subject to an Extension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(iii) modify the prepayments set forth in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to reflect the existence of the Extended Term Loans and the application of prepayments with respect thereto, and (iv) effect such other amendments to this Agreement and the other Loan Documents as may be necessary or appropriate, in the reasonable opinion of the Administrative Agent and the Borrower, to effect the provisions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the Required Lenders hereby expressly and irrevocably, for the benefit of all parties hereto, authorize the Administrative Agent to enter into any such Extension Amendment and (B) consent to the transactions contemplated by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(including, for the avoidance of doubt, payment of interest, fees or premiums in respect</w:t>
      </w:r>
    </w:p>
    <w:p>
      <w:pPr>
        <w:sectPr>
          <w:pgSz w:w="11900" w:h="16904" w:orient="portrait"/>
          <w:cols w:equalWidth="0" w:num="1">
            <w:col w:w="10900"/>
          </w:cols>
          <w:pgMar w:left="760" w:top="131" w:right="239" w:bottom="0" w:gutter="0" w:footer="0" w:header="0"/>
        </w:sectPr>
      </w:pPr>
    </w:p>
    <w:bookmarkStart w:id="84" w:name="page85"/>
    <w:bookmarkEnd w:id="84"/>
    <w:p>
      <w:pPr>
        <w:spacing w:after="0" w:line="51" w:lineRule="exact"/>
        <w:rPr>
          <w:sz w:val="20"/>
          <w:szCs w:val="20"/>
          <w:color w:val="auto"/>
        </w:rPr>
      </w:pPr>
    </w:p>
    <w:p>
      <w:pPr>
        <w:jc w:val="both"/>
        <w:ind w:left="520"/>
        <w:spacing w:after="0" w:line="256" w:lineRule="auto"/>
        <w:rPr>
          <w:sz w:val="20"/>
          <w:szCs w:val="20"/>
          <w:color w:val="auto"/>
        </w:rPr>
      </w:pPr>
      <w:r>
        <w:rPr>
          <w:rFonts w:ascii="Arial" w:cs="Arial" w:eastAsia="Arial" w:hAnsi="Arial"/>
          <w:sz w:val="20"/>
          <w:szCs w:val="20"/>
          <w:color w:val="auto"/>
        </w:rPr>
        <w:t>of any Extended Term Loans on such terms as may be set forth in the relevant Extension Amendment). Without limiting the foregoing, in connection with any Extension, the respective Loan Parties shall (at their expense) amend (and the Collateral Agent is hereby directed to amend) any Mortgage that has a maturity date prior to the then Latest Maturity Date so that such maturity date is extended to the Latest Maturity Date after giving effect to such Extension (or such later date as may be advised by local counsel to the Collateral Agent).</w:t>
      </w:r>
    </w:p>
    <w:p>
      <w:pPr>
        <w:spacing w:after="0" w:line="170" w:lineRule="exact"/>
        <w:rPr>
          <w:sz w:val="20"/>
          <w:szCs w:val="20"/>
          <w:color w:val="auto"/>
        </w:rPr>
      </w:pPr>
    </w:p>
    <w:p>
      <w:pPr>
        <w:jc w:val="both"/>
        <w:ind w:left="520" w:firstLine="9"/>
        <w:spacing w:after="0" w:line="259" w:lineRule="auto"/>
        <w:tabs>
          <w:tab w:leader="none" w:pos="978"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In connection with any Extension, the Borrower shall provide the Administrative Agent at least five (5) Business Days’ (or such shorter period as may reasonably be agreed by the Administrative Agent at the direction of the Required Lenders)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ind w:left="960" w:hanging="431"/>
        <w:spacing w:after="0"/>
        <w:tabs>
          <w:tab w:leader="none" w:pos="9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10.08</w:t>
      </w:r>
      <w:r>
        <w:rPr>
          <w:rFonts w:ascii="Arial" w:cs="Arial" w:eastAsia="Arial" w:hAnsi="Arial"/>
          <w:sz w:val="20"/>
          <w:szCs w:val="20"/>
          <w:color w:val="auto"/>
        </w:rPr>
        <w:t xml:space="preserve"> to the contrary.</w:t>
      </w: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INCREASED COSTS PROTECTION AND ILLEGALITY</w:t>
      </w:r>
    </w:p>
    <w:p>
      <w:pPr>
        <w:spacing w:after="0" w:line="205"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i w:val="1"/>
          <w:iCs w:val="1"/>
          <w:color w:val="auto"/>
        </w:rPr>
        <w:t>Taxes</w:t>
      </w:r>
      <w:r>
        <w:rPr>
          <w:rFonts w:ascii="Arial" w:cs="Arial" w:eastAsia="Arial" w:hAnsi="Arial"/>
          <w:sz w:val="16"/>
          <w:szCs w:val="16"/>
          <w:color w:val="auto"/>
        </w:rPr>
        <w:t>.</w:t>
      </w:r>
    </w:p>
    <w:p>
      <w:pPr>
        <w:spacing w:after="0" w:line="223" w:lineRule="exact"/>
        <w:rPr>
          <w:sz w:val="20"/>
          <w:szCs w:val="20"/>
          <w:color w:val="auto"/>
        </w:rPr>
      </w:pPr>
    </w:p>
    <w:p>
      <w:pPr>
        <w:jc w:val="both"/>
        <w:ind w:firstLine="605"/>
        <w:spacing w:after="0" w:line="280" w:lineRule="auto"/>
        <w:tabs>
          <w:tab w:leader="none" w:pos="103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Except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any and all payments made by or on account of the Borrower or any Guarantor under any Loan Document to any Lender or Agent shall be made free and clear of and without deduction for any and all present or future taxes, duties, levies, imposts, assessments, withholdings (including backup withholding), fees or similar charges imposed by any Governmental Authority including interest, penalties and additions to tax (collectively “</w:t>
      </w:r>
      <w:r>
        <w:rPr>
          <w:rFonts w:ascii="Arial" w:cs="Arial" w:eastAsia="Arial" w:hAnsi="Arial"/>
          <w:sz w:val="18"/>
          <w:szCs w:val="18"/>
          <w:b w:val="1"/>
          <w:bCs w:val="1"/>
          <w:color w:val="auto"/>
        </w:rPr>
        <w:t>Taxes</w:t>
      </w:r>
      <w:r>
        <w:rPr>
          <w:rFonts w:ascii="Arial" w:cs="Arial" w:eastAsia="Arial" w:hAnsi="Arial"/>
          <w:sz w:val="18"/>
          <w:szCs w:val="18"/>
          <w:color w:val="auto"/>
        </w:rPr>
        <w:t xml:space="preserve">”), excluding (i) Taxes imposed on or measured by net income, however denominated, and franchise (and similar) Taxes imposed on it in lieu of net income Taxes, (ii) Taxes attributable to the failure by the relevant Lender or Agent to deliver the documentation required to be delivered pursuant to clause (d)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(iii) Taxes imposed by a jurisdiction as a result of any connection between such Lender or Agent and such jurisdiction other than any connection arising from executing, delivering, being a party to, engaging in any transactions pursuant to, performing its obligations under, or enforcing any Loan Document, (iv) any branch profits Taxes imposed by the United States or any similar Tax imposed by any other jurisdiction in which the Borrower or any Guarantor (as appropriate) is located, (v) any U.S. federal withholding tax imposed on amounts payable hereunder pursuant to a law in effect at such time the Lender or Agent becomes a party to this Agreement (other than pursuant to an assignment request by the Borrower under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designates a new lending office, except in each case to the extent such Lender (or its assignor, if any) was entitled at the time of designation of a new lending office (or assignment) to receive additional amounts with respect to such withholding tax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(vi) any Tax imposed under FATCA (all such non-excluded Taxes imposed on such payments, being hereinafter referred to as “</w:t>
      </w:r>
      <w:r>
        <w:rPr>
          <w:rFonts w:ascii="Arial" w:cs="Arial" w:eastAsia="Arial" w:hAnsi="Arial"/>
          <w:sz w:val="18"/>
          <w:szCs w:val="18"/>
          <w:b w:val="1"/>
          <w:bCs w:val="1"/>
          <w:color w:val="auto"/>
        </w:rPr>
        <w:t>Indemnified Taxes</w:t>
      </w:r>
      <w:r>
        <w:rPr>
          <w:rFonts w:ascii="Arial" w:cs="Arial" w:eastAsia="Arial" w:hAnsi="Arial"/>
          <w:sz w:val="18"/>
          <w:szCs w:val="18"/>
          <w:color w:val="auto"/>
        </w:rPr>
        <w:t xml:space="preserve">”). If the Borrower, any Guarantor or other applicable withholding agent shall be required by any Laws to deduct any Indemnified Taxes or Other Taxes (as defined below) from or in respect of any sum payable under any Loan Document to any Agent or any Lender, (i) the sum payable by the Borrower or Guarantor shall be increased as necessary so that after making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Agent or Lender (as the case may be) receives an amount equal to the sum it would have received had no such deductions been made, (ii) the applicable withholding agent shall make such deductions, (iii) the applicable withholding agent shall pay the full amount deducted to the relevant Governmental Authority in accordance with applicable Laws, and (iv) within thirty (30) days after the date of such payment (or, if receipts or evidence are not available within thirty (30) days, as soon as possible thereafter), if the Borrower or any Guarantor is the applicable withholding agent, the applicable withholding agent shall furnish to such Agent or Lender (as the case may be) the original or a copy of a receipt evidencing payment thereof or other evidence acceptable to such Agent or Lender.</w:t>
      </w:r>
    </w:p>
    <w:p>
      <w:pPr>
        <w:spacing w:after="0" w:line="156" w:lineRule="exact"/>
        <w:rPr>
          <w:rFonts w:ascii="Arial" w:cs="Arial" w:eastAsia="Arial" w:hAnsi="Arial"/>
          <w:sz w:val="18"/>
          <w:szCs w:val="18"/>
          <w:color w:val="auto"/>
        </w:rPr>
      </w:pPr>
    </w:p>
    <w:p>
      <w:pPr>
        <w:jc w:val="both"/>
        <w:ind w:firstLine="605"/>
        <w:spacing w:after="0" w:line="287" w:lineRule="auto"/>
        <w:tabs>
          <w:tab w:leader="none" w:pos="10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addition, the Borrower agrees to pay any and all present or future stamp, court or documentary taxes and any other excise, property, intangible or mortgage recording taxes, or charges or levies of the same character, imposed by any Governmental Authority, which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result from an Agent or Lender’s Assignment and Acceptance, grant of a Participation, transfer or assignment to or designation of a new applicable lending office or other office for receiving payments under any Loan Document (collectively, “</w:t>
      </w:r>
      <w:r>
        <w:rPr>
          <w:rFonts w:ascii="Arial" w:cs="Arial" w:eastAsia="Arial" w:hAnsi="Arial"/>
          <w:sz w:val="18"/>
          <w:szCs w:val="18"/>
          <w:b w:val="1"/>
          <w:bCs w:val="1"/>
          <w:color w:val="auto"/>
        </w:rPr>
        <w:t>Assignment Taxes</w:t>
      </w:r>
      <w:r>
        <w:rPr>
          <w:rFonts w:ascii="Arial" w:cs="Arial" w:eastAsia="Arial" w:hAnsi="Arial"/>
          <w:sz w:val="18"/>
          <w:szCs w:val="18"/>
          <w:color w:val="auto"/>
        </w:rPr>
        <w:t xml:space="preserve">”) except for Assignment Taxes resulting from assignment or participation that is requested or required in writing by the Borrower (all such non-excluded taxes described in this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being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jc w:val="both"/>
        <w:ind w:firstLine="605"/>
        <w:spacing w:after="0" w:line="259" w:lineRule="auto"/>
        <w:tabs>
          <w:tab w:leader="none" w:pos="1008"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Without duplication of </w:t>
      </w:r>
      <w:r>
        <w:rPr>
          <w:rFonts w:ascii="Arial" w:cs="Arial" w:eastAsia="Arial" w:hAnsi="Arial"/>
          <w:sz w:val="20"/>
          <w:szCs w:val="20"/>
          <w:u w:val="single" w:color="auto"/>
          <w:color w:val="auto"/>
        </w:rPr>
        <w:t>Section 3.01(a)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the Borrower and each Guarantor agree to indemnify each Agent and each Lender for (i) the full amount of Indemnified Taxes and Other Taxes paid by such Agent or Lender (including Indemnified Taxes and Other Taxes imposed or asserted on or attributable to amounts payable under this Section) and (ii) any expenses arising therefrom or with respect thereto,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such Agent or Lender, as the case may be, provides Borrower or Guarantor with a written statement thereof setting forth in</w:t>
      </w:r>
      <w:r>
        <w:rPr>
          <w:rFonts w:ascii="Arial" w:cs="Arial" w:eastAsia="Arial" w:hAnsi="Arial"/>
          <w:sz w:val="20"/>
          <w:szCs w:val="20"/>
          <w:i w:val="1"/>
          <w:iCs w:val="1"/>
          <w:color w:val="auto"/>
        </w:rPr>
        <w:t xml:space="preserve"> </w:t>
      </w:r>
      <w:r>
        <w:rPr>
          <w:rFonts w:ascii="Arial" w:cs="Arial" w:eastAsia="Arial" w:hAnsi="Arial"/>
          <w:sz w:val="20"/>
          <w:szCs w:val="20"/>
          <w:color w:val="auto"/>
        </w:rPr>
        <w:t>reasonable detail the basis and calculation of such amounts.</w:t>
      </w:r>
    </w:p>
    <w:p>
      <w:pPr>
        <w:spacing w:after="0" w:line="168" w:lineRule="exact"/>
        <w:rPr>
          <w:rFonts w:ascii="Arial" w:cs="Arial" w:eastAsia="Arial" w:hAnsi="Arial"/>
          <w:sz w:val="20"/>
          <w:szCs w:val="20"/>
          <w:color w:val="auto"/>
        </w:rPr>
      </w:pPr>
    </w:p>
    <w:p>
      <w:pPr>
        <w:jc w:val="both"/>
        <w:ind w:firstLine="605"/>
        <w:spacing w:after="0" w:line="283" w:lineRule="auto"/>
        <w:tabs>
          <w:tab w:leader="none" w:pos="10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Lender and Agent shall, at such times as are reasonably requested by the Borrower or the Administrative Agent, provide the Borrower and the Administrative Agent with any documentation prescribed by Law certifying as to any entitlement of such Lender or Agent to an exemption from, or reduction in, withholding tax with respect to any payments to be made to such Lender under the Loan Documents. Each such Lender and Agent shall, whenever a lapse in time or change in circumstances renders such documentation obsolete or inaccurate in any material respect, deliver promptly to the Borrower and the Administrative Agent updated or other appropriate documentation (including any new documentation reasonably requested by the applicable withholding agent) or promptly notify the Borrower and the Administrative Agent of its inability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the Administrative Agent or other applicable withholding agent shall withhold amounts required to be withheld by applicable Law from such payments at the applicable statutory rate. Notwithstanding the foregoing, a Lender shall not be required to deliver any form pursuant to this clause (d) that such Lender is not legally able to deliver. In addition, each Lender and Agent shall deliver to the Borrower and the Administrative Agent such other tax forms or other</w:t>
      </w:r>
    </w:p>
    <w:p>
      <w:pPr>
        <w:sectPr>
          <w:pgSz w:w="11900" w:h="16889" w:orient="portrait"/>
          <w:cols w:equalWidth="0" w:num="1">
            <w:col w:w="11420"/>
          </w:cols>
          <w:pgMar w:left="240" w:top="131" w:right="239" w:bottom="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20"/>
          <w:szCs w:val="20"/>
          <w:color w:val="auto"/>
        </w:rPr>
        <w:t>documents as shall be prescribed by applicable Law or reasonably requested by the Borrower or the Administrative Agent as will enable the Borrower or the Administrative Agent to determine whether or not such Lender or Agent is subject to backup withholding or information reporting requirements. Without limiting the foregoing:</w:t>
      </w:r>
    </w:p>
    <w:p>
      <w:pPr>
        <w:spacing w:after="0" w:line="163" w:lineRule="exact"/>
        <w:rPr>
          <w:sz w:val="20"/>
          <w:szCs w:val="20"/>
          <w:color w:val="auto"/>
        </w:rPr>
      </w:pPr>
    </w:p>
    <w:p>
      <w:pPr>
        <w:jc w:val="both"/>
        <w:ind w:left="600" w:firstLine="609"/>
        <w:spacing w:after="0" w:line="263" w:lineRule="auto"/>
        <w:tabs>
          <w:tab w:leader="none" w:pos="1574" w:val="left"/>
        </w:tabs>
        <w:numPr>
          <w:ilvl w:val="1"/>
          <w:numId w:val="90"/>
        </w:numPr>
        <w:rPr>
          <w:rFonts w:ascii="Arial" w:cs="Arial" w:eastAsia="Arial" w:hAnsi="Arial"/>
          <w:sz w:val="20"/>
          <w:szCs w:val="20"/>
          <w:color w:val="auto"/>
        </w:rPr>
      </w:pPr>
      <w:r>
        <w:rPr>
          <w:rFonts w:ascii="Arial" w:cs="Arial" w:eastAsia="Arial" w:hAnsi="Arial"/>
          <w:sz w:val="20"/>
          <w:szCs w:val="20"/>
          <w:color w:val="auto"/>
        </w:rPr>
        <w:t>Each Lender and Agent that is a United States person (as defined in Section 7701(a)(30) of the Code) shall deliver to the Borrower and the Administrative Agent on or before the date on which it becomes a party to this Agreement two properly completed and duly signed executed copies of Internal Revenue Service Form W-9 certifying that such Lender or Agent (as the case may be) is exempt from federal backup withholding.</w:t>
      </w:r>
    </w:p>
    <w:p>
      <w:pPr>
        <w:spacing w:after="0" w:line="162" w:lineRule="exact"/>
        <w:rPr>
          <w:rFonts w:ascii="Arial" w:cs="Arial" w:eastAsia="Arial" w:hAnsi="Arial"/>
          <w:sz w:val="20"/>
          <w:szCs w:val="20"/>
          <w:color w:val="auto"/>
        </w:rPr>
      </w:pPr>
    </w:p>
    <w:p>
      <w:pPr>
        <w:jc w:val="both"/>
        <w:ind w:left="600" w:firstLine="609"/>
        <w:spacing w:after="0" w:line="270" w:lineRule="auto"/>
        <w:tabs>
          <w:tab w:leader="none" w:pos="1630" w:val="left"/>
        </w:tabs>
        <w:numPr>
          <w:ilvl w:val="1"/>
          <w:numId w:val="90"/>
        </w:numPr>
        <w:rPr>
          <w:rFonts w:ascii="Arial" w:cs="Arial" w:eastAsia="Arial" w:hAnsi="Arial"/>
          <w:sz w:val="20"/>
          <w:szCs w:val="20"/>
          <w:color w:val="auto"/>
        </w:rPr>
      </w:pPr>
      <w:r>
        <w:rPr>
          <w:rFonts w:ascii="Arial" w:cs="Arial" w:eastAsia="Arial" w:hAnsi="Arial"/>
          <w:sz w:val="20"/>
          <w:szCs w:val="20"/>
          <w:color w:val="auto"/>
        </w:rPr>
        <w:t>Each Lender and Agent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55" w:lineRule="exact"/>
        <w:rPr>
          <w:rFonts w:ascii="Arial" w:cs="Arial" w:eastAsia="Arial" w:hAnsi="Arial"/>
          <w:sz w:val="20"/>
          <w:szCs w:val="20"/>
          <w:color w:val="auto"/>
        </w:rPr>
      </w:pPr>
    </w:p>
    <w:p>
      <w:pPr>
        <w:jc w:val="both"/>
        <w:ind w:firstLine="680"/>
        <w:spacing w:after="0" w:line="263" w:lineRule="auto"/>
        <w:tabs>
          <w:tab w:leader="none" w:pos="1249" w:val="left"/>
        </w:tabs>
        <w:numPr>
          <w:ilvl w:val="0"/>
          <w:numId w:val="91"/>
        </w:numPr>
        <w:rPr>
          <w:rFonts w:ascii="Arial" w:cs="Arial" w:eastAsia="Arial" w:hAnsi="Arial"/>
          <w:sz w:val="20"/>
          <w:szCs w:val="20"/>
          <w:color w:val="auto"/>
        </w:rPr>
      </w:pPr>
      <w:r>
        <w:rPr>
          <w:rFonts w:ascii="Arial" w:cs="Arial" w:eastAsia="Arial" w:hAnsi="Arial"/>
          <w:sz w:val="20"/>
          <w:szCs w:val="20"/>
          <w:color w:val="auto"/>
        </w:rPr>
        <w:t>two properly completed and duly signed executed copies of Internal Revenue Service Form W-8BEN or Internal Revenue Service Form W-8BEN-E (or any successor forms) claiming eligibility for the benefits of an income tax treaty to which the United States is a party, and such other documentation as required under the Code,</w:t>
      </w:r>
    </w:p>
    <w:p>
      <w:pPr>
        <w:spacing w:after="0" w:line="162" w:lineRule="exact"/>
        <w:rPr>
          <w:rFonts w:ascii="Arial" w:cs="Arial" w:eastAsia="Arial" w:hAnsi="Arial"/>
          <w:sz w:val="20"/>
          <w:szCs w:val="20"/>
          <w:color w:val="auto"/>
        </w:rPr>
      </w:pPr>
    </w:p>
    <w:p>
      <w:pPr>
        <w:jc w:val="both"/>
        <w:ind w:firstLine="680"/>
        <w:spacing w:after="0" w:line="306" w:lineRule="auto"/>
        <w:tabs>
          <w:tab w:leader="none" w:pos="11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two properly completed and duly signed executed copies of Internal Revenue Service Form W-8ECI (or any successor forms) and, in the case of an Agent, a withholding certificate that satisfies the requirements of Treasury Regulation Sections 1.1441-1(b)(2)(iv) and 1.1441-1(e)(3)(v) as applicable to a U.S. branch that has agreed to be treated as a U.S. person for withholding tax purposes,</w:t>
      </w:r>
    </w:p>
    <w:p>
      <w:pPr>
        <w:spacing w:after="0" w:line="126" w:lineRule="exact"/>
        <w:rPr>
          <w:rFonts w:ascii="Arial" w:cs="Arial" w:eastAsia="Arial" w:hAnsi="Arial"/>
          <w:sz w:val="18"/>
          <w:szCs w:val="18"/>
          <w:color w:val="auto"/>
        </w:rPr>
      </w:pPr>
    </w:p>
    <w:p>
      <w:pPr>
        <w:jc w:val="both"/>
        <w:ind w:firstLine="680"/>
        <w:spacing w:after="0" w:line="259" w:lineRule="auto"/>
        <w:tabs>
          <w:tab w:leader="none" w:pos="1204"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in the case of a Lender claiming the benefits of the exemption for portfolio interest under Section 881(c) of the Code, (A) a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 xml:space="preserve">, </w:t>
      </w:r>
      <w:r>
        <w:rPr>
          <w:rFonts w:ascii="Arial" w:cs="Arial" w:eastAsia="Arial" w:hAnsi="Arial"/>
          <w:sz w:val="20"/>
          <w:szCs w:val="20"/>
          <w:u w:val="single" w:color="auto"/>
          <w:color w:val="auto"/>
        </w:rPr>
        <w:t>G-2</w:t>
      </w:r>
      <w:r>
        <w:rPr>
          <w:rFonts w:ascii="Arial" w:cs="Arial" w:eastAsia="Arial" w:hAnsi="Arial"/>
          <w:sz w:val="20"/>
          <w:szCs w:val="20"/>
          <w:color w:val="auto"/>
        </w:rPr>
        <w:t xml:space="preserve">, </w:t>
      </w:r>
      <w:r>
        <w:rPr>
          <w:rFonts w:ascii="Arial" w:cs="Arial" w:eastAsia="Arial" w:hAnsi="Arial"/>
          <w:sz w:val="20"/>
          <w:szCs w:val="20"/>
          <w:u w:val="single" w:color="auto"/>
          <w:color w:val="auto"/>
        </w:rPr>
        <w:t>G-3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G-4</w:t>
      </w:r>
      <w:r>
        <w:rPr>
          <w:rFonts w:ascii="Arial" w:cs="Arial" w:eastAsia="Arial" w:hAnsi="Arial"/>
          <w:sz w:val="20"/>
          <w:szCs w:val="20"/>
          <w:color w:val="auto"/>
        </w:rPr>
        <w:t>, as applicable (any such certificate a “</w:t>
      </w:r>
      <w:r>
        <w:rPr>
          <w:rFonts w:ascii="Arial" w:cs="Arial" w:eastAsia="Arial" w:hAnsi="Arial"/>
          <w:sz w:val="20"/>
          <w:szCs w:val="20"/>
          <w:b w:val="1"/>
          <w:bCs w:val="1"/>
          <w:color w:val="auto"/>
        </w:rPr>
        <w:t>United States Tax Compliance</w:t>
      </w:r>
      <w:r>
        <w:rPr>
          <w:rFonts w:ascii="Arial" w:cs="Arial" w:eastAsia="Arial" w:hAnsi="Arial"/>
          <w:sz w:val="20"/>
          <w:szCs w:val="20"/>
          <w:color w:val="auto"/>
        </w:rPr>
        <w:t xml:space="preserve"> </w:t>
      </w:r>
      <w:r>
        <w:rPr>
          <w:rFonts w:ascii="Arial" w:cs="Arial" w:eastAsia="Arial" w:hAnsi="Arial"/>
          <w:sz w:val="20"/>
          <w:szCs w:val="20"/>
          <w:b w:val="1"/>
          <w:bCs w:val="1"/>
          <w:color w:val="auto"/>
        </w:rPr>
        <w:t>Certificate</w:t>
      </w:r>
      <w:r>
        <w:rPr>
          <w:rFonts w:ascii="Arial" w:cs="Arial" w:eastAsia="Arial" w:hAnsi="Arial"/>
          <w:sz w:val="20"/>
          <w:szCs w:val="20"/>
          <w:color w:val="auto"/>
        </w:rPr>
        <w:t>”) and (B) two properly completed and duly signed executed copies of Internal Revenue Service Form W-8BEN or Internal</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Service Form W-8BEN-E, or</w:t>
      </w:r>
    </w:p>
    <w:p>
      <w:pPr>
        <w:spacing w:after="0" w:line="165" w:lineRule="exact"/>
        <w:rPr>
          <w:rFonts w:ascii="Arial" w:cs="Arial" w:eastAsia="Arial" w:hAnsi="Arial"/>
          <w:sz w:val="20"/>
          <w:szCs w:val="20"/>
          <w:color w:val="auto"/>
        </w:rPr>
      </w:pPr>
    </w:p>
    <w:p>
      <w:pPr>
        <w:jc w:val="both"/>
        <w:ind w:firstLine="680"/>
        <w:spacing w:after="0" w:line="268" w:lineRule="auto"/>
        <w:tabs>
          <w:tab w:leader="none" w:pos="1181" w:val="left"/>
        </w:tabs>
        <w:numPr>
          <w:ilvl w:val="0"/>
          <w:numId w:val="91"/>
        </w:numPr>
        <w:rPr>
          <w:rFonts w:ascii="Arial" w:cs="Arial" w:eastAsia="Arial" w:hAnsi="Arial"/>
          <w:sz w:val="19"/>
          <w:szCs w:val="19"/>
          <w:color w:val="auto"/>
        </w:rPr>
      </w:pPr>
      <w:r>
        <w:rPr>
          <w:rFonts w:ascii="Arial" w:cs="Arial" w:eastAsia="Arial" w:hAnsi="Arial"/>
          <w:sz w:val="19"/>
          <w:szCs w:val="19"/>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W-8BEN-E, United States Tax Compliance Certificate, Form W-9, Form W-8IMY or any other required information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one or more beneficial owners are claiming the portfolio interest exemption, the United States Tax Compliance Certificate may be provided by such Lender on behalf of such beneficial owner). Each Lender and Agent shall deliver to the Borrower and the Administrative Agent two further executed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that it is unable to do so. Each Lender and Agent shall promptly notify the Administrative Agent at any time it determines that it is no longer in a position to provide any previously delivered form or certification to the Borrower or the Administrative Agent.</w:t>
      </w:r>
    </w:p>
    <w:p>
      <w:pPr>
        <w:spacing w:after="0" w:line="160" w:lineRule="exact"/>
        <w:rPr>
          <w:sz w:val="20"/>
          <w:szCs w:val="20"/>
          <w:color w:val="auto"/>
        </w:rPr>
      </w:pPr>
    </w:p>
    <w:p>
      <w:pPr>
        <w:jc w:val="both"/>
        <w:ind w:firstLine="680"/>
        <w:spacing w:after="0" w:line="259" w:lineRule="auto"/>
        <w:tabs>
          <w:tab w:leader="none" w:pos="1108"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Any Lender or Agent claiming any additional amounts payable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use its reasonable efforts to change the jurisdiction of its lending office (or take any other measures reasonably requested by the Borrower) if such a change or other measures would reduce any such additional amounts (or any similar amount that may thereafter accrue) and would not, in the reasonable, good faith determination of such Lender, result in any unreimbursed cost or expense or be otherwise materially disadvantageous to such Lender.</w:t>
      </w:r>
    </w:p>
    <w:p>
      <w:pPr>
        <w:spacing w:after="0" w:line="168" w:lineRule="exact"/>
        <w:rPr>
          <w:rFonts w:ascii="Arial" w:cs="Arial" w:eastAsia="Arial" w:hAnsi="Arial"/>
          <w:sz w:val="20"/>
          <w:szCs w:val="20"/>
          <w:color w:val="auto"/>
        </w:rPr>
      </w:pPr>
    </w:p>
    <w:p>
      <w:pPr>
        <w:jc w:val="both"/>
        <w:ind w:firstLine="680"/>
        <w:spacing w:after="0" w:line="286" w:lineRule="auto"/>
        <w:tabs>
          <w:tab w:leader="none" w:pos="1074"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If any Lender or Agent determines, in its reasonable, good faith discretion, that it has received a refund in respect of any Taxes as to which indemnification or additional amounts have been paid to it by the Borrower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(including by payment of additional amounts pursuant to this Section) it shall promptly remit such refund to the Borrower or Guarantor, net of all out-of-pocket expenses of the Lender or Agent, as the case may be and without interest (other than any interest paid by the relevant Governmental Authority with respect to such refund net of any Taxes payable by any Agent or Lender on such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and Guarantors, upon the request of the Lender or Agent, as the case may be, agree promptly to return such refund (plus any penalties, interest or other charges imposed by the relevant Governmental Authority) to such party in the event such party is required to repay such refund to the relevant Governmental Authority. This section shall not be construed to require the Administrative Agent or any Lender to make available its tax returns (or any other information relating to Taxes that it deems confidential) to the Borrower or any other person.</w:t>
      </w:r>
    </w:p>
    <w:p>
      <w:pPr>
        <w:spacing w:after="0" w:line="145" w:lineRule="exact"/>
        <w:rPr>
          <w:rFonts w:ascii="Arial" w:cs="Arial" w:eastAsia="Arial" w:hAnsi="Arial"/>
          <w:sz w:val="18"/>
          <w:szCs w:val="18"/>
          <w:color w:val="auto"/>
        </w:rPr>
      </w:pPr>
    </w:p>
    <w:p>
      <w:pPr>
        <w:jc w:val="both"/>
        <w:ind w:firstLine="680"/>
        <w:spacing w:after="0" w:line="269" w:lineRule="auto"/>
        <w:tabs>
          <w:tab w:leader="none" w:pos="1095"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If a payment made to a Lender or Agent under any Loan Document would be subject to withholding Tax imposed by FATCA if such Lender or Agent were to fail to comply with the applicable reporting requirements of FATCA (including those contained in Section 1471(b) or 1472(b) of the Code, as applicable), such Lender or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Agent has complied with such Lender’s or Agent’s obligations under FATCA or to determine the amount, if any, to deduct and withhold from such payment. Solely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3.01(h)</w:t>
      </w:r>
      <w:r>
        <w:rPr>
          <w:rFonts w:ascii="Arial" w:cs="Arial" w:eastAsia="Arial" w:hAnsi="Arial"/>
          <w:sz w:val="19"/>
          <w:szCs w:val="19"/>
          <w:color w:val="auto"/>
        </w:rPr>
        <w:t>, “FATCA” shall include any amendments made to FATCA after the date of this Agreement.</w:t>
      </w:r>
    </w:p>
    <w:p>
      <w:pPr>
        <w:spacing w:after="0" w:line="161" w:lineRule="exact"/>
        <w:rPr>
          <w:rFonts w:ascii="Arial" w:cs="Arial" w:eastAsia="Arial" w:hAnsi="Arial"/>
          <w:sz w:val="19"/>
          <w:szCs w:val="19"/>
          <w:color w:val="auto"/>
        </w:rPr>
      </w:pPr>
    </w:p>
    <w:p>
      <w:pPr>
        <w:ind w:firstLine="680"/>
        <w:spacing w:after="0" w:line="319" w:lineRule="auto"/>
        <w:tabs>
          <w:tab w:leader="none" w:pos="1107"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Each party’s obligations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shall survive any assignment of rights by, or the replacement of, a Lender, the termination of the Commitments and the repayment, satisfaction or discharge of all obligations under any Loan Document.</w:t>
      </w:r>
    </w:p>
    <w:p>
      <w:pPr>
        <w:spacing w:after="0" w:line="111" w:lineRule="exact"/>
        <w:rPr>
          <w:rFonts w:ascii="Arial" w:cs="Arial" w:eastAsia="Arial" w:hAnsi="Arial"/>
          <w:sz w:val="19"/>
          <w:szCs w:val="19"/>
          <w:color w:val="auto"/>
        </w:rPr>
      </w:pPr>
    </w:p>
    <w:p>
      <w:pPr>
        <w:jc w:val="both"/>
        <w:ind w:firstLine="680"/>
        <w:spacing w:after="0" w:line="313" w:lineRule="auto"/>
        <w:tabs>
          <w:tab w:leader="none" w:pos="11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Lender shall indemnify each Agent, within 10 days following written demand therefor, for (i) the full amount of any Indemnified Taxes and Other Taxes attributable to such Lender (but only to the extent that such Agent has not already been indemnified by the Borrower and each Guarantor for such Indemnified Taxes and Other Taxes and without limiting the obligation of the Borrower and each</w:t>
      </w:r>
    </w:p>
    <w:p>
      <w:pPr>
        <w:sectPr>
          <w:pgSz w:w="11900" w:h="16838" w:orient="portrait"/>
          <w:cols w:equalWidth="0" w:num="1">
            <w:col w:w="11420"/>
          </w:cols>
          <w:pgMar w:left="240" w:top="131" w:right="239" w:bottom="0" w:gutter="0" w:footer="0" w:header="0"/>
        </w:sectPr>
      </w:pPr>
    </w:p>
    <w:bookmarkStart w:id="86" w:name="page87"/>
    <w:bookmarkEnd w:id="86"/>
    <w:p>
      <w:pPr>
        <w:jc w:val="both"/>
        <w:spacing w:after="0" w:line="259" w:lineRule="auto"/>
        <w:rPr>
          <w:sz w:val="20"/>
          <w:szCs w:val="20"/>
          <w:color w:val="auto"/>
        </w:rPr>
      </w:pPr>
      <w:r>
        <w:rPr>
          <w:rFonts w:ascii="Arial" w:cs="Arial" w:eastAsia="Arial" w:hAnsi="Arial"/>
          <w:sz w:val="20"/>
          <w:szCs w:val="20"/>
          <w:color w:val="auto"/>
        </w:rPr>
        <w:t xml:space="preserve">Guarantor to do so), and (ii) any Taxes attributable to such Lender’s failure to comply with the provision of </w:t>
      </w:r>
      <w:r>
        <w:rPr>
          <w:rFonts w:ascii="Arial" w:cs="Arial" w:eastAsia="Arial" w:hAnsi="Arial"/>
          <w:sz w:val="20"/>
          <w:szCs w:val="20"/>
          <w:u w:val="single" w:color="auto"/>
          <w:color w:val="auto"/>
        </w:rPr>
        <w:t>Section 10.04(f)</w:t>
      </w:r>
      <w:r>
        <w:rPr>
          <w:rFonts w:ascii="Arial" w:cs="Arial" w:eastAsia="Arial" w:hAnsi="Arial"/>
          <w:sz w:val="20"/>
          <w:szCs w:val="20"/>
          <w:color w:val="auto"/>
        </w:rPr>
        <w:t xml:space="preserve"> relating to the maintenance of a Participant Register, in each case, that are payable or paid by such Agent in connection with any Loan Documents, and any expenses arising therefrom or with respect thereto;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Agent provides such lender with a written statement thereof setting forth in reasonable detail the basis and calculation of such amounts.</w:t>
      </w:r>
    </w:p>
    <w:p>
      <w:pPr>
        <w:spacing w:after="0" w:line="165" w:lineRule="exact"/>
        <w:rPr>
          <w:sz w:val="20"/>
          <w:szCs w:val="20"/>
          <w:color w:val="auto"/>
        </w:rPr>
      </w:pPr>
    </w:p>
    <w:p>
      <w:pPr>
        <w:jc w:val="both"/>
        <w:ind w:firstLine="604"/>
        <w:spacing w:after="0" w:line="26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i w:val="1"/>
          <w:iCs w:val="1"/>
          <w:color w:val="auto"/>
        </w:rPr>
        <w:t>Illegality.</w:t>
      </w:r>
      <w:r>
        <w:rPr>
          <w:rFonts w:ascii="Arial" w:cs="Arial" w:eastAsia="Arial" w:hAnsi="Arial"/>
          <w:sz w:val="19"/>
          <w:szCs w:val="19"/>
          <w:color w:val="auto"/>
        </w:rPr>
        <w:t xml:space="preserve"> If any Law has made it unlawful, or that any Governmental Authority has asserted that it is unlawful, for any Lender or its applicable lending office to make, maintain or fund Eurodollar Loans, or to determine or charge interest rates based upon the LIBO Rate, then, on notice thereof by such Lender to the Borrower through the Administrative Agent, any obligation of such Lender to make or continue Eurodollar Loans or to convert ABR Loans to Eurodollar Loans shall be suspended until such Lender notifies the Administrative Agent and the Borrower that the circumstances giving rise to such determination no longer exist. Upon receipt of such notice, the Borrower shall promptly following written demand from such Lender (with a copy to the Administrative Agent), prepay or, if applicable, convert all applicable Eurodollar Loans of such Lender to ABR Loans, either on the last day of the Interest Period therefor, if such Lender may lawfully continue to maintain such Eurodollar Loans to such day, or promptly, if such Lender may not lawfully continue to maintain such Eurodollar Loans. Upon any such prepayment or conversion, the Borrower shall also pay accrued interest on the amount so prepaid or converted and all amounts due, if any, in connection with such prepayment or conversion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Each Lender agrees to designate a different lending office if such designation will avoid the need for such notice and will not, in the good faith judgment of such Lender, otherwise be materially disadvantageous to such Lender.</w:t>
      </w:r>
    </w:p>
    <w:p>
      <w:pPr>
        <w:spacing w:after="0" w:line="166"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8"/>
          <w:szCs w:val="18"/>
          <w:i w:val="1"/>
          <w:iCs w:val="1"/>
          <w:color w:val="auto"/>
        </w:rPr>
        <w:t>Increased Cost and Reduced Return; Capital Adequacy; Reserves on Eurodollar Loans</w:t>
      </w:r>
      <w:r>
        <w:rPr>
          <w:rFonts w:ascii="Arial" w:cs="Arial" w:eastAsia="Arial" w:hAnsi="Arial"/>
          <w:sz w:val="18"/>
          <w:szCs w:val="18"/>
          <w:color w:val="auto"/>
        </w:rPr>
        <w:t>.</w:t>
      </w:r>
    </w:p>
    <w:p>
      <w:pPr>
        <w:spacing w:after="0" w:line="223" w:lineRule="exact"/>
        <w:rPr>
          <w:sz w:val="20"/>
          <w:szCs w:val="20"/>
          <w:color w:val="auto"/>
        </w:rPr>
      </w:pPr>
    </w:p>
    <w:p>
      <w:pPr>
        <w:jc w:val="both"/>
        <w:ind w:left="80" w:firstLine="525"/>
        <w:spacing w:after="0" w:line="283"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If any Lender reasonably determines that as a result of the introduction of or any change in or in the interpretation of any Law, in each case after the Restatement Effective Date, or such Lender’s compliance therewith, there shall be any material increase in the cost to such Lender of agreeing to make or making, funding or maintaining any Eurodollar Loans, or a material reduction in the amount received or receivable by such Lender in connection with any of the foregoing (excluding for purposes of this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any such increased costs or reduction in amount resulting from (i) Indemnified Taxes or Other Taxes for which additional amounts are payable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or any Taxes excluded from the definition of Indemnified Taxes under exception (iii) thereof to the extent such Taxes are imposed on or measured by net income or profits or are franchise taxes (imposed in lieu of the foregoing taxes) and any Taxes excluded from the definition of Indemnified Taxes under exceptions (i), (ii), (iv), (v) and (vi) thereof or (ii) reserve requirements contemplated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3.03(c)</w:t>
      </w:r>
      <w:r>
        <w:rPr>
          <w:rFonts w:ascii="Arial" w:cs="Arial" w:eastAsia="Arial" w:hAnsi="Arial"/>
          <w:sz w:val="18"/>
          <w:szCs w:val="18"/>
          <w:color w:val="auto"/>
        </w:rPr>
        <w:t xml:space="preserve"> or reflected in the Adjusted LIBO Rate) and the result of any of the foregoing shall be to increase the cost to such Lender of making or maintaining any Eurodollar Loan (or of maintaining its obligations to make any Loan), or to reduce the amount of any sum received or receivable by such Lender, then from time to time within fifteen (15) days after written demand by such Lender setting forth in reasonable detail such increased costs (with a copy of such written demand to the Administrative Agent given in accordance with </w:t>
      </w:r>
      <w:r>
        <w:rPr>
          <w:rFonts w:ascii="Arial" w:cs="Arial" w:eastAsia="Arial" w:hAnsi="Arial"/>
          <w:sz w:val="18"/>
          <w:szCs w:val="18"/>
          <w:u w:val="single" w:color="auto"/>
          <w:color w:val="auto"/>
        </w:rPr>
        <w:t>Section 3.05</w:t>
      </w:r>
      <w:r>
        <w:rPr>
          <w:rFonts w:ascii="Arial" w:cs="Arial" w:eastAsia="Arial" w:hAnsi="Arial"/>
          <w:sz w:val="18"/>
          <w:szCs w:val="18"/>
          <w:color w:val="auto"/>
        </w:rPr>
        <w:t>), the Borrower shall pay to such Lender such additional amounts as will compensate such Lender for such increased cost or reduction.</w:t>
      </w:r>
    </w:p>
    <w:p>
      <w:pPr>
        <w:spacing w:after="0" w:line="149" w:lineRule="exact"/>
        <w:rPr>
          <w:rFonts w:ascii="Arial" w:cs="Arial" w:eastAsia="Arial" w:hAnsi="Arial"/>
          <w:sz w:val="18"/>
          <w:szCs w:val="18"/>
          <w:color w:val="auto"/>
        </w:rPr>
      </w:pPr>
    </w:p>
    <w:p>
      <w:pPr>
        <w:jc w:val="both"/>
        <w:ind w:firstLine="605"/>
        <w:spacing w:after="0" w:line="270" w:lineRule="auto"/>
        <w:tabs>
          <w:tab w:leader="none" w:pos="1007"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If any Lender determines that the introduction of any Law regarding capital adequacy or liquidity or any change therein or in the interpretation thereof, in each case after the Restatement Effective Date, or compliance by such Lender (or its lending office) therewith, has the effect of reducing the rate of return on the capital of such Lender or any entity controlling such Lender as a consequence of such Lender’s obligations hereunder (taking into consideration its policies with respect to capital adequacy and liquidity and such Lender’s desired return on capital), then from time to time upon written demand of such Lender setting forth in reasonable detail the charge and the calculation of such reduced rate of return (with a copy of such written demand to the Administrative Agent given in accordance with </w:t>
      </w:r>
      <w:r>
        <w:rPr>
          <w:rFonts w:ascii="Arial" w:cs="Arial" w:eastAsia="Arial" w:hAnsi="Arial"/>
          <w:sz w:val="19"/>
          <w:szCs w:val="19"/>
          <w:u w:val="single" w:color="auto"/>
          <w:color w:val="auto"/>
        </w:rPr>
        <w:t>Section 3.05</w:t>
      </w:r>
      <w:r>
        <w:rPr>
          <w:rFonts w:ascii="Arial" w:cs="Arial" w:eastAsia="Arial" w:hAnsi="Arial"/>
          <w:sz w:val="19"/>
          <w:szCs w:val="19"/>
          <w:color w:val="auto"/>
        </w:rPr>
        <w:t>), the Borrower shall pay to such Lender such additional amounts as will compensate such Lender or controlling entity for such reduction within fifteen (15) days after receipt of such written demand.</w:t>
      </w:r>
    </w:p>
    <w:p>
      <w:pPr>
        <w:spacing w:after="0" w:line="160" w:lineRule="exact"/>
        <w:rPr>
          <w:rFonts w:ascii="Arial" w:cs="Arial" w:eastAsia="Arial" w:hAnsi="Arial"/>
          <w:sz w:val="19"/>
          <w:szCs w:val="19"/>
          <w:color w:val="auto"/>
        </w:rPr>
      </w:pPr>
    </w:p>
    <w:p>
      <w:pPr>
        <w:jc w:val="both"/>
        <w:ind w:firstLine="605"/>
        <w:spacing w:after="0" w:line="280" w:lineRule="auto"/>
        <w:tabs>
          <w:tab w:leader="none" w:pos="1058"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Except to the extent already reflected in the Adjusted LIBO Rate, the Borrower shall pay to each Lender, (i) as long as such Lender shall be required to maintain reserves with respect to liabilities or assets consisting of or including Eurodollar funds or deposits, additional interest on the unpaid principal amount of each applicable Eurodollar Loan of the Borrower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any Eurodollar Loans of the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Borrower shall have received at least fifteen (15) days’ prior written notice (with a copy to the Administrative Agent) of such additional interest or cost from such Lender. If a Lender fails to give written notice fifteen</w:t>
      </w:r>
    </w:p>
    <w:p>
      <w:pPr>
        <w:spacing w:after="0" w:line="4" w:lineRule="exact"/>
        <w:rPr>
          <w:rFonts w:ascii="Arial" w:cs="Arial" w:eastAsia="Arial" w:hAnsi="Arial"/>
          <w:sz w:val="18"/>
          <w:szCs w:val="18"/>
          <w:color w:val="auto"/>
        </w:rPr>
      </w:pPr>
    </w:p>
    <w:p>
      <w:pPr>
        <w:ind w:firstLine="1"/>
        <w:spacing w:after="0" w:line="259" w:lineRule="auto"/>
        <w:tabs>
          <w:tab w:leader="none" w:pos="394" w:val="left"/>
        </w:tabs>
        <w:numPr>
          <w:ilvl w:val="0"/>
          <w:numId w:val="94"/>
        </w:numPr>
        <w:rPr>
          <w:rFonts w:ascii="Arial" w:cs="Arial" w:eastAsia="Arial" w:hAnsi="Arial"/>
          <w:sz w:val="20"/>
          <w:szCs w:val="20"/>
          <w:color w:val="auto"/>
        </w:rPr>
      </w:pPr>
      <w:r>
        <w:rPr>
          <w:rFonts w:ascii="Arial" w:cs="Arial" w:eastAsia="Arial" w:hAnsi="Arial"/>
          <w:sz w:val="20"/>
          <w:szCs w:val="20"/>
          <w:color w:val="auto"/>
        </w:rPr>
        <w:t>days prior to the relevant Interest Payment Date, such additional interest or cost shall be due and payable fifteen (15) days from receipt of such written notice.</w:t>
      </w:r>
    </w:p>
    <w:p>
      <w:pPr>
        <w:spacing w:after="0" w:line="165" w:lineRule="exact"/>
        <w:rPr>
          <w:rFonts w:ascii="Arial" w:cs="Arial" w:eastAsia="Arial" w:hAnsi="Arial"/>
          <w:sz w:val="20"/>
          <w:szCs w:val="20"/>
          <w:color w:val="auto"/>
        </w:rPr>
      </w:pPr>
    </w:p>
    <w:p>
      <w:pPr>
        <w:ind w:firstLine="605"/>
        <w:spacing w:after="0" w:line="291" w:lineRule="auto"/>
        <w:tabs>
          <w:tab w:leader="none" w:pos="1019"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Failure or delay on the part of any Lender to demand compensation pursuant to this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shall not constitute a waiver of such Lender’s right to demand such compensation.</w:t>
      </w:r>
    </w:p>
    <w:p>
      <w:pPr>
        <w:spacing w:after="0" w:line="134" w:lineRule="exact"/>
        <w:rPr>
          <w:rFonts w:ascii="Arial" w:cs="Arial" w:eastAsia="Arial" w:hAnsi="Arial"/>
          <w:sz w:val="20"/>
          <w:szCs w:val="20"/>
          <w:color w:val="auto"/>
        </w:rPr>
      </w:pPr>
    </w:p>
    <w:p>
      <w:pPr>
        <w:jc w:val="both"/>
        <w:ind w:firstLine="605"/>
        <w:spacing w:after="0" w:line="259" w:lineRule="auto"/>
        <w:tabs>
          <w:tab w:leader="none" w:pos="1159"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If any Lender requests compensation under this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then such Lender will, if requested by the Borrower, use commercially reasonable efforts to designate another lending office for any Loan affected by such event;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3.03(e)</w:t>
      </w:r>
      <w:r>
        <w:rPr>
          <w:rFonts w:ascii="Arial" w:cs="Arial" w:eastAsia="Arial" w:hAnsi="Arial"/>
          <w:sz w:val="20"/>
          <w:szCs w:val="20"/>
          <w:color w:val="auto"/>
        </w:rPr>
        <w:t xml:space="preserve"> shall affect or postpone any of the Obligations of the Borrower or the rights of such Lender pursuant to </w:t>
      </w:r>
      <w:r>
        <w:rPr>
          <w:rFonts w:ascii="Arial" w:cs="Arial" w:eastAsia="Arial" w:hAnsi="Arial"/>
          <w:sz w:val="20"/>
          <w:szCs w:val="20"/>
          <w:u w:val="single" w:color="auto"/>
          <w:color w:val="auto"/>
        </w:rPr>
        <w:t>Section 3.03(a)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w:t>
      </w:r>
      <w:r>
        <w:rPr>
          <w:rFonts w:ascii="Arial" w:cs="Arial" w:eastAsia="Arial" w:hAnsi="Arial"/>
          <w:sz w:val="20"/>
          <w:szCs w:val="20"/>
          <w:color w:val="auto"/>
        </w:rPr>
        <w:t>.</w:t>
      </w:r>
    </w:p>
    <w:p>
      <w:pPr>
        <w:spacing w:after="0" w:line="169" w:lineRule="exact"/>
        <w:rPr>
          <w:sz w:val="20"/>
          <w:szCs w:val="20"/>
          <w:color w:val="auto"/>
        </w:rPr>
      </w:pPr>
    </w:p>
    <w:p>
      <w:pPr>
        <w:jc w:val="both"/>
        <w:ind w:firstLine="604"/>
        <w:spacing w:after="0" w:line="290"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i w:val="1"/>
          <w:iCs w:val="1"/>
          <w:color w:val="auto"/>
        </w:rPr>
        <w:t>Funding Losses.</w:t>
      </w:r>
      <w:r>
        <w:rPr>
          <w:rFonts w:ascii="Arial" w:cs="Arial" w:eastAsia="Arial" w:hAnsi="Arial"/>
          <w:sz w:val="19"/>
          <w:szCs w:val="19"/>
          <w:color w:val="auto"/>
        </w:rPr>
        <w:t xml:space="preserve"> Promptly following written demand of any Lender (with a copy to the Administrative Agent) from time to time, which demand shall set forth in reasonable detail the basis for requesting such amount, the Borrower shall promptly compensate such Lender for and hold such Lender harmless from any loss, cost or expense actually incurred by it as a result of:</w:t>
      </w:r>
    </w:p>
    <w:p>
      <w:pPr>
        <w:sectPr>
          <w:pgSz w:w="11900" w:h="16838" w:orient="portrait"/>
          <w:cols w:equalWidth="0" w:num="1">
            <w:col w:w="11420"/>
          </w:cols>
          <w:pgMar w:left="240" w:top="131" w:right="239" w:bottom="0" w:gutter="0" w:footer="0" w:header="0"/>
        </w:sectPr>
      </w:pPr>
    </w:p>
    <w:bookmarkStart w:id="87" w:name="page88"/>
    <w:bookmarkEnd w:id="87"/>
    <w:p>
      <w:pPr>
        <w:jc w:val="both"/>
        <w:ind w:firstLine="605"/>
        <w:spacing w:after="0" w:line="270" w:lineRule="auto"/>
        <w:tabs>
          <w:tab w:leader="none" w:pos="10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continuation or conversion of any Eurodollar Loan of the Borrower on a day prior to the last day of the Interest Period for such Loan, or any payment or prepayment of any Eurodollar Loan of the Borrower on a day prior to the last day of the Interest Period for such Loan; or</w:t>
      </w:r>
    </w:p>
    <w:p>
      <w:pPr>
        <w:spacing w:after="0" w:line="155" w:lineRule="exact"/>
        <w:rPr>
          <w:rFonts w:ascii="Arial" w:cs="Arial" w:eastAsia="Arial" w:hAnsi="Arial"/>
          <w:sz w:val="20"/>
          <w:szCs w:val="20"/>
          <w:color w:val="auto"/>
        </w:rPr>
      </w:pPr>
    </w:p>
    <w:p>
      <w:pPr>
        <w:ind w:firstLine="605"/>
        <w:spacing w:after="0" w:line="291" w:lineRule="auto"/>
        <w:tabs>
          <w:tab w:leader="none" w:pos="1056"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Eurodollar Loan of the Borrower on the date or in the amount notified by the Borrower;</w:t>
      </w:r>
    </w:p>
    <w:p>
      <w:pPr>
        <w:spacing w:after="0" w:line="134" w:lineRule="exact"/>
        <w:rPr>
          <w:sz w:val="20"/>
          <w:szCs w:val="20"/>
          <w:color w:val="auto"/>
        </w:rPr>
      </w:pPr>
    </w:p>
    <w:p>
      <w:pPr>
        <w:jc w:val="both"/>
        <w:ind w:firstLine="604"/>
        <w:spacing w:after="0" w:line="271" w:lineRule="auto"/>
        <w:rPr>
          <w:sz w:val="20"/>
          <w:szCs w:val="20"/>
          <w:color w:val="auto"/>
        </w:rPr>
      </w:pPr>
      <w:r>
        <w:rPr>
          <w:rFonts w:ascii="Arial" w:cs="Arial" w:eastAsia="Arial" w:hAnsi="Arial"/>
          <w:sz w:val="19"/>
          <w:szCs w:val="19"/>
          <w:color w:val="auto"/>
        </w:rPr>
        <w:t xml:space="preserve">including an amount equal to the excess, as reasonably determined by such Lender, of (1) its cost of obtaining funds for the Eurodollar Loan that is the subject of such event for the period from the date of such event to the last day of the Interest Period in effect (or that would have been in effect) for such Loan over (2) the amount of interest likely to be realized by such Lender in redeploying the funds released or not utilized by reason of such event for such period, but excluding (a) loss of anticipated profits, and (b) any loss, cost or expense resulting from Indemnified Taxes or Other Taxes for which additional amounts are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any Taxes excluded from the definition of Indemnified Taxes under </w:t>
      </w:r>
      <w:r>
        <w:rPr>
          <w:rFonts w:ascii="Arial" w:cs="Arial" w:eastAsia="Arial" w:hAnsi="Arial"/>
          <w:sz w:val="19"/>
          <w:szCs w:val="19"/>
          <w:u w:val="single" w:color="auto"/>
          <w:color w:val="auto"/>
        </w:rPr>
        <w:t>Section 3.01</w:t>
      </w:r>
      <w:r>
        <w:rPr>
          <w:rFonts w:ascii="Arial" w:cs="Arial" w:eastAsia="Arial" w:hAnsi="Arial"/>
          <w:sz w:val="19"/>
          <w:szCs w:val="19"/>
          <w:color w:val="auto"/>
        </w:rPr>
        <w:t>.</w:t>
      </w:r>
    </w:p>
    <w:p>
      <w:pPr>
        <w:spacing w:after="0" w:line="156"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8"/>
          <w:szCs w:val="18"/>
          <w:i w:val="1"/>
          <w:iCs w:val="1"/>
          <w:color w:val="auto"/>
        </w:rPr>
        <w:t>Matters Applicable to all Requests for Compensation</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90" w:lineRule="auto"/>
        <w:tabs>
          <w:tab w:leader="none" w:pos="1008"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and customary averaging and attribution methods.</w:t>
      </w:r>
    </w:p>
    <w:p>
      <w:pPr>
        <w:spacing w:after="0" w:line="139" w:lineRule="exact"/>
        <w:rPr>
          <w:rFonts w:ascii="Arial" w:cs="Arial" w:eastAsia="Arial" w:hAnsi="Arial"/>
          <w:sz w:val="19"/>
          <w:szCs w:val="19"/>
          <w:color w:val="auto"/>
        </w:rPr>
      </w:pPr>
    </w:p>
    <w:p>
      <w:pPr>
        <w:jc w:val="both"/>
        <w:ind w:firstLine="605"/>
        <w:spacing w:after="0" w:line="254" w:lineRule="auto"/>
        <w:tabs>
          <w:tab w:leader="none" w:pos="1158"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With respect to any Lender’s claim for compensation under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3.03</w:t>
      </w:r>
      <w:r>
        <w:rPr>
          <w:rFonts w:ascii="Arial" w:cs="Arial" w:eastAsia="Arial" w:hAnsi="Arial"/>
          <w:sz w:val="20"/>
          <w:szCs w:val="20"/>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circumstance giving rise to such claim is retroactive, then such 180-day period referred to above shall be extended to include the period of retroactive effect thereof. If any Lender requests compensation by the Borrower under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the Borrower may, by notice to such Lender (with a copy to the Administrative Agent), suspend the obligation of such Lender to make or continue from one Interest Period to another any applicable Eurodollar Loan, or, if applicable, to convert ABR Loans into Eurodollar Loans, until the event or condition giving rise to such request ceases to be in effect (in which case the provisions of </w:t>
      </w:r>
      <w:r>
        <w:rPr>
          <w:rFonts w:ascii="Arial" w:cs="Arial" w:eastAsia="Arial" w:hAnsi="Arial"/>
          <w:sz w:val="20"/>
          <w:szCs w:val="20"/>
          <w:u w:val="single" w:color="auto"/>
          <w:color w:val="auto"/>
        </w:rPr>
        <w:t>Section 3.05(c)</w:t>
      </w:r>
      <w:r>
        <w:rPr>
          <w:rFonts w:ascii="Arial" w:cs="Arial" w:eastAsia="Arial" w:hAnsi="Arial"/>
          <w:sz w:val="20"/>
          <w:szCs w:val="20"/>
          <w:color w:val="auto"/>
        </w:rPr>
        <w:t xml:space="preserve"> shall be applicable);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suspension shall not affect the right of such Lender to receive the compensation so requested.</w:t>
      </w:r>
    </w:p>
    <w:p>
      <w:pPr>
        <w:spacing w:after="0" w:line="175" w:lineRule="exact"/>
        <w:rPr>
          <w:rFonts w:ascii="Arial" w:cs="Arial" w:eastAsia="Arial" w:hAnsi="Arial"/>
          <w:sz w:val="20"/>
          <w:szCs w:val="20"/>
          <w:color w:val="auto"/>
        </w:rPr>
      </w:pPr>
    </w:p>
    <w:p>
      <w:pPr>
        <w:jc w:val="both"/>
        <w:ind w:firstLine="605"/>
        <w:spacing w:after="0" w:line="257" w:lineRule="auto"/>
        <w:tabs>
          <w:tab w:leader="none" w:pos="10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If the obligation of any Lender to make or continue any Eurodollar Loan, or to convert ABR Loans into Eurodollar Loans shall be suspended pursuant to </w:t>
      </w:r>
      <w:r>
        <w:rPr>
          <w:rFonts w:ascii="Arial" w:cs="Arial" w:eastAsia="Arial" w:hAnsi="Arial"/>
          <w:sz w:val="20"/>
          <w:szCs w:val="20"/>
          <w:u w:val="single" w:color="auto"/>
          <w:color w:val="auto"/>
        </w:rPr>
        <w:t>Section 3.05(b)</w:t>
      </w:r>
      <w:r>
        <w:rPr>
          <w:rFonts w:ascii="Arial" w:cs="Arial" w:eastAsia="Arial" w:hAnsi="Arial"/>
          <w:sz w:val="20"/>
          <w:szCs w:val="20"/>
          <w:color w:val="auto"/>
        </w:rPr>
        <w:t xml:space="preserve"> hereof, such Lender’s applicable Eurodollar Loans shall be automatically converted into ABR Loans (or, if such conversion is not possible, repaid) on the last day(s) of the then current Interest Period(s) for such Eurodollar Loans (or, in the case of an immediate conversion required by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on such earlier date as required by Law) and, unless and until such Lender gives notice as provided below that the circumstances specified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3.03</w:t>
      </w:r>
      <w:r>
        <w:rPr>
          <w:rFonts w:ascii="Arial" w:cs="Arial" w:eastAsia="Arial" w:hAnsi="Arial"/>
          <w:sz w:val="20"/>
          <w:szCs w:val="20"/>
          <w:color w:val="auto"/>
        </w:rPr>
        <w:t xml:space="preserve"> hereof that gave rise to such conversion no longer exist:</w:t>
      </w:r>
    </w:p>
    <w:p>
      <w:pPr>
        <w:spacing w:after="0" w:line="170" w:lineRule="exact"/>
        <w:rPr>
          <w:rFonts w:ascii="Arial" w:cs="Arial" w:eastAsia="Arial" w:hAnsi="Arial"/>
          <w:sz w:val="20"/>
          <w:szCs w:val="20"/>
          <w:color w:val="auto"/>
        </w:rPr>
      </w:pPr>
    </w:p>
    <w:p>
      <w:pPr>
        <w:ind w:left="600" w:firstLine="609"/>
        <w:spacing w:after="0" w:line="350" w:lineRule="auto"/>
        <w:tabs>
          <w:tab w:leader="none" w:pos="156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 the extent that such Lender’s Eurodollar Loans have been so converted, all payments and prepayments of principal that would otherwise be applied to such Lender’s applicable Eurodollar Loans shall be applied instead to its ABR Loans; and</w:t>
      </w:r>
    </w:p>
    <w:p>
      <w:pPr>
        <w:spacing w:after="0" w:line="88" w:lineRule="exact"/>
        <w:rPr>
          <w:rFonts w:ascii="Arial" w:cs="Arial" w:eastAsia="Arial" w:hAnsi="Arial"/>
          <w:sz w:val="18"/>
          <w:szCs w:val="18"/>
          <w:color w:val="auto"/>
        </w:rPr>
      </w:pPr>
    </w:p>
    <w:p>
      <w:pPr>
        <w:jc w:val="both"/>
        <w:ind w:left="600" w:firstLine="609"/>
        <w:spacing w:after="0" w:line="270" w:lineRule="auto"/>
        <w:tabs>
          <w:tab w:leader="none" w:pos="1655" w:val="left"/>
        </w:tabs>
        <w:numPr>
          <w:ilvl w:val="1"/>
          <w:numId w:val="96"/>
        </w:numPr>
        <w:rPr>
          <w:rFonts w:ascii="Arial" w:cs="Arial" w:eastAsia="Arial" w:hAnsi="Arial"/>
          <w:sz w:val="20"/>
          <w:szCs w:val="20"/>
          <w:color w:val="auto"/>
        </w:rPr>
      </w:pPr>
      <w:r>
        <w:rPr>
          <w:rFonts w:ascii="Arial" w:cs="Arial" w:eastAsia="Arial" w:hAnsi="Arial"/>
          <w:sz w:val="20"/>
          <w:szCs w:val="20"/>
          <w:color w:val="auto"/>
        </w:rPr>
        <w:t>all Loans that would otherwise be made or continued from one Interest Period to another by such Lender as Eurodollar Loans shall be made or continued instead as ABR Loans (if possible), and all ABR Loans of such Lender that would otherwise be converted into Eurodollar Loans shall remain as ABR Loans.</w:t>
      </w:r>
    </w:p>
    <w:p>
      <w:pPr>
        <w:spacing w:after="0" w:line="155" w:lineRule="exact"/>
        <w:rPr>
          <w:rFonts w:ascii="Arial" w:cs="Arial" w:eastAsia="Arial" w:hAnsi="Arial"/>
          <w:sz w:val="20"/>
          <w:szCs w:val="20"/>
          <w:color w:val="auto"/>
        </w:rPr>
      </w:pPr>
    </w:p>
    <w:p>
      <w:pPr>
        <w:jc w:val="both"/>
        <w:ind w:firstLine="605"/>
        <w:spacing w:after="0" w:line="289" w:lineRule="auto"/>
        <w:tabs>
          <w:tab w:leader="none" w:pos="101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any Lender gives notice to the Borrower (with a copy to the Administrative Agent) that the circumstances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hereof that gave rise to the conversion of any of such Lender’s Eurodollar Loans pursuant to this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no longer exist (which such Lender agrees to do promptly upon such circumstances ceasing to exist) at a time when Eurodollar Loans made by other Lenders under the applicable Facility are outstanding, if applicable, such Lender’s ABR Loans shall be automatically converted, on the first day(s) of the next succeeding Interest Period(s) for such outstanding Eurodollar Loans, to the extent necessary so that, after giving effect thereto, all Loans held by the Lenders holding Eurodollar Loans under such Facility and by such Lender are held pro rata (as to principal amounts, interest rate basis, and Interest Periods) in accordance with their respective Commitments for the applicable Facility.</w:t>
      </w:r>
    </w:p>
    <w:p>
      <w:pPr>
        <w:spacing w:after="0" w:line="142" w:lineRule="exact"/>
        <w:rPr>
          <w:rFonts w:ascii="Arial" w:cs="Arial" w:eastAsia="Arial" w:hAnsi="Arial"/>
          <w:sz w:val="18"/>
          <w:szCs w:val="18"/>
          <w:color w:val="auto"/>
        </w:rPr>
      </w:pPr>
    </w:p>
    <w:p>
      <w:pPr>
        <w:jc w:val="both"/>
        <w:ind w:firstLine="605"/>
        <w:spacing w:after="0" w:line="259" w:lineRule="auto"/>
        <w:tabs>
          <w:tab w:leader="none" w:pos="1033" w:val="left"/>
        </w:tabs>
        <w:numPr>
          <w:ilvl w:val="0"/>
          <w:numId w:val="96"/>
        </w:numPr>
        <w:rPr>
          <w:rFonts w:ascii="Arial" w:cs="Arial" w:eastAsia="Arial" w:hAnsi="Arial"/>
          <w:sz w:val="20"/>
          <w:szCs w:val="20"/>
          <w:color w:val="auto"/>
        </w:rPr>
      </w:pPr>
      <w:r>
        <w:rPr>
          <w:rFonts w:ascii="Arial" w:cs="Arial" w:eastAsia="Arial" w:hAnsi="Arial"/>
          <w:sz w:val="20"/>
          <w:szCs w:val="20"/>
          <w:color w:val="auto"/>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adopted or made after the Restatement Effective Date, regardless of the date enacted or adopted.</w:t>
      </w:r>
    </w:p>
    <w:p>
      <w:pPr>
        <w:spacing w:after="0" w:line="169"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i w:val="1"/>
          <w:iCs w:val="1"/>
          <w:color w:val="auto"/>
        </w:rPr>
        <w:t>Replacement of Lenders under Certain Circumstances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85" w:lineRule="auto"/>
        <w:tabs>
          <w:tab w:leader="none" w:pos="10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If at any time (i) the Borrower becomes obligated to pay additional amounts or indemnity payments described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as a result of any condition described in such Sections or any Lender ceases to make any Eurodollar Loans as a result of any condition described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(ii) any Lender becomes a Non-Consenting Lender, then the Borrower may, on prior written notice to the Administrative Agent and such Lender, (x) replace such Lender by causing such Lender to (and such Lender shall be obligated to) assign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(unless otherwise agreed, with the assignment fee to be paid by the Borrower in such instance) (it being understood that any such assignment shall become effective only in accordance with </w:t>
      </w:r>
      <w:r>
        <w:rPr>
          <w:rFonts w:ascii="Arial" w:cs="Arial" w:eastAsia="Arial" w:hAnsi="Arial"/>
          <w:sz w:val="18"/>
          <w:szCs w:val="18"/>
          <w:u w:val="single" w:color="auto"/>
          <w:color w:val="auto"/>
        </w:rPr>
        <w:t>Section 10.04(e)</w:t>
      </w:r>
      <w:r>
        <w:rPr>
          <w:rFonts w:ascii="Arial" w:cs="Arial" w:eastAsia="Arial" w:hAnsi="Arial"/>
          <w:sz w:val="18"/>
          <w:szCs w:val="18"/>
          <w:color w:val="auto"/>
        </w:rPr>
        <w:t xml:space="preserve">), all of its rights and obligations under this Agreement (in respect of any applicable Facility only in the case of clause (i) or, with respect to a Class vote, clause (ii)) to one or more Eligible Assignees;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the Administrative Agent nor any Lender shall have any obligation to the Borrower to find a replacement Lender or other such Person;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in the case of any such assignment resulting from a claim for compensation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w:t>
      </w:r>
    </w:p>
    <w:p>
      <w:pPr>
        <w:sectPr>
          <w:pgSz w:w="11900" w:h="16838" w:orient="portrait"/>
          <w:cols w:equalWidth="0" w:num="1">
            <w:col w:w="11420"/>
          </w:cols>
          <w:pgMar w:left="240" w:top="131" w:right="239" w:bottom="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8"/>
          <w:szCs w:val="18"/>
          <w:color w:val="auto"/>
        </w:rPr>
        <w:t xml:space="preserve">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and repay all Obligations of the Borrower owing to such Lender relating to the Loans and participations held by such Lender as of such termination date;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such termination of a Non-Consenting Lender, such termination shall be sufficient (together with all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consenting Lenders) to cause the adoption of the applicable departure, waiver or amendment of the Loan Documents and such termination shall be in respect of any applicable Facility only in the case of clause (i) or, with respect to a Class vote, clause (ii).</w:t>
      </w:r>
    </w:p>
    <w:p>
      <w:pPr>
        <w:spacing w:after="0" w:line="148" w:lineRule="exact"/>
        <w:rPr>
          <w:sz w:val="20"/>
          <w:szCs w:val="20"/>
          <w:color w:val="auto"/>
        </w:rPr>
      </w:pPr>
    </w:p>
    <w:p>
      <w:pPr>
        <w:jc w:val="both"/>
        <w:ind w:firstLine="605"/>
        <w:spacing w:after="0" w:line="272" w:lineRule="auto"/>
        <w:tabs>
          <w:tab w:leader="none" w:pos="1019"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directly and adversely affected Lender, each Lender with respect to a certain Class of Loans or each directly and adversely affected Lender with respect to a certain Class of Loans, in each case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and (iii) the Required Lenders (or, in the case of a consent, waiver or amendment involving all Lenders or all directly and adversely affected Lenders of a certain Class, the Required Class Lenders) have agreed to such consent, waiver or amendment, then any Lender who does not agree to such consent, waiver or amendment shall be deemed a “</w:t>
      </w:r>
      <w:r>
        <w:rPr>
          <w:rFonts w:ascii="Arial" w:cs="Arial" w:eastAsia="Arial" w:hAnsi="Arial"/>
          <w:sz w:val="19"/>
          <w:szCs w:val="19"/>
          <w:b w:val="1"/>
          <w:bCs w:val="1"/>
          <w:color w:val="auto"/>
        </w:rPr>
        <w:t>Non-Consenting Lender</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605"/>
        <w:spacing w:after="0" w:line="283"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Any Lender being replaced pursuant to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above shall (i) execute and deliver an Assignment and Acceptance with respect to such Lender’s applicable Commitment and outstanding Loans, and (ii) deliver any Term Notes evidencing such Loans to the Borrower or Administrative Agent. Pursuant to such Assignment and Acceptance, (A) the assignee Lender shall acquire all or a portion, as the case may be, of the assigning Lender’s outstanding Loans, (B) all obligations of the Borrower owing to the assigning Lender relating to the Loans and participations so assigned shall be paid in full by the assignee Lender to such assigning Lender concurrently with such Assignment and Acceptance and (C) upon such payment and, if so requested by the assignee Lender, delivery to the assignee Lender of the appropriate Term Note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does not execute and deliver to the Administrative Agent a duly executed Assignment and Acceptance reflecting such replacement within five (5) Business Days of the date on which the assignee Lender executes and delivers such Assignment and Acceptance to such Non-Consenting Lender, then such Non-Consenting Lender shall be deemed to have executed and delivered such Assignment and Acceptance without any action on the part of the Non-Consenting Lender.</w:t>
      </w:r>
    </w:p>
    <w:p>
      <w:pPr>
        <w:spacing w:after="0" w:line="149" w:lineRule="exact"/>
        <w:rPr>
          <w:rFonts w:ascii="Arial" w:cs="Arial" w:eastAsia="Arial" w:hAnsi="Arial"/>
          <w:sz w:val="18"/>
          <w:szCs w:val="18"/>
          <w:color w:val="auto"/>
        </w:rPr>
      </w:pPr>
    </w:p>
    <w:p>
      <w:pPr>
        <w:ind w:firstLine="605"/>
        <w:spacing w:after="0" w:line="291" w:lineRule="auto"/>
        <w:tabs>
          <w:tab w:leader="none" w:pos="1007" w:val="left"/>
        </w:tabs>
        <w:numPr>
          <w:ilvl w:val="0"/>
          <w:numId w:val="98"/>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above, the Lender that acts as the Administrative Agent may not be replaced hereunder except in accordance with Article 9.</w:t>
      </w:r>
    </w:p>
    <w:p>
      <w:pPr>
        <w:spacing w:after="0" w:line="134"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i w:val="1"/>
          <w:iCs w:val="1"/>
          <w:color w:val="auto"/>
        </w:rPr>
        <w:t>Survival</w:t>
      </w:r>
      <w:r>
        <w:rPr>
          <w:rFonts w:ascii="Arial" w:cs="Arial" w:eastAsia="Arial" w:hAnsi="Arial"/>
          <w:sz w:val="20"/>
          <w:szCs w:val="20"/>
          <w:color w:val="auto"/>
        </w:rPr>
        <w:t>. All of the Borrower’s obligations under this Article 3 shall survive termination of the Commitments and repayment of all other Obligations hereunder.</w:t>
      </w:r>
    </w:p>
    <w:p>
      <w:pPr>
        <w:spacing w:after="0" w:line="130"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4</w:t>
      </w:r>
    </w:p>
    <w:p>
      <w:pPr>
        <w:spacing w:after="0" w:line="3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CONDITIONS PRECEDENT TO CREDIT EXTENSIONS</w:t>
      </w:r>
    </w:p>
    <w:p>
      <w:pPr>
        <w:spacing w:after="0" w:line="205"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i w:val="1"/>
          <w:iCs w:val="1"/>
          <w:color w:val="auto"/>
        </w:rPr>
        <w:t>All Credit Extensions.</w:t>
      </w:r>
      <w:r>
        <w:rPr>
          <w:rFonts w:ascii="Arial" w:cs="Arial" w:eastAsia="Arial" w:hAnsi="Arial"/>
          <w:sz w:val="20"/>
          <w:szCs w:val="20"/>
          <w:color w:val="auto"/>
        </w:rPr>
        <w:t xml:space="preserve"> The obligation of each Lender to honor any Request for Credit Extension (other than a Request for Credit Extension requesting only a conversion of Loans to the other Type, or a continuation of Eurodollar Loans) is subject to satisfaction (or waiver) of the following conditions precedent:</w:t>
      </w:r>
    </w:p>
    <w:p>
      <w:pPr>
        <w:spacing w:after="0" w:line="155" w:lineRule="exact"/>
        <w:rPr>
          <w:sz w:val="20"/>
          <w:szCs w:val="20"/>
          <w:color w:val="auto"/>
        </w:rPr>
      </w:pPr>
    </w:p>
    <w:p>
      <w:pPr>
        <w:jc w:val="both"/>
        <w:ind w:firstLine="605"/>
        <w:spacing w:after="0" w:line="273" w:lineRule="auto"/>
        <w:tabs>
          <w:tab w:leader="none" w:pos="1108"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set forth in Article 5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9"/>
          <w:szCs w:val="19"/>
          <w:i w:val="1"/>
          <w:iCs w:val="1"/>
          <w:color w:val="auto"/>
        </w:rPr>
        <w:t>provided</w:t>
      </w:r>
      <w:r>
        <w:rPr>
          <w:rFonts w:ascii="Arial" w:cs="Arial" w:eastAsia="Arial" w:hAnsi="Arial"/>
          <w:sz w:val="19"/>
          <w:szCs w:val="19"/>
          <w:color w:val="auto"/>
        </w:rPr>
        <w:t>, that any such representation and warranty that is qualified by “materiality”, “material adverse effect” or similar language shall be true and correct in all respects (after giving effect to such qualification therein) on and as of the date of such Credit Extension with the same effect as though made on and as of such date or such earlier date, as applicable.</w:t>
      </w:r>
    </w:p>
    <w:p>
      <w:pPr>
        <w:spacing w:after="0" w:line="157" w:lineRule="exact"/>
        <w:rPr>
          <w:rFonts w:ascii="Arial" w:cs="Arial" w:eastAsia="Arial" w:hAnsi="Arial"/>
          <w:sz w:val="19"/>
          <w:szCs w:val="19"/>
          <w:color w:val="auto"/>
        </w:rPr>
      </w:pPr>
    </w:p>
    <w:p>
      <w:pPr>
        <w:ind w:left="1000" w:hanging="395"/>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therefrom.</w:t>
      </w:r>
    </w:p>
    <w:p>
      <w:pPr>
        <w:spacing w:after="0" w:line="246" w:lineRule="exact"/>
        <w:rPr>
          <w:rFonts w:ascii="Arial" w:cs="Arial" w:eastAsia="Arial" w:hAnsi="Arial"/>
          <w:sz w:val="18"/>
          <w:szCs w:val="18"/>
          <w:color w:val="auto"/>
        </w:rPr>
      </w:pPr>
    </w:p>
    <w:p>
      <w:pPr>
        <w:ind w:left="1000" w:hanging="395"/>
        <w:spacing w:after="0"/>
        <w:tabs>
          <w:tab w:leader="none" w:pos="10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Administrative Agent shall have received a Request for Credit Extension in accordance with the requirements hereof.</w:t>
      </w:r>
    </w:p>
    <w:p>
      <w:pPr>
        <w:spacing w:after="0" w:line="234" w:lineRule="exact"/>
        <w:rPr>
          <w:rFonts w:ascii="Arial" w:cs="Arial" w:eastAsia="Arial" w:hAnsi="Arial"/>
          <w:sz w:val="19"/>
          <w:szCs w:val="19"/>
          <w:color w:val="auto"/>
        </w:rPr>
      </w:pPr>
    </w:p>
    <w:p>
      <w:pPr>
        <w:ind w:right="260" w:firstLine="605"/>
        <w:spacing w:after="0" w:line="270" w:lineRule="auto"/>
        <w:tabs>
          <w:tab w:leader="none" w:pos="1007"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Collateral and Guarantee Requirement shall have been satisfied in all material respects with respect to each Material Real Property and, solely to the extent required under clause (b)(iv) of the definition of “Collateral and Guarantee Requirement”, each Pension Real Property.</w:t>
      </w:r>
    </w:p>
    <w:p>
      <w:pPr>
        <w:spacing w:after="0" w:line="155" w:lineRule="exact"/>
        <w:rPr>
          <w:sz w:val="20"/>
          <w:szCs w:val="20"/>
          <w:color w:val="auto"/>
        </w:rPr>
      </w:pPr>
    </w:p>
    <w:p>
      <w:pPr>
        <w:jc w:val="both"/>
        <w:ind w:firstLine="604"/>
        <w:spacing w:after="0" w:line="259" w:lineRule="auto"/>
        <w:rPr>
          <w:sz w:val="20"/>
          <w:szCs w:val="20"/>
          <w:color w:val="auto"/>
        </w:rPr>
      </w:pPr>
      <w:r>
        <w:rPr>
          <w:rFonts w:ascii="Arial" w:cs="Arial" w:eastAsia="Arial" w:hAnsi="Arial"/>
          <w:sz w:val="20"/>
          <w:szCs w:val="20"/>
          <w:color w:val="auto"/>
        </w:rPr>
        <w:t xml:space="preserve">Each Request for Credit Extension (other than a Request for Credit Extension requesting only a conversion of Loans to the other Type, or a continuation of Eurodollar Loans) submitted by the Borrower shall be deemed to be a representation and warranty by the Borrower that the conditions specified in </w:t>
      </w:r>
      <w:r>
        <w:rPr>
          <w:rFonts w:ascii="Arial" w:cs="Arial" w:eastAsia="Arial" w:hAnsi="Arial"/>
          <w:sz w:val="20"/>
          <w:szCs w:val="20"/>
          <w:u w:val="single" w:color="auto"/>
          <w:color w:val="auto"/>
        </w:rPr>
        <w:t>Sections 4.01(a)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or waived on and as of the date of the applicable Credit Extension.</w:t>
      </w:r>
    </w:p>
    <w:p>
      <w:pPr>
        <w:spacing w:after="0" w:line="165"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i w:val="1"/>
          <w:iCs w:val="1"/>
          <w:color w:val="auto"/>
        </w:rPr>
        <w:t>First Credit Extension.</w:t>
      </w:r>
      <w:r>
        <w:rPr>
          <w:rFonts w:ascii="Arial" w:cs="Arial" w:eastAsia="Arial" w:hAnsi="Arial"/>
          <w:sz w:val="20"/>
          <w:szCs w:val="20"/>
          <w:color w:val="auto"/>
        </w:rPr>
        <w:t xml:space="preserve"> The amendment and restatement of the Existing Credit Agreement provided for hereby and the obligation of each Tranche B-2 Term Lender to make Tranche B-2 Term Loans, shall be subject to satisfaction (or waiver) of the following conditions precedent:</w:t>
      </w:r>
    </w:p>
    <w:p>
      <w:pPr>
        <w:spacing w:after="0" w:line="155" w:lineRule="exact"/>
        <w:rPr>
          <w:sz w:val="20"/>
          <w:szCs w:val="20"/>
          <w:color w:val="auto"/>
        </w:rPr>
      </w:pPr>
    </w:p>
    <w:p>
      <w:pPr>
        <w:ind w:firstLine="605"/>
        <w:spacing w:after="0" w:line="291" w:lineRule="auto"/>
        <w:tabs>
          <w:tab w:leader="none" w:pos="100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Administrative Agent and the Required Lenders shall have received the following, each properly executed by a Responsible Officer of the signing Loan Party, each dated as of the Restatement Effective Date:</w:t>
      </w:r>
    </w:p>
    <w:p>
      <w:pPr>
        <w:sectPr>
          <w:pgSz w:w="11900" w:h="16838" w:orient="portrait"/>
          <w:cols w:equalWidth="0" w:num="1">
            <w:col w:w="11420"/>
          </w:cols>
          <w:pgMar w:left="240" w:top="131" w:right="239" w:bottom="0" w:gutter="0" w:footer="0" w:header="0"/>
        </w:sectPr>
      </w:pPr>
    </w:p>
    <w:bookmarkStart w:id="89" w:name="page90"/>
    <w:bookmarkEnd w:id="89"/>
    <w:p>
      <w:pPr>
        <w:ind w:left="1560" w:hanging="351"/>
        <w:spacing w:after="0"/>
        <w:tabs>
          <w:tab w:leader="none" w:pos="156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executed counterparts of this Agreement duly executed by the Borrower and each Guarantor;</w:t>
      </w:r>
    </w:p>
    <w:p>
      <w:pPr>
        <w:spacing w:after="0" w:line="223" w:lineRule="exact"/>
        <w:rPr>
          <w:rFonts w:ascii="Arial" w:cs="Arial" w:eastAsia="Arial" w:hAnsi="Arial"/>
          <w:sz w:val="20"/>
          <w:szCs w:val="20"/>
          <w:color w:val="auto"/>
        </w:rPr>
      </w:pPr>
    </w:p>
    <w:p>
      <w:pPr>
        <w:ind w:left="600" w:firstLine="609"/>
        <w:spacing w:after="0" w:line="291" w:lineRule="auto"/>
        <w:tabs>
          <w:tab w:leader="none" w:pos="1681"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Term Note executed by the Borrower in favor of each Lender that has requested a Term Note at least two Business Days in advance of the Restatement Effective Date;</w:t>
      </w:r>
    </w:p>
    <w:p>
      <w:pPr>
        <w:spacing w:after="0" w:line="134" w:lineRule="exact"/>
        <w:rPr>
          <w:rFonts w:ascii="Arial" w:cs="Arial" w:eastAsia="Arial" w:hAnsi="Arial"/>
          <w:sz w:val="20"/>
          <w:szCs w:val="20"/>
          <w:color w:val="auto"/>
        </w:rPr>
      </w:pPr>
    </w:p>
    <w:p>
      <w:pPr>
        <w:ind w:left="1680" w:hanging="471"/>
        <w:spacing w:after="0"/>
        <w:tabs>
          <w:tab w:leader="none" w:pos="168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Security Agreement duly executed by the parties thereto; and</w:t>
      </w:r>
    </w:p>
    <w:p>
      <w:pPr>
        <w:spacing w:after="0" w:line="223" w:lineRule="exact"/>
        <w:rPr>
          <w:rFonts w:ascii="Arial" w:cs="Arial" w:eastAsia="Arial" w:hAnsi="Arial"/>
          <w:sz w:val="20"/>
          <w:szCs w:val="20"/>
          <w:color w:val="auto"/>
        </w:rPr>
      </w:pPr>
    </w:p>
    <w:p>
      <w:pPr>
        <w:ind w:left="1660" w:hanging="451"/>
        <w:spacing w:after="0"/>
        <w:tabs>
          <w:tab w:leader="none" w:pos="166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Fee Letter and the Administrative Fee Letter duly executed by the respective parties thereto.</w:t>
      </w:r>
    </w:p>
    <w:p>
      <w:pPr>
        <w:spacing w:after="0" w:line="223" w:lineRule="exact"/>
        <w:rPr>
          <w:rFonts w:ascii="Arial" w:cs="Arial" w:eastAsia="Arial" w:hAnsi="Arial"/>
          <w:sz w:val="20"/>
          <w:szCs w:val="20"/>
          <w:color w:val="auto"/>
        </w:rPr>
      </w:pPr>
    </w:p>
    <w:p>
      <w:pPr>
        <w:jc w:val="both"/>
        <w:ind w:firstLine="605"/>
        <w:spacing w:after="0" w:line="301" w:lineRule="auto"/>
        <w:tabs>
          <w:tab w:leader="none" w:pos="103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Required Lenders shall have received, on behalf of themselves, the Collateral Agent and the Lenders, an opinion of (i) Kirkland &amp; Ellis LLP, counsel for the Loan Parties, and (ii) from each local counsel for the Loan Parties listed on </w:t>
      </w:r>
      <w:r>
        <w:rPr>
          <w:rFonts w:ascii="Arial" w:cs="Arial" w:eastAsia="Arial" w:hAnsi="Arial"/>
          <w:sz w:val="18"/>
          <w:szCs w:val="18"/>
          <w:u w:val="single" w:color="auto"/>
          <w:color w:val="auto"/>
        </w:rPr>
        <w:t>Schedule 4.02(b)</w:t>
      </w:r>
      <w:r>
        <w:rPr>
          <w:rFonts w:ascii="Arial" w:cs="Arial" w:eastAsia="Arial" w:hAnsi="Arial"/>
          <w:sz w:val="18"/>
          <w:szCs w:val="18"/>
          <w:color w:val="auto"/>
        </w:rPr>
        <w:t>, in each case, dated the Restatement Effective Date and addressed to the Administrative Agent, the Collateral Agent and the Lenders and in customary form and substance, and the Borrower hereby requests such counsel to deliver such opinions.</w:t>
      </w:r>
    </w:p>
    <w:p>
      <w:pPr>
        <w:spacing w:after="0" w:line="131" w:lineRule="exact"/>
        <w:rPr>
          <w:rFonts w:ascii="Arial" w:cs="Arial" w:eastAsia="Arial" w:hAnsi="Arial"/>
          <w:sz w:val="18"/>
          <w:szCs w:val="18"/>
          <w:color w:val="auto"/>
        </w:rPr>
      </w:pPr>
    </w:p>
    <w:p>
      <w:pPr>
        <w:jc w:val="both"/>
        <w:ind w:firstLine="605"/>
        <w:spacing w:after="0" w:line="266" w:lineRule="auto"/>
        <w:tabs>
          <w:tab w:leader="none" w:pos="10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Administrative Agent and the Required Lenders shall have received (i) a copy of the certificate or articles of incorporation or organization or certificate of formation, including all amendments thereto, of each Loan Party, certified, if applicable, as of a recent date by the Secretary of State of the state of its organization, and a certificate as to the good standing (to the extent applicable) of each Loan Party as of a recent date, from such Secretary of State or similar Governmental Authority; (ii) a certificate of the Secretary or Assistant Secretary of each Loan Party dated the Restatement Effective Date and certifying (A) that attached thereto is a true and complete copy of the by-laws or operating (or limited liability company) agreement of such Loan Party as in effect on the Restatement Effective Date and at all times since a date prior to the date of the resolutions described in clause (B) below, (B) that attached thereto is a true and complete copy of resolutions duly adopted by the board of directors (or equivalent governing body) of such Loan Party authorizing the execution, delivery and performance of the Loan Documents to which such Loan Party is a party and, in the case of the Borrower, the borrowings hereunder, and that such resolutions have not been modified, rescinded or amended and are in full force and effect, (C) that the certificate or articles of incorporation or organization or certificate of formation of such Loan Party have not been amended since the date of the last amendment thereto shown on the certificate of good standing furnished pursuant to clause (i) above, (D) as to the incumbency and specimen signature of each officer executing any Loan Document or any other document delivered in connection herewith on behalf of such Loan Party on the Restatement Effective Date, and (E) as to the absence of any proceeding for the dissolution or liquidation of such Loan Party; and (iii) a certificate of another officer as to the incumbency and specimen signature of the Secretary or Assistant Secretary executing the certificate pursuant to clause (ii) above.</w:t>
      </w:r>
    </w:p>
    <w:p>
      <w:pPr>
        <w:spacing w:after="0" w:line="165" w:lineRule="exact"/>
        <w:rPr>
          <w:rFonts w:ascii="Arial" w:cs="Arial" w:eastAsia="Arial" w:hAnsi="Arial"/>
          <w:sz w:val="19"/>
          <w:szCs w:val="19"/>
          <w:color w:val="auto"/>
        </w:rPr>
      </w:pPr>
    </w:p>
    <w:p>
      <w:pPr>
        <w:jc w:val="both"/>
        <w:ind w:firstLine="605"/>
        <w:spacing w:after="0" w:line="287" w:lineRule="auto"/>
        <w:tabs>
          <w:tab w:leader="none" w:pos="118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 The Administrative Agent and the Required Lenders shall have received the results of (x) searches of the Uniform Commercial Code filings (or equivalent filings) and (y) judgment and tax lien searches, made with respect to each Loan Party in the states or other jurisdictions of formation of such Loan Party and with respect to such other locations and names listed on the Perfection Certificate, together with copies of the financing statements (or similar documents) disclosed by such search and (ii) each of the Security Agreement, the Custodial Administration Agreement and the Intellectual Property Security Agreement shall have been duly executed and delivered by each Loan Party that is to be a party thereto, together with (x) certificates, if any, representing the Equity Interests pledged by the Borrower and the Guarantors accompanied by undated stock powers executed in blank and (y) documents and instruments to be recorded or filed that the Administrative Agent may deem, subject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reasonably necessary to satisfy the Collateral and Guarantee Requirement.</w:t>
      </w:r>
    </w:p>
    <w:p>
      <w:pPr>
        <w:spacing w:after="0" w:line="146" w:lineRule="exact"/>
        <w:rPr>
          <w:rFonts w:ascii="Arial" w:cs="Arial" w:eastAsia="Arial" w:hAnsi="Arial"/>
          <w:sz w:val="18"/>
          <w:szCs w:val="18"/>
          <w:color w:val="auto"/>
        </w:rPr>
      </w:pPr>
    </w:p>
    <w:p>
      <w:pPr>
        <w:ind w:left="1040" w:hanging="435"/>
        <w:spacing w:after="0"/>
        <w:tabs>
          <w:tab w:leader="none" w:pos="1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Collateral and Guarantee Requirement shall have been satisfied in all material respects with respect to each Material Real</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Property.</w:t>
      </w:r>
    </w:p>
    <w:p>
      <w:pPr>
        <w:spacing w:after="0" w:line="204" w:lineRule="exact"/>
        <w:rPr>
          <w:rFonts w:ascii="Arial" w:cs="Arial" w:eastAsia="Arial" w:hAnsi="Arial"/>
          <w:sz w:val="18"/>
          <w:szCs w:val="18"/>
          <w:color w:val="auto"/>
        </w:rPr>
      </w:pPr>
    </w:p>
    <w:p>
      <w:pPr>
        <w:ind w:firstLine="605"/>
        <w:spacing w:after="0" w:line="291" w:lineRule="auto"/>
        <w:tabs>
          <w:tab w:leader="none" w:pos="97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Prior to or substantially concurrently with the funding of the Loans on the Restatement Effective Date, the Administrative Agent, the ABL Agent and the Borrower shall have executed and delivered the ABL Intercreditor Amendment.</w:t>
      </w:r>
    </w:p>
    <w:p>
      <w:pPr>
        <w:spacing w:after="0" w:line="134" w:lineRule="exact"/>
        <w:rPr>
          <w:rFonts w:ascii="Arial" w:cs="Arial" w:eastAsia="Arial" w:hAnsi="Arial"/>
          <w:sz w:val="20"/>
          <w:szCs w:val="20"/>
          <w:color w:val="auto"/>
        </w:rPr>
      </w:pPr>
    </w:p>
    <w:p>
      <w:pPr>
        <w:ind w:firstLine="605"/>
        <w:spacing w:after="0" w:line="291" w:lineRule="auto"/>
        <w:tabs>
          <w:tab w:leader="none" w:pos="101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Succession Agreement shall have been duly executed and delivered by the parties thereto and actions required to assign the Collateral to the Collateral Agent shall have been consummated.</w:t>
      </w:r>
    </w:p>
    <w:p>
      <w:pPr>
        <w:spacing w:after="0" w:line="134" w:lineRule="exact"/>
        <w:rPr>
          <w:rFonts w:ascii="Arial" w:cs="Arial" w:eastAsia="Arial" w:hAnsi="Arial"/>
          <w:sz w:val="20"/>
          <w:szCs w:val="20"/>
          <w:color w:val="auto"/>
        </w:rPr>
      </w:pPr>
    </w:p>
    <w:p>
      <w:pPr>
        <w:jc w:val="both"/>
        <w:ind w:firstLine="605"/>
        <w:spacing w:after="0" w:line="257" w:lineRule="auto"/>
        <w:tabs>
          <w:tab w:leader="none" w:pos="105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Prior to or substantially concurrently with the funding of the Loans on the Restatement Effective Date, (i) the IBT Agreement shall be in full force and effect, and (ii) the Refinancing Transaction shall have been consummated and the Administrative Agent shall have received evidence thereof reasonably satisfactory to the Administrative Agent. Immediately after giving effect to the Refinancing Transaction and the other transactions contemplated hereby, the Borrower and the Subsidiaries shall have outstanding no Indebtedness for borrowed money other than (i) Indebtedness outstanding under this Agreement, (ii) the ABL Facility Indebtedness, and (iii) Indebtedness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70" w:lineRule="exact"/>
        <w:rPr>
          <w:rFonts w:ascii="Arial" w:cs="Arial" w:eastAsia="Arial" w:hAnsi="Arial"/>
          <w:sz w:val="20"/>
          <w:szCs w:val="20"/>
          <w:color w:val="auto"/>
        </w:rPr>
      </w:pPr>
    </w:p>
    <w:p>
      <w:pPr>
        <w:jc w:val="both"/>
        <w:ind w:firstLine="605"/>
        <w:spacing w:after="0" w:line="263" w:lineRule="auto"/>
        <w:tabs>
          <w:tab w:leader="none" w:pos="97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The Administrative Agent and the Required Lenders shall have received a solvency certificate, substantially in the form set forth in </w:t>
      </w:r>
      <w:r>
        <w:rPr>
          <w:rFonts w:ascii="Arial" w:cs="Arial" w:eastAsia="Arial" w:hAnsi="Arial"/>
          <w:sz w:val="20"/>
          <w:szCs w:val="20"/>
          <w:u w:val="single" w:color="auto"/>
          <w:color w:val="auto"/>
        </w:rPr>
        <w:t>Exhibit H</w:t>
      </w:r>
      <w:r>
        <w:rPr>
          <w:rFonts w:ascii="Arial" w:cs="Arial" w:eastAsia="Arial" w:hAnsi="Arial"/>
          <w:sz w:val="20"/>
          <w:szCs w:val="20"/>
          <w:color w:val="auto"/>
        </w:rPr>
        <w:t>, from the chief financial officer or chief accounting officer or other officer with equivalent duties of the Borrower, or in lieu thereof at the option of the Borrower, an opinion of a nationally recognized valuation firm as to the solvency (on a consolidated basis) of the Borrower and its Subsidiaries as of the Restatement Effective Date.</w:t>
      </w:r>
    </w:p>
    <w:p>
      <w:pPr>
        <w:spacing w:after="0" w:line="162" w:lineRule="exact"/>
        <w:rPr>
          <w:rFonts w:ascii="Arial" w:cs="Arial" w:eastAsia="Arial" w:hAnsi="Arial"/>
          <w:sz w:val="20"/>
          <w:szCs w:val="20"/>
          <w:color w:val="auto"/>
        </w:rPr>
      </w:pPr>
    </w:p>
    <w:p>
      <w:pPr>
        <w:ind w:firstLine="605"/>
        <w:spacing w:after="0" w:line="291" w:lineRule="auto"/>
        <w:tabs>
          <w:tab w:leader="none" w:pos="101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ABL Credit Agreement shall have been amended pursuant to an amendment agreement, in form and substance reasonably satisfactory to the Required Lenders, to permit the Transactions.</w:t>
      </w:r>
    </w:p>
    <w:p>
      <w:pPr>
        <w:spacing w:after="0" w:line="134" w:lineRule="exact"/>
        <w:rPr>
          <w:rFonts w:ascii="Arial" w:cs="Arial" w:eastAsia="Arial" w:hAnsi="Arial"/>
          <w:sz w:val="20"/>
          <w:szCs w:val="20"/>
          <w:color w:val="auto"/>
        </w:rPr>
      </w:pPr>
    </w:p>
    <w:p>
      <w:pPr>
        <w:jc w:val="both"/>
        <w:ind w:firstLine="605"/>
        <w:spacing w:after="0" w:line="281" w:lineRule="auto"/>
        <w:tabs>
          <w:tab w:leader="none" w:pos="109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Administrative Agent and the Required Lenders shall have received all documentation and other information about the Borrower and the Guarantors required under applicable “know your customer” and anti-money laundering rules and regulations, including the USA PATRIOT Act, including without limitation, a duly executed W-9 tax form (or such other applicable IRS tax form) of the Borrower, that has been reasonably requested in writing at least five Business Days prior to the Restatement Effective Date.</w:t>
      </w:r>
    </w:p>
    <w:p>
      <w:pPr>
        <w:sectPr>
          <w:pgSz w:w="11900" w:h="16838" w:orient="portrait"/>
          <w:cols w:equalWidth="0" w:num="1">
            <w:col w:w="11420"/>
          </w:cols>
          <w:pgMar w:left="240" w:top="131" w:right="239" w:bottom="144" w:gutter="0" w:footer="0" w:header="0"/>
        </w:sectPr>
      </w:pPr>
    </w:p>
    <w:bookmarkStart w:id="90" w:name="page91"/>
    <w:bookmarkEnd w:id="90"/>
    <w:p>
      <w:pPr>
        <w:spacing w:after="0" w:line="29" w:lineRule="exact"/>
        <w:rPr>
          <w:sz w:val="20"/>
          <w:szCs w:val="20"/>
          <w:color w:val="auto"/>
        </w:rPr>
      </w:pPr>
    </w:p>
    <w:p>
      <w:pPr>
        <w:ind w:firstLine="605"/>
        <w:spacing w:after="0" w:line="291" w:lineRule="auto"/>
        <w:tabs>
          <w:tab w:leader="none" w:pos="98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Administrative Agent and the Required Lenders shall have received a certificate from an officer of the Borrower certifying that since December 31, 2018, there has not occurred any Material Adverse Effect.</w:t>
      </w:r>
    </w:p>
    <w:p>
      <w:pPr>
        <w:spacing w:after="0" w:line="134" w:lineRule="exact"/>
        <w:rPr>
          <w:rFonts w:ascii="Arial" w:cs="Arial" w:eastAsia="Arial" w:hAnsi="Arial"/>
          <w:sz w:val="20"/>
          <w:szCs w:val="20"/>
          <w:color w:val="auto"/>
        </w:rPr>
      </w:pPr>
    </w:p>
    <w:p>
      <w:pPr>
        <w:jc w:val="both"/>
        <w:ind w:firstLine="605"/>
        <w:spacing w:after="0" w:line="301" w:lineRule="auto"/>
        <w:tabs>
          <w:tab w:leader="none" w:pos="10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Administrative Agent and the Required Lenders shall have received all applicable fees and other amounts due and payable on or prior to the Restatement Effective Date, including, to the extent invoiced at least three Business Days prior to the Restatement Effective Date (except as otherwise reasonably agreed by the Borrower), reimbursement or payment of all out-of-pocket expenses required to be reimbursed or paid by the Borrower hereunder or under any other Loan Document on or prior to the Restatement Effective Date.</w:t>
      </w:r>
    </w:p>
    <w:p>
      <w:pPr>
        <w:spacing w:after="0" w:line="131" w:lineRule="exact"/>
        <w:rPr>
          <w:rFonts w:ascii="Arial" w:cs="Arial" w:eastAsia="Arial" w:hAnsi="Arial"/>
          <w:sz w:val="18"/>
          <w:szCs w:val="18"/>
          <w:color w:val="auto"/>
        </w:rPr>
      </w:pPr>
    </w:p>
    <w:p>
      <w:pPr>
        <w:ind w:right="260" w:firstLine="605"/>
        <w:spacing w:after="0" w:line="270" w:lineRule="auto"/>
        <w:tabs>
          <w:tab w:leader="none" w:pos="100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To the extent required by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the Administrative Agent shall have received evidence that the insurance required by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is in effect, together with endorsements naming the Administrative Agent, for the benefit of the Secured Parties, as additional insured and loss payee thereunder.</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Solely for purposes of determining whether the conditions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have been satisfied in respect of any Credit Extension, the Agents and each Lender party hereto shall be deemed to have consented to, approved, accepted or be reasonably satisfied with any document delivered prior to such Credit Extension or other matter (in each case, for which such consent, approval, acceptance or satisfaction is expressly required by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4.02</w:t>
      </w:r>
      <w:r>
        <w:rPr>
          <w:rFonts w:ascii="Arial" w:cs="Arial" w:eastAsia="Arial" w:hAnsi="Arial"/>
          <w:sz w:val="20"/>
          <w:szCs w:val="20"/>
          <w:color w:val="auto"/>
        </w:rPr>
        <w:t>, as applicable) by releasing its signature page to this Agreement or to an Assignment and Acceptance, as the case may be.</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5</w:t>
      </w:r>
    </w:p>
    <w:p>
      <w:pPr>
        <w:spacing w:after="0" w:line="3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REPRESENTATIONS AND WARRANTIES</w:t>
      </w:r>
    </w:p>
    <w:p>
      <w:pPr>
        <w:spacing w:after="0" w:line="205"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20"/>
          <w:szCs w:val="20"/>
          <w:color w:val="auto"/>
        </w:rPr>
        <w:t>Each of the Borrower and each of the Guarantors party hereto represents and warrants to the Administrative Agent, the Collateral Agent and each of the Lenders that:</w:t>
      </w:r>
    </w:p>
    <w:p>
      <w:pPr>
        <w:spacing w:after="0" w:line="147"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Existence, Qualification and Power; Compliance with Laws.</w:t>
      </w:r>
      <w:r>
        <w:rPr>
          <w:rFonts w:ascii="Arial" w:cs="Arial" w:eastAsia="Arial" w:hAnsi="Arial"/>
          <w:sz w:val="18"/>
          <w:szCs w:val="18"/>
          <w:color w:val="auto"/>
        </w:rPr>
        <w:t xml:space="preserve"> Each Loan Party and each Restricted Subsidiary (a) is a Person duly organized or formed, validly existing and in good standing (where relevant) under the Laws of the jurisdiction of its incorporation or organization, (b) has all requisite organizational power and authority to execute, deliver and perform its obligations under the Loan Documents to which it is a party and, in the case of the Borrower, to borrow hereunder,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franchises, licenses, authorizations, qualifications, consents and approvals to operate its business as currently conducted; except in each case, referred to in clause</w:t>
      </w:r>
    </w:p>
    <w:p>
      <w:pPr>
        <w:spacing w:after="0" w:line="2" w:lineRule="exact"/>
        <w:rPr>
          <w:sz w:val="20"/>
          <w:szCs w:val="20"/>
          <w:color w:val="auto"/>
        </w:rPr>
      </w:pPr>
    </w:p>
    <w:p>
      <w:pPr>
        <w:ind w:firstLine="1"/>
        <w:spacing w:after="0" w:line="259" w:lineRule="auto"/>
        <w:tabs>
          <w:tab w:leader="none" w:pos="28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(other than with respect to any Loan Party), (c), (d) or (e), to the extent that failure to do so, individually or in the aggregate, would not reasonably be expected to have a Material Adverse Effect.</w:t>
      </w:r>
    </w:p>
    <w:p>
      <w:pPr>
        <w:spacing w:after="0" w:line="165"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Authorization; No Contravention.</w:t>
      </w:r>
      <w:r>
        <w:rPr>
          <w:rFonts w:ascii="Arial" w:cs="Arial" w:eastAsia="Arial" w:hAnsi="Arial"/>
          <w:sz w:val="18"/>
          <w:szCs w:val="18"/>
          <w:color w:val="auto"/>
        </w:rPr>
        <w:t xml:space="preserve"> The execution, delivery and performance by each Loan Party of each Loan Document to which such Person is a party, and the consummation of the Transactions, (a) are within such Loan Party’s organizational powers, (b) have been duly authorized by all necessary corporate or other organizational action, and (c) do not (i) contravene the terms of any of such Person’s Organization Documents, (ii) conflict with or result in any breach or contravention of, or the creation of (or the requirement to create) any Lien under (other than as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or require any payment to be made under (x) any Indebtedness of such Person in excess of the Threshold Amount or (y) any material order, injunction, writ or decree of any Governmental Authority or any arbitral award to which such Person or its property is subject; or (iii) violate any material Law; except with respect to any conflict, breach or contravention or payment (but not creation of Liens) referred to in clause (c)(ii)(x), to the extent that such violation, conflict, breach, contravention or payment, individually or in the aggregate, could not reasonably be expected to have a Material Adverse Effect.</w:t>
      </w:r>
    </w:p>
    <w:p>
      <w:pPr>
        <w:spacing w:after="0" w:line="146" w:lineRule="exact"/>
        <w:rPr>
          <w:sz w:val="20"/>
          <w:szCs w:val="20"/>
          <w:color w:val="auto"/>
        </w:rPr>
      </w:pPr>
    </w:p>
    <w:p>
      <w:pPr>
        <w:jc w:val="both"/>
        <w:ind w:firstLine="604"/>
        <w:spacing w:after="0" w:line="281"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Governmental Authorization; Other Consents.</w:t>
      </w:r>
      <w:r>
        <w:rPr>
          <w:rFonts w:ascii="Arial" w:cs="Arial" w:eastAsia="Arial" w:hAnsi="Arial"/>
          <w:sz w:val="18"/>
          <w:szCs w:val="18"/>
          <w:color w:val="auto"/>
        </w:rPr>
        <w:t xml:space="preserve"> No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to the extent required thereunder or (d) the exercise by the Administrative Agent, the Collateral Agent or any Lender of its rights under the Loan Documents or the remedies in respect of the Collateral pursuant to the Collateral Documents, except for (i) approvals, consents, exemptions, authorizations or other actions by, or notices to, or filings necessary to perfect the Liens on the Collateral granted by the Loan Parties in favor of the Secured Parties (or release existing Liens),</w:t>
      </w:r>
    </w:p>
    <w:p>
      <w:pPr>
        <w:spacing w:after="0" w:line="5" w:lineRule="exact"/>
        <w:rPr>
          <w:sz w:val="20"/>
          <w:szCs w:val="20"/>
          <w:color w:val="auto"/>
        </w:rPr>
      </w:pPr>
    </w:p>
    <w:p>
      <w:pPr>
        <w:jc w:val="both"/>
        <w:ind w:firstLine="1"/>
        <w:spacing w:after="0" w:line="289" w:lineRule="auto"/>
        <w:tabs>
          <w:tab w:leader="none" w:pos="29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approvals, consents, exemptions, authorizations, actions, notices and filings which have been duly obtained, taken, given or made and are in full force and effect (except to the extent not required to be obtained, taken, given or made or to be in full force and effect pursuant to the Collateral and Guarantee Requirement) and (iii) those approvals, consents, exemptions, authorizations or other actions, notices or filings, the failure of which to obtain or make, individually or in the aggregate, could not reasonably be expected to have a Material Adverse Effect.</w:t>
      </w:r>
    </w:p>
    <w:p>
      <w:pPr>
        <w:spacing w:after="0" w:line="143"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i w:val="1"/>
          <w:iCs w:val="1"/>
          <w:color w:val="auto"/>
        </w:rPr>
        <w:t>Binding Effect.</w:t>
      </w:r>
      <w:r>
        <w:rPr>
          <w:rFonts w:ascii="Arial" w:cs="Arial" w:eastAsia="Arial" w:hAnsi="Arial"/>
          <w:sz w:val="20"/>
          <w:szCs w:val="20"/>
          <w:color w:val="auto"/>
        </w:rPr>
        <w:t xml:space="preserve"> This Agreement and each other Loan Document has been duly executed and delivered by each Loan Party that is a party thereto. This Agreement and each other Loan Document constitutes a legal, valid and binding obligation of each such Loan Party, enforceable against each Loan Party that is a party thereto in accordance with its terms, except as such enforceability may be limited by Debtor Relief Laws and by general principles of equity.</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5.05.</w:t>
      </w:r>
      <w:r>
        <w:rPr>
          <w:sz w:val="20"/>
          <w:szCs w:val="20"/>
          <w:color w:val="auto"/>
        </w:rPr>
        <w:tab/>
      </w:r>
      <w:r>
        <w:rPr>
          <w:rFonts w:ascii="Arial" w:cs="Arial" w:eastAsia="Arial" w:hAnsi="Arial"/>
          <w:sz w:val="18"/>
          <w:szCs w:val="18"/>
          <w:i w:val="1"/>
          <w:iCs w:val="1"/>
          <w:color w:val="auto"/>
        </w:rPr>
        <w:t>Financial Statements; No Material Adverse Effect</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70" w:lineRule="auto"/>
        <w:tabs>
          <w:tab w:leader="none" w:pos="1108"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 The 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w:t>
      </w:r>
    </w:p>
    <w:p>
      <w:pPr>
        <w:spacing w:after="0" w:line="155" w:lineRule="exact"/>
        <w:rPr>
          <w:rFonts w:ascii="Arial" w:cs="Arial" w:eastAsia="Arial" w:hAnsi="Arial"/>
          <w:sz w:val="20"/>
          <w:szCs w:val="20"/>
          <w:color w:val="auto"/>
        </w:rPr>
      </w:pPr>
    </w:p>
    <w:p>
      <w:pPr>
        <w:jc w:val="both"/>
        <w:ind w:left="600" w:firstLine="609"/>
        <w:spacing w:after="0" w:line="350" w:lineRule="auto"/>
        <w:tabs>
          <w:tab w:leader="none" w:pos="158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Unaudited Financial Statements fairly present in all material respects the financial condition of the Borrower and its consolidated Subsidiaries as of the dates thereof and their results of operations for the period covered thereby in accordance with</w:t>
      </w:r>
    </w:p>
    <w:p>
      <w:pPr>
        <w:sectPr>
          <w:pgSz w:w="11900" w:h="16867" w:orient="portrait"/>
          <w:cols w:equalWidth="0" w:num="1">
            <w:col w:w="11420"/>
          </w:cols>
          <w:pgMar w:left="240" w:top="131" w:right="239" w:bottom="0" w:gutter="0" w:footer="0" w:header="0"/>
        </w:sectPr>
      </w:pPr>
    </w:p>
    <w:bookmarkStart w:id="91" w:name="page92"/>
    <w:bookmarkEnd w:id="91"/>
    <w:p>
      <w:pPr>
        <w:ind w:left="600"/>
        <w:spacing w:after="0" w:line="278" w:lineRule="auto"/>
        <w:rPr>
          <w:sz w:val="20"/>
          <w:szCs w:val="20"/>
          <w:color w:val="auto"/>
        </w:rPr>
      </w:pPr>
      <w:r>
        <w:rPr>
          <w:rFonts w:ascii="Arial" w:cs="Arial" w:eastAsia="Arial" w:hAnsi="Arial"/>
          <w:sz w:val="20"/>
          <w:szCs w:val="20"/>
          <w:color w:val="auto"/>
        </w:rPr>
        <w:t>GAAP consistently applied throughout the periods covered thereby, except as otherwise expressly noted therein and the absence of footnotes.</w:t>
      </w:r>
    </w:p>
    <w:p>
      <w:pPr>
        <w:spacing w:after="0" w:line="147" w:lineRule="exact"/>
        <w:rPr>
          <w:sz w:val="20"/>
          <w:szCs w:val="20"/>
          <w:color w:val="auto"/>
        </w:rPr>
      </w:pPr>
    </w:p>
    <w:p>
      <w:pPr>
        <w:jc w:val="both"/>
        <w:ind w:firstLine="605"/>
        <w:spacing w:after="0" w:line="254" w:lineRule="auto"/>
        <w:tabs>
          <w:tab w:leader="none" w:pos="101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forecasts of income statements of the Borrower and its Subsidiaries which have been furnished to the Administrative Agent and the Required Lenders prior to the Restatement Effective Date have been prepared in good faith on the basis of the assumptions stated therein, which assumptions were believed to be reasonable at the time of preparation of such forecasts it being understood by the Agents and the Lenders that such projections as to future events (i) are not to be viewed as facts, (ii)(A) are subject to significant uncertainties and contingencies, which may be beyond the control of the Borrower and its Restricted Subsidiaries, (B) no assurance is given by the Borrower and its Restricted Subsidiaries that the results or forecast in any such projections will be realized and (C) the actual results may differ from the forecast results set forth in such projections and such differences may be material and (iii) are not a guarantee of performance and that actual results during the period or periods covered by any such projections may vary significantly from the projected results and such differences may be material.</w:t>
      </w:r>
    </w:p>
    <w:p>
      <w:pPr>
        <w:spacing w:after="0" w:line="175" w:lineRule="exact"/>
        <w:rPr>
          <w:rFonts w:ascii="Arial" w:cs="Arial" w:eastAsia="Arial" w:hAnsi="Arial"/>
          <w:sz w:val="20"/>
          <w:szCs w:val="20"/>
          <w:color w:val="auto"/>
        </w:rPr>
      </w:pPr>
    </w:p>
    <w:p>
      <w:pPr>
        <w:ind w:firstLine="605"/>
        <w:spacing w:after="0" w:line="291" w:lineRule="auto"/>
        <w:tabs>
          <w:tab w:leader="none" w:pos="99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Since December 31, 2018, there has been no event or circumstance, either individually or in the aggregate, that has had or would reasonably be expected to have a Material Adverse Effect.</w:t>
      </w:r>
    </w:p>
    <w:p>
      <w:pPr>
        <w:spacing w:after="0" w:line="134"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i w:val="1"/>
          <w:iCs w:val="1"/>
          <w:color w:val="auto"/>
        </w:rPr>
        <w:t>Compliance With Laws</w:t>
      </w:r>
      <w:r>
        <w:rPr>
          <w:rFonts w:ascii="Arial" w:cs="Arial" w:eastAsia="Arial" w:hAnsi="Arial"/>
          <w:sz w:val="20"/>
          <w:szCs w:val="20"/>
          <w:color w:val="auto"/>
        </w:rPr>
        <w:t>. Neither the Borrower nor any of the Restricted Subsidiaries or any of their respective properties or assets is in violation of, nor will the continued operation of their properties and assets as currently conducted violate, any law, rule or regulation (including any zoning, building, ordinance, code or approval or any building permits) or any restrictions of record or agreements affecting the Mortgaged Property, or is in default with respect to any judgment, writ, injunction, decree or order of any Governmental Authority, where in each case such violation or default, individually or in the aggregate, would reasonably be expected to result in a Material Adverse Effect.</w:t>
      </w:r>
    </w:p>
    <w:p>
      <w:pPr>
        <w:spacing w:after="0" w:line="171"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5.07.</w:t>
      </w:r>
      <w:r>
        <w:rPr>
          <w:sz w:val="20"/>
          <w:szCs w:val="20"/>
          <w:color w:val="auto"/>
        </w:rPr>
        <w:tab/>
      </w:r>
      <w:r>
        <w:rPr>
          <w:rFonts w:ascii="Arial" w:cs="Arial" w:eastAsia="Arial" w:hAnsi="Arial"/>
          <w:sz w:val="18"/>
          <w:szCs w:val="18"/>
          <w:i w:val="1"/>
          <w:iCs w:val="1"/>
          <w:color w:val="auto"/>
        </w:rPr>
        <w:t>Ownership of Property; Liens</w:t>
      </w:r>
      <w:r>
        <w:rPr>
          <w:rFonts w:ascii="Arial" w:cs="Arial" w:eastAsia="Arial" w:hAnsi="Arial"/>
          <w:sz w:val="18"/>
          <w:szCs w:val="18"/>
          <w:color w:val="auto"/>
        </w:rPr>
        <w:t>.</w:t>
      </w:r>
    </w:p>
    <w:p>
      <w:pPr>
        <w:spacing w:after="0" w:line="223" w:lineRule="exact"/>
        <w:rPr>
          <w:sz w:val="20"/>
          <w:szCs w:val="20"/>
          <w:color w:val="auto"/>
        </w:rPr>
      </w:pPr>
    </w:p>
    <w:p>
      <w:pPr>
        <w:ind w:right="340" w:firstLine="605"/>
        <w:spacing w:after="0" w:line="319" w:lineRule="auto"/>
        <w:tabs>
          <w:tab w:leader="none" w:pos="99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Schedule 1.01(c) sets forth a true, complete and correct list of all Real Property owned (whether in fee or through a leasehold estate under any ground lease) by Borrower and the Restricted Subsidiaries as of the Restatement Effective Date.</w:t>
      </w:r>
    </w:p>
    <w:p>
      <w:pPr>
        <w:spacing w:after="0" w:line="111" w:lineRule="exact"/>
        <w:rPr>
          <w:rFonts w:ascii="Arial" w:cs="Arial" w:eastAsia="Arial" w:hAnsi="Arial"/>
          <w:sz w:val="19"/>
          <w:szCs w:val="19"/>
          <w:color w:val="auto"/>
        </w:rPr>
      </w:pPr>
    </w:p>
    <w:p>
      <w:pPr>
        <w:ind w:right="40" w:firstLine="605"/>
        <w:spacing w:after="0" w:line="259" w:lineRule="auto"/>
        <w:tabs>
          <w:tab w:leader="none" w:pos="100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Each of the Borrower and the Restricted Subsidiaries has good record title to, or valid leasehold interests in, or easements or other limited property interests in, all its properties and assets (including all Mortgaged Property material to its business), free and clear of all Liens except for minor defects in title that do not materially interfere with its ability to conduct its business or to utilize such assets for their intended purposes and except where the failure to have such title or interest would not reasonably be expected to have, individually or in the aggregate, a Material Adverse Effect.</w:t>
      </w:r>
    </w:p>
    <w:p>
      <w:pPr>
        <w:spacing w:after="0" w:line="168" w:lineRule="exact"/>
        <w:rPr>
          <w:rFonts w:ascii="Arial" w:cs="Arial" w:eastAsia="Arial" w:hAnsi="Arial"/>
          <w:sz w:val="20"/>
          <w:szCs w:val="20"/>
          <w:color w:val="auto"/>
        </w:rPr>
      </w:pPr>
    </w:p>
    <w:p>
      <w:pPr>
        <w:ind w:firstLine="605"/>
        <w:spacing w:after="0" w:line="350" w:lineRule="auto"/>
        <w:tabs>
          <w:tab w:leader="none" w:pos="103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As of the Restatement Effective Date,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to the Perfection Certificate dated the Restatement Effective Date contains a true and complete list of each Material Real Property owned by the Borrower each other Loan Party and its Restricted Subsidiaries.</w:t>
      </w:r>
    </w:p>
    <w:p>
      <w:pPr>
        <w:spacing w:after="0" w:line="88" w:lineRule="exact"/>
        <w:rPr>
          <w:rFonts w:ascii="Arial" w:cs="Arial" w:eastAsia="Arial" w:hAnsi="Arial"/>
          <w:sz w:val="18"/>
          <w:szCs w:val="18"/>
          <w:color w:val="auto"/>
        </w:rPr>
      </w:pPr>
    </w:p>
    <w:p>
      <w:pPr>
        <w:jc w:val="both"/>
        <w:ind w:firstLine="605"/>
        <w:spacing w:after="0" w:line="263" w:lineRule="auto"/>
        <w:tabs>
          <w:tab w:leader="none" w:pos="100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As of the Restatement Effective Date, except as otherwise disclosed in writing to the Collateral Agent and the Required Lenders, no Mortgage encumbers improved Mortgaged Property that is located in an area that has been identified by the Secretary of Housing and Urban Development as an area having special flood hazards within the meaning of the Flood Laws unless Evidence of Flood Insurance has been delivered to the Collateral Agent.</w:t>
      </w:r>
    </w:p>
    <w:p>
      <w:pPr>
        <w:spacing w:after="0" w:line="162" w:lineRule="exact"/>
        <w:rPr>
          <w:sz w:val="20"/>
          <w:szCs w:val="20"/>
          <w:color w:val="auto"/>
        </w:rPr>
      </w:pPr>
    </w:p>
    <w:p>
      <w:pPr>
        <w:ind w:left="600"/>
        <w:spacing w:after="0"/>
        <w:tabs>
          <w:tab w:leader="none" w:pos="2020" w:val="left"/>
        </w:tabs>
        <w:rPr>
          <w:sz w:val="20"/>
          <w:szCs w:val="20"/>
          <w:color w:val="auto"/>
        </w:rPr>
      </w:pPr>
      <w:r>
        <w:rPr>
          <w:rFonts w:ascii="Arial" w:cs="Arial" w:eastAsia="Arial" w:hAnsi="Arial"/>
          <w:sz w:val="20"/>
          <w:szCs w:val="20"/>
          <w:color w:val="auto"/>
        </w:rPr>
        <w:t>Section 5.08.</w:t>
      </w:r>
      <w:r>
        <w:rPr>
          <w:sz w:val="20"/>
          <w:szCs w:val="20"/>
          <w:color w:val="auto"/>
        </w:rPr>
        <w:tab/>
      </w:r>
      <w:r>
        <w:rPr>
          <w:rFonts w:ascii="Arial" w:cs="Arial" w:eastAsia="Arial" w:hAnsi="Arial"/>
          <w:sz w:val="19"/>
          <w:szCs w:val="19"/>
          <w:i w:val="1"/>
          <w:iCs w:val="1"/>
          <w:color w:val="auto"/>
        </w:rPr>
        <w:t xml:space="preserve">Environmental Matters. </w:t>
      </w:r>
      <w:r>
        <w:rPr>
          <w:rFonts w:ascii="Arial" w:cs="Arial" w:eastAsia="Arial" w:hAnsi="Arial"/>
          <w:sz w:val="19"/>
          <w:szCs w:val="19"/>
          <w:color w:val="auto"/>
        </w:rPr>
        <w:t>Except as would not reasonably be expected to have, individually or in the aggregate, 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Material Adverse Effect:</w:t>
      </w:r>
    </w:p>
    <w:p>
      <w:pPr>
        <w:spacing w:after="0" w:line="205" w:lineRule="exact"/>
        <w:rPr>
          <w:sz w:val="20"/>
          <w:szCs w:val="20"/>
          <w:color w:val="auto"/>
        </w:rPr>
      </w:pPr>
    </w:p>
    <w:p>
      <w:pPr>
        <w:jc w:val="both"/>
        <w:ind w:firstLine="605"/>
        <w:spacing w:after="0" w:line="270" w:lineRule="auto"/>
        <w:tabs>
          <w:tab w:leader="none" w:pos="105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Loan Party and each Restricted Subsidiary is and has been in compliance with all Environmental Laws, which includes obtaining and maintaining all Environmental Permits required under such Environmental Laws to carry on the business of the Loan Parties and the Restricted Subsidiaries;</w:t>
      </w:r>
    </w:p>
    <w:p>
      <w:pPr>
        <w:spacing w:after="0" w:line="155" w:lineRule="exact"/>
        <w:rPr>
          <w:rFonts w:ascii="Arial" w:cs="Arial" w:eastAsia="Arial" w:hAnsi="Arial"/>
          <w:sz w:val="20"/>
          <w:szCs w:val="20"/>
          <w:color w:val="auto"/>
        </w:rPr>
      </w:pPr>
    </w:p>
    <w:p>
      <w:pPr>
        <w:jc w:val="both"/>
        <w:ind w:firstLine="605"/>
        <w:spacing w:after="0" w:line="290" w:lineRule="auto"/>
        <w:tabs>
          <w:tab w:leader="none" w:pos="104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Loan Parties and the Restricted Subsidiaries have not received notice alleging any Environmental Liability or proposing or seeking to revoke, modify or deny the renewal of any Environmental Permit required to be held by the Loan Parties or the Restricted Subsidiaries, and neither the Loan Parties nor the Restricted Subsidiaries have become subject to any Environmental Liability;</w:t>
      </w:r>
    </w:p>
    <w:p>
      <w:pPr>
        <w:spacing w:after="0" w:line="139" w:lineRule="exact"/>
        <w:rPr>
          <w:rFonts w:ascii="Arial" w:cs="Arial" w:eastAsia="Arial" w:hAnsi="Arial"/>
          <w:sz w:val="19"/>
          <w:szCs w:val="19"/>
          <w:color w:val="auto"/>
        </w:rPr>
      </w:pPr>
    </w:p>
    <w:p>
      <w:pPr>
        <w:jc w:val="both"/>
        <w:ind w:firstLine="605"/>
        <w:spacing w:after="0" w:line="273" w:lineRule="auto"/>
        <w:tabs>
          <w:tab w:leader="none" w:pos="104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there has been no Release, discharge or disposal of Hazardous Materials (i) on, to, at, under or from any Real Property or any vehicles or facilities owned or leased by any of the Loan Parties or the Restricted Subsidiaries, or, to the knowledge of the Borrower, formerly owned, operated or leased by any Loan Party or any Restricted Subsidiary, or (ii) arising out of the conduct of the Loan Parties or the Restricted Subsidiaries that, in the case of (i) or (ii), could reasonably be expected to require investigation, remedial activity or corrective action or cleanup by or on behalf of any Loan Party or any Restricted Subsidiary or for which any Loan Party or Restricted Subsidiary reasonably could be expected to otherwise incur any Environmental Liability; and</w:t>
      </w:r>
    </w:p>
    <w:p>
      <w:pPr>
        <w:spacing w:after="0" w:line="157" w:lineRule="exact"/>
        <w:rPr>
          <w:rFonts w:ascii="Arial" w:cs="Arial" w:eastAsia="Arial" w:hAnsi="Arial"/>
          <w:sz w:val="19"/>
          <w:szCs w:val="19"/>
          <w:color w:val="auto"/>
        </w:rPr>
      </w:pPr>
    </w:p>
    <w:p>
      <w:pPr>
        <w:jc w:val="both"/>
        <w:ind w:firstLine="605"/>
        <w:spacing w:after="0" w:line="256" w:lineRule="auto"/>
        <w:tabs>
          <w:tab w:leader="none" w:pos="105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there are no facts, circumstances or conditions arising out of or relating to, and there are no pending or reasonably anticipated requirements under Environmental Law associated with, the operations of the Loan Parties or the Restricted Subsidiaries or any Real Property, vehicles or facilities currently or, to the knowledge of the Borrower, previously owned or leased by the Loan Parties or any Restricted Subsidiary that, in such case, are known to or would reasonably be likely to require investigation, remedial activity or corrective action or cleanup by or on behalf of any Loan Party or any Restricted Subsidiary or that are known to or would reasonably be likely to result in the Borrower or any other Loan Party or Restricted Subsidiary incurring any Environmental Liability or capital expenditures to achieve or maintain compliance with Environmental Laws.</w:t>
      </w:r>
    </w:p>
    <w:p>
      <w:pPr>
        <w:spacing w:after="0" w:line="170" w:lineRule="exact"/>
        <w:rPr>
          <w:sz w:val="20"/>
          <w:szCs w:val="20"/>
          <w:color w:val="auto"/>
        </w:rPr>
      </w:pPr>
    </w:p>
    <w:p>
      <w:pPr>
        <w:ind w:firstLine="604"/>
        <w:spacing w:after="0" w:line="319"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i w:val="1"/>
          <w:iCs w:val="1"/>
          <w:color w:val="auto"/>
        </w:rPr>
        <w:t>Taxes.</w:t>
      </w:r>
      <w:r>
        <w:rPr>
          <w:rFonts w:ascii="Arial" w:cs="Arial" w:eastAsia="Arial" w:hAnsi="Arial"/>
          <w:sz w:val="19"/>
          <w:szCs w:val="19"/>
          <w:color w:val="auto"/>
        </w:rPr>
        <w:t xml:space="preserve"> Except as would not, either individually or in the aggregate, reasonably be expected to result in a Material Adverse Effect: each of the Loan Parties and their Restricted Subsidiaries have timely filed all tax returns required to be filed (taking into</w:t>
      </w:r>
    </w:p>
    <w:p>
      <w:pPr>
        <w:sectPr>
          <w:pgSz w:w="11900" w:h="16838" w:orient="portrait"/>
          <w:cols w:equalWidth="0" w:num="1">
            <w:col w:w="11420"/>
          </w:cols>
          <w:pgMar w:left="240" w:top="131" w:right="239" w:bottom="0" w:gutter="0" w:footer="0" w:header="0"/>
        </w:sectPr>
      </w:pPr>
    </w:p>
    <w:bookmarkStart w:id="92" w:name="page93"/>
    <w:bookmarkEnd w:id="92"/>
    <w:p>
      <w:pPr>
        <w:jc w:val="both"/>
        <w:spacing w:after="0" w:line="273" w:lineRule="auto"/>
        <w:rPr>
          <w:sz w:val="20"/>
          <w:szCs w:val="20"/>
          <w:color w:val="auto"/>
        </w:rPr>
      </w:pPr>
      <w:r>
        <w:rPr>
          <w:rFonts w:ascii="Arial" w:cs="Arial" w:eastAsia="Arial" w:hAnsi="Arial"/>
          <w:sz w:val="19"/>
          <w:szCs w:val="19"/>
          <w:color w:val="auto"/>
        </w:rPr>
        <w:t>account any extensions), and have paid all Taxes levied or imposed upon them or their properties, that are due and payable (including in their capacity as a withholding agent), except those which are being contested in good faith by appropriate proceedings diligently conducted if such contest shall have the effect of suspending enforcement or collection of such Taxes and for which adequate reserves have been provided in accordance with GAAP. There is no proposed Tax deficiency or assessment known to any Loan Party against any Loan Party or any Restricted Subsidiary that would, if made, individually or in the aggregate, have a Material Adverse Effect.</w:t>
      </w:r>
    </w:p>
    <w:p>
      <w:pPr>
        <w:spacing w:after="0" w:line="154"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i w:val="1"/>
          <w:iCs w:val="1"/>
          <w:color w:val="auto"/>
        </w:rPr>
        <w:t>ERISA Compliance</w:t>
      </w:r>
      <w:r>
        <w:rPr>
          <w:rFonts w:ascii="Arial" w:cs="Arial" w:eastAsia="Arial" w:hAnsi="Arial"/>
          <w:sz w:val="18"/>
          <w:szCs w:val="18"/>
          <w:color w:val="auto"/>
        </w:rPr>
        <w:t>.</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Except as would not, either individually or in the aggregate, reasonably be expected to result in a Material Adverse Effect:</w:t>
      </w:r>
    </w:p>
    <w:p>
      <w:pPr>
        <w:spacing w:after="0" w:line="210" w:lineRule="exact"/>
        <w:rPr>
          <w:sz w:val="20"/>
          <w:szCs w:val="20"/>
          <w:color w:val="auto"/>
        </w:rPr>
      </w:pPr>
    </w:p>
    <w:p>
      <w:pPr>
        <w:ind w:firstLine="605"/>
        <w:spacing w:after="0" w:line="291" w:lineRule="auto"/>
        <w:tabs>
          <w:tab w:leader="none" w:pos="112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Each Plan is in compliance with the applicable provisions of ERISA, the Code and other Federal or state Laws (and the regulations and published interpretations thereunder).</w:t>
      </w:r>
    </w:p>
    <w:p>
      <w:pPr>
        <w:spacing w:after="0" w:line="134" w:lineRule="exact"/>
        <w:rPr>
          <w:rFonts w:ascii="Arial" w:cs="Arial" w:eastAsia="Arial" w:hAnsi="Arial"/>
          <w:sz w:val="20"/>
          <w:szCs w:val="20"/>
          <w:color w:val="auto"/>
        </w:rPr>
      </w:pPr>
    </w:p>
    <w:p>
      <w:pPr>
        <w:ind w:firstLine="605"/>
        <w:spacing w:after="0" w:line="319" w:lineRule="auto"/>
        <w:tabs>
          <w:tab w:leader="none" w:pos="109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Loan Parties, their Restricted Subsidiaries and their respective ERISA Affiliates may incur liability for ordinary course contributions to (and make payments in satisfaction of such liabilities) plans listed on </w:t>
      </w:r>
      <w:r>
        <w:rPr>
          <w:rFonts w:ascii="Arial" w:cs="Arial" w:eastAsia="Arial" w:hAnsi="Arial"/>
          <w:sz w:val="19"/>
          <w:szCs w:val="19"/>
          <w:u w:val="single" w:color="auto"/>
          <w:color w:val="auto"/>
        </w:rPr>
        <w:t>Schedule 5.10(b)</w:t>
      </w:r>
      <w:r>
        <w:rPr>
          <w:rFonts w:ascii="Arial" w:cs="Arial" w:eastAsia="Arial" w:hAnsi="Arial"/>
          <w:sz w:val="19"/>
          <w:szCs w:val="19"/>
          <w:color w:val="auto"/>
        </w:rPr>
        <w:t>, which are Multiemployer Plans.</w:t>
      </w:r>
    </w:p>
    <w:p>
      <w:pPr>
        <w:spacing w:after="0" w:line="111" w:lineRule="exact"/>
        <w:rPr>
          <w:rFonts w:ascii="Arial" w:cs="Arial" w:eastAsia="Arial" w:hAnsi="Arial"/>
          <w:sz w:val="19"/>
          <w:szCs w:val="19"/>
          <w:color w:val="auto"/>
        </w:rPr>
      </w:pPr>
    </w:p>
    <w:p>
      <w:pPr>
        <w:ind w:left="1000" w:hanging="395"/>
        <w:spacing w:after="0"/>
        <w:tabs>
          <w:tab w:leader="none" w:pos="10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No ERISA Event has occurred.</w:t>
      </w:r>
    </w:p>
    <w:p>
      <w:pPr>
        <w:spacing w:after="0" w:line="223" w:lineRule="exact"/>
        <w:rPr>
          <w:sz w:val="20"/>
          <w:szCs w:val="20"/>
          <w:color w:val="auto"/>
        </w:rPr>
      </w:pPr>
    </w:p>
    <w:p>
      <w:pPr>
        <w:jc w:val="both"/>
        <w:ind w:firstLine="604"/>
        <w:spacing w:after="0" w:line="269"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i w:val="1"/>
          <w:iCs w:val="1"/>
          <w:color w:val="auto"/>
        </w:rPr>
        <w:t>Subsidiaries.</w:t>
      </w:r>
      <w:r>
        <w:rPr>
          <w:rFonts w:ascii="Arial" w:cs="Arial" w:eastAsia="Arial" w:hAnsi="Arial"/>
          <w:sz w:val="19"/>
          <w:szCs w:val="19"/>
          <w:color w:val="auto"/>
        </w:rPr>
        <w:t xml:space="preserve"> As of the Restatement Effective Date (after giving effect to the Transactions), no Loan Party has any direct or indirect Restricted Subsidiaries other than those specifically disclosed in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and all of the outstanding Equity Interests owned by the Loan Parties (or a Restricted Subsidiary of any Loan Party) in such Subsidiaries have been validly issued and are fully paid and (if applicable) non-assessable and all Equity Interests owned by a Loan Party (or a Restricted Subsidiary of any Loan Party) in such Subsidiaries are owned free and clear of all Liens except (a) those created under the Collateral Documents or under the ABL Facility Documentation (which Liens shall be subject to the ABL Intercreditor Agreement) and (b) any other Lien that is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xml:space="preserve">. As of the Restatement Effective Date, (i) </w:t>
      </w:r>
      <w:r>
        <w:rPr>
          <w:rFonts w:ascii="Arial" w:cs="Arial" w:eastAsia="Arial" w:hAnsi="Arial"/>
          <w:sz w:val="19"/>
          <w:szCs w:val="19"/>
          <w:u w:val="single" w:color="auto"/>
          <w:color w:val="auto"/>
        </w:rPr>
        <w:t>Section 2(c)</w:t>
      </w:r>
      <w:r>
        <w:rPr>
          <w:rFonts w:ascii="Arial" w:cs="Arial" w:eastAsia="Arial" w:hAnsi="Arial"/>
          <w:sz w:val="19"/>
          <w:szCs w:val="19"/>
          <w:color w:val="auto"/>
        </w:rPr>
        <w:t xml:space="preserve"> of the Perfection Certificate sets forth the name and jurisdiction of each Loan Party and (ii) Schedule 5 to the Perfection Certificate sets forth the direct ownership interest of the Borrower and any Loan Party thereof in each such Subsidiary, including the percentage of such ownership.</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i w:val="1"/>
          <w:iCs w:val="1"/>
          <w:color w:val="auto"/>
        </w:rPr>
        <w:t>Margin Regulations; Investment Company Act</w:t>
      </w:r>
      <w:r>
        <w:rPr>
          <w:rFonts w:ascii="Arial" w:cs="Arial" w:eastAsia="Arial" w:hAnsi="Arial"/>
          <w:sz w:val="18"/>
          <w:szCs w:val="18"/>
          <w:color w:val="auto"/>
        </w:rPr>
        <w:t>.</w:t>
      </w:r>
    </w:p>
    <w:p>
      <w:pPr>
        <w:spacing w:after="0" w:line="223" w:lineRule="exact"/>
        <w:rPr>
          <w:sz w:val="20"/>
          <w:szCs w:val="20"/>
          <w:color w:val="auto"/>
        </w:rPr>
      </w:pPr>
    </w:p>
    <w:p>
      <w:pPr>
        <w:jc w:val="both"/>
        <w:ind w:firstLine="680"/>
        <w:spacing w:after="0" w:line="281" w:lineRule="auto"/>
        <w:tabs>
          <w:tab w:leader="none" w:pos="113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 Loan Party or Restricted Subsidiary is engaged nor will it engage, principally, or as one of its important activities in the business of purchasing or carrying Margin Stock, or extending credit for the purpose of purchasing or carrying Margin Stock, and no proceeds of any Borrowings will be used, whether directly or indirectly, and whether immediately, incidentally or ultimately, for any purpose that entails a violation of the provisions of the Regulations of the Board, including Regulation T, U or X.</w:t>
      </w:r>
    </w:p>
    <w:p>
      <w:pPr>
        <w:spacing w:after="0" w:line="147" w:lineRule="exact"/>
        <w:rPr>
          <w:rFonts w:ascii="Arial" w:cs="Arial" w:eastAsia="Arial" w:hAnsi="Arial"/>
          <w:sz w:val="19"/>
          <w:szCs w:val="19"/>
          <w:color w:val="auto"/>
        </w:rPr>
      </w:pPr>
    </w:p>
    <w:p>
      <w:pPr>
        <w:ind w:firstLine="680"/>
        <w:spacing w:after="0" w:line="291" w:lineRule="auto"/>
        <w:tabs>
          <w:tab w:leader="none" w:pos="108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Neither the Borrower, nor any of the Restricted Subsidiaries is or is required to be registered as an “investment company” under the Investment Company Act of 1940.</w:t>
      </w:r>
    </w:p>
    <w:p>
      <w:pPr>
        <w:spacing w:after="0" w:line="134" w:lineRule="exact"/>
        <w:rPr>
          <w:sz w:val="20"/>
          <w:szCs w:val="20"/>
          <w:color w:val="auto"/>
        </w:rPr>
      </w:pPr>
    </w:p>
    <w:p>
      <w:pPr>
        <w:jc w:val="both"/>
        <w:ind w:firstLine="604"/>
        <w:spacing w:after="0" w:line="28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No report, financial statement, certificate or other written information furnished by or on behalf of any Loan Party (other than projected financial information, pro forma financial information, budgets, estimates and information of a general economic or industry nature) to any Agent or any Lender about the Borrower and its Subsidiaries in connection with the transactions contemplated hereby and the negotiation of this Agreement or delivered hereunder or under any other Loan Document (as modified or supplemented by other information so furnished) when taken as a whole contains or will contain any material misstatement of fact or omits or will omit to state any material fact necessary to make the statements therein (when taken as a whole), in the light of the circumstances under which they were or will be made, not materially misleading. With respect to projected financial information and pro forma financial information, the Borrower represents that such information was prepared in good faith based upon assumptions believed to be reasonable at the time of preparation; it being understood and agreed by the Agents and the Lenders that such projections as to future events (i) are not to be viewed as facts, (ii) are subject to significant uncertainties and contingencies, which may be beyond the control of the Borrower and its Restricted Subsidiaries and (iii) are not a guarantee of performance and that actual results during the period or periods covered by any such projections may vary significantly from the projected results and such differences may be material.</w:t>
      </w:r>
    </w:p>
    <w:p>
      <w:pPr>
        <w:spacing w:after="0" w:line="154" w:lineRule="exact"/>
        <w:rPr>
          <w:sz w:val="20"/>
          <w:szCs w:val="20"/>
          <w:color w:val="auto"/>
        </w:rPr>
      </w:pPr>
    </w:p>
    <w:p>
      <w:pPr>
        <w:ind w:left="600"/>
        <w:spacing w:after="0"/>
        <w:tabs>
          <w:tab w:leader="none" w:pos="1940" w:val="left"/>
          <w:tab w:leader="none" w:pos="3700" w:val="left"/>
        </w:tabs>
        <w:rPr>
          <w:sz w:val="20"/>
          <w:szCs w:val="20"/>
          <w:color w:val="auto"/>
        </w:rPr>
      </w:pPr>
      <w:r>
        <w:rPr>
          <w:rFonts w:ascii="Arial" w:cs="Arial" w:eastAsia="Arial" w:hAnsi="Arial"/>
          <w:sz w:val="20"/>
          <w:szCs w:val="20"/>
          <w:color w:val="auto"/>
        </w:rPr>
        <w:t>Section 5.14.</w:t>
      </w:r>
      <w:r>
        <w:rPr>
          <w:sz w:val="20"/>
          <w:szCs w:val="20"/>
          <w:color w:val="auto"/>
        </w:rPr>
        <w:tab/>
      </w:r>
      <w:r>
        <w:rPr>
          <w:rFonts w:ascii="Arial" w:cs="Arial" w:eastAsia="Arial" w:hAnsi="Arial"/>
          <w:sz w:val="20"/>
          <w:szCs w:val="20"/>
          <w:i w:val="1"/>
          <w:iCs w:val="1"/>
          <w:color w:val="auto"/>
        </w:rPr>
        <w:t>Labor Matters</w:t>
      </w:r>
      <w:r>
        <w:rPr>
          <w:rFonts w:ascii="Arial" w:cs="Arial" w:eastAsia="Arial" w:hAnsi="Arial"/>
          <w:sz w:val="20"/>
          <w:szCs w:val="20"/>
          <w:color w:val="auto"/>
        </w:rPr>
        <w:t>. (a)</w:t>
      </w:r>
      <w:r>
        <w:rPr>
          <w:sz w:val="20"/>
          <w:szCs w:val="20"/>
          <w:color w:val="auto"/>
        </w:rPr>
        <w:tab/>
      </w:r>
      <w:r>
        <w:rPr>
          <w:rFonts w:ascii="Arial" w:cs="Arial" w:eastAsia="Arial" w:hAnsi="Arial"/>
          <w:sz w:val="18"/>
          <w:szCs w:val="18"/>
          <w:color w:val="auto"/>
        </w:rPr>
        <w:t>Except as, in the aggregate, would not reasonably be expected to result in a Material Adverse</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 xml:space="preserve">Effect: (i) there are no strikes or other labor disputes against the Borrower or any of its Restricted Subsidiaries pending or, to the knowledge of the Borrower, threatened in writing; (ii) hours worked by and payment made to employees of the Borrower or any of its Restricted Subsidiaries have not been in violation of the Fair Labor Standards Act or any other applicable Law dealing with such matters; and (iii) all payments due from the Borrower or any of its Restricted Subsidiaries on account of employee health and welfare insurance have been paid or accrued as a liability on the books of the relevant party. Except as disclosed on </w:t>
      </w:r>
      <w:r>
        <w:rPr>
          <w:rFonts w:ascii="Arial" w:cs="Arial" w:eastAsia="Arial" w:hAnsi="Arial"/>
          <w:sz w:val="18"/>
          <w:szCs w:val="18"/>
          <w:u w:val="single" w:color="auto"/>
          <w:color w:val="auto"/>
        </w:rPr>
        <w:t>Schedule 5.14</w:t>
      </w:r>
      <w:r>
        <w:rPr>
          <w:rFonts w:ascii="Arial" w:cs="Arial" w:eastAsia="Arial" w:hAnsi="Arial"/>
          <w:sz w:val="18"/>
          <w:szCs w:val="18"/>
          <w:color w:val="auto"/>
        </w:rPr>
        <w:t>, as of the Restatement Effective Date no Loan Party is a party to or bound by any collective bargaining agreement or, with respect to any Foreign Subsidiary, any similar agreement. To the knowledge of any Loan Party, the consummation of the transactions contemplated by the Loan Documents will not give rise to any right of termination or right of renegotiation on the part of any union under any collective bargaining agreement to which any Loan Party is bound to the extent that such would be reasonably expected to result in a Material Adverse Effect.</w:t>
      </w:r>
    </w:p>
    <w:p>
      <w:pPr>
        <w:spacing w:after="0" w:line="151" w:lineRule="exact"/>
        <w:rPr>
          <w:sz w:val="20"/>
          <w:szCs w:val="20"/>
          <w:color w:val="auto"/>
        </w:rPr>
      </w:pPr>
    </w:p>
    <w:p>
      <w:pPr>
        <w:jc w:val="both"/>
        <w:ind w:firstLine="605"/>
        <w:spacing w:after="0" w:line="256" w:lineRule="auto"/>
        <w:tabs>
          <w:tab w:leader="none" w:pos="118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(i) The IBT Agreement is in full force and effect and (ii) other than as contemplated by the IBT Transactions, the IBT Agreement has not been amended, waived or otherwise modified in any respect materially adverse to the Borrower and its Subsidiaries (taken as a whole). For purposes of this </w:t>
      </w:r>
      <w:r>
        <w:rPr>
          <w:rFonts w:ascii="Arial" w:cs="Arial" w:eastAsia="Arial" w:hAnsi="Arial"/>
          <w:sz w:val="20"/>
          <w:szCs w:val="20"/>
          <w:u w:val="single" w:color="auto"/>
          <w:color w:val="auto"/>
        </w:rPr>
        <w:t>Section 5.14(b)</w:t>
      </w:r>
      <w:r>
        <w:rPr>
          <w:rFonts w:ascii="Arial" w:cs="Arial" w:eastAsia="Arial" w:hAnsi="Arial"/>
          <w:sz w:val="20"/>
          <w:szCs w:val="20"/>
          <w:color w:val="auto"/>
        </w:rPr>
        <w:t>, it is understood that the resolution in the ordinary course of business of an employee grievance seeking to enforce the IBT Agreement terms will not be deemed to constitute an amendment, waiver or other modification to the IBT Agreement.</w:t>
      </w:r>
    </w:p>
    <w:p>
      <w:pPr>
        <w:spacing w:after="0" w:line="170" w:lineRule="exact"/>
        <w:rPr>
          <w:sz w:val="20"/>
          <w:szCs w:val="20"/>
          <w:color w:val="auto"/>
        </w:rPr>
      </w:pPr>
    </w:p>
    <w:p>
      <w:pPr>
        <w:ind w:firstLine="604"/>
        <w:spacing w:after="0" w:line="350"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Each of the Borrower and its Subsidiaries maintains, with financially sound and reputable insurance companies, insurance in such amounts and against such risks as are customarily maintained by companies engaged in the same or similar</w:t>
      </w:r>
    </w:p>
    <w:p>
      <w:pPr>
        <w:sectPr>
          <w:pgSz w:w="11900" w:h="16838" w:orient="portrait"/>
          <w:cols w:equalWidth="0" w:num="1">
            <w:col w:w="11420"/>
          </w:cols>
          <w:pgMar w:left="240" w:top="131" w:right="239" w:bottom="0" w:gutter="0" w:footer="0" w:header="0"/>
        </w:sectPr>
      </w:pPr>
    </w:p>
    <w:bookmarkStart w:id="93" w:name="page94"/>
    <w:bookmarkEnd w:id="93"/>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businesses operating in the same or similar locations; </w:t>
      </w:r>
      <w:r>
        <w:rPr>
          <w:rFonts w:ascii="Arial" w:cs="Arial" w:eastAsia="Arial" w:hAnsi="Arial"/>
          <w:sz w:val="20"/>
          <w:szCs w:val="20"/>
          <w:i w:val="1"/>
          <w:iCs w:val="1"/>
          <w:color w:val="auto"/>
        </w:rPr>
        <w:t>provided</w:t>
      </w:r>
      <w:r>
        <w:rPr>
          <w:rFonts w:ascii="Arial" w:cs="Arial" w:eastAsia="Arial" w:hAnsi="Arial"/>
          <w:sz w:val="20"/>
          <w:szCs w:val="20"/>
          <w:color w:val="auto"/>
        </w:rPr>
        <w:t>, that each of the Borrower and its Subsidiaries may self-insure to the same extent as other companies engaged in similar businesses and owning similar properties in the same general areas in which the Borrower or each such Subsidiary, as applicable, operates.</w:t>
      </w:r>
    </w:p>
    <w:p>
      <w:pPr>
        <w:spacing w:after="0" w:line="163" w:lineRule="exact"/>
        <w:rPr>
          <w:sz w:val="20"/>
          <w:szCs w:val="20"/>
          <w:color w:val="auto"/>
        </w:rPr>
      </w:pPr>
    </w:p>
    <w:p>
      <w:pPr>
        <w:jc w:val="both"/>
        <w:ind w:firstLine="604"/>
        <w:spacing w:after="0" w:line="267"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i w:val="1"/>
          <w:iCs w:val="1"/>
          <w:color w:val="auto"/>
        </w:rPr>
        <w:t>Solvency.</w:t>
      </w:r>
      <w:r>
        <w:rPr>
          <w:rFonts w:ascii="Arial" w:cs="Arial" w:eastAsia="Arial" w:hAnsi="Arial"/>
          <w:sz w:val="19"/>
          <w:szCs w:val="19"/>
          <w:color w:val="auto"/>
        </w:rPr>
        <w:t xml:space="preserve"> Immediately after giving effect to the consummation of the Transactions to occur on the Restatement Effective Date, including the making of the Loans under this Agreement, and immediately after giving effect to the application of the proceeds of such Loans, on the Restatement Effective Date (a) the fair value of the assets of the Borrower and its Subsidiaries, on a consolidated basis (on a going concern basis),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in the ordinary course of business; (c) the Borrower and its Subsidiaries, on a consolidated basis, are able to pay their debts and liabilities, subordinated, contingent or otherwise, as such liabilities become absolute and matured; and (d) the Borrower and its Subsidiaries, on a consolidated basis, are not engaged in, and are not about to engage in, business for which they have unreasonably small capital. For purposes of this </w:t>
      </w:r>
      <w:r>
        <w:rPr>
          <w:rFonts w:ascii="Arial" w:cs="Arial" w:eastAsia="Arial" w:hAnsi="Arial"/>
          <w:sz w:val="19"/>
          <w:szCs w:val="19"/>
          <w:u w:val="single" w:color="auto"/>
          <w:color w:val="auto"/>
        </w:rPr>
        <w:t>Section 5.16</w:t>
      </w:r>
      <w:r>
        <w:rPr>
          <w:rFonts w:ascii="Arial" w:cs="Arial" w:eastAsia="Arial" w:hAnsi="Arial"/>
          <w:sz w:val="19"/>
          <w:szCs w:val="19"/>
          <w:color w:val="auto"/>
        </w:rPr>
        <w:t>, the amount of any contingent liability at any time shall be computed as the amount that would reasonably be expected to become an actual and matured liability in the ordinary course of business.</w:t>
      </w:r>
    </w:p>
    <w:p>
      <w:pPr>
        <w:spacing w:after="0" w:line="166"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5.17. Section 5.17 </w:t>
      </w:r>
      <w:r>
        <w:rPr>
          <w:rFonts w:ascii="Arial" w:cs="Arial" w:eastAsia="Arial" w:hAnsi="Arial"/>
          <w:sz w:val="20"/>
          <w:szCs w:val="20"/>
          <w:i w:val="1"/>
          <w:iCs w:val="1"/>
          <w:color w:val="auto"/>
        </w:rPr>
        <w:t>Indebtedness.</w:t>
      </w:r>
      <w:r>
        <w:rPr>
          <w:rFonts w:ascii="Arial" w:cs="Arial" w:eastAsia="Arial" w:hAnsi="Arial"/>
          <w:sz w:val="20"/>
          <w:szCs w:val="20"/>
          <w:color w:val="auto"/>
        </w:rPr>
        <w:t xml:space="preserve"> Immediately after giving effect to the consummation of the Transactions to occur on the Restatement Effective Date the Borrower and its Subsidiaries shall have outstanding no Indebtedness for borrowed money other than (a) Indebtedness outstanding under this Agreement, (b) the ABL Facility Indebtedness, (c) Indebtedness set forth on Schedule 7.03(b) and (d) Indebtedness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6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5.18.</w:t>
      </w:r>
      <w:r>
        <w:rPr>
          <w:sz w:val="20"/>
          <w:szCs w:val="20"/>
          <w:color w:val="auto"/>
        </w:rPr>
        <w:tab/>
      </w:r>
      <w:r>
        <w:rPr>
          <w:rFonts w:ascii="Arial" w:cs="Arial" w:eastAsia="Arial" w:hAnsi="Arial"/>
          <w:sz w:val="18"/>
          <w:szCs w:val="18"/>
          <w:i w:val="1"/>
          <w:iCs w:val="1"/>
          <w:color w:val="auto"/>
        </w:rPr>
        <w:t>Collateral Documents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84" w:lineRule="auto"/>
        <w:tabs>
          <w:tab w:leader="none" w:pos="1008"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Valid Liens</w:t>
      </w:r>
      <w:r>
        <w:rPr>
          <w:rFonts w:ascii="Arial" w:cs="Arial" w:eastAsia="Arial" w:hAnsi="Arial"/>
          <w:sz w:val="18"/>
          <w:szCs w:val="18"/>
          <w:color w:val="auto"/>
        </w:rPr>
        <w:t>. The Collateral Documents are, or on execution and delivery thereof by the parties thereto will be, effective to create</w:t>
      </w:r>
      <w:r>
        <w:rPr>
          <w:rFonts w:ascii="Arial" w:cs="Arial" w:eastAsia="Arial" w:hAnsi="Arial"/>
          <w:sz w:val="18"/>
          <w:szCs w:val="18"/>
          <w:i w:val="1"/>
          <w:iCs w:val="1"/>
          <w:color w:val="auto"/>
        </w:rPr>
        <w:t xml:space="preserve"> </w:t>
      </w:r>
      <w:r>
        <w:rPr>
          <w:rFonts w:ascii="Arial" w:cs="Arial" w:eastAsia="Arial" w:hAnsi="Arial"/>
          <w:sz w:val="18"/>
          <w:szCs w:val="18"/>
          <w:color w:val="auto"/>
        </w:rPr>
        <w:t>in favor of the Collateral Agent for the benefit of the Secured Parties, legal, valid and enforceable Liens on, and security interests in, the Collateral described therein to the extent intended to be created thereby, except as the enforceability thereof may be limited by bankruptcy, insolvency or similar laws affecting creditors’ rights generally and subject to general principles of equity and (i) when financing statements and other filings in appropriate form are filed in the offices specified in Section 2 of the Perfection Certificate (and payments of all fees) and</w:t>
      </w:r>
    </w:p>
    <w:p>
      <w:pPr>
        <w:spacing w:after="0" w:line="1" w:lineRule="exact"/>
        <w:rPr>
          <w:rFonts w:ascii="Arial" w:cs="Arial" w:eastAsia="Arial" w:hAnsi="Arial"/>
          <w:sz w:val="18"/>
          <w:szCs w:val="18"/>
          <w:color w:val="auto"/>
        </w:rPr>
      </w:pPr>
    </w:p>
    <w:p>
      <w:pPr>
        <w:jc w:val="both"/>
        <w:ind w:firstLine="1"/>
        <w:spacing w:after="0" w:line="250" w:lineRule="auto"/>
        <w:tabs>
          <w:tab w:leader="none" w:pos="3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and (iii) upon the notating of the Lien of the Collateral Agent on all certificates of title in respect of any Collateral, the Liens created by the Collateral Documents (other than the Mortgages) shall constitute fully perfected Liens on, and security interests in, all right, title and interest of the grantors in such Collateral, in each case prior and superior in right to any other Person,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(other than Liens securing Permitted Second Priority Additional Debt or any Permitted Refinancing thereof and Liens securing ABL Facility Indebtedness or Permitted Refinancing thereof, that are intended to be junior to the Liens of the Collateral Documents).</w:t>
      </w:r>
    </w:p>
    <w:p>
      <w:pPr>
        <w:spacing w:after="0" w:line="179" w:lineRule="exact"/>
        <w:rPr>
          <w:rFonts w:ascii="Arial" w:cs="Arial" w:eastAsia="Arial" w:hAnsi="Arial"/>
          <w:sz w:val="20"/>
          <w:szCs w:val="20"/>
          <w:color w:val="auto"/>
        </w:rPr>
      </w:pPr>
    </w:p>
    <w:p>
      <w:pPr>
        <w:jc w:val="both"/>
        <w:ind w:firstLine="605"/>
        <w:spacing w:after="0" w:line="268" w:lineRule="auto"/>
        <w:tabs>
          <w:tab w:leader="none" w:pos="1007" w:val="left"/>
        </w:tabs>
        <w:numPr>
          <w:ilvl w:val="1"/>
          <w:numId w:val="114"/>
        </w:numPr>
        <w:rPr>
          <w:rFonts w:ascii="Arial" w:cs="Arial" w:eastAsia="Arial" w:hAnsi="Arial"/>
          <w:sz w:val="19"/>
          <w:szCs w:val="19"/>
          <w:color w:val="auto"/>
        </w:rPr>
      </w:pPr>
      <w:r>
        <w:rPr>
          <w:rFonts w:ascii="Arial" w:cs="Arial" w:eastAsia="Arial" w:hAnsi="Arial"/>
          <w:sz w:val="19"/>
          <w:szCs w:val="19"/>
          <w:i w:val="1"/>
          <w:iCs w:val="1"/>
          <w:color w:val="auto"/>
        </w:rPr>
        <w:t>PTO Filing; Copyright Office Filing</w:t>
      </w:r>
      <w:r>
        <w:rPr>
          <w:rFonts w:ascii="Arial" w:cs="Arial" w:eastAsia="Arial" w:hAnsi="Arial"/>
          <w:sz w:val="19"/>
          <w:szCs w:val="19"/>
          <w:color w:val="auto"/>
        </w:rPr>
        <w:t>. When the Security Agreement or a short form thereof is properly filed (and payments of 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fees) in the United States Patent and Trademark Office and the United States Copyright Office, to the extent such filings may perfect such interests, the Liens created by such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or Copyrights (as defined in such Security Agreement) registered or applied for with the United States Copyright Office, as the case may be, in each case prior and superior in right to any other Person,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(other than Liens securing Permitted Second Priority Additional Debt or any Permitted Refinancing thereof and Liens securing ABL Facility Indebtedness or Permitted Refinancing thereof, , that are intended to be junior to the Liens of the Collateral Documents) (it being understood that subsequent recordings in the United States Patent and Trademark Office and the United States Copyright Office may be necessary to establish a Lien on registered Patents, Trademarks and Copyrights acquired by the grantors thereof after the Restatement Effective Date).</w:t>
      </w:r>
    </w:p>
    <w:p>
      <w:pPr>
        <w:spacing w:after="0" w:line="160" w:lineRule="exact"/>
        <w:rPr>
          <w:rFonts w:ascii="Arial" w:cs="Arial" w:eastAsia="Arial" w:hAnsi="Arial"/>
          <w:sz w:val="19"/>
          <w:szCs w:val="19"/>
          <w:color w:val="auto"/>
        </w:rPr>
      </w:pPr>
    </w:p>
    <w:p>
      <w:pPr>
        <w:jc w:val="both"/>
        <w:ind w:firstLine="605"/>
        <w:spacing w:after="0" w:line="254" w:lineRule="auto"/>
        <w:tabs>
          <w:tab w:leader="none" w:pos="1033" w:val="left"/>
        </w:tabs>
        <w:numPr>
          <w:ilvl w:val="1"/>
          <w:numId w:val="114"/>
        </w:numPr>
        <w:rPr>
          <w:rFonts w:ascii="Arial" w:cs="Arial" w:eastAsia="Arial" w:hAnsi="Arial"/>
          <w:sz w:val="20"/>
          <w:szCs w:val="20"/>
          <w:color w:val="auto"/>
        </w:rPr>
      </w:pPr>
      <w:r>
        <w:rPr>
          <w:rFonts w:ascii="Arial" w:cs="Arial" w:eastAsia="Arial" w:hAnsi="Arial"/>
          <w:sz w:val="20"/>
          <w:szCs w:val="20"/>
          <w:i w:val="1"/>
          <w:iCs w:val="1"/>
          <w:color w:val="auto"/>
        </w:rPr>
        <w:t>Mortgages</w:t>
      </w:r>
      <w:r>
        <w:rPr>
          <w:rFonts w:ascii="Arial" w:cs="Arial" w:eastAsia="Arial" w:hAnsi="Arial"/>
          <w:sz w:val="20"/>
          <w:szCs w:val="20"/>
          <w:color w:val="auto"/>
        </w:rPr>
        <w:t>. Upon recording thereof in the appropriate recording office (and payments of all applicable fees), each Mortgage is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effective to 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the Mortgaged Property thereunder and the proceeds thereof, subject only to Liens permitted hereunder, and when such Mortgage is filed in the offices specified in the local counsel opinion delivered with respect thereto in accordance with the provisions of </w:t>
      </w:r>
      <w:r>
        <w:rPr>
          <w:rFonts w:ascii="Arial" w:cs="Arial" w:eastAsia="Arial" w:hAnsi="Arial"/>
          <w:sz w:val="20"/>
          <w:szCs w:val="20"/>
          <w:u w:val="single" w:color="auto"/>
          <w:color w:val="auto"/>
        </w:rPr>
        <w:t>Sections 6.11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such Mortgage shall constitute a fully perfected Lien on, and security interest in, all right, title and interest of the Loan Party to such Mortgage in the Mortgaged Property described therein and the proceeds thereof, in each case prior and superior in right to any other Person,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605"/>
        <w:spacing w:after="0" w:line="272" w:lineRule="auto"/>
        <w:tabs>
          <w:tab w:leader="none" w:pos="1007" w:val="left"/>
        </w:tabs>
        <w:numPr>
          <w:ilvl w:val="1"/>
          <w:numId w:val="114"/>
        </w:numPr>
        <w:rPr>
          <w:rFonts w:ascii="Arial" w:cs="Arial" w:eastAsia="Arial" w:hAnsi="Arial"/>
          <w:sz w:val="19"/>
          <w:szCs w:val="19"/>
          <w:color w:val="auto"/>
        </w:rPr>
      </w:pPr>
      <w:r>
        <w:rPr>
          <w:rFonts w:ascii="Arial" w:cs="Arial" w:eastAsia="Arial" w:hAnsi="Arial"/>
          <w:sz w:val="19"/>
          <w:szCs w:val="19"/>
          <w:i w:val="1"/>
          <w:iCs w:val="1"/>
          <w:color w:val="auto"/>
        </w:rPr>
        <w:t>Rolling Stock</w:t>
      </w:r>
      <w:r>
        <w:rPr>
          <w:rFonts w:ascii="Arial" w:cs="Arial" w:eastAsia="Arial" w:hAnsi="Arial"/>
          <w:sz w:val="19"/>
          <w:szCs w:val="19"/>
          <w:color w:val="auto"/>
        </w:rPr>
        <w:t>. Upon the recording thereof on the applicable certificate of title (and filing of financing statements and payment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applicable fees, which shall be for the account of the Borrower), the notation of the Administrative Agent’s lien on any rolling stock or other goods subject to a certificate of title is effective to 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such Collateral and the proceeds thereof, subject only to Liens permitted hereunder, in each case prior and superior in right to any other Person,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54" w:lineRule="exact"/>
        <w:rPr>
          <w:sz w:val="20"/>
          <w:szCs w:val="20"/>
          <w:color w:val="auto"/>
        </w:rPr>
      </w:pPr>
    </w:p>
    <w:p>
      <w:pPr>
        <w:ind w:firstLine="604"/>
        <w:spacing w:after="0" w:line="335" w:lineRule="auto"/>
        <w:rPr>
          <w:sz w:val="20"/>
          <w:szCs w:val="20"/>
          <w:color w:val="auto"/>
        </w:rPr>
      </w:pPr>
      <w:r>
        <w:rPr>
          <w:rFonts w:ascii="Arial" w:cs="Arial" w:eastAsia="Arial" w:hAnsi="Arial"/>
          <w:sz w:val="18"/>
          <w:szCs w:val="18"/>
          <w:color w:val="auto"/>
        </w:rPr>
        <w:t xml:space="preserve">Notwithstanding anything herein (including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5.04</w:t>
      </w:r>
      <w:r>
        <w:rPr>
          <w:rFonts w:ascii="Arial" w:cs="Arial" w:eastAsia="Arial" w:hAnsi="Arial"/>
          <w:sz w:val="18"/>
          <w:szCs w:val="18"/>
          <w:color w:val="auto"/>
        </w:rPr>
        <w:t>) or in any other Loan Document to the contrary, neither the Borrower nor any other Loan Party makes any representation or warranty as to (A) [reserved] (B) the pledge or creation of any security</w:t>
      </w:r>
    </w:p>
    <w:p>
      <w:pPr>
        <w:sectPr>
          <w:pgSz w:w="11900" w:h="16954" w:orient="portrait"/>
          <w:cols w:equalWidth="0" w:num="1">
            <w:col w:w="11420"/>
          </w:cols>
          <w:pgMar w:left="240" w:top="131" w:right="239" w:bottom="0" w:gutter="0" w:footer="0" w:header="0"/>
        </w:sectPr>
      </w:pPr>
    </w:p>
    <w:bookmarkStart w:id="94" w:name="page95"/>
    <w:bookmarkEnd w:id="94"/>
    <w:p>
      <w:pPr>
        <w:jc w:val="both"/>
        <w:spacing w:after="0" w:line="256" w:lineRule="auto"/>
        <w:rPr>
          <w:sz w:val="20"/>
          <w:szCs w:val="20"/>
          <w:color w:val="auto"/>
        </w:rPr>
      </w:pPr>
      <w:r>
        <w:rPr>
          <w:rFonts w:ascii="Arial" w:cs="Arial" w:eastAsia="Arial" w:hAnsi="Arial"/>
          <w:sz w:val="20"/>
          <w:szCs w:val="20"/>
          <w:color w:val="auto"/>
        </w:rPr>
        <w:t xml:space="preserve">interest, or the effects of perfection or non-perfection, the priority or the enforceability of any pledge of or security interest to the extent such pledge, security interest, perfection or priority is not required pursuant to the Collateral and Guarantee Requirement or (C) on the Restatement Effective Date and until required pursuant to </w:t>
      </w:r>
      <w:r>
        <w:rPr>
          <w:rFonts w:ascii="Arial" w:cs="Arial" w:eastAsia="Arial" w:hAnsi="Arial"/>
          <w:sz w:val="20"/>
          <w:szCs w:val="20"/>
          <w:u w:val="single" w:color="auto"/>
          <w:color w:val="auto"/>
        </w:rPr>
        <w:t>Section 4.02(d)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the pledge or creation of any security interest, or the effects of perfection or non-perfection, the priority or enforceability of any pledge or security interest to the extent not required on the Restatement Effective Date pursuant to </w:t>
      </w:r>
      <w:r>
        <w:rPr>
          <w:rFonts w:ascii="Arial" w:cs="Arial" w:eastAsia="Arial" w:hAnsi="Arial"/>
          <w:sz w:val="20"/>
          <w:szCs w:val="20"/>
          <w:u w:val="single" w:color="auto"/>
          <w:color w:val="auto"/>
        </w:rPr>
        <w:t>Section 4.02(d)</w:t>
      </w:r>
      <w:r>
        <w:rPr>
          <w:rFonts w:ascii="Arial" w:cs="Arial" w:eastAsia="Arial" w:hAnsi="Arial"/>
          <w:sz w:val="20"/>
          <w:szCs w:val="20"/>
          <w:color w:val="auto"/>
        </w:rPr>
        <w:t>.</w:t>
      </w:r>
    </w:p>
    <w:p>
      <w:pPr>
        <w:spacing w:after="0" w:line="170"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5.19.</w:t>
      </w:r>
      <w:r>
        <w:rPr>
          <w:sz w:val="20"/>
          <w:szCs w:val="20"/>
          <w:color w:val="auto"/>
        </w:rPr>
        <w:tab/>
      </w:r>
      <w:r>
        <w:rPr>
          <w:rFonts w:ascii="Arial" w:cs="Arial" w:eastAsia="Arial" w:hAnsi="Arial"/>
          <w:sz w:val="18"/>
          <w:szCs w:val="18"/>
          <w:i w:val="1"/>
          <w:iCs w:val="1"/>
          <w:color w:val="auto"/>
        </w:rPr>
        <w:t>Compliance with Anti-Terrorism and Corruption Laws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90" w:lineRule="auto"/>
        <w:tabs>
          <w:tab w:leader="none" w:pos="105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the extent applicable, the Borrower and the Restricted Subsidiaries are in compliance, in all material respects, with (i) the Trading with the Enemy Act and each of the foreign assets control regulations of the United States Treasury Department (31 CFR, Subtitle B, Chapter V) and any other enabling legislation or executive order relating thereto, and (ii) the USA PATRIOT Act.</w:t>
      </w:r>
    </w:p>
    <w:p>
      <w:pPr>
        <w:spacing w:after="0" w:line="139" w:lineRule="exact"/>
        <w:rPr>
          <w:rFonts w:ascii="Arial" w:cs="Arial" w:eastAsia="Arial" w:hAnsi="Arial"/>
          <w:sz w:val="19"/>
          <w:szCs w:val="19"/>
          <w:color w:val="auto"/>
        </w:rPr>
      </w:pPr>
    </w:p>
    <w:p>
      <w:pPr>
        <w:jc w:val="both"/>
        <w:ind w:firstLine="605"/>
        <w:spacing w:after="0" w:line="259" w:lineRule="auto"/>
        <w:tabs>
          <w:tab w:leader="none" w:pos="101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None of the Borrower or any Restricted Subsidiary nor, to the knowledge of the Borrower, any director, officer, agent, employee or controlled Affiliate of the Borrower or any Restricted Subsidiary, (i) is a Blocked Person or (ii) is currently subject to any U.S. sanctions administered by OFAC that could, individually or in the aggregate, reasonably be expected to have a Material Adverse Effect; and none of the Borrower or any Restricted Subsidiary will use the proceeds of the Loans for the purpose of financing the activities of any Person currently subject to any U.S. sanctions administered by OFAC.</w:t>
      </w:r>
    </w:p>
    <w:p>
      <w:pPr>
        <w:spacing w:after="0" w:line="169" w:lineRule="exact"/>
        <w:rPr>
          <w:sz w:val="20"/>
          <w:szCs w:val="20"/>
          <w:color w:val="auto"/>
        </w:rPr>
      </w:pPr>
    </w:p>
    <w:p>
      <w:pPr>
        <w:jc w:val="both"/>
        <w:ind w:firstLine="604"/>
        <w:spacing w:after="0" w:line="259" w:lineRule="auto"/>
        <w:rPr>
          <w:sz w:val="20"/>
          <w:szCs w:val="20"/>
          <w:color w:val="auto"/>
        </w:rPr>
      </w:pPr>
      <w:r>
        <w:rPr>
          <w:rFonts w:ascii="Arial" w:cs="Arial" w:eastAsia="Arial" w:hAnsi="Arial"/>
          <w:sz w:val="20"/>
          <w:szCs w:val="20"/>
          <w:color w:val="auto"/>
        </w:rPr>
        <w:t>No part of the proceeds of the Loans will be used by the Borrower or any of the Restricted Subsidiaries,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65" w:lineRule="exact"/>
        <w:rPr>
          <w:sz w:val="20"/>
          <w:szCs w:val="20"/>
          <w:color w:val="auto"/>
        </w:rPr>
      </w:pPr>
    </w:p>
    <w:p>
      <w:pPr>
        <w:jc w:val="both"/>
        <w:ind w:firstLine="604"/>
        <w:spacing w:after="0" w:line="259" w:lineRule="auto"/>
        <w:rPr>
          <w:sz w:val="20"/>
          <w:szCs w:val="20"/>
          <w:color w:val="auto"/>
        </w:rPr>
      </w:pPr>
      <w:r>
        <w:rPr>
          <w:rFonts w:ascii="Arial" w:cs="Arial" w:eastAsia="Arial" w:hAnsi="Arial"/>
          <w:sz w:val="20"/>
          <w:szCs w:val="20"/>
          <w:i w:val="1"/>
          <w:iCs w:val="1"/>
          <w:color w:val="auto"/>
        </w:rPr>
        <w:t>Section 5.20. Real Property Permits</w:t>
      </w:r>
      <w:r>
        <w:rPr>
          <w:rFonts w:ascii="Arial" w:cs="Arial" w:eastAsia="Arial" w:hAnsi="Arial"/>
          <w:sz w:val="20"/>
          <w:szCs w:val="20"/>
          <w:color w:val="auto"/>
        </w:rPr>
        <w:t>. Borrower has all Permits, all of which are in full force and effect as of the date hereof required</w:t>
      </w:r>
      <w:r>
        <w:rPr>
          <w:rFonts w:ascii="Arial" w:cs="Arial" w:eastAsia="Arial" w:hAnsi="Arial"/>
          <w:sz w:val="20"/>
          <w:szCs w:val="20"/>
          <w:i w:val="1"/>
          <w:iCs w:val="1"/>
          <w:color w:val="auto"/>
        </w:rPr>
        <w:t xml:space="preserve"> </w:t>
      </w:r>
      <w:r>
        <w:rPr>
          <w:rFonts w:ascii="Arial" w:cs="Arial" w:eastAsia="Arial" w:hAnsi="Arial"/>
          <w:sz w:val="20"/>
          <w:szCs w:val="20"/>
          <w:color w:val="auto"/>
        </w:rPr>
        <w:t>by the applicable Governmental Authorities in connection with the ownership and operation of any Material Real Property, except to the extent that the failure to have any such Permits would not, individually or in the aggregate, reasonably be expected to have a Material Adverse Effect.</w:t>
      </w:r>
    </w:p>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ARTICLE 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0" w:lineRule="exact"/>
        <w:rPr>
          <w:sz w:val="20"/>
          <w:szCs w:val="20"/>
          <w:color w:val="auto"/>
        </w:rPr>
      </w:pPr>
    </w:p>
    <w:p>
      <w:pPr>
        <w:jc w:val="both"/>
        <w:ind w:firstLine="604"/>
        <w:spacing w:after="0" w:line="259" w:lineRule="auto"/>
        <w:rPr>
          <w:sz w:val="20"/>
          <w:szCs w:val="20"/>
          <w:color w:val="auto"/>
        </w:rPr>
      </w:pPr>
      <w:r>
        <w:rPr>
          <w:rFonts w:ascii="Arial" w:cs="Arial" w:eastAsia="Arial" w:hAnsi="Arial"/>
          <w:sz w:val="20"/>
          <w:szCs w:val="20"/>
          <w:color w:val="auto"/>
        </w:rPr>
        <w:t xml:space="preserve">So long as any Lender shall have any Commitment hereunder or any Loan or other Obligation (other than contingent indemnification or reimbursement obligations) hereunder which is accrued or payable shall remain unpaid or unsatisfied, then from and after the Restatement Effective Date,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6.15</w:t>
      </w:r>
      <w:r>
        <w:rPr>
          <w:rFonts w:ascii="Arial" w:cs="Arial" w:eastAsia="Arial" w:hAnsi="Arial"/>
          <w:sz w:val="20"/>
          <w:szCs w:val="20"/>
          <w:color w:val="auto"/>
        </w:rPr>
        <w:t>) cause each of the Restricted Subsidiaries to:</w:t>
      </w:r>
    </w:p>
    <w:p>
      <w:pPr>
        <w:spacing w:after="0" w:line="165"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Financial Statements, Reports, Etc.</w:t>
      </w:r>
      <w:r>
        <w:rPr>
          <w:rFonts w:ascii="Arial" w:cs="Arial" w:eastAsia="Arial" w:hAnsi="Arial"/>
          <w:sz w:val="20"/>
          <w:szCs w:val="20"/>
          <w:color w:val="auto"/>
        </w:rPr>
        <w:t xml:space="preserve"> In the case of the Borrower, deliver to the Administrative Agent for prompt further distribution to each Lender:</w:t>
      </w:r>
    </w:p>
    <w:p>
      <w:pPr>
        <w:spacing w:after="0" w:line="134" w:lineRule="exact"/>
        <w:rPr>
          <w:sz w:val="20"/>
          <w:szCs w:val="20"/>
          <w:color w:val="auto"/>
        </w:rPr>
      </w:pPr>
    </w:p>
    <w:p>
      <w:pPr>
        <w:jc w:val="both"/>
        <w:ind w:firstLine="605"/>
        <w:spacing w:after="0" w:line="268" w:lineRule="auto"/>
        <w:tabs>
          <w:tab w:leader="none" w:pos="104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within 90 days after the end of each fiscal year of the Borrower (beginning with the fiscal year ending December 31, 2019), a consolidated balance sheet of the Borrower and its Subsidiaries as at the end of such fiscal year, and the related consolidated statements of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 (i) shall be prepared in accordance with generally accepted auditing standards, (ii) shall not be subject to qualifications or exceptions as to the scope of such audit, (iii) shall be without a “going concern” disclosure or like qualification or exception (other than with respect to, or disclosure or an exception or qualification solely resulting from, (x) the impending maturity of any Indebtedness or (y) any prospective or actual default under any financial covenant and (iv) shall be accompanied with customary management discussion and analysis;</w:t>
      </w:r>
    </w:p>
    <w:p>
      <w:pPr>
        <w:spacing w:after="0" w:line="160" w:lineRule="exact"/>
        <w:rPr>
          <w:rFonts w:ascii="Arial" w:cs="Arial" w:eastAsia="Arial" w:hAnsi="Arial"/>
          <w:sz w:val="19"/>
          <w:szCs w:val="19"/>
          <w:color w:val="auto"/>
        </w:rPr>
      </w:pPr>
    </w:p>
    <w:p>
      <w:pPr>
        <w:jc w:val="both"/>
        <w:ind w:firstLine="605"/>
        <w:spacing w:after="0" w:line="287" w:lineRule="auto"/>
        <w:tabs>
          <w:tab w:leader="none" w:pos="100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(3) fiscal quarters of each fiscal year of the Borrower (commencing with the fiscal quarter ended September 30, 2019), a consolidated balance sheet of the Borrower and its Subsidiaries as at the end of such fiscal quarter, and the related (x) consolidated statements of income or operations for such fiscal quarter and for the portion of the fiscal year then ended and (y) consolidated statements of cash flows for such fiscal quarter and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and cash flows of the Borrower and its Subsidiaries in accordance with GAAP, subject only to normal year-end audit adjustments and the absence of footnotes and accompanied by customary management discussion and analysis; and</w:t>
      </w:r>
    </w:p>
    <w:p>
      <w:pPr>
        <w:spacing w:after="0" w:line="146" w:lineRule="exact"/>
        <w:rPr>
          <w:rFonts w:ascii="Arial" w:cs="Arial" w:eastAsia="Arial" w:hAnsi="Arial"/>
          <w:sz w:val="18"/>
          <w:szCs w:val="18"/>
          <w:color w:val="auto"/>
        </w:rPr>
      </w:pPr>
    </w:p>
    <w:p>
      <w:pPr>
        <w:jc w:val="both"/>
        <w:ind w:firstLine="605"/>
        <w:spacing w:after="0" w:line="282" w:lineRule="auto"/>
        <w:tabs>
          <w:tab w:leader="none" w:pos="100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within 90 days after the end of each fiscal year (commencing with the fiscal year ending December 31, 2019) of the Borrower, a reasonably detailed consolidated budget for the following fiscal year on a quarterly basis (including a projected consolidated balance sheet of the Borrower and its Subsidiaries as of the end of the following fiscal year, the related consolidated statements of projected cash flows and projected income and a summary of the material underlying assumptions applicable thereto) (collectively, the “</w:t>
      </w:r>
      <w:r>
        <w:rPr>
          <w:rFonts w:ascii="Arial" w:cs="Arial" w:eastAsia="Arial" w:hAnsi="Arial"/>
          <w:sz w:val="18"/>
          <w:szCs w:val="18"/>
          <w:u w:val="single" w:color="auto"/>
          <w:color w:val="auto"/>
        </w:rPr>
        <w:t>Projections</w:t>
      </w:r>
      <w:r>
        <w:rPr>
          <w:rFonts w:ascii="Arial" w:cs="Arial" w:eastAsia="Arial" w:hAnsi="Arial"/>
          <w:sz w:val="18"/>
          <w:szCs w:val="18"/>
          <w:color w:val="auto"/>
        </w:rPr>
        <w:t>”), which Projections shall in each case be accompanied by a certificate of a Responsible Officer stating that such Projections have been prepared in good faith on the basis of the assumptions stated therein, which assumptions were believed to be reasonable at the time of preparation of such Projections, it being understood by the Agents and the Lenders that such projections as to future events (i) are not to be viewed as facts, (ii)</w:t>
      </w:r>
    </w:p>
    <w:p>
      <w:pPr>
        <w:spacing w:after="0" w:line="1" w:lineRule="exact"/>
        <w:rPr>
          <w:rFonts w:ascii="Arial" w:cs="Arial" w:eastAsia="Arial" w:hAnsi="Arial"/>
          <w:sz w:val="18"/>
          <w:szCs w:val="18"/>
          <w:color w:val="auto"/>
        </w:rPr>
      </w:pPr>
    </w:p>
    <w:p>
      <w:pPr>
        <w:jc w:val="both"/>
        <w:ind w:firstLine="1"/>
        <w:spacing w:after="0" w:line="314" w:lineRule="auto"/>
        <w:tabs>
          <w:tab w:leader="none" w:pos="38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are subject to significant uncertainties and contingencies, which may be beyond the control of the Borrower and its Restricted Subsidiaries, (B) no assurance is given by the Borrower and its Restricted Subsidiaries that the results or forecast in any such projections will</w:t>
      </w:r>
    </w:p>
    <w:p>
      <w:pPr>
        <w:sectPr>
          <w:pgSz w:w="11900" w:h="16838" w:orient="portrait"/>
          <w:cols w:equalWidth="0" w:num="1">
            <w:col w:w="11420"/>
          </w:cols>
          <w:pgMar w:left="240" w:top="131" w:right="239" w:bottom="0" w:gutter="0" w:footer="0" w:header="0"/>
        </w:sectPr>
      </w:pPr>
    </w:p>
    <w:bookmarkStart w:id="95" w:name="page96"/>
    <w:bookmarkEnd w:id="95"/>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be realized and (C) the actual results may differ from the forecast results set forth in such projections and such differences may be material and (iii) are not a guarantee of performance and that actual results during the period or periods covered by any such projections may vary significantly from the projected results and such differences may be material.</w:t>
      </w:r>
    </w:p>
    <w:p>
      <w:pPr>
        <w:spacing w:after="0" w:line="163" w:lineRule="exact"/>
        <w:rPr>
          <w:sz w:val="20"/>
          <w:szCs w:val="20"/>
          <w:color w:val="auto"/>
        </w:rPr>
      </w:pPr>
    </w:p>
    <w:p>
      <w:pPr>
        <w:jc w:val="both"/>
        <w:ind w:firstLine="604"/>
        <w:spacing w:after="0" w:line="266" w:lineRule="auto"/>
        <w:rPr>
          <w:sz w:val="20"/>
          <w:szCs w:val="20"/>
          <w:color w:val="auto"/>
        </w:rPr>
      </w:pPr>
      <w:r>
        <w:rPr>
          <w:rFonts w:ascii="Arial" w:cs="Arial" w:eastAsia="Arial" w:hAnsi="Arial"/>
          <w:sz w:val="19"/>
          <w:szCs w:val="19"/>
          <w:color w:val="auto"/>
        </w:rPr>
        <w:t xml:space="preserve">Notwithstanding the foregoing, the obligations in paragraphs (a) and (b) of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may be satisfied with respect to information of the Borrower and the Subsidiaries by furnishing within the time period specified in the applicable paragraph (A) the applicable financial statements of the Borrower or (B) the Borrower’s Form l0-K or 10-Q, as applicable, filed with the SEC;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clauses (A) and (B), to the extent such information is in lieu of information required to be provided under </w:t>
      </w:r>
      <w:r>
        <w:rPr>
          <w:rFonts w:ascii="Arial" w:cs="Arial" w:eastAsia="Arial" w:hAnsi="Arial"/>
          <w:sz w:val="19"/>
          <w:szCs w:val="19"/>
          <w:u w:val="single" w:color="auto"/>
          <w:color w:val="auto"/>
        </w:rPr>
        <w:t>Section 6.01(a)</w:t>
      </w:r>
      <w:r>
        <w:rPr>
          <w:rFonts w:ascii="Arial" w:cs="Arial" w:eastAsia="Arial" w:hAnsi="Arial"/>
          <w:sz w:val="19"/>
          <w:szCs w:val="19"/>
          <w:color w:val="auto"/>
        </w:rPr>
        <w:t>, such materials are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 (i) shall be prepared in accordance with generally accepted auditing standards, (ii) shall not be subject to qualifications or exceptions as to the scope of such audit and (iii) shall be without a “going concern” disclosure or like qualification or exception (other than with respect to, or disclosure or an exception or qualification solely resulting from, (A) the impending maturity of any Indebtedness or (B) any prospective or actual default under any financial covenant).</w:t>
      </w:r>
    </w:p>
    <w:p>
      <w:pPr>
        <w:spacing w:after="0" w:line="168"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may be delivered electronically and if so delivered, shall be deemed to have been delivered on the earliest date on which (i) Borrower posts such documents, or provides a link thereto on Borrower’s website on the Internet and provides notice thereof to the Administrative Agent; (ii) such documents are posted on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promptly following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Notwithstanding anything contained herein, in every instance the Borrower shall be required to provide paper copies of the Compliance Certificates required by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to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if such Compliance Certificate is first delivered by electronic means, the date of such delivery by electronic means shall constitute the date of delivery for purposes of compliance with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169"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6.02.</w:t>
      </w:r>
      <w:r>
        <w:rPr>
          <w:sz w:val="20"/>
          <w:szCs w:val="20"/>
          <w:color w:val="auto"/>
        </w:rPr>
        <w:tab/>
      </w:r>
      <w:r>
        <w:rPr>
          <w:rFonts w:ascii="Arial" w:cs="Arial" w:eastAsia="Arial" w:hAnsi="Arial"/>
          <w:sz w:val="18"/>
          <w:szCs w:val="18"/>
          <w:i w:val="1"/>
          <w:iCs w:val="1"/>
          <w:color w:val="auto"/>
        </w:rPr>
        <w:t xml:space="preserve">Certificates; Other Information. </w:t>
      </w:r>
      <w:r>
        <w:rPr>
          <w:rFonts w:ascii="Arial" w:cs="Arial" w:eastAsia="Arial" w:hAnsi="Arial"/>
          <w:sz w:val="18"/>
          <w:szCs w:val="18"/>
          <w:color w:val="auto"/>
        </w:rPr>
        <w:t>Deliver to the Administrative Agent for prompt further distribution to each Lender:</w:t>
      </w:r>
    </w:p>
    <w:p>
      <w:pPr>
        <w:spacing w:after="0" w:line="223" w:lineRule="exact"/>
        <w:rPr>
          <w:sz w:val="20"/>
          <w:szCs w:val="20"/>
          <w:color w:val="auto"/>
        </w:rPr>
      </w:pPr>
    </w:p>
    <w:p>
      <w:pPr>
        <w:jc w:val="both"/>
        <w:ind w:firstLine="605"/>
        <w:spacing w:after="0" w:line="268" w:lineRule="auto"/>
        <w:tabs>
          <w:tab w:leader="none" w:pos="102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no later than five (5) Business Days after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(or the date on which such delivery is required), commencing with the first full fiscal quarter completed after the Restatement Effective Date, a duly completed Compliance Certificate signed by a Responsible Officer of the Borrower; it being understood that , if applicable for such period of delivery, such Compliance Certificate shall include (i) information about Net Proceeds received in the period for individual amounts greater than $5,000,000 and set forth statements of the Borrower’s intention regarding the use of any portion of such Net Proceeds to acquire, maintain, develop, construct, improve, upgrade or repair assets useful in the business of the Borrower or its Restricted Subsidiaries or to make Permitted Acquisitions or any acquisition permitted hereunder of all or substantially all the assets of, or all the Equity Interests (other than directors qualifying shares) in a Person, division or line of business previously acquired) and (ii) calculations setting forth in reasonable detail the amount of any Cumulative Credit available at the beginning of the applicable period and at the end of such period and the amount and application of any Cumulative Credit during such period (it being understood that the Borrower has the right to reallocate usage of the Cumulative Credit in accordance with </w:t>
      </w:r>
      <w:r>
        <w:rPr>
          <w:rFonts w:ascii="Arial" w:cs="Arial" w:eastAsia="Arial" w:hAnsi="Arial"/>
          <w:sz w:val="19"/>
          <w:szCs w:val="19"/>
          <w:u w:val="single" w:color="auto"/>
          <w:color w:val="auto"/>
        </w:rPr>
        <w:t>Section 1.02(i)</w:t>
      </w:r>
      <w:r>
        <w:rPr>
          <w:rFonts w:ascii="Arial" w:cs="Arial" w:eastAsia="Arial" w:hAnsi="Arial"/>
          <w:sz w:val="19"/>
          <w:szCs w:val="19"/>
          <w:color w:val="auto"/>
        </w:rPr>
        <w:t xml:space="preserve"> from time to time);</w:t>
      </w:r>
    </w:p>
    <w:p>
      <w:pPr>
        <w:spacing w:after="0" w:line="160" w:lineRule="exact"/>
        <w:rPr>
          <w:rFonts w:ascii="Arial" w:cs="Arial" w:eastAsia="Arial" w:hAnsi="Arial"/>
          <w:sz w:val="19"/>
          <w:szCs w:val="19"/>
          <w:color w:val="auto"/>
        </w:rPr>
      </w:pPr>
    </w:p>
    <w:p>
      <w:pPr>
        <w:jc w:val="both"/>
        <w:ind w:firstLine="605"/>
        <w:spacing w:after="0" w:line="259" w:lineRule="auto"/>
        <w:tabs>
          <w:tab w:leader="none" w:pos="114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promptly after the same are publicly available, copies of all annual, regular, periodic and special reports and registration statements which the Borrower or any Restricted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68" w:lineRule="exact"/>
        <w:rPr>
          <w:rFonts w:ascii="Arial" w:cs="Arial" w:eastAsia="Arial" w:hAnsi="Arial"/>
          <w:sz w:val="20"/>
          <w:szCs w:val="20"/>
          <w:color w:val="auto"/>
        </w:rPr>
      </w:pPr>
    </w:p>
    <w:p>
      <w:pPr>
        <w:jc w:val="both"/>
        <w:ind w:firstLine="605"/>
        <w:spacing w:after="0" w:line="276" w:lineRule="auto"/>
        <w:tabs>
          <w:tab w:leader="none" w:pos="113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promptly after the furnishing thereof, copies of any material notices of default received by any Loan Party or Restricted Subsidiary (other than in the ordinary course of business) or furnished to any holder of Indebtedness or debt securities of any Loan Party or of any of its Restricted Subsidiaries pursuant to the terms of the ABL Facility Documentation, any Junior Financing Documentation, any Permitted Additional Debt or any Permitted Refinancing of any thereof, in each case in a principal amount in excess of the Threshold Amount and not otherwise required to be furnished to the Lenders pursuant to any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605"/>
        <w:spacing w:after="0" w:line="270" w:lineRule="auto"/>
        <w:tabs>
          <w:tab w:leader="none" w:pos="109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together with the delivery of each Compliance Certificate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(i) in the case of annual Compliance Certificates only, a report setting forth the information required by sections of the Perfection Certificate describing the legal name and the jurisdiction of organization or formation of each Loan Party and the location of the chief executive office of each Loan Party or confirming that there has been no change in such information since the Restatement Effective Date or the date of the last such report, (ii) a description of each (x) event, condition or circumstance during the last fiscal quarter covered by such Compliance Certificate requiring a mandatory prepayment under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and (y) Disposition of owned Real Property on which sits a trucking terminal and adjacent/vacant land located nearby and (iii) a list of each Subsidiary of the Borrower that identifies each Subsidiary as a Loan Party or a non-Loan Party as of the date of delivery of such Compliance Certificate;</w:t>
      </w:r>
    </w:p>
    <w:p>
      <w:pPr>
        <w:spacing w:after="0" w:line="160" w:lineRule="exact"/>
        <w:rPr>
          <w:rFonts w:ascii="Arial" w:cs="Arial" w:eastAsia="Arial" w:hAnsi="Arial"/>
          <w:sz w:val="19"/>
          <w:szCs w:val="19"/>
          <w:color w:val="auto"/>
        </w:rPr>
      </w:pPr>
    </w:p>
    <w:p>
      <w:pPr>
        <w:jc w:val="both"/>
        <w:ind w:firstLine="605"/>
        <w:spacing w:after="0" w:line="270" w:lineRule="auto"/>
        <w:tabs>
          <w:tab w:leader="none" w:pos="104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legal, financial or corporate affairs of the Loan Parties or any of their respective Restricted Subsidiaries, as the Administrative Agent or any Lender through the Administrative Agent may from time to time reasonably request;</w:t>
      </w:r>
    </w:p>
    <w:p>
      <w:pPr>
        <w:sectPr>
          <w:pgSz w:w="11900" w:h="16888" w:orient="portrait"/>
          <w:cols w:equalWidth="0" w:num="1">
            <w:col w:w="11420"/>
          </w:cols>
          <w:pgMar w:left="240" w:top="131" w:right="239" w:bottom="0" w:gutter="0" w:footer="0" w:header="0"/>
        </w:sectPr>
      </w:pPr>
    </w:p>
    <w:bookmarkStart w:id="96" w:name="page97"/>
    <w:bookmarkEnd w:id="96"/>
    <w:p>
      <w:pPr>
        <w:jc w:val="both"/>
        <w:ind w:firstLine="605"/>
        <w:spacing w:after="0" w:line="270" w:lineRule="auto"/>
        <w:tabs>
          <w:tab w:leader="none" w:pos="99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promptly after the written request by any Lender, all documentation and other information that such Lender reasonably requests in order to comply with its ongoing obligations under applicable “know your customer” and anti-money laundering rules and regulations, including the USA PATRIOT Act;</w:t>
      </w:r>
    </w:p>
    <w:p>
      <w:pPr>
        <w:spacing w:after="0" w:line="155" w:lineRule="exact"/>
        <w:rPr>
          <w:rFonts w:ascii="Arial" w:cs="Arial" w:eastAsia="Arial" w:hAnsi="Arial"/>
          <w:sz w:val="20"/>
          <w:szCs w:val="20"/>
          <w:color w:val="auto"/>
        </w:rPr>
      </w:pPr>
    </w:p>
    <w:p>
      <w:pPr>
        <w:ind w:firstLine="605"/>
        <w:spacing w:after="0" w:line="319" w:lineRule="auto"/>
        <w:tabs>
          <w:tab w:leader="none" w:pos="100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promptly after the receipt thereof by the Borrower or any of the Restricted Subsidiaries, a copy of any final “management letter” received by any such Person from its certified public accountants and the management’s response thereto; and</w:t>
      </w:r>
    </w:p>
    <w:p>
      <w:pPr>
        <w:spacing w:after="0" w:line="111" w:lineRule="exact"/>
        <w:rPr>
          <w:rFonts w:ascii="Arial" w:cs="Arial" w:eastAsia="Arial" w:hAnsi="Arial"/>
          <w:sz w:val="19"/>
          <w:szCs w:val="19"/>
          <w:color w:val="auto"/>
        </w:rPr>
      </w:pPr>
    </w:p>
    <w:p>
      <w:pPr>
        <w:jc w:val="both"/>
        <w:ind w:firstLine="605"/>
        <w:spacing w:after="0" w:line="270" w:lineRule="auto"/>
        <w:tabs>
          <w:tab w:leader="none" w:pos="112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promptly following any request therefor by the Administrative Agent or any Lender, copies of (i) any material documents described in Section 101(k) of ERISA that any Loan Party may request with respect to any Multiemployer Plan and (ii) any material notices described in Section 101(l) of ERISA that any Loan Party may request with respect to any Plan or Multiemployer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Loan Party has not requested such material documents or material notices from the administrator or sponsor of the applicable Plan or Multiemployer Plan, such Loan Party shall make a request for such material documents or material notices from the such administrator or sponsor at the earliest date on which such Loan Party determines that it is commercially reasonable to so request in order to avoid the occurrence of an event that could reasonably be expected to result in a material liability, and shall provide copies of such material documents and material notices promptly after receipt thereof.</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Notwithstanding anything to the contrary, neither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or any binding agreement, or (iii) that is subject to attorney client or similar privilege or constitutes attorney work product.</w:t>
      </w:r>
    </w:p>
    <w:p>
      <w:pPr>
        <w:spacing w:after="0" w:line="153"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Notices.</w:t>
      </w:r>
      <w:r>
        <w:rPr>
          <w:rFonts w:ascii="Arial" w:cs="Arial" w:eastAsia="Arial" w:hAnsi="Arial"/>
          <w:sz w:val="20"/>
          <w:szCs w:val="20"/>
          <w:color w:val="auto"/>
        </w:rPr>
        <w:t xml:space="preserve"> Promptly after the Borrower or any Guarantor has obtained knowledge thereof, notify the Administrative Agent (which shall provide notice to the Lenders):</w:t>
      </w:r>
    </w:p>
    <w:p>
      <w:pPr>
        <w:spacing w:after="0" w:line="134" w:lineRule="exact"/>
        <w:rPr>
          <w:sz w:val="20"/>
          <w:szCs w:val="20"/>
          <w:color w:val="auto"/>
        </w:rPr>
      </w:pPr>
    </w:p>
    <w:p>
      <w:pPr>
        <w:ind w:left="1000" w:hanging="395"/>
        <w:spacing w:after="0"/>
        <w:tabs>
          <w:tab w:leader="none" w:pos="10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23" w:lineRule="exact"/>
        <w:rPr>
          <w:rFonts w:ascii="Arial" w:cs="Arial" w:eastAsia="Arial" w:hAnsi="Arial"/>
          <w:sz w:val="20"/>
          <w:szCs w:val="20"/>
          <w:color w:val="auto"/>
        </w:rPr>
      </w:pPr>
    </w:p>
    <w:p>
      <w:pPr>
        <w:ind w:left="1000" w:hanging="395"/>
        <w:spacing w:after="0"/>
        <w:tabs>
          <w:tab w:leader="none" w:pos="10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of any matter that has resulted or could reasonably be expected to result in a Material Adverse Effect;</w:t>
      </w:r>
    </w:p>
    <w:p>
      <w:pPr>
        <w:spacing w:after="0" w:line="223" w:lineRule="exact"/>
        <w:rPr>
          <w:rFonts w:ascii="Arial" w:cs="Arial" w:eastAsia="Arial" w:hAnsi="Arial"/>
          <w:sz w:val="20"/>
          <w:szCs w:val="20"/>
          <w:color w:val="auto"/>
        </w:rPr>
      </w:pPr>
    </w:p>
    <w:p>
      <w:pPr>
        <w:jc w:val="both"/>
        <w:ind w:firstLine="605"/>
        <w:spacing w:after="0" w:line="263" w:lineRule="auto"/>
        <w:tabs>
          <w:tab w:leader="none" w:pos="105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of the filing or commencement of, or any written threat or written notice of intention of any person to file or commence, any action, suit, litigation or proceeding, whether at law or in equity by or before any Governmental Authority, against the Borrower or any of its Restricted Subsidiaries that has a reasonable likelihood of adverse determination and such determination could reasonably be expected to result in a Material Adverse Effect; and</w:t>
      </w:r>
    </w:p>
    <w:p>
      <w:pPr>
        <w:spacing w:after="0" w:line="162" w:lineRule="exact"/>
        <w:rPr>
          <w:rFonts w:ascii="Arial" w:cs="Arial" w:eastAsia="Arial" w:hAnsi="Arial"/>
          <w:sz w:val="20"/>
          <w:szCs w:val="20"/>
          <w:color w:val="auto"/>
        </w:rPr>
      </w:pPr>
    </w:p>
    <w:p>
      <w:pPr>
        <w:ind w:firstLine="605"/>
        <w:spacing w:after="0" w:line="350" w:lineRule="auto"/>
        <w:tabs>
          <w:tab w:leader="none" w:pos="10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 the occurrence of any ERISA Event following the Restatement Effective Date that, alone or together with any other ERISA Events that have occurred following the Restatement Effective Date, could reasonably be expected to result in a Material Adverse Effect.</w:t>
      </w:r>
    </w:p>
    <w:p>
      <w:pPr>
        <w:spacing w:after="0" w:line="88" w:lineRule="exact"/>
        <w:rPr>
          <w:sz w:val="20"/>
          <w:szCs w:val="20"/>
          <w:color w:val="auto"/>
        </w:rPr>
      </w:pPr>
    </w:p>
    <w:p>
      <w:pPr>
        <w:jc w:val="both"/>
        <w:ind w:firstLine="604"/>
        <w:spacing w:after="0" w:line="259" w:lineRule="auto"/>
        <w:rPr>
          <w:sz w:val="20"/>
          <w:szCs w:val="20"/>
          <w:color w:val="auto"/>
        </w:rPr>
      </w:pPr>
      <w:r>
        <w:rPr>
          <w:rFonts w:ascii="Arial" w:cs="Arial" w:eastAsia="Arial" w:hAnsi="Arial"/>
          <w:sz w:val="20"/>
          <w:szCs w:val="20"/>
          <w:color w:val="auto"/>
        </w:rPr>
        <w:t xml:space="preserve">Each notice pursuant to this Section shall be accompanied by a written statement of a Responsible Officer of the Borrower (x) that such notice is being delivered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(as applicable) and (y) setting forth details of the occurrence referred to in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w:t>
      </w:r>
      <w:r>
        <w:rPr>
          <w:rFonts w:ascii="Arial" w:cs="Arial" w:eastAsia="Arial" w:hAnsi="Arial"/>
          <w:sz w:val="20"/>
          <w:szCs w:val="20"/>
          <w:color w:val="auto"/>
        </w:rPr>
        <w:t>, as applicable, and stating what action the Borrower has taken and proposes to take with respect thereto.</w:t>
      </w:r>
    </w:p>
    <w:p>
      <w:pPr>
        <w:spacing w:after="0" w:line="165"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Payment of Taxes.</w:t>
      </w:r>
      <w:r>
        <w:rPr>
          <w:rFonts w:ascii="Arial" w:cs="Arial" w:eastAsia="Arial" w:hAnsi="Arial"/>
          <w:sz w:val="20"/>
          <w:szCs w:val="20"/>
          <w:color w:val="auto"/>
        </w:rPr>
        <w:t xml:space="preserve"> Promptly pay, discharge or otherwise satisfy as the same shall become due and payable in the normal conduct of its business, all its obligations and liabilities in respect of Taxes imposed upon it or upon its income or profits or in respect of its property, except, to the extent any such Tax is being contested in good faith and by appropriate proceedings for which appropriate reserves have been established in accordance with GAAP if such contest shall have the effect of suspending enforcement or collection of such Taxes or, where the failure to pay, discharge or otherwise satisfy the same would not reasonably be expected to have, individually or in the aggregate, a Material Adverse Effect.</w:t>
      </w:r>
    </w:p>
    <w:p>
      <w:pPr>
        <w:spacing w:after="0" w:line="171"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Preservation of Existence, Etc.</w:t>
      </w:r>
      <w:r>
        <w:rPr>
          <w:rFonts w:ascii="Arial" w:cs="Arial" w:eastAsia="Arial" w:hAnsi="Arial"/>
          <w:sz w:val="20"/>
          <w:szCs w:val="20"/>
          <w:color w:val="auto"/>
        </w:rPr>
        <w:t xml:space="preserve"> (a) Preserve, renew and maintain in full force and effect its legal existence under the Laws of the jurisdiction of its organization except in a transaction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and (b) obtain, maintain, renew, extend and keep in full force and effect all rights, privileges (including its good standing where applicable in the relevant jurisdiction), permits, licenses and franchises necessary or desirable in the normal conduct of its business, except, in the case of clause (a) (other than with respect to the Borrower) or (b), to the extent that failure to do so would not reasonably be expected to have, individually or in the aggregate, a Material Adverse Effect.</w:t>
      </w:r>
    </w:p>
    <w:p>
      <w:pPr>
        <w:spacing w:after="0" w:line="171" w:lineRule="exact"/>
        <w:rPr>
          <w:sz w:val="20"/>
          <w:szCs w:val="20"/>
          <w:color w:val="auto"/>
        </w:rPr>
      </w:pPr>
    </w:p>
    <w:p>
      <w:pPr>
        <w:jc w:val="both"/>
        <w:ind w:firstLine="604"/>
        <w:spacing w:after="0" w:line="276"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i w:val="1"/>
          <w:iCs w:val="1"/>
          <w:color w:val="auto"/>
        </w:rPr>
        <w:t>Maintenance of Properties.</w:t>
      </w:r>
      <w:r>
        <w:rPr>
          <w:rFonts w:ascii="Arial" w:cs="Arial" w:eastAsia="Arial" w:hAnsi="Arial"/>
          <w:sz w:val="19"/>
          <w:szCs w:val="19"/>
          <w:color w:val="auto"/>
        </w:rPr>
        <w:t xml:space="preserve"> Except if the failure to do so could not reasonably be expected to have, individually or in the aggregate, a Material Adverse Effect, (a) maintain, preserve and protect all of its properties and equipment necessary in the operation of its business in satisfactory working order, repair and condition, ordinary wear and tear excepted and fire, casualty or condemnation excepted, and (b) make all necessary renewals, replacements, modifications, improvements, upgrades, extensions and additions thereof or thereto in accordance with prudent industry practice and in the normal conduct of its business.</w:t>
      </w:r>
    </w:p>
    <w:p>
      <w:pPr>
        <w:spacing w:after="0" w:line="153"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8"/>
          <w:szCs w:val="18"/>
          <w:i w:val="1"/>
          <w:iCs w:val="1"/>
          <w:color w:val="auto"/>
        </w:rPr>
        <w:t>Maintenance of Insurance</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91" w:lineRule="auto"/>
        <w:tabs>
          <w:tab w:leader="none" w:pos="1096"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Maintain with financially sound and reputable insurance companies, insurance with respect to its properties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consistent in all material respects with the insurance maintained by Borrower and/or such Restricted Subsidiaries (as applicable) as of the Restatement Effective Date, which insurance shall insure against loss or damage of the kinds customarily insured against by Persons engaged in the same or similar business, and which insurance shall be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 in such similar or same locations.</w:t>
      </w:r>
    </w:p>
    <w:p>
      <w:pPr>
        <w:sectPr>
          <w:pgSz w:w="11900" w:h="16838" w:orient="portrait"/>
          <w:cols w:equalWidth="0" w:num="1">
            <w:col w:w="11420"/>
          </w:cols>
          <w:pgMar w:left="240" w:top="269" w:right="239" w:bottom="0" w:gutter="0" w:footer="0" w:header="0"/>
        </w:sectPr>
      </w:pPr>
    </w:p>
    <w:bookmarkStart w:id="97" w:name="page98"/>
    <w:bookmarkEnd w:id="97"/>
    <w:p>
      <w:pPr>
        <w:spacing w:after="0" w:line="53" w:lineRule="exact"/>
        <w:rPr>
          <w:sz w:val="20"/>
          <w:szCs w:val="20"/>
          <w:color w:val="auto"/>
        </w:rPr>
      </w:pPr>
    </w:p>
    <w:p>
      <w:pPr>
        <w:jc w:val="both"/>
        <w:ind w:firstLine="605"/>
        <w:spacing w:after="0" w:line="281" w:lineRule="auto"/>
        <w:tabs>
          <w:tab w:leader="none" w:pos="1057"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Requirements of Insurance</w:t>
      </w:r>
      <w:r>
        <w:rPr>
          <w:rFonts w:ascii="Arial" w:cs="Arial" w:eastAsia="Arial" w:hAnsi="Arial"/>
          <w:sz w:val="18"/>
          <w:szCs w:val="18"/>
          <w:color w:val="auto"/>
        </w:rPr>
        <w:t>. (A) Use commercially reasonable efforts to cause, not later than 30 days after the Restatement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Date (or such longer period as the Required Lenders may agree in writing in their reasonable discretion), all insurance required pursuant to </w:t>
      </w:r>
      <w:r>
        <w:rPr>
          <w:rFonts w:ascii="Arial" w:cs="Arial" w:eastAsia="Arial" w:hAnsi="Arial"/>
          <w:sz w:val="18"/>
          <w:szCs w:val="18"/>
          <w:u w:val="single" w:color="auto"/>
          <w:color w:val="auto"/>
        </w:rPr>
        <w:t>Section 6.07(a</w:t>
      </w:r>
      <w:r>
        <w:rPr>
          <w:rFonts w:ascii="Arial" w:cs="Arial" w:eastAsia="Arial" w:hAnsi="Arial"/>
          <w:sz w:val="18"/>
          <w:szCs w:val="18"/>
          <w:color w:val="auto"/>
        </w:rPr>
        <w:t>)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(x) to provide (and to continue to provide at all times thereafter) that it shall not be canceled, materially modified or not renewed (i) by reason of nonpayment of premium upon not less than 10 days’ prior written notice thereof by the insurer to the Administrative Agent and the Collateral Agent or (ii) for any other reason upon not less than 20 days’ prior written notice thereof by the insurer to the Administrative Agent and the Collateral Agent and (y) subject to the terms, conditions and provisions of the ABL Intercreditor Agreement to name the Collateral Agent as additional insured on behalf of the Secured Parties (in the case of liability insurance) or loss payee (in the case of property insurance), as applicable (and to continue to so name the Collateral Agent at all times thereafter), (B) use commercially reasonable efforts to deliver, not later than 30 days after the Restatement Effective Date (or such longer period as the Administrative Agent, with the consent of the Required Lenders, may agree in writing in its reasonable discretion), a copy of the policy (and to the extent any such policy is cancelled or not renewed, a renewal or replacement policy) or other evidence thereof to the Administrative Agent and the Collateral Agent, or insurance certificate with respect thereto, and (C) in the case of all property insurance policies located in the United States, not later than 30 days after the Restatement Effective Date (or such longer period as the Administrative Agent may agree in writing in its reasonable discretion) cause such policies to be endorsed or otherwise amended to include a “standard” or “New York” lender’s loss payable endorsement, in form and substance reasonably satisfactory to the Administrative Agent and the Collateral Agent, which endorsement shall provide that, from and after such date, if the insurance carrier shall have received written notice from the Administrative Agent or the Collateral Agent of the occurrence of an Event of Default, the insurance carrier shall pay all proceeds otherwise payable to the Borrower or the Loan Parties under such policies directly to the Collateral Agent during the continuance of such Event of Default.</w:t>
      </w:r>
    </w:p>
    <w:p>
      <w:pPr>
        <w:spacing w:after="0" w:line="155" w:lineRule="exact"/>
        <w:rPr>
          <w:rFonts w:ascii="Arial" w:cs="Arial" w:eastAsia="Arial" w:hAnsi="Arial"/>
          <w:sz w:val="18"/>
          <w:szCs w:val="18"/>
          <w:color w:val="auto"/>
        </w:rPr>
      </w:pPr>
    </w:p>
    <w:p>
      <w:pPr>
        <w:ind w:firstLine="605"/>
        <w:spacing w:after="0" w:line="350" w:lineRule="auto"/>
        <w:tabs>
          <w:tab w:leader="none" w:pos="100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Flood Insurance</w:t>
      </w:r>
      <w:r>
        <w:rPr>
          <w:rFonts w:ascii="Arial" w:cs="Arial" w:eastAsia="Arial" w:hAnsi="Arial"/>
          <w:sz w:val="18"/>
          <w:szCs w:val="18"/>
          <w:color w:val="auto"/>
        </w:rPr>
        <w:t>. Following the Restatement Effective Date, the Borrower shall deliver to the Collateral Agent and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annual renewals of the flood insurance policy under the property policy or annual renewals of a force-placed flood insurance policy.</w:t>
      </w:r>
    </w:p>
    <w:p>
      <w:pPr>
        <w:spacing w:after="0" w:line="88" w:lineRule="exact"/>
        <w:rPr>
          <w:rFonts w:ascii="Arial" w:cs="Arial" w:eastAsia="Arial" w:hAnsi="Arial"/>
          <w:sz w:val="18"/>
          <w:szCs w:val="18"/>
          <w:color w:val="auto"/>
        </w:rPr>
      </w:pPr>
    </w:p>
    <w:p>
      <w:pPr>
        <w:jc w:val="both"/>
        <w:ind w:firstLine="605"/>
        <w:spacing w:after="0" w:line="256" w:lineRule="auto"/>
        <w:tabs>
          <w:tab w:leader="none" w:pos="1095" w:val="left"/>
        </w:tabs>
        <w:numPr>
          <w:ilvl w:val="0"/>
          <w:numId w:val="122"/>
        </w:numPr>
        <w:rPr>
          <w:rFonts w:ascii="Arial" w:cs="Arial" w:eastAsia="Arial" w:hAnsi="Arial"/>
          <w:sz w:val="20"/>
          <w:szCs w:val="20"/>
          <w:color w:val="auto"/>
        </w:rPr>
      </w:pPr>
      <w:r>
        <w:rPr>
          <w:rFonts w:ascii="Arial" w:cs="Arial" w:eastAsia="Arial" w:hAnsi="Arial"/>
          <w:sz w:val="20"/>
          <w:szCs w:val="20"/>
          <w:i w:val="1"/>
          <w:iCs w:val="1"/>
          <w:color w:val="auto"/>
        </w:rPr>
        <w:t xml:space="preserve">Environmental Insurance. </w:t>
      </w:r>
      <w:r>
        <w:rPr>
          <w:rFonts w:ascii="Arial" w:cs="Arial" w:eastAsia="Arial" w:hAnsi="Arial"/>
          <w:sz w:val="20"/>
          <w:szCs w:val="20"/>
          <w:color w:val="auto"/>
        </w:rPr>
        <w:t>Maintain with financially sound and reputable insurance companies, a premises pollution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portfolio insurance and storage tank third-party liability, corrective and clean-up insurance policy with respect to its properties and business for an initial three year policy period commencing on the date hereof and with limits not less than, and with terms and conditions comparable to, the limits, terms and conditions in such policies that are in effect as of the date hereof, and subject to annual renewals after such initial three year policy period, which insurance shall be reasonably satisfactory to the Required Lenders. The Borrower shall purchase such insurance required under this </w:t>
      </w:r>
      <w:r>
        <w:rPr>
          <w:rFonts w:ascii="Arial" w:cs="Arial" w:eastAsia="Arial" w:hAnsi="Arial"/>
          <w:sz w:val="20"/>
          <w:szCs w:val="20"/>
          <w:u w:val="single" w:color="auto"/>
          <w:color w:val="auto"/>
        </w:rPr>
        <w:t>Section 6.07(d)</w:t>
      </w:r>
      <w:r>
        <w:rPr>
          <w:rFonts w:ascii="Arial" w:cs="Arial" w:eastAsia="Arial" w:hAnsi="Arial"/>
          <w:sz w:val="20"/>
          <w:szCs w:val="20"/>
          <w:color w:val="auto"/>
        </w:rPr>
        <w:t xml:space="preserve"> within 30 days following the Restatement Effective Date and provide evidence thereof to the Administrative Agent.</w:t>
      </w:r>
    </w:p>
    <w:p>
      <w:pPr>
        <w:spacing w:after="0" w:line="170" w:lineRule="exact"/>
        <w:rPr>
          <w:rFonts w:ascii="Arial" w:cs="Arial" w:eastAsia="Arial" w:hAnsi="Arial"/>
          <w:sz w:val="20"/>
          <w:szCs w:val="20"/>
          <w:color w:val="auto"/>
        </w:rPr>
      </w:pPr>
    </w:p>
    <w:p>
      <w:pPr>
        <w:jc w:val="both"/>
        <w:ind w:firstLine="605"/>
        <w:spacing w:after="0" w:line="281" w:lineRule="auto"/>
        <w:tabs>
          <w:tab w:leader="none" w:pos="109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Notify the Administrative Agent and the Collateral Agent (for distribution to the Lenders) promptly whenever any separate insurance concurrent in form or contributing in the event of material loss with that required to be maintained under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is taken out by the Borrower or another Loan Party; and promptly deliver to the Administrative Agent and the Collateral Agent a duplicate original copy of such policy or policies, or an insurance certificate with respect thereto once available.</w:t>
      </w:r>
    </w:p>
    <w:p>
      <w:pPr>
        <w:spacing w:after="0" w:line="147"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i w:val="1"/>
          <w:iCs w:val="1"/>
          <w:color w:val="auto"/>
        </w:rPr>
        <w:t>Compliance with Laws.</w:t>
      </w:r>
      <w:r>
        <w:rPr>
          <w:rFonts w:ascii="Arial" w:cs="Arial" w:eastAsia="Arial" w:hAnsi="Arial"/>
          <w:sz w:val="20"/>
          <w:szCs w:val="20"/>
          <w:color w:val="auto"/>
        </w:rPr>
        <w:t xml:space="preserve"> 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155" w:lineRule="exact"/>
        <w:rPr>
          <w:sz w:val="20"/>
          <w:szCs w:val="20"/>
          <w:color w:val="auto"/>
        </w:rPr>
      </w:pPr>
    </w:p>
    <w:p>
      <w:pPr>
        <w:jc w:val="both"/>
        <w:ind w:firstLine="604"/>
        <w:spacing w:after="0" w:line="290"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i w:val="1"/>
          <w:iCs w:val="1"/>
          <w:color w:val="auto"/>
        </w:rPr>
        <w:t>Books and Records.</w:t>
      </w:r>
      <w:r>
        <w:rPr>
          <w:rFonts w:ascii="Arial" w:cs="Arial" w:eastAsia="Arial" w:hAnsi="Arial"/>
          <w:sz w:val="19"/>
          <w:szCs w:val="19"/>
          <w:color w:val="auto"/>
        </w:rPr>
        <w:t xml:space="preserve"> Maintain proper books of record and account, in which entries are made that are full, true and correct in all material respects and are in conformity with GAAP (except as noted therein) and which reflect all material financial transactions and matters involving the assets and business of the Borrower or a Restricted Subsidiary, as the case may be.</w:t>
      </w:r>
    </w:p>
    <w:p>
      <w:pPr>
        <w:spacing w:after="0" w:line="139" w:lineRule="exact"/>
        <w:rPr>
          <w:sz w:val="20"/>
          <w:szCs w:val="20"/>
          <w:color w:val="auto"/>
        </w:rPr>
      </w:pPr>
    </w:p>
    <w:p>
      <w:pPr>
        <w:jc w:val="both"/>
        <w:ind w:firstLine="604"/>
        <w:spacing w:after="0" w:line="267"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i w:val="1"/>
          <w:iCs w:val="1"/>
          <w:color w:val="auto"/>
        </w:rPr>
        <w:t>Inspection Rights.</w:t>
      </w:r>
      <w:r>
        <w:rPr>
          <w:rFonts w:ascii="Arial" w:cs="Arial" w:eastAsia="Arial" w:hAnsi="Arial"/>
          <w:sz w:val="19"/>
          <w:szCs w:val="19"/>
          <w:color w:val="auto"/>
        </w:rPr>
        <w:t xml:space="preserve">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subject to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confidentiality obligations, limitations imposed by law and attorney-client privilege and at such reasonable times during normal business hours and as often as may be reasonably desired, upon reasonable advance notice to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excluding any such visits and inspections during the continuation of an Event of Default, (x) only the Administrative Agent may exercise rights of the Administrative Agent and the Lenders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and (y) the Administrative Agent shall not exercise such rights more often than one time during any calendar year;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w:t>
      </w:r>
    </w:p>
    <w:p>
      <w:pPr>
        <w:spacing w:after="0" w:line="166" w:lineRule="exact"/>
        <w:rPr>
          <w:sz w:val="20"/>
          <w:szCs w:val="20"/>
          <w:color w:val="auto"/>
        </w:rPr>
      </w:pPr>
    </w:p>
    <w:p>
      <w:pPr>
        <w:jc w:val="both"/>
        <w:ind w:firstLine="604"/>
        <w:spacing w:after="0" w:line="290"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i w:val="1"/>
          <w:iCs w:val="1"/>
          <w:color w:val="auto"/>
        </w:rPr>
        <w:t>Additional Collateral; Additional Guarantors.</w:t>
      </w:r>
      <w:r>
        <w:rPr>
          <w:rFonts w:ascii="Arial" w:cs="Arial" w:eastAsia="Arial" w:hAnsi="Arial"/>
          <w:sz w:val="19"/>
          <w:szCs w:val="19"/>
          <w:color w:val="auto"/>
        </w:rPr>
        <w:t xml:space="preserve"> Subject to the terms, conditions and provisions of the Intercreditor Agreement, at the Borrower’s expense, take all reasonable actions which are necessary or reasonably requested by the Administrative Agent or the Collateral Agent to ensure that the Collateral and Guarantee Requirement continues to be satisfied, including:</w:t>
      </w:r>
    </w:p>
    <w:p>
      <w:pPr>
        <w:spacing w:after="0" w:line="139" w:lineRule="exact"/>
        <w:rPr>
          <w:sz w:val="20"/>
          <w:szCs w:val="20"/>
          <w:color w:val="auto"/>
        </w:rPr>
      </w:pPr>
    </w:p>
    <w:p>
      <w:pPr>
        <w:ind w:firstLine="605"/>
        <w:spacing w:after="0" w:line="291" w:lineRule="auto"/>
        <w:tabs>
          <w:tab w:leader="none" w:pos="100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Upon (x) the formation or acquisition of any new direct or indirect Subsidiary (in each case, other than an Excluded Subsidiary) by the Borrower or (y) any Subsidiary that is an Excluded Subsidiary ceasing to be an Excluded Subsidiary:</w:t>
      </w:r>
    </w:p>
    <w:p>
      <w:pPr>
        <w:spacing w:after="0" w:line="134" w:lineRule="exact"/>
        <w:rPr>
          <w:rFonts w:ascii="Arial" w:cs="Arial" w:eastAsia="Arial" w:hAnsi="Arial"/>
          <w:sz w:val="20"/>
          <w:szCs w:val="20"/>
          <w:color w:val="auto"/>
        </w:rPr>
      </w:pPr>
    </w:p>
    <w:p>
      <w:pPr>
        <w:jc w:val="both"/>
        <w:ind w:left="600" w:firstLine="609"/>
        <w:spacing w:after="0" w:line="270" w:lineRule="auto"/>
        <w:tabs>
          <w:tab w:leader="none" w:pos="1599"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within 60 days after such formation, acquisition, designation or other event, or such longer period as the Administrative Agent, with the consent of the Required Lenders (not to be unreasonably withheld, delayed, conditioned or denied), may agree in writing in its reasonable discretion:</w:t>
      </w:r>
    </w:p>
    <w:p>
      <w:pPr>
        <w:spacing w:after="0" w:line="155" w:lineRule="exact"/>
        <w:rPr>
          <w:sz w:val="20"/>
          <w:szCs w:val="20"/>
          <w:color w:val="auto"/>
        </w:rPr>
      </w:pPr>
    </w:p>
    <w:p>
      <w:pPr>
        <w:jc w:val="both"/>
        <w:ind w:firstLine="1209"/>
        <w:spacing w:after="0" w:line="306" w:lineRule="auto"/>
        <w:tabs>
          <w:tab w:leader="none" w:pos="181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causing each such Subsidiary to duly execute and deliver to the Administrative Agent or the Collateral Agent (as appropriate) joinders to this Agreement as Guarantors, Security Agreement Supplements, Intellectual Property Security Agreements, a counterpart of the Intercompany Note and other security agreements and documents (including, (I) with respect to any Foreign Subsidiary,</w:t>
      </w:r>
    </w:p>
    <w:p>
      <w:pPr>
        <w:sectPr>
          <w:pgSz w:w="11900" w:h="16891" w:orient="portrait"/>
          <w:cols w:equalWidth="0" w:num="1">
            <w:col w:w="11420"/>
          </w:cols>
          <w:pgMar w:left="240" w:top="131" w:right="239" w:bottom="0" w:gutter="0" w:footer="0" w:header="0"/>
        </w:sectPr>
      </w:pPr>
    </w:p>
    <w:bookmarkStart w:id="98" w:name="page99"/>
    <w:bookmarkEnd w:id="98"/>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local law security agreements and documents in each case consistent with market practice, and (II) with respect to such Mortgages, the documents listed in </w:t>
      </w:r>
      <w:r>
        <w:rPr>
          <w:rFonts w:ascii="Arial" w:cs="Arial" w:eastAsia="Arial" w:hAnsi="Arial"/>
          <w:sz w:val="20"/>
          <w:szCs w:val="20"/>
          <w:u w:val="single" w:color="auto"/>
          <w:color w:val="auto"/>
        </w:rPr>
        <w:t>Section 6.13(b)</w:t>
      </w:r>
      <w:r>
        <w:rPr>
          <w:rFonts w:ascii="Arial" w:cs="Arial" w:eastAsia="Arial" w:hAnsi="Arial"/>
          <w:sz w:val="20"/>
          <w:szCs w:val="20"/>
          <w:color w:val="auto"/>
        </w:rPr>
        <w:t>), as reasonably requested by the Required Lenders and in form and substance reasonably satisfactory to the Required Lenders, Administrative Agent and the Borrower (consistent with the Mortgages (if any), Security Agreement, Intellectual Property Security Agreements and other security agreements in effect on the Restatement Effective Date), in each case granting Liens required by the Collateral and Guarantee Requirement;</w:t>
      </w:r>
    </w:p>
    <w:p>
      <w:pPr>
        <w:spacing w:after="0" w:line="170" w:lineRule="exact"/>
        <w:rPr>
          <w:sz w:val="20"/>
          <w:szCs w:val="20"/>
          <w:color w:val="auto"/>
        </w:rPr>
      </w:pPr>
    </w:p>
    <w:p>
      <w:pPr>
        <w:jc w:val="both"/>
        <w:ind w:firstLine="1209"/>
        <w:spacing w:after="0" w:line="259" w:lineRule="auto"/>
        <w:tabs>
          <w:tab w:leader="none" w:pos="172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causing each such Subsidiary (and the parent of each such Subsidiary that is a Loan Party) to deliver to the Collateral Agent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165" w:lineRule="exact"/>
        <w:rPr>
          <w:rFonts w:ascii="Arial" w:cs="Arial" w:eastAsia="Arial" w:hAnsi="Arial"/>
          <w:sz w:val="20"/>
          <w:szCs w:val="20"/>
          <w:color w:val="auto"/>
        </w:rPr>
      </w:pPr>
    </w:p>
    <w:p>
      <w:pPr>
        <w:jc w:val="both"/>
        <w:ind w:firstLine="1209"/>
        <w:spacing w:after="0" w:line="273" w:lineRule="auto"/>
        <w:tabs>
          <w:tab w:leader="none" w:pos="173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taking and causing each such Restricted Subsidiary and each direct or indirect parent of such Restricted Subsidiary to take whatever action (including the recording of Mortgages, the filing of UCC financing statements and the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spacing w:after="0" w:line="154" w:lineRule="exact"/>
        <w:rPr>
          <w:sz w:val="20"/>
          <w:szCs w:val="20"/>
          <w:color w:val="auto"/>
        </w:rPr>
      </w:pPr>
    </w:p>
    <w:p>
      <w:pPr>
        <w:jc w:val="both"/>
        <w:ind w:left="600" w:firstLine="609"/>
        <w:spacing w:after="0" w:line="259" w:lineRule="auto"/>
        <w:tabs>
          <w:tab w:leader="none" w:pos="1618"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if reasonably requested by the Required Lenders, Administrative Agent or the Collateral Agent, within 45 days after such request (or such longer period as the Administrative Agent may agree in writing in its reasonable discretion), delivering to the Administrative Agent a signed copy of an opinion, addressed to the Administrative Agent and the Lenders, of counsel for the Loan Parties as to such matters set forth in this </w:t>
      </w:r>
      <w:r>
        <w:rPr>
          <w:rFonts w:ascii="Arial" w:cs="Arial" w:eastAsia="Arial" w:hAnsi="Arial"/>
          <w:sz w:val="20"/>
          <w:szCs w:val="20"/>
          <w:u w:val="single" w:color="auto"/>
          <w:color w:val="auto"/>
        </w:rPr>
        <w:t>Section 6.11(a)</w:t>
      </w:r>
      <w:r>
        <w:rPr>
          <w:rFonts w:ascii="Arial" w:cs="Arial" w:eastAsia="Arial" w:hAnsi="Arial"/>
          <w:sz w:val="20"/>
          <w:szCs w:val="20"/>
          <w:color w:val="auto"/>
        </w:rPr>
        <w:t xml:space="preserve"> as the Administrative Agent and the Required Lenders may reasonably request; and</w:t>
      </w:r>
    </w:p>
    <w:p>
      <w:pPr>
        <w:spacing w:after="0" w:line="168" w:lineRule="exact"/>
        <w:rPr>
          <w:rFonts w:ascii="Arial" w:cs="Arial" w:eastAsia="Arial" w:hAnsi="Arial"/>
          <w:sz w:val="20"/>
          <w:szCs w:val="20"/>
          <w:color w:val="auto"/>
        </w:rPr>
      </w:pPr>
    </w:p>
    <w:p>
      <w:pPr>
        <w:jc w:val="both"/>
        <w:ind w:left="600" w:firstLine="609"/>
        <w:spacing w:after="0" w:line="273" w:lineRule="auto"/>
        <w:tabs>
          <w:tab w:leader="none" w:pos="1812"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promptly after the reasonable request therefor by the Administrative Agent or Collateral Agent, delivering to the Collateral Agent with respect to each Material Real Property, any existing surveys, title reports, abstracts or environmental assessment reports, to the extent available and in the possession or control of the Borrower;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there shall be no obligation to deliver to the Collateral Agent any existing environmental assessment report whose disclosure to the Collateral Agent would require the consent of a Person other than the Borrower or one of its Subsidiaries, and where, despite the commercially reasonable efforts of the Borrower to obtain such consent, such consent cannot be obtained.</w:t>
      </w:r>
    </w:p>
    <w:p>
      <w:pPr>
        <w:spacing w:after="0" w:line="157" w:lineRule="exact"/>
        <w:rPr>
          <w:rFonts w:ascii="Arial" w:cs="Arial" w:eastAsia="Arial" w:hAnsi="Arial"/>
          <w:sz w:val="19"/>
          <w:szCs w:val="19"/>
          <w:color w:val="auto"/>
        </w:rPr>
      </w:pPr>
    </w:p>
    <w:p>
      <w:pPr>
        <w:jc w:val="both"/>
        <w:ind w:firstLine="605"/>
        <w:spacing w:after="0" w:line="295" w:lineRule="auto"/>
        <w:tabs>
          <w:tab w:leader="none" w:pos="10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reasonably requested by the Required Lenders, Administrative Agent or the Collateral Agent, within 60 days after such request (or such longer period as the Administrative Agent may agree in writing in its reasonable discretion), delivering to the Collateral Agent any other items necessary from time to time to satisfy the Collateral and Guarantee Requirement with respect to the validity, perfection, existence and priority of security interests with respect to property of any Guarantor acquired after the Restatement Effective Date and subject to the Collateral and Guarantee Requirement, but not specifically covered by the preceding clauses (i), (ii) or (iii) or clause (c) below.</w:t>
      </w:r>
    </w:p>
    <w:p>
      <w:pPr>
        <w:spacing w:after="0" w:line="137" w:lineRule="exact"/>
        <w:rPr>
          <w:rFonts w:ascii="Arial" w:cs="Arial" w:eastAsia="Arial" w:hAnsi="Arial"/>
          <w:sz w:val="18"/>
          <w:szCs w:val="18"/>
          <w:color w:val="auto"/>
        </w:rPr>
      </w:pPr>
    </w:p>
    <w:p>
      <w:pPr>
        <w:jc w:val="both"/>
        <w:ind w:firstLine="605"/>
        <w:spacing w:after="0" w:line="269" w:lineRule="auto"/>
        <w:tabs>
          <w:tab w:leader="none" w:pos="104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not later than 120 days after (i) the acquisition by any Loan Party of Material Real Property or (ii) the release of any first lien security interest on any Real Property securing the obligations under the Contribution Deferral Agreement, in each case, that is required to be provided as Collateral pursuant to the Collateral and Guarantee Requirement (or such longer period as the Administrative Agent, with the consent of the Required Lenders, may agree in writing in its reasonable discretion), which Material Real Property would not be automatically subject to another Lien pursuant to pre-existing Collateral Documents, causing such property to be subject to a Lien in favor of the Collateral Agent for the benefit of the Secured Parties and taking, or causing the relevant Loan Party to take, such actions as shall be necessary or reasonably requested by the Required Lenders, Administrative Agent or the Collateral Agent to grant and perfect or record such Lien, in each case to the extent required by, and subject to the limitations and exceptions of, the Collateral and Guarantee Requirement and to otherwise comply with the requirements of the Collateral and Guarantee Requirement.</w:t>
      </w:r>
    </w:p>
    <w:p>
      <w:pPr>
        <w:spacing w:after="0" w:line="162"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i w:val="1"/>
          <w:iCs w:val="1"/>
          <w:color w:val="auto"/>
        </w:rPr>
        <w:t>Compliance with Environmental Laws.</w:t>
      </w:r>
      <w:r>
        <w:rPr>
          <w:rFonts w:ascii="Arial" w:cs="Arial" w:eastAsia="Arial" w:hAnsi="Arial"/>
          <w:sz w:val="20"/>
          <w:szCs w:val="20"/>
          <w:color w:val="auto"/>
        </w:rPr>
        <w:t xml:space="preserve"> Except, in each case, to the extent that the failure to do so could not reasonably be expected to have, individually or in the aggregate, a Material Adverse Effect: (a) comply, and take all reasonable actions to cause all lessees and other Persons operating or occupying its properties to comply, with all applicable Environmental Laws and Environmental Permits; (b) obtain and renew all Environmental Permits necessary for its operations and properties; and, (c) in each case to the extent the Loan Parties or the Restricted Subsidiaries are required to do so by Environmental Laws, conduct any investigation, remedial or other corrective action necessary to address Hazardous Materials at any property or facility in accordance with applicable Environmental Laws.</w:t>
      </w:r>
    </w:p>
    <w:p>
      <w:pPr>
        <w:spacing w:after="0" w:line="170"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18"/>
          <w:szCs w:val="18"/>
          <w:i w:val="1"/>
          <w:iCs w:val="1"/>
          <w:color w:val="auto"/>
        </w:rPr>
        <w:t>Further Assurances and Post-Closing Conditions</w:t>
      </w:r>
      <w:r>
        <w:rPr>
          <w:rFonts w:ascii="Arial" w:cs="Arial" w:eastAsia="Arial" w:hAnsi="Arial"/>
          <w:sz w:val="18"/>
          <w:szCs w:val="18"/>
          <w:color w:val="auto"/>
        </w:rPr>
        <w:t>.</w:t>
      </w:r>
    </w:p>
    <w:p>
      <w:pPr>
        <w:spacing w:after="0" w:line="223" w:lineRule="exact"/>
        <w:rPr>
          <w:sz w:val="20"/>
          <w:szCs w:val="20"/>
          <w:color w:val="auto"/>
        </w:rPr>
      </w:pPr>
    </w:p>
    <w:p>
      <w:pPr>
        <w:jc w:val="both"/>
        <w:ind w:firstLine="1209"/>
        <w:spacing w:after="0" w:line="281" w:lineRule="auto"/>
        <w:tabs>
          <w:tab w:leader="none" w:pos="173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Within the time periods after the Restatement Effective Date set forth in </w:t>
      </w:r>
      <w:r>
        <w:rPr>
          <w:rFonts w:ascii="Arial" w:cs="Arial" w:eastAsia="Arial" w:hAnsi="Arial"/>
          <w:sz w:val="19"/>
          <w:szCs w:val="19"/>
          <w:u w:val="single" w:color="auto"/>
          <w:color w:val="auto"/>
        </w:rPr>
        <w:t>Schedule 6.13(a)</w:t>
      </w:r>
      <w:r>
        <w:rPr>
          <w:rFonts w:ascii="Arial" w:cs="Arial" w:eastAsia="Arial" w:hAnsi="Arial"/>
          <w:sz w:val="19"/>
          <w:szCs w:val="19"/>
          <w:color w:val="auto"/>
        </w:rPr>
        <w:t xml:space="preserve">, deliver each Collateral Document set forth on </w:t>
      </w:r>
      <w:r>
        <w:rPr>
          <w:rFonts w:ascii="Arial" w:cs="Arial" w:eastAsia="Arial" w:hAnsi="Arial"/>
          <w:sz w:val="19"/>
          <w:szCs w:val="19"/>
          <w:u w:val="single" w:color="auto"/>
          <w:color w:val="auto"/>
        </w:rPr>
        <w:t>Schedule 6.13(a)</w:t>
      </w:r>
      <w:r>
        <w:rPr>
          <w:rFonts w:ascii="Arial" w:cs="Arial" w:eastAsia="Arial" w:hAnsi="Arial"/>
          <w:sz w:val="19"/>
          <w:szCs w:val="19"/>
          <w:color w:val="auto"/>
        </w:rPr>
        <w:t>, duly executed by each Loan Party party thereto, together with all documents and instruments required to perfect the security interest of the Collateral Agent in the Collateral free of any other pledges, security interests or mortgages, except Liens expressly permitted hereunder, to the extent required pursuant to the Collateral and Guarantee Requirement.</w:t>
      </w:r>
    </w:p>
    <w:p>
      <w:pPr>
        <w:spacing w:after="0" w:line="147" w:lineRule="exact"/>
        <w:rPr>
          <w:rFonts w:ascii="Arial" w:cs="Arial" w:eastAsia="Arial" w:hAnsi="Arial"/>
          <w:sz w:val="19"/>
          <w:szCs w:val="19"/>
          <w:color w:val="auto"/>
        </w:rPr>
      </w:pPr>
    </w:p>
    <w:p>
      <w:pPr>
        <w:jc w:val="both"/>
        <w:ind w:firstLine="1209"/>
        <w:spacing w:after="0" w:line="286" w:lineRule="auto"/>
        <w:tabs>
          <w:tab w:leader="none" w:pos="162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Promptly upon reasonable request by the Required Lenders, Administrative Agent or the Collateral Agent (i) correct any material defect or error that may be discovered in the execution, acknowledgment, filing or recordation of any Collateral Document or other document or instrument relating to any Collateral (including, without limitation, any defect or error related to certificates of title for vehicles and other rolling stock) as to which the Borrower reasonably agrees is a defect or error, and (ii) subject to the terms of the Collateral Documents, do, execute, acknowledge, deliver, record, re-record, file, re-file, register and re-register any and all such further acts, deeds, certificates, assurances and other instruments as the Required Lenders, the Administrative Agent or the Collateral Agent may reasonably request from time to time in order to carry out more effectively the purposes of the Loan Documents and to cause the Collateral and Guarantee Requirement to be and remain satisfied. If the Required Lenders, Administrative Agent or the Collateral Agent reasonably determines that it is required by applicable Law to have appraisals prepared in respect of any Material Real Property of any Loan Party</w:t>
      </w:r>
    </w:p>
    <w:p>
      <w:pPr>
        <w:sectPr>
          <w:pgSz w:w="11900" w:h="16847" w:orient="portrait"/>
          <w:cols w:equalWidth="0" w:num="1">
            <w:col w:w="11420"/>
          </w:cols>
          <w:pgMar w:left="240" w:top="131" w:right="239" w:bottom="0" w:gutter="0" w:footer="0" w:header="0"/>
        </w:sectPr>
      </w:pPr>
    </w:p>
    <w:bookmarkStart w:id="99" w:name="page100"/>
    <w:bookmarkEnd w:id="99"/>
    <w:p>
      <w:pPr>
        <w:jc w:val="both"/>
        <w:spacing w:after="0" w:line="278" w:lineRule="auto"/>
        <w:rPr>
          <w:sz w:val="20"/>
          <w:szCs w:val="20"/>
          <w:color w:val="auto"/>
        </w:rPr>
      </w:pPr>
      <w:r>
        <w:rPr>
          <w:rFonts w:ascii="Arial" w:cs="Arial" w:eastAsia="Arial" w:hAnsi="Arial"/>
          <w:sz w:val="20"/>
          <w:szCs w:val="20"/>
          <w:color w:val="auto"/>
        </w:rPr>
        <w:t>subject to a Mortgage, the Borrower shall cooperate with the Required Lenders, Administrative Agent and/or Collateral Agent, as applicable, in obtaining such appraisals and shall pay all reasonable out-of-pocket costs and expenses relating thereto.</w:t>
      </w:r>
    </w:p>
    <w:p>
      <w:pPr>
        <w:spacing w:after="0" w:line="147"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6.14.</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Reserved</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223"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6.15. </w:t>
      </w:r>
      <w:r>
        <w:rPr>
          <w:rFonts w:ascii="Arial" w:cs="Arial" w:eastAsia="Arial" w:hAnsi="Arial"/>
          <w:sz w:val="20"/>
          <w:szCs w:val="20"/>
          <w:i w:val="1"/>
          <w:iCs w:val="1"/>
          <w:color w:val="auto"/>
        </w:rPr>
        <w:t>Maintenance of Ratings.</w:t>
      </w:r>
      <w:r>
        <w:rPr>
          <w:rFonts w:ascii="Arial" w:cs="Arial" w:eastAsia="Arial" w:hAnsi="Arial"/>
          <w:sz w:val="20"/>
          <w:szCs w:val="20"/>
          <w:color w:val="auto"/>
        </w:rPr>
        <w:t xml:space="preserve"> In the case of the Borrower, use commercially reasonable efforts to maintain a public corporate rating from S&amp;P and a public corporate family rating from Moody’s, in each case in respect of the Borrower.</w:t>
      </w:r>
    </w:p>
    <w:p>
      <w:pPr>
        <w:spacing w:after="0" w:line="134" w:lineRule="exact"/>
        <w:rPr>
          <w:sz w:val="20"/>
          <w:szCs w:val="20"/>
          <w:color w:val="auto"/>
        </w:rPr>
      </w:pPr>
    </w:p>
    <w:p>
      <w:pPr>
        <w:jc w:val="both"/>
        <w:ind w:firstLine="604"/>
        <w:spacing w:after="0" w:line="319" w:lineRule="auto"/>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i w:val="1"/>
          <w:iCs w:val="1"/>
          <w:color w:val="auto"/>
        </w:rPr>
        <w:t>Use of Proceeds.</w:t>
      </w:r>
      <w:r>
        <w:rPr>
          <w:rFonts w:ascii="Arial" w:cs="Arial" w:eastAsia="Arial" w:hAnsi="Arial"/>
          <w:sz w:val="19"/>
          <w:szCs w:val="19"/>
          <w:color w:val="auto"/>
        </w:rPr>
        <w:t xml:space="preserve"> The Borrower shall use the proceeds of the Term Loans borrowed on the Restatement Effective Date to fund the Transactions on the Restatement Effective Date, to pay Transaction Expenses and for general corporate purposes.</w:t>
      </w:r>
    </w:p>
    <w:p>
      <w:pPr>
        <w:spacing w:after="0" w:line="10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7</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NEGATIVE COVENANTS</w:t>
      </w:r>
    </w:p>
    <w:p>
      <w:pPr>
        <w:spacing w:after="0" w:line="205"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So long as any Lender shall have any Commitment hereunder or any Loan or other Obligation (other than contingent indemnification or reimbursement obligations) hereunder which is accrued or payable shall remain unpaid or unsatisfied, then from and after the Restatement Effective Date:</w:t>
      </w:r>
    </w:p>
    <w:p>
      <w:pPr>
        <w:spacing w:after="0" w:line="163"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Liens.</w:t>
      </w:r>
      <w:r>
        <w:rPr>
          <w:rFonts w:ascii="Arial" w:cs="Arial" w:eastAsia="Arial" w:hAnsi="Arial"/>
          <w:sz w:val="20"/>
          <w:szCs w:val="20"/>
          <w:color w:val="auto"/>
        </w:rPr>
        <w:t xml:space="preserve"> The Borrower shall not, nor shall it permit any Restricted Subsidiary to, directly or indirectly, create, incur, assume or suffer to exist any Lien upon any of its property, assets or revenues, whether now owned or hereafter acquired, other than the following:</w:t>
      </w:r>
    </w:p>
    <w:p>
      <w:pPr>
        <w:spacing w:after="0" w:line="155" w:lineRule="exact"/>
        <w:rPr>
          <w:sz w:val="20"/>
          <w:szCs w:val="20"/>
          <w:color w:val="auto"/>
        </w:rPr>
      </w:pPr>
    </w:p>
    <w:p>
      <w:pPr>
        <w:ind w:left="1000" w:hanging="395"/>
        <w:spacing w:after="0"/>
        <w:tabs>
          <w:tab w:leader="none" w:pos="100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Liens created pursuant to any Loan Document;</w:t>
      </w:r>
    </w:p>
    <w:p>
      <w:pPr>
        <w:spacing w:after="0" w:line="223" w:lineRule="exact"/>
        <w:rPr>
          <w:rFonts w:ascii="Arial" w:cs="Arial" w:eastAsia="Arial" w:hAnsi="Arial"/>
          <w:sz w:val="20"/>
          <w:szCs w:val="20"/>
          <w:color w:val="auto"/>
        </w:rPr>
      </w:pPr>
    </w:p>
    <w:p>
      <w:pPr>
        <w:jc w:val="both"/>
        <w:ind w:firstLine="605"/>
        <w:spacing w:after="0" w:line="285" w:lineRule="auto"/>
        <w:tabs>
          <w:tab w:leader="none" w:pos="100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Liens existing or contemplated on the Restatement Effective Date and listed on </w:t>
      </w:r>
      <w:r>
        <w:rPr>
          <w:rFonts w:ascii="Arial" w:cs="Arial" w:eastAsia="Arial" w:hAnsi="Arial"/>
          <w:sz w:val="18"/>
          <w:szCs w:val="18"/>
          <w:u w:val="single" w:color="auto"/>
          <w:color w:val="auto"/>
        </w:rPr>
        <w:t>Schedule 7.01(b)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Lien does not extend to any additional property other than (A) any replacements of such property or assets 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or asset of the Borrower or any Restricted Subsidiary and the proceeds and the products thereof and customary security deposits in respect thereof and in the case of multiple financings of equipment provided by any lender, other equipment financed by such lender), and (ii) such Lien does not secure any obligation (including unused commitments) other than those it secured on the Restatement Effective Date or, to the extent constituting Indebtedness, any Permitted Refinancing of the Indebtedness secured thereby on the Restatement Effective Date and any extensions, renewals, restructurings, refinancings and replacements thereof;</w:t>
      </w:r>
    </w:p>
    <w:p>
      <w:pPr>
        <w:spacing w:after="0" w:line="147" w:lineRule="exact"/>
        <w:rPr>
          <w:rFonts w:ascii="Arial" w:cs="Arial" w:eastAsia="Arial" w:hAnsi="Arial"/>
          <w:sz w:val="18"/>
          <w:szCs w:val="18"/>
          <w:color w:val="auto"/>
        </w:rPr>
      </w:pPr>
    </w:p>
    <w:p>
      <w:pPr>
        <w:ind w:left="1040" w:hanging="435"/>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Liens for unpaid utilities, taxes, assessments or governmental charges that are (i) not overdue for a period of more than thirty</w:t>
      </w:r>
    </w:p>
    <w:p>
      <w:pPr>
        <w:spacing w:after="0" w:line="50" w:lineRule="exact"/>
        <w:rPr>
          <w:rFonts w:ascii="Arial" w:cs="Arial" w:eastAsia="Arial" w:hAnsi="Arial"/>
          <w:sz w:val="18"/>
          <w:szCs w:val="18"/>
          <w:color w:val="auto"/>
        </w:rPr>
      </w:pPr>
    </w:p>
    <w:p>
      <w:pPr>
        <w:jc w:val="both"/>
        <w:ind w:firstLine="1"/>
        <w:spacing w:after="0" w:line="260" w:lineRule="auto"/>
        <w:tabs>
          <w:tab w:leader="none" w:pos="401"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days and are not otherwise delinquent, securing obligations in an amount not to exceed $500,000, or that are being contested in good faith and by appropriate actions, if adequate reserves with respect thereto are maintained on the books of the applicable Person in accordance with GAAP or (ii) otherwise not required to be paid pursuant to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jc w:val="both"/>
        <w:ind w:firstLine="605"/>
        <w:spacing w:after="0" w:line="295" w:lineRule="auto"/>
        <w:tabs>
          <w:tab w:leader="none" w:pos="104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Statutory, lease or common law Liens of landlords, sublandlords, carriers, warehousemen, mechanics, materialmen, repairmen, construction contractors or other like Liens, or other customary Liens (other than in respect of Indebtedness) in favor of landlords, in each case arising in the ordinary course of business that secure amounts not overdue for a period of more than thirty (30) days or if more than thirty (30) days overdue, that either secure obligations in an amount not to exceed $1,000,000 or are being contested in good faith and by appropriate actions, if adequate reserves with respect thereto are maintained on the books of the applicable Person in accordance with GAAP;</w:t>
      </w:r>
    </w:p>
    <w:p>
      <w:pPr>
        <w:spacing w:after="0" w:line="137" w:lineRule="exact"/>
        <w:rPr>
          <w:rFonts w:ascii="Arial" w:cs="Arial" w:eastAsia="Arial" w:hAnsi="Arial"/>
          <w:sz w:val="18"/>
          <w:szCs w:val="18"/>
          <w:color w:val="auto"/>
        </w:rPr>
      </w:pPr>
    </w:p>
    <w:p>
      <w:pPr>
        <w:jc w:val="both"/>
        <w:ind w:firstLine="605"/>
        <w:spacing w:after="0" w:line="257" w:lineRule="auto"/>
        <w:tabs>
          <w:tab w:leader="none" w:pos="995" w:val="left"/>
        </w:tabs>
        <w:numPr>
          <w:ilvl w:val="1"/>
          <w:numId w:val="130"/>
        </w:numPr>
        <w:rPr>
          <w:rFonts w:ascii="Arial" w:cs="Arial" w:eastAsia="Arial" w:hAnsi="Arial"/>
          <w:sz w:val="20"/>
          <w:szCs w:val="20"/>
          <w:color w:val="auto"/>
        </w:rPr>
      </w:pPr>
      <w:r>
        <w:rPr>
          <w:rFonts w:ascii="Arial" w:cs="Arial" w:eastAsia="Arial" w:hAnsi="Arial"/>
          <w:sz w:val="20"/>
          <w:szCs w:val="20"/>
          <w:color w:val="auto"/>
        </w:rPr>
        <w:t xml:space="preserve">(i) Liens in the ordinary course of business in connection with workers’ compensation, unemployment insurance and other social security legislation (other than any Lien imposed pursuant to Section 430(k) of the Code or Section 303(k) of ERISA or a violation of Section 436 of the Code) and (ii) Liens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of its Restricted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7.01(e)</w:t>
      </w:r>
      <w:r>
        <w:rPr>
          <w:rFonts w:ascii="Arial" w:cs="Arial" w:eastAsia="Arial" w:hAnsi="Arial"/>
          <w:sz w:val="20"/>
          <w:szCs w:val="20"/>
          <w:color w:val="auto"/>
        </w:rPr>
        <w:t xml:space="preserve"> shall not permit liens securing letters of credit;</w:t>
      </w:r>
    </w:p>
    <w:p>
      <w:pPr>
        <w:spacing w:after="0" w:line="170" w:lineRule="exact"/>
        <w:rPr>
          <w:rFonts w:ascii="Arial" w:cs="Arial" w:eastAsia="Arial" w:hAnsi="Arial"/>
          <w:sz w:val="20"/>
          <w:szCs w:val="20"/>
          <w:color w:val="auto"/>
        </w:rPr>
      </w:pPr>
    </w:p>
    <w:p>
      <w:pPr>
        <w:jc w:val="both"/>
        <w:ind w:firstLine="605"/>
        <w:spacing w:after="0" w:line="281" w:lineRule="auto"/>
        <w:tabs>
          <w:tab w:leader="none" w:pos="986"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Liens to secure the performance of bids, trade contracts, governmental contracts and leases (in the case of each of the foregoing, other than for Indebtedness for borrowed money), statutory obligations, surety, stay, customs and appeal bonds, performance bonds and other obligations of a like nature (including those to secure health, safety and environmental obligations), in each case incurred in the ordinary course of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7.01(f)</w:t>
      </w:r>
      <w:r>
        <w:rPr>
          <w:rFonts w:ascii="Arial" w:cs="Arial" w:eastAsia="Arial" w:hAnsi="Arial"/>
          <w:sz w:val="19"/>
          <w:szCs w:val="19"/>
          <w:color w:val="auto"/>
        </w:rPr>
        <w:t xml:space="preserve"> shall not permit liens securing letters of credit;</w:t>
      </w:r>
    </w:p>
    <w:p>
      <w:pPr>
        <w:spacing w:after="0" w:line="147" w:lineRule="exact"/>
        <w:rPr>
          <w:rFonts w:ascii="Arial" w:cs="Arial" w:eastAsia="Arial" w:hAnsi="Arial"/>
          <w:sz w:val="19"/>
          <w:szCs w:val="19"/>
          <w:color w:val="auto"/>
        </w:rPr>
      </w:pPr>
    </w:p>
    <w:p>
      <w:pPr>
        <w:jc w:val="both"/>
        <w:ind w:firstLine="605"/>
        <w:spacing w:after="0" w:line="257" w:lineRule="auto"/>
        <w:tabs>
          <w:tab w:leader="none" w:pos="1221" w:val="left"/>
        </w:tabs>
        <w:numPr>
          <w:ilvl w:val="1"/>
          <w:numId w:val="130"/>
        </w:numPr>
        <w:rPr>
          <w:rFonts w:ascii="Arial" w:cs="Arial" w:eastAsia="Arial" w:hAnsi="Arial"/>
          <w:sz w:val="20"/>
          <w:szCs w:val="20"/>
          <w:color w:val="auto"/>
        </w:rPr>
      </w:pPr>
      <w:r>
        <w:rPr>
          <w:rFonts w:ascii="Arial" w:cs="Arial" w:eastAsia="Arial" w:hAnsi="Arial"/>
          <w:sz w:val="20"/>
          <w:szCs w:val="20"/>
          <w:color w:val="auto"/>
        </w:rPr>
        <w:t xml:space="preserve">(i) easements, rights-of-way, restrictions (including zoning restrictions and other land use regulations), encroachments, protrusions, reservations and other similar encumbrances and minor title defects affecting Real Property that do not in the aggregate materially interfere with the ordinary conduct of the business of the Borrower and the Restricted Subsidiaries, taken as a whole and (ii) ground leases in respect of Real Property on which facilities owned or leased by the Borrower or any of the Restricted Subsidiaries are located;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in the case of this clause (ii) that such ground leases do not confer rights on the counter-party(ies) thereto superior to those of the Collateral Agent in the relevant property;</w:t>
      </w:r>
    </w:p>
    <w:p>
      <w:pPr>
        <w:spacing w:after="0" w:line="170" w:lineRule="exact"/>
        <w:rPr>
          <w:rFonts w:ascii="Arial" w:cs="Arial" w:eastAsia="Arial" w:hAnsi="Arial"/>
          <w:sz w:val="20"/>
          <w:szCs w:val="20"/>
          <w:color w:val="auto"/>
        </w:rPr>
      </w:pPr>
    </w:p>
    <w:p>
      <w:pPr>
        <w:ind w:left="1000" w:hanging="395"/>
        <w:spacing w:after="0"/>
        <w:tabs>
          <w:tab w:leader="none" w:pos="10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 xml:space="preserve">Liens securing judgments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firstLine="605"/>
        <w:spacing w:after="0" w:line="350" w:lineRule="auto"/>
        <w:tabs>
          <w:tab w:leader="none" w:pos="102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and the Restricted Subsidiaries, taken as a whole, or (ii) secure any Indebtedness</w:t>
      </w:r>
      <w:r>
        <w:rPr>
          <w:rFonts w:ascii="Arial" w:cs="Arial" w:eastAsia="Arial" w:hAnsi="Arial"/>
          <w:sz w:val="18"/>
          <w:szCs w:val="18"/>
          <w:i w:val="1"/>
          <w:iCs w:val="1"/>
          <w:color w:val="auto"/>
        </w:rPr>
        <w:t>;</w:t>
      </w:r>
    </w:p>
    <w:p>
      <w:pPr>
        <w:sectPr>
          <w:pgSz w:w="11900" w:h="16838" w:orient="portrait"/>
          <w:cols w:equalWidth="0" w:num="1">
            <w:col w:w="11420"/>
          </w:cols>
          <w:pgMar w:left="240" w:top="131" w:right="239" w:bottom="0" w:gutter="0" w:footer="0" w:header="0"/>
        </w:sectPr>
      </w:pPr>
    </w:p>
    <w:bookmarkStart w:id="100" w:name="page101"/>
    <w:bookmarkEnd w:id="100"/>
    <w:p>
      <w:pPr>
        <w:jc w:val="both"/>
        <w:ind w:left="-605" w:firstLine="605"/>
        <w:spacing w:after="0" w:line="259" w:lineRule="auto"/>
        <w:tabs>
          <w:tab w:leader="none" w:pos="49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Liens (i) in favor of customs and revenue authorities arising as a matter of Law to secure payment of customs duties in connection with the importation of goods in the ordinary course of business or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68" w:lineRule="exact"/>
        <w:rPr>
          <w:rFonts w:ascii="Arial" w:cs="Arial" w:eastAsia="Arial" w:hAnsi="Arial"/>
          <w:sz w:val="20"/>
          <w:szCs w:val="20"/>
          <w:color w:val="auto"/>
        </w:rPr>
      </w:pPr>
    </w:p>
    <w:p>
      <w:pPr>
        <w:jc w:val="both"/>
        <w:ind w:left="-605" w:firstLine="605"/>
        <w:spacing w:after="0" w:line="259" w:lineRule="auto"/>
        <w:tabs>
          <w:tab w:leader="none" w:pos="41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Liens (i) of a collection bank arising under Section 4-210 of the Uniform Commercial Code on items in the course of collection and (ii) arising in the ordinary course of business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the general terms and conditions of such banking institutions;</w:t>
      </w:r>
    </w:p>
    <w:p>
      <w:pPr>
        <w:spacing w:after="0" w:line="168" w:lineRule="exact"/>
        <w:rPr>
          <w:rFonts w:ascii="Arial" w:cs="Arial" w:eastAsia="Arial" w:hAnsi="Arial"/>
          <w:sz w:val="20"/>
          <w:szCs w:val="20"/>
          <w:color w:val="auto"/>
        </w:rPr>
      </w:pPr>
    </w:p>
    <w:p>
      <w:pPr>
        <w:jc w:val="both"/>
        <w:ind w:left="-605" w:firstLine="605"/>
        <w:spacing w:after="0" w:line="301" w:lineRule="auto"/>
        <w:tabs>
          <w:tab w:leader="none" w:pos="45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Liens (i) on cash earnest money deposits or other cash advances in favor of the seller of any property to be acquired in an Investment permitted pursuant to </w:t>
      </w:r>
      <w:r>
        <w:rPr>
          <w:rFonts w:ascii="Arial" w:cs="Arial" w:eastAsia="Arial" w:hAnsi="Arial"/>
          <w:sz w:val="18"/>
          <w:szCs w:val="18"/>
          <w:u w:val="single" w:color="auto"/>
          <w:color w:val="auto"/>
        </w:rPr>
        <w:t>Sections 7.02(e), (h), (l), (p), (r)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w:t>
      </w:r>
      <w:r>
        <w:rPr>
          <w:rFonts w:ascii="Arial" w:cs="Arial" w:eastAsia="Arial" w:hAnsi="Arial"/>
          <w:sz w:val="18"/>
          <w:szCs w:val="18"/>
          <w:color w:val="auto"/>
        </w:rPr>
        <w:t xml:space="preserve">, in each case to be applied against the purchase price for such Investment, and (ii) consisting of an agreement to Dispose of any property in a Disposition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in each case, solely to the extent such Investment or Disposition, as the case may be, would have been permitted on the date of the creation of such Lien;</w:t>
      </w:r>
    </w:p>
    <w:p>
      <w:pPr>
        <w:spacing w:after="0" w:line="131" w:lineRule="exact"/>
        <w:rPr>
          <w:rFonts w:ascii="Arial" w:cs="Arial" w:eastAsia="Arial" w:hAnsi="Arial"/>
          <w:sz w:val="18"/>
          <w:szCs w:val="18"/>
          <w:color w:val="auto"/>
        </w:rPr>
      </w:pPr>
    </w:p>
    <w:p>
      <w:pPr>
        <w:ind w:left="-605" w:firstLine="605"/>
        <w:spacing w:after="0" w:line="291" w:lineRule="auto"/>
        <w:tabs>
          <w:tab w:leader="none" w:pos="55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(i) in favor of the Borrower or a Restricted Subsidiary on assets of a Restricted Subsidiary that is not a Loan Party securing Indebtedness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and (ii) in favor of the Borrower or any Guarantor;</w:t>
      </w:r>
    </w:p>
    <w:p>
      <w:pPr>
        <w:spacing w:after="0" w:line="134" w:lineRule="exact"/>
        <w:rPr>
          <w:rFonts w:ascii="Arial" w:cs="Arial" w:eastAsia="Arial" w:hAnsi="Arial"/>
          <w:sz w:val="20"/>
          <w:szCs w:val="20"/>
          <w:color w:val="auto"/>
        </w:rPr>
      </w:pPr>
    </w:p>
    <w:p>
      <w:pPr>
        <w:jc w:val="both"/>
        <w:ind w:left="-605" w:firstLine="605"/>
        <w:spacing w:after="0" w:line="270" w:lineRule="auto"/>
        <w:tabs>
          <w:tab w:leader="none" w:pos="47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any interest or title (and all encumbrances and other matters affecting such interest or title) of a lessor, sublessor, licensor or sublicensor under leases, subleases, licenses or sublicenses entered into by the Borrower or any of the Restricted Subsidiaries in the ordinary course of business; </w:t>
      </w:r>
      <w:r>
        <w:rPr>
          <w:rFonts w:ascii="Arial" w:cs="Arial" w:eastAsia="Arial" w:hAnsi="Arial"/>
          <w:sz w:val="20"/>
          <w:szCs w:val="20"/>
          <w:i w:val="1"/>
          <w:iCs w:val="1"/>
          <w:color w:val="auto"/>
        </w:rPr>
        <w:t>provided</w:t>
      </w:r>
      <w:r>
        <w:rPr>
          <w:rFonts w:ascii="Arial" w:cs="Arial" w:eastAsia="Arial" w:hAnsi="Arial"/>
          <w:sz w:val="20"/>
          <w:szCs w:val="20"/>
          <w:color w:val="auto"/>
        </w:rPr>
        <w:t>, that no such lease or sublease shall constitute a Capitalized Lease;</w:t>
      </w:r>
    </w:p>
    <w:p>
      <w:pPr>
        <w:spacing w:after="0" w:line="155" w:lineRule="exact"/>
        <w:rPr>
          <w:rFonts w:ascii="Arial" w:cs="Arial" w:eastAsia="Arial" w:hAnsi="Arial"/>
          <w:sz w:val="20"/>
          <w:szCs w:val="20"/>
          <w:color w:val="auto"/>
        </w:rPr>
      </w:pPr>
    </w:p>
    <w:p>
      <w:pPr>
        <w:ind w:left="395" w:hanging="395"/>
        <w:spacing w:after="0"/>
        <w:tabs>
          <w:tab w:leader="none" w:pos="39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deemed to exist in connection with Investments in repurchase agreements permitted under </w:t>
      </w:r>
      <w:r>
        <w:rPr>
          <w:rFonts w:ascii="Arial" w:cs="Arial" w:eastAsia="Arial" w:hAnsi="Arial"/>
          <w:sz w:val="20"/>
          <w:szCs w:val="20"/>
          <w:u w:val="single" w:color="auto"/>
          <w:color w:val="auto"/>
        </w:rPr>
        <w:t>Section 7.02(a)</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left="-605" w:firstLine="605"/>
        <w:spacing w:after="0" w:line="291" w:lineRule="auto"/>
        <w:tabs>
          <w:tab w:leader="none" w:pos="40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Liens encumbering reasonable customary initial deposits and margin deposits and similar Liens attaching to commodity accounts or other brokerage accounts incurred in the ordinary course of business and not for speculative purposes;</w:t>
      </w:r>
    </w:p>
    <w:p>
      <w:pPr>
        <w:spacing w:after="0" w:line="134" w:lineRule="exact"/>
        <w:rPr>
          <w:rFonts w:ascii="Arial" w:cs="Arial" w:eastAsia="Arial" w:hAnsi="Arial"/>
          <w:sz w:val="20"/>
          <w:szCs w:val="20"/>
          <w:color w:val="auto"/>
        </w:rPr>
      </w:pPr>
    </w:p>
    <w:p>
      <w:pPr>
        <w:jc w:val="both"/>
        <w:ind w:left="-605" w:firstLine="605"/>
        <w:spacing w:after="0" w:line="269" w:lineRule="auto"/>
        <w:tabs>
          <w:tab w:leader="none" w:pos="50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Liens (including any interest or title (and all encumbrances and other matters affecting such interest or title) of a lessor or sublessor under Capitalized Leases) securing Indebtedness constituting Capital Leases and purchase money security interests permitted under </w:t>
      </w:r>
      <w:r>
        <w:rPr>
          <w:rFonts w:ascii="Arial" w:cs="Arial" w:eastAsia="Arial" w:hAnsi="Arial"/>
          <w:sz w:val="19"/>
          <w:szCs w:val="19"/>
          <w:u w:val="single" w:color="auto"/>
          <w:color w:val="auto"/>
        </w:rPr>
        <w:t>Section 7.03(e)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7.03(ff)</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Liens are created within 270 days of the acquisition, construction, repair, lease or improvement, as applicable, of the property subject to such Liens, (ii) such Liens do not at any time encumber property (except for replacements, additions and accessions to such property) other than the property financed by such Indebtedness and the proceeds and products thereof and customary security deposits, and (iii) such Liens do not at any time extend to or cover any assets (except for replacements, additions and accessions to such assets) other than the assets subject to Capitalized Leases and the proceeds and products thereof and customary security deposits;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individual financings of equipment provided by one lender may be cross collateralized to other financings of equipment provided by such lender;</w:t>
      </w:r>
    </w:p>
    <w:p>
      <w:pPr>
        <w:spacing w:after="0" w:line="161" w:lineRule="exact"/>
        <w:rPr>
          <w:rFonts w:ascii="Arial" w:cs="Arial" w:eastAsia="Arial" w:hAnsi="Arial"/>
          <w:sz w:val="19"/>
          <w:szCs w:val="19"/>
          <w:color w:val="auto"/>
        </w:rPr>
      </w:pPr>
    </w:p>
    <w:p>
      <w:pPr>
        <w:ind w:left="-605" w:firstLine="605"/>
        <w:spacing w:after="0" w:line="291" w:lineRule="auto"/>
        <w:tabs>
          <w:tab w:leader="none" w:pos="39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on property (i) of any Foreign Subsidiary that is not a Loan Party and (ii) that does not constitute Collateral, which Liens secure Indebtedness of the applicable Foreign Subsidiary that is not a Loan Party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jc w:val="both"/>
        <w:ind w:left="-605" w:firstLine="605"/>
        <w:spacing w:after="0" w:line="255" w:lineRule="auto"/>
        <w:tabs>
          <w:tab w:leader="none" w:pos="37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existing on property at the time of its acquisition or existing on the property of any Person at the time such Person becomes a Restricted Subsidiary, in each case after the Restatement Effective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355" w:hanging="355"/>
        <w:spacing w:after="0"/>
        <w:tabs>
          <w:tab w:leader="none" w:pos="35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Liens arising from precautionary Uniform Commercial Code financing statements or similar filings;</w:t>
      </w:r>
    </w:p>
    <w:p>
      <w:pPr>
        <w:spacing w:after="0" w:line="223" w:lineRule="exact"/>
        <w:rPr>
          <w:rFonts w:ascii="Arial" w:cs="Arial" w:eastAsia="Arial" w:hAnsi="Arial"/>
          <w:sz w:val="20"/>
          <w:szCs w:val="20"/>
          <w:color w:val="auto"/>
        </w:rPr>
      </w:pPr>
    </w:p>
    <w:p>
      <w:pPr>
        <w:ind w:left="-605" w:firstLine="605"/>
        <w:spacing w:after="0" w:line="291" w:lineRule="auto"/>
        <w:tabs>
          <w:tab w:leader="none" w:pos="41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securing the financing of the premiums with respect thereto in the ordinary course of business;</w:t>
      </w:r>
    </w:p>
    <w:p>
      <w:pPr>
        <w:spacing w:after="0" w:line="134" w:lineRule="exact"/>
        <w:rPr>
          <w:rFonts w:ascii="Arial" w:cs="Arial" w:eastAsia="Arial" w:hAnsi="Arial"/>
          <w:sz w:val="20"/>
          <w:szCs w:val="20"/>
          <w:color w:val="auto"/>
        </w:rPr>
      </w:pPr>
    </w:p>
    <w:p>
      <w:pPr>
        <w:jc w:val="both"/>
        <w:ind w:left="-605" w:firstLine="605"/>
        <w:spacing w:after="0" w:line="270" w:lineRule="auto"/>
        <w:tabs>
          <w:tab w:leader="none" w:pos="40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Indebtedness permitted under </w:t>
      </w:r>
      <w:r>
        <w:rPr>
          <w:rFonts w:ascii="Arial" w:cs="Arial" w:eastAsia="Arial" w:hAnsi="Arial"/>
          <w:sz w:val="20"/>
          <w:szCs w:val="20"/>
          <w:u w:val="single" w:color="auto"/>
          <w:color w:val="auto"/>
        </w:rPr>
        <w:t>Section 7.03(o)</w:t>
      </w:r>
      <w:r>
        <w:rPr>
          <w:rFonts w:ascii="Arial" w:cs="Arial" w:eastAsia="Arial" w:hAnsi="Arial"/>
          <w:sz w:val="20"/>
          <w:szCs w:val="20"/>
          <w:color w:val="auto"/>
        </w:rPr>
        <w:t xml:space="preserve"> or other obligations otherwise secured pursuant to or in connection with the documents governing such Indebtedness; </w:t>
      </w:r>
      <w:r>
        <w:rPr>
          <w:rFonts w:ascii="Arial" w:cs="Arial" w:eastAsia="Arial" w:hAnsi="Arial"/>
          <w:sz w:val="20"/>
          <w:szCs w:val="20"/>
          <w:i w:val="1"/>
          <w:iCs w:val="1"/>
          <w:color w:val="auto"/>
        </w:rPr>
        <w:t>provided</w:t>
      </w:r>
      <w:r>
        <w:rPr>
          <w:rFonts w:ascii="Arial" w:cs="Arial" w:eastAsia="Arial" w:hAnsi="Arial"/>
          <w:sz w:val="20"/>
          <w:szCs w:val="20"/>
          <w:color w:val="auto"/>
        </w:rPr>
        <w:t>, that such Liens shall be subject to the ABL Intercreditor Agreement;</w:t>
      </w:r>
    </w:p>
    <w:p>
      <w:pPr>
        <w:spacing w:after="0" w:line="155" w:lineRule="exact"/>
        <w:rPr>
          <w:rFonts w:ascii="Arial" w:cs="Arial" w:eastAsia="Arial" w:hAnsi="Arial"/>
          <w:sz w:val="20"/>
          <w:szCs w:val="20"/>
          <w:color w:val="auto"/>
        </w:rPr>
      </w:pPr>
    </w:p>
    <w:p>
      <w:pPr>
        <w:jc w:val="both"/>
        <w:ind w:left="-605" w:firstLine="605"/>
        <w:spacing w:after="0" w:line="270" w:lineRule="auto"/>
        <w:tabs>
          <w:tab w:leader="none" w:pos="47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Credit Agreement Refinancing Indebtedness that is Permitted Second Priority Additional Debt and any Permitted Refinancing of the foregoing; </w:t>
      </w:r>
      <w:r>
        <w:rPr>
          <w:rFonts w:ascii="Arial" w:cs="Arial" w:eastAsia="Arial" w:hAnsi="Arial"/>
          <w:sz w:val="20"/>
          <w:szCs w:val="20"/>
          <w:i w:val="1"/>
          <w:iCs w:val="1"/>
          <w:color w:val="auto"/>
        </w:rPr>
        <w:t>provided</w:t>
      </w:r>
      <w:r>
        <w:rPr>
          <w:rFonts w:ascii="Arial" w:cs="Arial" w:eastAsia="Arial" w:hAnsi="Arial"/>
          <w:sz w:val="20"/>
          <w:szCs w:val="20"/>
          <w:color w:val="auto"/>
        </w:rPr>
        <w:t>, that any such Liens are secured on a junior lien basis to the Liens securing the Obligations pursuant to, and subject at all times to, the Second Lien Intercreditor Agreement;</w:t>
      </w:r>
    </w:p>
    <w:p>
      <w:pPr>
        <w:spacing w:after="0" w:line="155" w:lineRule="exact"/>
        <w:rPr>
          <w:rFonts w:ascii="Arial" w:cs="Arial" w:eastAsia="Arial" w:hAnsi="Arial"/>
          <w:sz w:val="20"/>
          <w:szCs w:val="20"/>
          <w:color w:val="auto"/>
        </w:rPr>
      </w:pPr>
    </w:p>
    <w:p>
      <w:pPr>
        <w:ind w:left="-605" w:firstLine="605"/>
        <w:spacing w:after="0" w:line="291" w:lineRule="auto"/>
        <w:tabs>
          <w:tab w:leader="none" w:pos="41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Liens on the Equity Interests of any joint venture entity of the Borrower consisting of a transfer restriction, purchase option, call or similar right of a third party joint venture partner;</w:t>
      </w:r>
    </w:p>
    <w:p>
      <w:pPr>
        <w:spacing w:after="0" w:line="134" w:lineRule="exact"/>
        <w:rPr>
          <w:rFonts w:ascii="Arial" w:cs="Arial" w:eastAsia="Arial" w:hAnsi="Arial"/>
          <w:sz w:val="20"/>
          <w:szCs w:val="20"/>
          <w:color w:val="auto"/>
        </w:rPr>
      </w:pPr>
    </w:p>
    <w:p>
      <w:pPr>
        <w:ind w:left="395" w:hanging="395"/>
        <w:spacing w:after="0"/>
        <w:tabs>
          <w:tab w:leader="none" w:pos="39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[reserved];</w:t>
      </w:r>
    </w:p>
    <w:p>
      <w:pPr>
        <w:sectPr>
          <w:pgSz w:w="11900" w:h="16838" w:orient="portrait"/>
          <w:cols w:equalWidth="0" w:num="1">
            <w:col w:w="10815"/>
          </w:cols>
          <w:pgMar w:left="845" w:top="131" w:right="239" w:bottom="270" w:gutter="0" w:footer="0" w:header="0"/>
        </w:sectPr>
      </w:pPr>
    </w:p>
    <w:bookmarkStart w:id="101" w:name="page102"/>
    <w:bookmarkEnd w:id="101"/>
    <w:p>
      <w:pPr>
        <w:jc w:val="both"/>
        <w:ind w:firstLine="605"/>
        <w:spacing w:after="0" w:line="270" w:lineRule="auto"/>
        <w:tabs>
          <w:tab w:leader="none" w:pos="100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Alternative Incremental Indebtedness that is Permitted Second Priority Additional Debt and any Permitted Refinancing of the foregoing; </w:t>
      </w:r>
      <w:r>
        <w:rPr>
          <w:rFonts w:ascii="Arial" w:cs="Arial" w:eastAsia="Arial" w:hAnsi="Arial"/>
          <w:sz w:val="20"/>
          <w:szCs w:val="20"/>
          <w:i w:val="1"/>
          <w:iCs w:val="1"/>
          <w:color w:val="auto"/>
        </w:rPr>
        <w:t>provided</w:t>
      </w:r>
      <w:r>
        <w:rPr>
          <w:rFonts w:ascii="Arial" w:cs="Arial" w:eastAsia="Arial" w:hAnsi="Arial"/>
          <w:sz w:val="20"/>
          <w:szCs w:val="20"/>
          <w:color w:val="auto"/>
        </w:rPr>
        <w:t>, that any such Liens are secured on a junior lien basis to the Liens securing the Obligations pursuant to the Second Lien Intercreditor Agreement;</w:t>
      </w:r>
    </w:p>
    <w:p>
      <w:pPr>
        <w:spacing w:after="0" w:line="155" w:lineRule="exact"/>
        <w:rPr>
          <w:sz w:val="20"/>
          <w:szCs w:val="20"/>
          <w:color w:val="auto"/>
        </w:rPr>
      </w:pPr>
    </w:p>
    <w:p>
      <w:pPr>
        <w:ind w:firstLine="605"/>
        <w:spacing w:after="0" w:line="291" w:lineRule="auto"/>
        <w:tabs>
          <w:tab w:leader="none" w:pos="116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Liens on (i) the Securitization Assets arising in connection with a Qualified Securitization Financing or (ii) the Receivables Assets arising in connection with a Receivables Facility;</w:t>
      </w:r>
    </w:p>
    <w:p>
      <w:pPr>
        <w:spacing w:after="0" w:line="134" w:lineRule="exact"/>
        <w:rPr>
          <w:rFonts w:ascii="Arial" w:cs="Arial" w:eastAsia="Arial" w:hAnsi="Arial"/>
          <w:sz w:val="20"/>
          <w:szCs w:val="20"/>
          <w:color w:val="auto"/>
        </w:rPr>
      </w:pPr>
    </w:p>
    <w:p>
      <w:pPr>
        <w:ind w:firstLine="605"/>
        <w:spacing w:after="0" w:line="291" w:lineRule="auto"/>
        <w:tabs>
          <w:tab w:leader="none" w:pos="122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Liens (i) arising out of conditional sale, title retention, consignment or similar arrangements for the sale of goods or (ii) encumbering deposits made to secure obligations arising from contractual or warranty requirements;</w:t>
      </w:r>
    </w:p>
    <w:p>
      <w:pPr>
        <w:spacing w:after="0" w:line="134" w:lineRule="exact"/>
        <w:rPr>
          <w:rFonts w:ascii="Arial" w:cs="Arial" w:eastAsia="Arial" w:hAnsi="Arial"/>
          <w:sz w:val="20"/>
          <w:szCs w:val="20"/>
          <w:color w:val="auto"/>
        </w:rPr>
      </w:pPr>
    </w:p>
    <w:p>
      <w:pPr>
        <w:ind w:left="1080" w:hanging="475"/>
        <w:spacing w:after="0"/>
        <w:tabs>
          <w:tab w:leader="none" w:pos="10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Utility and similar deposits in the ordinary course of business;</w:t>
      </w:r>
    </w:p>
    <w:p>
      <w:pPr>
        <w:spacing w:after="0" w:line="223" w:lineRule="exact"/>
        <w:rPr>
          <w:rFonts w:ascii="Arial" w:cs="Arial" w:eastAsia="Arial" w:hAnsi="Arial"/>
          <w:sz w:val="20"/>
          <w:szCs w:val="20"/>
          <w:color w:val="auto"/>
        </w:rPr>
      </w:pPr>
    </w:p>
    <w:p>
      <w:pPr>
        <w:ind w:left="1100" w:hanging="495"/>
        <w:spacing w:after="0"/>
        <w:tabs>
          <w:tab w:leader="none" w:pos="11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left="1080" w:hanging="475"/>
        <w:spacing w:after="0"/>
        <w:tabs>
          <w:tab w:leader="none" w:pos="10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Liens related to Sale and Leaseback Transactions in an aggregate amount of $50,000,000;</w:t>
      </w:r>
    </w:p>
    <w:p>
      <w:pPr>
        <w:spacing w:after="0" w:line="223" w:lineRule="exact"/>
        <w:rPr>
          <w:rFonts w:ascii="Arial" w:cs="Arial" w:eastAsia="Arial" w:hAnsi="Arial"/>
          <w:sz w:val="20"/>
          <w:szCs w:val="20"/>
          <w:color w:val="auto"/>
        </w:rPr>
      </w:pPr>
    </w:p>
    <w:p>
      <w:pPr>
        <w:jc w:val="both"/>
        <w:ind w:firstLine="605"/>
        <w:spacing w:after="0" w:line="290" w:lineRule="auto"/>
        <w:tabs>
          <w:tab w:leader="none" w:pos="104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other Liens with respect to property or assets securing obligations of the Borrower or any Restricted Subsidiary in an aggregate principal amount outstanding at any time not to exceed $5,000,000;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do not secure Indebtedness for borrowed money and are not incurred in respect of any pension obligations of the Borrower or any of its Restricted Subsidiaries; and</w:t>
      </w:r>
    </w:p>
    <w:p>
      <w:pPr>
        <w:spacing w:after="0" w:line="139" w:lineRule="exact"/>
        <w:rPr>
          <w:rFonts w:ascii="Arial" w:cs="Arial" w:eastAsia="Arial" w:hAnsi="Arial"/>
          <w:sz w:val="19"/>
          <w:szCs w:val="19"/>
          <w:color w:val="auto"/>
        </w:rPr>
      </w:pPr>
    </w:p>
    <w:p>
      <w:pPr>
        <w:jc w:val="both"/>
        <w:ind w:firstLine="605"/>
        <w:spacing w:after="0" w:line="276" w:lineRule="auto"/>
        <w:tabs>
          <w:tab w:leader="none" w:pos="125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Liens on Pension Real Property related to or arising on account of Indebtedness in respect of Specified Pension Fund Obligations permitted pursuant to </w:t>
      </w:r>
      <w:r>
        <w:rPr>
          <w:rFonts w:ascii="Arial" w:cs="Arial" w:eastAsia="Arial" w:hAnsi="Arial"/>
          <w:sz w:val="19"/>
          <w:szCs w:val="19"/>
          <w:u w:val="single" w:color="auto"/>
          <w:color w:val="auto"/>
        </w:rPr>
        <w:t>Section 7.03(u)</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Indebtedness in respect of Specified Pension Fund Obligations permitted to be secured by such Liens on Pension Real Property under this </w:t>
      </w:r>
      <w:r>
        <w:rPr>
          <w:rFonts w:ascii="Arial" w:cs="Arial" w:eastAsia="Arial" w:hAnsi="Arial"/>
          <w:sz w:val="19"/>
          <w:szCs w:val="19"/>
          <w:u w:val="single" w:color="auto"/>
          <w:color w:val="auto"/>
        </w:rPr>
        <w:t>Section 7.01(gg)</w:t>
      </w:r>
      <w:r>
        <w:rPr>
          <w:rFonts w:ascii="Arial" w:cs="Arial" w:eastAsia="Arial" w:hAnsi="Arial"/>
          <w:sz w:val="19"/>
          <w:szCs w:val="19"/>
          <w:color w:val="auto"/>
        </w:rPr>
        <w:t xml:space="preserve"> shall not at any time exceed (x) the aggregate amount of Specified Pension Fund Obligations that are secured by such Liens on Pension Real Property on the Restatement Effective Date less (y) payments of Specified Pension Fund Obligations after the Restatement Effective Date.</w:t>
      </w:r>
    </w:p>
    <w:p>
      <w:pPr>
        <w:spacing w:after="0" w:line="153" w:lineRule="exact"/>
        <w:rPr>
          <w:sz w:val="20"/>
          <w:szCs w:val="20"/>
          <w:color w:val="auto"/>
        </w:rPr>
      </w:pPr>
    </w:p>
    <w:p>
      <w:pPr>
        <w:ind w:firstLine="604"/>
        <w:spacing w:after="0" w:line="291"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i w:val="1"/>
          <w:iCs w:val="1"/>
          <w:color w:val="auto"/>
        </w:rPr>
        <w:t>Investments.</w:t>
      </w:r>
      <w:r>
        <w:rPr>
          <w:rFonts w:ascii="Arial" w:cs="Arial" w:eastAsia="Arial" w:hAnsi="Arial"/>
          <w:sz w:val="20"/>
          <w:szCs w:val="20"/>
          <w:color w:val="auto"/>
        </w:rPr>
        <w:t xml:space="preserve"> The Borrower shall not, nor shall it permit any Restricted Subsidiary to, directly or indirectly, make or hold any Investments, except:</w:t>
      </w:r>
    </w:p>
    <w:p>
      <w:pPr>
        <w:spacing w:after="0" w:line="134" w:lineRule="exact"/>
        <w:rPr>
          <w:sz w:val="20"/>
          <w:szCs w:val="20"/>
          <w:color w:val="auto"/>
        </w:rPr>
      </w:pPr>
    </w:p>
    <w:p>
      <w:pPr>
        <w:ind w:left="1000" w:hanging="395"/>
        <w:spacing w:after="0"/>
        <w:tabs>
          <w:tab w:leader="none" w:pos="10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Investments by the Borrower or any of the Restricted Subsidiaries in cash or Cash Equivalents;</w:t>
      </w:r>
    </w:p>
    <w:p>
      <w:pPr>
        <w:spacing w:after="0" w:line="223" w:lineRule="exact"/>
        <w:rPr>
          <w:rFonts w:ascii="Arial" w:cs="Arial" w:eastAsia="Arial" w:hAnsi="Arial"/>
          <w:sz w:val="20"/>
          <w:szCs w:val="20"/>
          <w:color w:val="auto"/>
        </w:rPr>
      </w:pPr>
    </w:p>
    <w:p>
      <w:pPr>
        <w:jc w:val="both"/>
        <w:ind w:firstLine="605"/>
        <w:spacing w:after="0" w:line="256" w:lineRule="auto"/>
        <w:tabs>
          <w:tab w:leader="none" w:pos="103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loans or advances to officers, directors and employees of any Loan Party or any of its Restricted Subsidiaries (i) for reasonable and customary business-related travel, entertainment, relocation and analogous ordinary business purposes, in each case, consistent with past practice (including pursuant to use of any credit cards, credit card processing services, debit cards, stored value cards, purchase cards (including so-called "procurement cards" or "P-cards") or other similar cash management services), (ii) in connection with such Person’s purchase of Equity Interests of the Borrower and (iii) for any other corporate purposes not described in the foregoing clauses (i) and (ii);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aggregate principal amount of loans and advances outstanding at any time under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7.02(b)(ii)</w:t>
      </w:r>
      <w:r>
        <w:rPr>
          <w:rFonts w:ascii="Arial" w:cs="Arial" w:eastAsia="Arial" w:hAnsi="Arial"/>
          <w:sz w:val="20"/>
          <w:szCs w:val="20"/>
          <w:i w:val="1"/>
          <w:iCs w:val="1"/>
          <w:color w:val="auto"/>
        </w:rPr>
        <w:t xml:space="preserve"> </w:t>
      </w:r>
      <w:r>
        <w:rPr>
          <w:rFonts w:ascii="Arial" w:cs="Arial" w:eastAsia="Arial" w:hAnsi="Arial"/>
          <w:sz w:val="20"/>
          <w:szCs w:val="20"/>
          <w:color w:val="auto"/>
        </w:rPr>
        <w:t>and</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i w:val="1"/>
          <w:iCs w:val="1"/>
          <w:color w:val="auto"/>
        </w:rPr>
        <w:t xml:space="preserve"> </w:t>
      </w:r>
      <w:r>
        <w:rPr>
          <w:rFonts w:ascii="Arial" w:cs="Arial" w:eastAsia="Arial" w:hAnsi="Arial"/>
          <w:sz w:val="20"/>
          <w:szCs w:val="20"/>
          <w:color w:val="auto"/>
        </w:rPr>
        <w:t>shall not</w:t>
      </w:r>
      <w:r>
        <w:rPr>
          <w:rFonts w:ascii="Arial" w:cs="Arial" w:eastAsia="Arial" w:hAnsi="Arial"/>
          <w:sz w:val="20"/>
          <w:szCs w:val="20"/>
          <w:i w:val="1"/>
          <w:iCs w:val="1"/>
          <w:color w:val="auto"/>
        </w:rPr>
        <w:t xml:space="preserve"> </w:t>
      </w:r>
      <w:r>
        <w:rPr>
          <w:rFonts w:ascii="Arial" w:cs="Arial" w:eastAsia="Arial" w:hAnsi="Arial"/>
          <w:sz w:val="20"/>
          <w:szCs w:val="20"/>
          <w:color w:val="auto"/>
        </w:rPr>
        <w:t>exceed $2,000,000;</w:t>
      </w:r>
    </w:p>
    <w:p>
      <w:pPr>
        <w:spacing w:after="0" w:line="170" w:lineRule="exact"/>
        <w:rPr>
          <w:rFonts w:ascii="Arial" w:cs="Arial" w:eastAsia="Arial" w:hAnsi="Arial"/>
          <w:sz w:val="20"/>
          <w:szCs w:val="20"/>
          <w:color w:val="auto"/>
        </w:rPr>
      </w:pPr>
    </w:p>
    <w:p>
      <w:pPr>
        <w:jc w:val="both"/>
        <w:ind w:firstLine="605"/>
        <w:spacing w:after="0" w:line="259" w:lineRule="auto"/>
        <w:tabs>
          <w:tab w:leader="none" w:pos="10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Investments (i) by the Borrower or any Restricted Subsidiary in any Loan Party (or any newly formed wholly owned Restricted Subsidiary that is not an Excluded Subsidiary and is to become a Loan Party in accordance with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(ii) by any Restricted Subsidiary that is not a Loan Party in any other Restricted Subsidiary that is not a Loan Party and (iii) by any Loan Party in a Restricted Subsidiary that is not a Loan Party; </w:t>
      </w:r>
      <w:r>
        <w:rPr>
          <w:rFonts w:ascii="Arial" w:cs="Arial" w:eastAsia="Arial" w:hAnsi="Arial"/>
          <w:sz w:val="20"/>
          <w:szCs w:val="20"/>
          <w:i w:val="1"/>
          <w:iCs w:val="1"/>
          <w:color w:val="auto"/>
        </w:rPr>
        <w:t>provided</w:t>
      </w:r>
      <w:r>
        <w:rPr>
          <w:rFonts w:ascii="Arial" w:cs="Arial" w:eastAsia="Arial" w:hAnsi="Arial"/>
          <w:sz w:val="20"/>
          <w:szCs w:val="20"/>
          <w:color w:val="auto"/>
        </w:rPr>
        <w:t>, that the aggregate amount of Investments at any time outstanding under this clause (iii) shall not exceed $15,000,000;</w:t>
      </w:r>
    </w:p>
    <w:p>
      <w:pPr>
        <w:spacing w:after="0" w:line="168" w:lineRule="exact"/>
        <w:rPr>
          <w:rFonts w:ascii="Arial" w:cs="Arial" w:eastAsia="Arial" w:hAnsi="Arial"/>
          <w:sz w:val="20"/>
          <w:szCs w:val="20"/>
          <w:color w:val="auto"/>
        </w:rPr>
      </w:pPr>
    </w:p>
    <w:p>
      <w:pPr>
        <w:ind w:firstLine="605"/>
        <w:spacing w:after="0" w:line="291" w:lineRule="auto"/>
        <w:tabs>
          <w:tab w:leader="none" w:pos="104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or other credits to suppliers in the ordinary course of business;</w:t>
      </w:r>
    </w:p>
    <w:p>
      <w:pPr>
        <w:spacing w:after="0" w:line="134" w:lineRule="exact"/>
        <w:rPr>
          <w:rFonts w:ascii="Arial" w:cs="Arial" w:eastAsia="Arial" w:hAnsi="Arial"/>
          <w:sz w:val="20"/>
          <w:szCs w:val="20"/>
          <w:color w:val="auto"/>
        </w:rPr>
      </w:pPr>
    </w:p>
    <w:p>
      <w:pPr>
        <w:jc w:val="both"/>
        <w:ind w:firstLine="605"/>
        <w:spacing w:after="0" w:line="291" w:lineRule="auto"/>
        <w:tabs>
          <w:tab w:leader="none" w:pos="10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Investments (i) existing or contemplated on the Restatement Effective Date and set forth on </w:t>
      </w:r>
      <w:r>
        <w:rPr>
          <w:rFonts w:ascii="Arial" w:cs="Arial" w:eastAsia="Arial" w:hAnsi="Arial"/>
          <w:sz w:val="18"/>
          <w:szCs w:val="18"/>
          <w:u w:val="single" w:color="auto"/>
          <w:color w:val="auto"/>
        </w:rPr>
        <w:t>Schedule 7.02(e)</w:t>
      </w:r>
      <w:r>
        <w:rPr>
          <w:rFonts w:ascii="Arial" w:cs="Arial" w:eastAsia="Arial" w:hAnsi="Arial"/>
          <w:sz w:val="18"/>
          <w:szCs w:val="18"/>
          <w:color w:val="auto"/>
        </w:rPr>
        <w:t xml:space="preserve"> (including unused commitments) and any modification, replacement, renewal or extension thereof and (ii) existing on the Restatement Effective Date by the Borrower or any other Restricted Subsidiary in any Restricted Subsidiary and any modification, replacement, renewal or extension thereof;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clause (i) and clause (ii) the amount of the original Investment is not increased except by the terms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original Investment as set forth on Schedule 7.02(e) or as otherwise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in such case made in reliance on the other paragraph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so permitting such modification, replacement, renewal or extension thereof);</w:t>
      </w:r>
    </w:p>
    <w:p>
      <w:pPr>
        <w:spacing w:after="0" w:line="142" w:lineRule="exact"/>
        <w:rPr>
          <w:rFonts w:ascii="Arial" w:cs="Arial" w:eastAsia="Arial" w:hAnsi="Arial"/>
          <w:sz w:val="18"/>
          <w:szCs w:val="18"/>
          <w:color w:val="auto"/>
        </w:rPr>
      </w:pPr>
    </w:p>
    <w:p>
      <w:pPr>
        <w:ind w:left="980" w:hanging="375"/>
        <w:spacing w:after="0"/>
        <w:tabs>
          <w:tab w:leader="none" w:pos="9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Investments in Swap Contracts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left="1000" w:hanging="395"/>
        <w:spacing w:after="0"/>
        <w:tabs>
          <w:tab w:leader="none" w:pos="10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promissory notes and other non-cash consideration received in connection with Dispositions permitted by </w:t>
      </w:r>
      <w:r>
        <w:rPr>
          <w:rFonts w:ascii="Arial" w:cs="Arial" w:eastAsia="Arial" w:hAnsi="Arial"/>
          <w:sz w:val="19"/>
          <w:szCs w:val="19"/>
          <w:u w:val="single" w:color="auto"/>
          <w:color w:val="auto"/>
        </w:rPr>
        <w:t>Section 7.05</w:t>
      </w:r>
      <w:r>
        <w:rPr>
          <w:rFonts w:ascii="Arial" w:cs="Arial" w:eastAsia="Arial" w:hAnsi="Arial"/>
          <w:sz w:val="19"/>
          <w:szCs w:val="19"/>
          <w:color w:val="auto"/>
        </w:rPr>
        <w:t>;</w:t>
      </w:r>
    </w:p>
    <w:p>
      <w:pPr>
        <w:spacing w:after="0" w:line="234" w:lineRule="exact"/>
        <w:rPr>
          <w:rFonts w:ascii="Arial" w:cs="Arial" w:eastAsia="Arial" w:hAnsi="Arial"/>
          <w:sz w:val="19"/>
          <w:szCs w:val="19"/>
          <w:color w:val="auto"/>
        </w:rPr>
      </w:pPr>
    </w:p>
    <w:p>
      <w:pPr>
        <w:jc w:val="both"/>
        <w:ind w:firstLine="605"/>
        <w:spacing w:after="0" w:line="284" w:lineRule="auto"/>
        <w:tabs>
          <w:tab w:leader="none" w:pos="10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any acquisition by the Borrower or any Restricted Subsidiary of all or substantially all the assets of, or all the Equity Interests (other than directors’ qualifying shares, shares issued to foreign nationals as required by applicable law or any options for Equity Interests that cannot, as a matter of law, be cancelled, redeemed or otherwise extinguished without the express agreement of the holder thereof at or prior to acquisition) in, a Person or division, business unit or line of business of a Person (or any subsequent investment made in a Person, division, business unit or line of business previously acquired in a Permitted Acquisition), in each case in a single transaction or series of related transactions, if (i) no Event of Default shall have occurred and be continuing or would result therefrom at the time of entering in the agreement to consummate such acquisition; (ii) all transactions related thereto shall be consummated in all material respects in accordance with applicable Laws; (iii) as of the most recently ended fiscal quarter for which financial statements of the Borrower and the target are available, (A) the Borrower and the Restricted Subsidiaries shall be in compliance, on a Pro Forma Basis, with the covenant set forth in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and (B) the Total Leverage Ratio, on a Pro Forma Basis, for the Test Period most recently ended shall not be greater than 3.00:1.00, in each case, after giving effect to such acquisition or investment and any related transactions; (iv) any acquired or newly formed</w:t>
      </w:r>
    </w:p>
    <w:p>
      <w:pPr>
        <w:sectPr>
          <w:pgSz w:w="11900" w:h="16838" w:orient="portrait"/>
          <w:cols w:equalWidth="0" w:num="1">
            <w:col w:w="11420"/>
          </w:cols>
          <w:pgMar w:left="240" w:top="131" w:right="239" w:bottom="0" w:gutter="0" w:footer="0" w:header="0"/>
        </w:sectPr>
      </w:pPr>
    </w:p>
    <w:bookmarkStart w:id="102" w:name="page103"/>
    <w:bookmarkEnd w:id="102"/>
    <w:p>
      <w:pPr>
        <w:jc w:val="both"/>
        <w:spacing w:after="0" w:line="284" w:lineRule="auto"/>
        <w:rPr>
          <w:sz w:val="20"/>
          <w:szCs w:val="20"/>
          <w:color w:val="auto"/>
        </w:rPr>
      </w:pPr>
      <w:r>
        <w:rPr>
          <w:rFonts w:ascii="Arial" w:cs="Arial" w:eastAsia="Arial" w:hAnsi="Arial"/>
          <w:sz w:val="18"/>
          <w:szCs w:val="18"/>
          <w:color w:val="auto"/>
        </w:rPr>
        <w:t xml:space="preserve">Restricted Subsidiary shall not be liable for any Indebtedness except for Indebtedness otherwise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(v) to the extent required by the Collateral and Guarantee Requirement, (A) the property, assets and businesses acquired in such purchase or other acquisition shall constitute Collateral and (B) any such newly created or acquired Subsidiary (other than an Excluded Subsidiary) shall become a Guarantor, in each case, to the extent required by and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(vi) the businesses acquired in such purchase or other acquisition shall be in compliance with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and (vii) the Borrower shall have delivered to the Administrative Agent a certificate of a Responsible Officer of the Borrower certifying that the conditions set forth in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have been satisfied (any such acquisition, a “</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Investments made by Loan Parties pursuant to this </w:t>
      </w:r>
      <w:r>
        <w:rPr>
          <w:rFonts w:ascii="Arial" w:cs="Arial" w:eastAsia="Arial" w:hAnsi="Arial"/>
          <w:sz w:val="18"/>
          <w:szCs w:val="18"/>
          <w:u w:val="single" w:color="auto"/>
          <w:color w:val="auto"/>
        </w:rPr>
        <w:t>Section 7.02(h)</w:t>
      </w:r>
      <w:r>
        <w:rPr>
          <w:rFonts w:ascii="Arial" w:cs="Arial" w:eastAsia="Arial" w:hAnsi="Arial"/>
          <w:sz w:val="18"/>
          <w:szCs w:val="18"/>
          <w:color w:val="auto"/>
        </w:rPr>
        <w:t xml:space="preserve"> in assets that are not (or do not become) owned by a Loan Party or in Equity Interests in Persons that do not become Loan Parties upon consummation of such Permitted Acquisition shall not exceed $15,000,000 at any time outstanding;</w:t>
      </w:r>
    </w:p>
    <w:p>
      <w:pPr>
        <w:spacing w:after="0" w:line="149" w:lineRule="exact"/>
        <w:rPr>
          <w:sz w:val="20"/>
          <w:szCs w:val="20"/>
          <w:color w:val="auto"/>
        </w:rPr>
      </w:pPr>
    </w:p>
    <w:p>
      <w:pPr>
        <w:ind w:firstLine="605"/>
        <w:spacing w:after="0" w:line="291" w:lineRule="auto"/>
        <w:tabs>
          <w:tab w:leader="none" w:pos="1037"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UCC Article 3 endorsements for collection or deposit and UCC Article 4 customary trade arrangements with customers consistent with past practices;</w:t>
      </w:r>
    </w:p>
    <w:p>
      <w:pPr>
        <w:spacing w:after="0" w:line="134" w:lineRule="exact"/>
        <w:rPr>
          <w:rFonts w:ascii="Arial" w:cs="Arial" w:eastAsia="Arial" w:hAnsi="Arial"/>
          <w:sz w:val="20"/>
          <w:szCs w:val="20"/>
          <w:color w:val="auto"/>
        </w:rPr>
      </w:pPr>
    </w:p>
    <w:p>
      <w:pPr>
        <w:ind w:firstLine="605"/>
        <w:spacing w:after="0" w:line="319" w:lineRule="auto"/>
        <w:tabs>
          <w:tab w:leader="none" w:pos="103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Investments (including debt obligations and Equity Interests) received in connection with the bankruptcy or reorganization of suppliers and customers or in settlement of delinquent obligations of, or other disputes with, customers and suppliers;</w:t>
      </w:r>
    </w:p>
    <w:p>
      <w:pPr>
        <w:spacing w:after="0" w:line="111" w:lineRule="exact"/>
        <w:rPr>
          <w:rFonts w:ascii="Arial" w:cs="Arial" w:eastAsia="Arial" w:hAnsi="Arial"/>
          <w:sz w:val="19"/>
          <w:szCs w:val="19"/>
          <w:color w:val="auto"/>
        </w:rPr>
      </w:pPr>
    </w:p>
    <w:p>
      <w:pPr>
        <w:ind w:left="1000" w:hanging="395"/>
        <w:spacing w:after="0"/>
        <w:tabs>
          <w:tab w:leader="none" w:pos="10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w:t>
      </w:r>
    </w:p>
    <w:p>
      <w:pPr>
        <w:spacing w:after="0" w:line="223" w:lineRule="exact"/>
        <w:rPr>
          <w:rFonts w:ascii="Arial" w:cs="Arial" w:eastAsia="Arial" w:hAnsi="Arial"/>
          <w:sz w:val="20"/>
          <w:szCs w:val="20"/>
          <w:color w:val="auto"/>
        </w:rPr>
      </w:pPr>
    </w:p>
    <w:p>
      <w:pPr>
        <w:ind w:firstLine="605"/>
        <w:spacing w:after="0" w:line="291" w:lineRule="auto"/>
        <w:tabs>
          <w:tab w:leader="none" w:pos="10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Investments is made with Equity Interests (other than Disqualified Equity Interests) of the Borrower or the Net Proceeds received from the issuance thereof;</w:t>
      </w:r>
    </w:p>
    <w:p>
      <w:pPr>
        <w:spacing w:after="0" w:line="134" w:lineRule="exact"/>
        <w:rPr>
          <w:rFonts w:ascii="Arial" w:cs="Arial" w:eastAsia="Arial" w:hAnsi="Arial"/>
          <w:sz w:val="20"/>
          <w:szCs w:val="20"/>
          <w:color w:val="auto"/>
        </w:rPr>
      </w:pPr>
    </w:p>
    <w:p>
      <w:pPr>
        <w:jc w:val="both"/>
        <w:ind w:firstLine="605"/>
        <w:spacing w:after="0" w:line="276" w:lineRule="auto"/>
        <w:tabs>
          <w:tab w:leader="none" w:pos="106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Investments of a Restricted Subsidiary acquired after the Restatement Effective Date pursuant to a Permitted Acquisition or of a corporation merged or amalgamated or consolidated into the Borrower or merged, amalgamated or consolidated with a Restricted Subsidiary, in each case in accordance with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after the Restatement Effective Date, to the extent that such Investments were not made in contemplation of or in connection with such acquisition, merger, amalgamation or consolidation and were in existence on the date of such acquisition, merger or consolidation;</w:t>
      </w:r>
    </w:p>
    <w:p>
      <w:pPr>
        <w:spacing w:after="0" w:line="153" w:lineRule="exact"/>
        <w:rPr>
          <w:rFonts w:ascii="Arial" w:cs="Arial" w:eastAsia="Arial" w:hAnsi="Arial"/>
          <w:sz w:val="19"/>
          <w:szCs w:val="19"/>
          <w:color w:val="auto"/>
        </w:rPr>
      </w:pPr>
    </w:p>
    <w:p>
      <w:pPr>
        <w:jc w:val="both"/>
        <w:ind w:firstLine="605"/>
        <w:spacing w:after="0" w:line="270" w:lineRule="auto"/>
        <w:tabs>
          <w:tab w:leader="none" w:pos="107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Investments made by any Restricted Subsidiary that is not a Loan Party to the extent such Investments are financed with the proceeds received by such Restricted Subsidiary from an Investment in such Restricted Subsidiary made pursuant to </w:t>
      </w:r>
      <w:r>
        <w:rPr>
          <w:rFonts w:ascii="Arial" w:cs="Arial" w:eastAsia="Arial" w:hAnsi="Arial"/>
          <w:sz w:val="20"/>
          <w:szCs w:val="20"/>
          <w:u w:val="single" w:color="auto"/>
          <w:color w:val="auto"/>
        </w:rPr>
        <w:t>Section 7.02(c)(iii)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7.02(p)</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605"/>
        <w:spacing w:after="0" w:line="270" w:lineRule="auto"/>
        <w:tabs>
          <w:tab w:leader="none" w:pos="1145" w:val="left"/>
        </w:tabs>
        <w:numPr>
          <w:ilvl w:val="0"/>
          <w:numId w:val="135"/>
        </w:numPr>
        <w:rPr>
          <w:rFonts w:ascii="Arial" w:cs="Arial" w:eastAsia="Arial" w:hAnsi="Arial"/>
          <w:sz w:val="20"/>
          <w:szCs w:val="20"/>
          <w:color w:val="auto"/>
        </w:rPr>
      </w:pPr>
      <w:r>
        <w:rPr>
          <w:rFonts w:ascii="Arial" w:cs="Arial" w:eastAsia="Arial" w:hAnsi="Arial"/>
          <w:sz w:val="20"/>
          <w:szCs w:val="20"/>
          <w:color w:val="auto"/>
        </w:rPr>
        <w:t>Guarantees by the Borrower or any Restricted Subsidiary of operating leases (other than Capitalized Leases) or of other obligations that do not constitute Indebtedness, in each case, which leases or other obligations are entered into by the Borrower or any Guarantor in the ordinary course of business;</w:t>
      </w:r>
    </w:p>
    <w:p>
      <w:pPr>
        <w:spacing w:after="0" w:line="155" w:lineRule="exact"/>
        <w:rPr>
          <w:rFonts w:ascii="Arial" w:cs="Arial" w:eastAsia="Arial" w:hAnsi="Arial"/>
          <w:sz w:val="20"/>
          <w:szCs w:val="20"/>
          <w:color w:val="auto"/>
        </w:rPr>
      </w:pPr>
    </w:p>
    <w:p>
      <w:pPr>
        <w:jc w:val="both"/>
        <w:ind w:firstLine="605"/>
        <w:spacing w:after="0" w:line="285" w:lineRule="auto"/>
        <w:tabs>
          <w:tab w:leader="none" w:pos="10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other Investments (including for Permitted Acquisitions) in an aggregate amount outstanding pursuant to this clause (p) at any time not to exceed (x) together with (I) the aggregate amount of Restricted Payments made under sub-clause (x) of </w:t>
      </w:r>
      <w:r>
        <w:rPr>
          <w:rFonts w:ascii="Arial" w:cs="Arial" w:eastAsia="Arial" w:hAnsi="Arial"/>
          <w:sz w:val="18"/>
          <w:szCs w:val="18"/>
          <w:u w:val="single" w:color="auto"/>
          <w:color w:val="auto"/>
        </w:rPr>
        <w:t>Section 7.06(e)</w:t>
      </w:r>
      <w:r>
        <w:rPr>
          <w:rFonts w:ascii="Arial" w:cs="Arial" w:eastAsia="Arial" w:hAnsi="Arial"/>
          <w:sz w:val="18"/>
          <w:szCs w:val="18"/>
          <w:color w:val="auto"/>
        </w:rPr>
        <w:t xml:space="preserve"> and (II) the aggregate amount of prepayments, redemptions, purchases, defeasances and other payments made pursuant to sub-clause (x)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7.13(a)(vi)</w:t>
      </w:r>
      <w:r>
        <w:rPr>
          <w:rFonts w:ascii="Arial" w:cs="Arial" w:eastAsia="Arial" w:hAnsi="Arial"/>
          <w:sz w:val="18"/>
          <w:szCs w:val="18"/>
          <w:color w:val="auto"/>
        </w:rPr>
        <w:t xml:space="preserve">, $30,000,000 plus, (y) the portion, if any, of the Cumulative Credit on the date of such election that the Borrower elects to apply to this subclause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Investment made pursuant to this </w:t>
      </w:r>
      <w:r>
        <w:rPr>
          <w:rFonts w:ascii="Arial" w:cs="Arial" w:eastAsia="Arial" w:hAnsi="Arial"/>
          <w:sz w:val="18"/>
          <w:szCs w:val="18"/>
          <w:u w:val="single" w:color="auto"/>
          <w:color w:val="auto"/>
        </w:rPr>
        <w:t>Section 7.02(p)</w:t>
      </w:r>
      <w:r>
        <w:rPr>
          <w:rFonts w:ascii="Arial" w:cs="Arial" w:eastAsia="Arial" w:hAnsi="Arial"/>
          <w:sz w:val="18"/>
          <w:szCs w:val="18"/>
          <w:color w:val="auto"/>
        </w:rPr>
        <w:t>, (A) no Event of Default shall have occurred and be continuing or would result from the making of any such Investment and (B) with respect to Investments made in reliance on this subclause (y) (i) other than Investments made in Restricted Subsidiaries organized under the laws of Canada or Mexico or, in each case, any political subdivision thereof, on a Pro Forma Basis after giving effect thereto the Total Leverage Ratio is equal to or less than 2.00:1.00 or (ii) with respect to Investments in Restricted Subsidiaries organized under the laws of Canada or Mexico or, in each case, any political subdivision thereof, on a Pro Forma Basis after giving effect thereto the Total Leverage Ratio is equal to or less than 4.00:1.00;</w:t>
      </w:r>
    </w:p>
    <w:p>
      <w:pPr>
        <w:spacing w:after="0" w:line="147" w:lineRule="exact"/>
        <w:rPr>
          <w:rFonts w:ascii="Arial" w:cs="Arial" w:eastAsia="Arial" w:hAnsi="Arial"/>
          <w:sz w:val="18"/>
          <w:szCs w:val="18"/>
          <w:color w:val="auto"/>
        </w:rPr>
      </w:pPr>
    </w:p>
    <w:p>
      <w:pPr>
        <w:ind w:firstLine="605"/>
        <w:spacing w:after="0" w:line="291" w:lineRule="auto"/>
        <w:tabs>
          <w:tab w:leader="none" w:pos="107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 make lease, utility and other similar deposits or any other advance or deposit permitted by this Agreement in the ordinary course of business or (ii) make prepayments and deposits to suppliers in the ordinary course of business;</w:t>
      </w:r>
    </w:p>
    <w:p>
      <w:pPr>
        <w:spacing w:after="0" w:line="134" w:lineRule="exact"/>
        <w:rPr>
          <w:rFonts w:ascii="Arial" w:cs="Arial" w:eastAsia="Arial" w:hAnsi="Arial"/>
          <w:sz w:val="20"/>
          <w:szCs w:val="20"/>
          <w:color w:val="auto"/>
        </w:rPr>
      </w:pPr>
    </w:p>
    <w:p>
      <w:pPr>
        <w:ind w:left="980" w:hanging="375"/>
        <w:spacing w:after="0"/>
        <w:tabs>
          <w:tab w:leader="none" w:pos="9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to the extent constituting Investments, capital expenditures otherwise permitted under this Agreement;</w:t>
      </w:r>
    </w:p>
    <w:p>
      <w:pPr>
        <w:spacing w:after="0" w:line="223" w:lineRule="exact"/>
        <w:rPr>
          <w:rFonts w:ascii="Arial" w:cs="Arial" w:eastAsia="Arial" w:hAnsi="Arial"/>
          <w:sz w:val="20"/>
          <w:szCs w:val="20"/>
          <w:color w:val="auto"/>
        </w:rPr>
      </w:pPr>
    </w:p>
    <w:p>
      <w:pPr>
        <w:ind w:left="980" w:hanging="375"/>
        <w:spacing w:after="0"/>
        <w:tabs>
          <w:tab w:leader="none" w:pos="9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Investments in deposit accounts or securities accounts opened in the ordinary course of business;</w:t>
      </w:r>
    </w:p>
    <w:p>
      <w:pPr>
        <w:spacing w:after="0" w:line="223" w:lineRule="exact"/>
        <w:rPr>
          <w:rFonts w:ascii="Arial" w:cs="Arial" w:eastAsia="Arial" w:hAnsi="Arial"/>
          <w:sz w:val="20"/>
          <w:szCs w:val="20"/>
          <w:color w:val="auto"/>
        </w:rPr>
      </w:pPr>
    </w:p>
    <w:p>
      <w:pPr>
        <w:ind w:firstLine="605"/>
        <w:spacing w:after="0" w:line="291" w:lineRule="auto"/>
        <w:tabs>
          <w:tab w:leader="none" w:pos="1025"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repurchase, retirement or repayment of any Indebtedness to the extent not otherwise prohibited by this Agreement, including, without limitation, acquisitions of Term Loans pursuant to </w:t>
      </w:r>
      <w:r>
        <w:rPr>
          <w:rFonts w:ascii="Arial" w:cs="Arial" w:eastAsia="Arial" w:hAnsi="Arial"/>
          <w:sz w:val="20"/>
          <w:szCs w:val="20"/>
          <w:u w:val="single" w:color="auto"/>
          <w:color w:val="auto"/>
        </w:rPr>
        <w:t>Section 10.04</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jc w:val="both"/>
        <w:ind w:firstLine="605"/>
        <w:spacing w:after="0" w:line="257" w:lineRule="auto"/>
        <w:tabs>
          <w:tab w:leader="none" w:pos="115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Investments (including by consideration in the form of cash, Cash Equivalents, contributing receivables and through subordinated notes) in any Receivables Facility or any Securitization Subsidiary or other Subsidiary that in turn then transfers Securitization Assets to a Securitization Subsidiary in order to effectuate a Qualified Securitization Financing, including the ownership of Equity Interests in such Securitization Subsidiary and (b) distributions or payments of Securitization Fees and purchases of Securitization Assets or Receivables Assets pursuant to a Securitization Purchase Obligation in connection with a Qualified Securitization Financing or a Receivables Facility;</w:t>
      </w:r>
    </w:p>
    <w:p>
      <w:pPr>
        <w:spacing w:after="0" w:line="170" w:lineRule="exact"/>
        <w:rPr>
          <w:rFonts w:ascii="Arial" w:cs="Arial" w:eastAsia="Arial" w:hAnsi="Arial"/>
          <w:sz w:val="20"/>
          <w:szCs w:val="20"/>
          <w:color w:val="auto"/>
        </w:rPr>
      </w:pPr>
    </w:p>
    <w:p>
      <w:pPr>
        <w:jc w:val="both"/>
        <w:ind w:firstLine="605"/>
        <w:spacing w:after="0" w:line="270" w:lineRule="auto"/>
        <w:tabs>
          <w:tab w:leader="none" w:pos="1082"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Investments consisting of or resulting from (i) Indebtedness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(ii) Liens permitted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w:t>
      </w:r>
      <w:r>
        <w:rPr>
          <w:rFonts w:ascii="Arial" w:cs="Arial" w:eastAsia="Arial" w:hAnsi="Arial"/>
          <w:sz w:val="20"/>
          <w:szCs w:val="20"/>
          <w:color w:val="auto"/>
        </w:rPr>
        <w:t xml:space="preserve">, (iii) Restricted Payments permitted under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(iv) Dispositions permitted by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and (v) fundamental changes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1060" w:hanging="455"/>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Investments solely to the extent such Investments reflect an increase in the value of Investments otherwise permitted under this</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ectPr>
          <w:pgSz w:w="11900" w:h="16838" w:orient="portrait"/>
          <w:cols w:equalWidth="0" w:num="1">
            <w:col w:w="11420"/>
          </w:cols>
          <w:pgMar w:left="240" w:top="131" w:right="239" w:bottom="25" w:gutter="0" w:footer="0" w:header="0"/>
        </w:sectPr>
      </w:pPr>
    </w:p>
    <w:bookmarkStart w:id="103" w:name="page104"/>
    <w:bookmarkEnd w:id="103"/>
    <w:p>
      <w:pPr>
        <w:jc w:val="both"/>
        <w:ind w:firstLine="605"/>
        <w:spacing w:after="0" w:line="270" w:lineRule="auto"/>
        <w:tabs>
          <w:tab w:leader="none" w:pos="107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loans and advances to Borrower in lieu of, and not in excess of the amount of (after giving effect to any other such loans or advances or Restricted Payments in respect thereof), Restricted Payments to the extent permitted to be made in accordance with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7.06(i)</w:t>
      </w:r>
      <w:r>
        <w:rPr>
          <w:rFonts w:ascii="Arial" w:cs="Arial" w:eastAsia="Arial" w:hAnsi="Arial"/>
          <w:sz w:val="20"/>
          <w:szCs w:val="20"/>
          <w:color w:val="auto"/>
        </w:rPr>
        <w:t>); and</w:t>
      </w:r>
    </w:p>
    <w:p>
      <w:pPr>
        <w:spacing w:after="0" w:line="155" w:lineRule="exact"/>
        <w:rPr>
          <w:rFonts w:ascii="Arial" w:cs="Arial" w:eastAsia="Arial" w:hAnsi="Arial"/>
          <w:sz w:val="20"/>
          <w:szCs w:val="20"/>
          <w:color w:val="auto"/>
        </w:rPr>
      </w:pPr>
    </w:p>
    <w:p>
      <w:pPr>
        <w:jc w:val="both"/>
        <w:ind w:firstLine="605"/>
        <w:spacing w:after="0" w:line="290" w:lineRule="auto"/>
        <w:tabs>
          <w:tab w:leader="none" w:pos="1132" w:val="left"/>
        </w:tabs>
        <w:numPr>
          <w:ilvl w:val="0"/>
          <w:numId w:val="136"/>
        </w:numPr>
        <w:rPr>
          <w:rFonts w:ascii="Arial" w:cs="Arial" w:eastAsia="Arial" w:hAnsi="Arial"/>
          <w:sz w:val="19"/>
          <w:szCs w:val="19"/>
          <w:color w:val="auto"/>
        </w:rPr>
      </w:pPr>
      <w:r>
        <w:rPr>
          <w:rFonts w:ascii="Arial" w:cs="Arial" w:eastAsia="Arial" w:hAnsi="Arial"/>
          <w:sz w:val="19"/>
          <w:szCs w:val="19"/>
          <w:color w:val="auto"/>
        </w:rPr>
        <w:t>Guarantee obligations of the Borrower or any Restricted Subsidiary in respect of letters of support, guarantees or similar obligations issued, made or incurred for the benefit of any Restricted Subsidiary of the Borrower to the extent required by law or in connection with any statutory filing or the delivery of audit opinions performed in jurisdictions other than within the United States.</w:t>
      </w:r>
    </w:p>
    <w:p>
      <w:pPr>
        <w:spacing w:after="0" w:line="139" w:lineRule="exact"/>
        <w:rPr>
          <w:sz w:val="20"/>
          <w:szCs w:val="20"/>
          <w:color w:val="auto"/>
        </w:rPr>
      </w:pPr>
    </w:p>
    <w:p>
      <w:pPr>
        <w:ind w:firstLine="604"/>
        <w:spacing w:after="0" w:line="291" w:lineRule="auto"/>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i w:val="1"/>
          <w:iCs w:val="1"/>
          <w:color w:val="auto"/>
        </w:rPr>
        <w:t>Indebtedness.</w:t>
      </w:r>
      <w:r>
        <w:rPr>
          <w:rFonts w:ascii="Arial" w:cs="Arial" w:eastAsia="Arial" w:hAnsi="Arial"/>
          <w:sz w:val="20"/>
          <w:szCs w:val="20"/>
          <w:color w:val="auto"/>
        </w:rPr>
        <w:t xml:space="preserve"> The Borrower shall not, nor shall it permit any Restricted Subsidiary to, directly or indirectly, create, incur, assume or suffer to exist any Indebtedness, except:</w:t>
      </w:r>
    </w:p>
    <w:p>
      <w:pPr>
        <w:spacing w:after="0" w:line="134" w:lineRule="exact"/>
        <w:rPr>
          <w:sz w:val="20"/>
          <w:szCs w:val="20"/>
          <w:color w:val="auto"/>
        </w:rPr>
      </w:pPr>
    </w:p>
    <w:p>
      <w:pPr>
        <w:ind w:left="1000" w:hanging="395"/>
        <w:spacing w:after="0"/>
        <w:tabs>
          <w:tab w:leader="none" w:pos="100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Indebtedness of any Loan Party under the Loan Documents;</w:t>
      </w:r>
    </w:p>
    <w:p>
      <w:pPr>
        <w:spacing w:after="0" w:line="223" w:lineRule="exact"/>
        <w:rPr>
          <w:rFonts w:ascii="Arial" w:cs="Arial" w:eastAsia="Arial" w:hAnsi="Arial"/>
          <w:sz w:val="20"/>
          <w:szCs w:val="20"/>
          <w:color w:val="auto"/>
        </w:rPr>
      </w:pPr>
    </w:p>
    <w:p>
      <w:pPr>
        <w:jc w:val="both"/>
        <w:ind w:firstLine="605"/>
        <w:spacing w:after="0" w:line="259" w:lineRule="auto"/>
        <w:tabs>
          <w:tab w:leader="none" w:pos="105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(i) Indebtedness outstanding on the Restatement Effective Date and listed on </w:t>
      </w:r>
      <w:r>
        <w:rPr>
          <w:rFonts w:ascii="Arial" w:cs="Arial" w:eastAsia="Arial" w:hAnsi="Arial"/>
          <w:sz w:val="20"/>
          <w:szCs w:val="20"/>
          <w:u w:val="single" w:color="auto"/>
          <w:color w:val="auto"/>
        </w:rPr>
        <w:t>Schedule 7.03(b)</w:t>
      </w:r>
      <w:r>
        <w:rPr>
          <w:rFonts w:ascii="Arial" w:cs="Arial" w:eastAsia="Arial" w:hAnsi="Arial"/>
          <w:sz w:val="20"/>
          <w:szCs w:val="20"/>
          <w:color w:val="auto"/>
        </w:rPr>
        <w:t xml:space="preserve"> and any Permitted Refinancing thereof and (ii) intercompany Indebtedness outstanding on the Restatement Effective Date and any Permitted Refinancing thereof; </w:t>
      </w:r>
      <w:r>
        <w:rPr>
          <w:rFonts w:ascii="Arial" w:cs="Arial" w:eastAsia="Arial" w:hAnsi="Arial"/>
          <w:sz w:val="20"/>
          <w:szCs w:val="20"/>
          <w:i w:val="1"/>
          <w:iCs w:val="1"/>
          <w:color w:val="auto"/>
        </w:rPr>
        <w:t>provided</w:t>
      </w:r>
      <w:r>
        <w:rPr>
          <w:rFonts w:ascii="Arial" w:cs="Arial" w:eastAsia="Arial" w:hAnsi="Arial"/>
          <w:sz w:val="20"/>
          <w:szCs w:val="20"/>
          <w:color w:val="auto"/>
        </w:rPr>
        <w:t>, that (x) any intercompany Indebtedness shall be evidenced by an Intercompany Note and (y) any intercompany Indebtedness of any Loan Party owed to any Person that is not a Loan Party shall be unsecured and subordinated to the Obligations pursuant to the subordination provisions reasonably acceptable to the Required Lenders;</w:t>
      </w:r>
    </w:p>
    <w:p>
      <w:pPr>
        <w:spacing w:after="0" w:line="168" w:lineRule="exact"/>
        <w:rPr>
          <w:rFonts w:ascii="Arial" w:cs="Arial" w:eastAsia="Arial" w:hAnsi="Arial"/>
          <w:sz w:val="20"/>
          <w:szCs w:val="20"/>
          <w:color w:val="auto"/>
        </w:rPr>
      </w:pPr>
    </w:p>
    <w:p>
      <w:pPr>
        <w:jc w:val="both"/>
        <w:ind w:firstLine="605"/>
        <w:spacing w:after="0" w:line="287" w:lineRule="auto"/>
        <w:tabs>
          <w:tab w:leader="none" w:pos="113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Guarantees by the Borrower and any Restricted Subsidiary in respect of Indebtedness of the Borrower or any Restricted Subsidiary of the Borrower otherwise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Guarantee by any Restricted Subsidiary of any ABL Facility Indebtedness, any Junior Financing, any Permitted Additional Debt or any Permitted Refinancing of any of the foregoing shall be permitted unless such guaranteeing party shall have also provided a Guarantee of the Obligations on the terms set forth herein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clause (i) shall not apply in the case of a Guarantee by any Foreign Subsidiary that is not a Loan Party of any Indebtedness of another Foreign Subsidiary that is not a Loan Party), and (ii) if the Indebtedness being Guaranteed is Junior Financing that is, or is required by this Agreement to be, Subordinated Indebtedness, such Guarantee shall be subordinated to the Guarantee of the Obligations on terms (taken as a whole) at least as favorable to the Lenders as those contained in the subordination of such Junior Financing;</w:t>
      </w:r>
    </w:p>
    <w:p>
      <w:pPr>
        <w:spacing w:after="0" w:line="146" w:lineRule="exact"/>
        <w:rPr>
          <w:rFonts w:ascii="Arial" w:cs="Arial" w:eastAsia="Arial" w:hAnsi="Arial"/>
          <w:sz w:val="18"/>
          <w:szCs w:val="18"/>
          <w:color w:val="auto"/>
        </w:rPr>
      </w:pPr>
    </w:p>
    <w:p>
      <w:pPr>
        <w:jc w:val="both"/>
        <w:ind w:firstLine="605"/>
        <w:spacing w:after="0" w:line="257" w:lineRule="auto"/>
        <w:tabs>
          <w:tab w:leader="none" w:pos="10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Indebtedness (other than Indebtedness permitted under </w:t>
      </w:r>
      <w:r>
        <w:rPr>
          <w:rFonts w:ascii="Arial" w:cs="Arial" w:eastAsia="Arial" w:hAnsi="Arial"/>
          <w:sz w:val="20"/>
          <w:szCs w:val="20"/>
          <w:u w:val="single" w:color="auto"/>
          <w:color w:val="auto"/>
        </w:rPr>
        <w:t>Section 7.03(b)</w:t>
      </w:r>
      <w:r>
        <w:rPr>
          <w:rFonts w:ascii="Arial" w:cs="Arial" w:eastAsia="Arial" w:hAnsi="Arial"/>
          <w:sz w:val="20"/>
          <w:szCs w:val="20"/>
          <w:color w:val="auto"/>
        </w:rPr>
        <w:t xml:space="preserve">) of the Borrower or any Restricted Subsidiary owing to any Loan Party or any other Restricted Subsidiary (or consisting of a Guaranty on behalf of any Loan Party or any other Restricted Subsidiary) to the extent constituting an Investment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(other than clause (v)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(x) all such Indebtedness shall be evidenced by an Intercompany Note and (y) all such Indebtedness of any Loan Party owed to any Person that is not a Loan Party shall be unsecured and subordinated to the Obligations pursuant to the subordination provisions reasonably acceptable to the Required Lenders;</w:t>
      </w:r>
    </w:p>
    <w:p>
      <w:pPr>
        <w:spacing w:after="0" w:line="170" w:lineRule="exact"/>
        <w:rPr>
          <w:rFonts w:ascii="Arial" w:cs="Arial" w:eastAsia="Arial" w:hAnsi="Arial"/>
          <w:sz w:val="20"/>
          <w:szCs w:val="20"/>
          <w:color w:val="auto"/>
        </w:rPr>
      </w:pPr>
    </w:p>
    <w:p>
      <w:pPr>
        <w:jc w:val="both"/>
        <w:ind w:firstLine="605"/>
        <w:spacing w:after="0" w:line="263" w:lineRule="auto"/>
        <w:tabs>
          <w:tab w:leader="none" w:pos="104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Attributable Indebtedness and other Indebtedness of the Borrower or any Restricted Subsidiary (including Capitalized Leases) financing an acquisition, construction, repair, replacement, lease or improvement of a fixed or capital asset incurred prior to or within 270 days after the acquisition, lease or improvement of the applicable asset in an aggregate amount (together with any Permitted Refinancings thereof) not to exceed $50,000,000 at any time outstanding;</w:t>
      </w:r>
    </w:p>
    <w:p>
      <w:pPr>
        <w:spacing w:after="0" w:line="162" w:lineRule="exact"/>
        <w:rPr>
          <w:rFonts w:ascii="Arial" w:cs="Arial" w:eastAsia="Arial" w:hAnsi="Arial"/>
          <w:sz w:val="20"/>
          <w:szCs w:val="20"/>
          <w:color w:val="auto"/>
        </w:rPr>
      </w:pPr>
    </w:p>
    <w:p>
      <w:pPr>
        <w:ind w:firstLine="605"/>
        <w:spacing w:after="0" w:line="319" w:lineRule="auto"/>
        <w:tabs>
          <w:tab w:leader="none" w:pos="99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Indebtedness in respect of Swap Contracts designed to hedge against the Borrower’s or any Restricted Subsidiary’s exposure to interest rates, foreign exchange rates or commodities (including fuel) pricing risks incurred not for speculative purposes;</w:t>
      </w:r>
    </w:p>
    <w:p>
      <w:pPr>
        <w:spacing w:after="0" w:line="111" w:lineRule="exact"/>
        <w:rPr>
          <w:rFonts w:ascii="Arial" w:cs="Arial" w:eastAsia="Arial" w:hAnsi="Arial"/>
          <w:sz w:val="19"/>
          <w:szCs w:val="19"/>
          <w:color w:val="auto"/>
        </w:rPr>
      </w:pPr>
    </w:p>
    <w:p>
      <w:pPr>
        <w:jc w:val="both"/>
        <w:ind w:firstLine="605"/>
        <w:spacing w:after="0" w:line="256" w:lineRule="auto"/>
        <w:tabs>
          <w:tab w:leader="none" w:pos="110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Indebtedness of the Borrower or any Restricted Subsidiary assumed in connection with any Permitted Acquisition or other Investment permitted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 such Indebtedness is not incurred in contemplation of such Permitted Acquisition or Investment, and any Permitted Refinancing thereof, (x) such Indebtedness and all Indebtedness resulting from a Permitted Refinancing thereof is unsecured (except for Liens permitted by </w:t>
      </w:r>
      <w:r>
        <w:rPr>
          <w:rFonts w:ascii="Arial" w:cs="Arial" w:eastAsia="Arial" w:hAnsi="Arial"/>
          <w:sz w:val="20"/>
          <w:szCs w:val="20"/>
          <w:u w:val="single" w:color="auto"/>
          <w:color w:val="auto"/>
        </w:rPr>
        <w:t>Section 7.01(s)</w:t>
      </w:r>
      <w:r>
        <w:rPr>
          <w:rFonts w:ascii="Arial" w:cs="Arial" w:eastAsia="Arial" w:hAnsi="Arial"/>
          <w:sz w:val="20"/>
          <w:szCs w:val="20"/>
          <w:color w:val="auto"/>
        </w:rPr>
        <w:t>), and (y) both immediately prior and after giving effect thereto, (1) no Event of Default shall exist or result therefrom, and (2) immediately after giving effect to the related Permitted Acquisition or Investment and the assumption of Indebtedness, the Total Leverage Ratio, on a Pro Forma Basis, for the Test Period most recently ended shall not be greater than 3.00:1.00;</w:t>
      </w:r>
    </w:p>
    <w:p>
      <w:pPr>
        <w:spacing w:after="0" w:line="170" w:lineRule="exact"/>
        <w:rPr>
          <w:rFonts w:ascii="Arial" w:cs="Arial" w:eastAsia="Arial" w:hAnsi="Arial"/>
          <w:sz w:val="20"/>
          <w:szCs w:val="20"/>
          <w:color w:val="auto"/>
        </w:rPr>
      </w:pPr>
    </w:p>
    <w:p>
      <w:pPr>
        <w:ind w:firstLine="605"/>
        <w:spacing w:after="0" w:line="350" w:lineRule="auto"/>
        <w:tabs>
          <w:tab w:leader="none" w:pos="103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the Borrower or any of its Restricted Subsidiaries incurred in the ordinary course of business and other obligations and liabilities arising under employee benefit plans in the ordinary course of business;</w:t>
      </w:r>
    </w:p>
    <w:p>
      <w:pPr>
        <w:spacing w:after="0" w:line="88" w:lineRule="exact"/>
        <w:rPr>
          <w:rFonts w:ascii="Arial" w:cs="Arial" w:eastAsia="Arial" w:hAnsi="Arial"/>
          <w:sz w:val="18"/>
          <w:szCs w:val="18"/>
          <w:color w:val="auto"/>
        </w:rPr>
      </w:pPr>
    </w:p>
    <w:p>
      <w:pPr>
        <w:jc w:val="both"/>
        <w:ind w:firstLine="605"/>
        <w:spacing w:after="0" w:line="270" w:lineRule="auto"/>
        <w:tabs>
          <w:tab w:leader="none" w:pos="98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Indebtedness consisting of unsecured promissory notes issued by the Borrower or any of its Restricted Subsidiaries to current or former officers, managers, consultants, directors and employees, their respective estates, spouses or former spouses to finance the purchase or redemption of Equity Interests of the Borrower permitted by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605"/>
        <w:spacing w:after="0" w:line="290" w:lineRule="auto"/>
        <w:tabs>
          <w:tab w:leader="none" w:pos="103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Restricted Subsidiaries in a Permitted Acquisition, any other Investment expressly permitted hereunder or any Disposition expressly permitted hereunder, in each case, constituting indemnification obligations or obligations in respect of purchase price (including earnouts and holdbacks) or other similar adjustments;</w:t>
      </w:r>
    </w:p>
    <w:p>
      <w:pPr>
        <w:spacing w:after="0" w:line="139" w:lineRule="exact"/>
        <w:rPr>
          <w:rFonts w:ascii="Arial" w:cs="Arial" w:eastAsia="Arial" w:hAnsi="Arial"/>
          <w:sz w:val="19"/>
          <w:szCs w:val="19"/>
          <w:color w:val="auto"/>
        </w:rPr>
      </w:pPr>
    </w:p>
    <w:p>
      <w:pPr>
        <w:jc w:val="both"/>
        <w:ind w:firstLine="605"/>
        <w:spacing w:after="0" w:line="270" w:lineRule="auto"/>
        <w:tabs>
          <w:tab w:leader="none" w:pos="100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Indebtedness in respect of treasury, depository, credit card, debit card and cash management services or automated clearinghouse transfer of funds, overdraft or any similar services incurred in the ordinary course of business or any similar cash management services relating or secured pursuant to the ABL Facility and any hedges related to the ABL Facility;</w:t>
      </w:r>
    </w:p>
    <w:p>
      <w:pPr>
        <w:spacing w:after="0" w:line="155" w:lineRule="exact"/>
        <w:rPr>
          <w:rFonts w:ascii="Arial" w:cs="Arial" w:eastAsia="Arial" w:hAnsi="Arial"/>
          <w:sz w:val="20"/>
          <w:szCs w:val="20"/>
          <w:color w:val="auto"/>
        </w:rPr>
      </w:pPr>
    </w:p>
    <w:p>
      <w:pPr>
        <w:ind w:firstLine="605"/>
        <w:spacing w:after="0" w:line="291" w:lineRule="auto"/>
        <w:tabs>
          <w:tab w:leader="none" w:pos="97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 or take-or-pay obligations contained in supply arrangements that do not constitute Guarantees, in each case, in the ordinary course of business;</w:t>
      </w:r>
    </w:p>
    <w:p>
      <w:pPr>
        <w:sectPr>
          <w:pgSz w:w="11900" w:h="16838" w:orient="portrait"/>
          <w:cols w:equalWidth="0" w:num="1">
            <w:col w:w="11420"/>
          </w:cols>
          <w:pgMar w:left="240" w:top="131" w:right="239" w:bottom="156" w:gutter="0" w:footer="0" w:header="0"/>
        </w:sectPr>
      </w:pPr>
    </w:p>
    <w:bookmarkStart w:id="104" w:name="page105"/>
    <w:bookmarkEnd w:id="104"/>
    <w:p>
      <w:pPr>
        <w:spacing w:after="0" w:line="17" w:lineRule="exact"/>
        <w:rPr>
          <w:sz w:val="20"/>
          <w:szCs w:val="20"/>
          <w:color w:val="auto"/>
        </w:rPr>
      </w:pPr>
    </w:p>
    <w:p>
      <w:pPr>
        <w:jc w:val="both"/>
        <w:ind w:firstLine="605"/>
        <w:spacing w:after="0" w:line="259" w:lineRule="auto"/>
        <w:tabs>
          <w:tab w:leader="none" w:pos="1151"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Indebtedness incurred by the Borrower or any of its Restricted Subsidiaries in respect of letters of credit, bank guarantees, bankers’ acceptances or similar instruments issued or created in the ordinary course of business and not in connection with the borrowing of money, including in respect of workers compensation claims, health, disability or other employee benefits or property, casualty or liability insurance or self-insurance or other Indebtedness incurred in the ordinary course of business with respect to reimbursement-type obligations regarding workers compensation claims;</w:t>
      </w:r>
    </w:p>
    <w:p>
      <w:pPr>
        <w:spacing w:after="0" w:line="168" w:lineRule="exact"/>
        <w:rPr>
          <w:rFonts w:ascii="Arial" w:cs="Arial" w:eastAsia="Arial" w:hAnsi="Arial"/>
          <w:sz w:val="20"/>
          <w:szCs w:val="20"/>
          <w:color w:val="auto"/>
        </w:rPr>
      </w:pPr>
    </w:p>
    <w:p>
      <w:pPr>
        <w:jc w:val="both"/>
        <w:ind w:firstLine="605"/>
        <w:spacing w:after="0" w:line="263" w:lineRule="auto"/>
        <w:tabs>
          <w:tab w:leader="none" w:pos="1095" w:val="left"/>
        </w:tabs>
        <w:numPr>
          <w:ilvl w:val="0"/>
          <w:numId w:val="138"/>
        </w:numPr>
        <w:rPr>
          <w:rFonts w:ascii="Arial" w:cs="Arial" w:eastAsia="Arial" w:hAnsi="Arial"/>
          <w:sz w:val="20"/>
          <w:szCs w:val="20"/>
          <w:color w:val="auto"/>
        </w:rPr>
      </w:pPr>
      <w:r>
        <w:rPr>
          <w:rFonts w:ascii="Arial" w:cs="Arial" w:eastAsia="Arial" w:hAnsi="Arial"/>
          <w:sz w:val="20"/>
          <w:szCs w:val="20"/>
          <w:color w:val="auto"/>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 and not in connection with the borrowing of money or Swap Contracts;</w:t>
      </w:r>
    </w:p>
    <w:p>
      <w:pPr>
        <w:spacing w:after="0" w:line="162" w:lineRule="exact"/>
        <w:rPr>
          <w:rFonts w:ascii="Arial" w:cs="Arial" w:eastAsia="Arial" w:hAnsi="Arial"/>
          <w:sz w:val="20"/>
          <w:szCs w:val="20"/>
          <w:color w:val="auto"/>
        </w:rPr>
      </w:pPr>
    </w:p>
    <w:p>
      <w:pPr>
        <w:jc w:val="both"/>
        <w:ind w:firstLine="605"/>
        <w:spacing w:after="0" w:line="270" w:lineRule="auto"/>
        <w:tabs>
          <w:tab w:leader="none" w:pos="107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(i) ABL Facility Indebtedness and (ii) any Permitted Refinancing thereof, in each case, of the Loan Parties;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principal amount outstanding at any time of all such Indebtedness under clauses (i) and (ii) and </w:t>
      </w:r>
      <w:r>
        <w:rPr>
          <w:rFonts w:ascii="Arial" w:cs="Arial" w:eastAsia="Arial" w:hAnsi="Arial"/>
          <w:sz w:val="20"/>
          <w:szCs w:val="20"/>
          <w:u w:val="single" w:color="auto"/>
          <w:color w:val="auto"/>
        </w:rPr>
        <w:t>Section 7.03(z)</w:t>
      </w:r>
      <w:r>
        <w:rPr>
          <w:rFonts w:ascii="Arial" w:cs="Arial" w:eastAsia="Arial" w:hAnsi="Arial"/>
          <w:sz w:val="20"/>
          <w:szCs w:val="20"/>
          <w:color w:val="auto"/>
        </w:rPr>
        <w:t xml:space="preserve"> shall not exceed $550,000,000;</w:t>
      </w:r>
    </w:p>
    <w:p>
      <w:pPr>
        <w:spacing w:after="0" w:line="155" w:lineRule="exact"/>
        <w:rPr>
          <w:rFonts w:ascii="Arial" w:cs="Arial" w:eastAsia="Arial" w:hAnsi="Arial"/>
          <w:sz w:val="20"/>
          <w:szCs w:val="20"/>
          <w:color w:val="auto"/>
        </w:rPr>
      </w:pPr>
    </w:p>
    <w:p>
      <w:pPr>
        <w:ind w:left="1000" w:hanging="395"/>
        <w:spacing w:after="0"/>
        <w:tabs>
          <w:tab w:leader="none" w:pos="10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 Alternative Incremental Indebtedness and (ii) any Permitted Refinancing thereof;</w:t>
      </w:r>
    </w:p>
    <w:p>
      <w:pPr>
        <w:spacing w:after="0" w:line="223" w:lineRule="exact"/>
        <w:rPr>
          <w:rFonts w:ascii="Arial" w:cs="Arial" w:eastAsia="Arial" w:hAnsi="Arial"/>
          <w:sz w:val="20"/>
          <w:szCs w:val="20"/>
          <w:color w:val="auto"/>
        </w:rPr>
      </w:pPr>
    </w:p>
    <w:p>
      <w:pPr>
        <w:ind w:firstLine="605"/>
        <w:spacing w:after="0" w:line="291" w:lineRule="auto"/>
        <w:tabs>
          <w:tab w:leader="none" w:pos="1007"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 Credit Agreement Refinancing Indebtedness (other than any Credit Agreement Refinancing Indebtedness incurred pursuant to a Refinancing Amendment) and (ii) any Permitted Refinancing thereof;</w:t>
      </w:r>
    </w:p>
    <w:p>
      <w:pPr>
        <w:spacing w:after="0" w:line="134" w:lineRule="exact"/>
        <w:rPr>
          <w:rFonts w:ascii="Arial" w:cs="Arial" w:eastAsia="Arial" w:hAnsi="Arial"/>
          <w:sz w:val="20"/>
          <w:szCs w:val="20"/>
          <w:color w:val="auto"/>
        </w:rPr>
      </w:pPr>
    </w:p>
    <w:p>
      <w:pPr>
        <w:ind w:left="980" w:hanging="375"/>
        <w:spacing w:after="0"/>
        <w:tabs>
          <w:tab w:leader="none" w:pos="9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left="980" w:hanging="375"/>
        <w:spacing w:after="0"/>
        <w:tabs>
          <w:tab w:leader="none" w:pos="9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firstLine="605"/>
        <w:spacing w:after="0" w:line="291" w:lineRule="auto"/>
        <w:tabs>
          <w:tab w:leader="none" w:pos="96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all premiums (if any), interest (including post-petition interest and interest paid in kind), fees, expenses, charges and additional or contingent interest on obligations described in clauses (a) through (q) above and (u) through (ff) below;</w:t>
      </w:r>
    </w:p>
    <w:p>
      <w:pPr>
        <w:spacing w:after="0" w:line="134" w:lineRule="exact"/>
        <w:rPr>
          <w:rFonts w:ascii="Arial" w:cs="Arial" w:eastAsia="Arial" w:hAnsi="Arial"/>
          <w:sz w:val="20"/>
          <w:szCs w:val="20"/>
          <w:color w:val="auto"/>
        </w:rPr>
      </w:pPr>
    </w:p>
    <w:p>
      <w:pPr>
        <w:jc w:val="both"/>
        <w:ind w:firstLine="605"/>
        <w:spacing w:after="0" w:line="301" w:lineRule="auto"/>
        <w:tabs>
          <w:tab w:leader="none" w:pos="110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Indebtedness in respect of the Specified Pension Fund Obligations and Guarantees thereof, to the extent existing on the Restatement Effective Date, in an aggregate principal amount at any time outstanding not to exceed the amount outstanding as of the Restatement Effective Date (and as adjusted from time to time pursuant to any audits), plus any interest paid in kind thereon and any accrued but unpaid interest thereon, and (ii) any Permitted Refinancing (disregarding clauses (b) and (c) of the definition of such term) thereof;</w:t>
      </w:r>
    </w:p>
    <w:p>
      <w:pPr>
        <w:spacing w:after="0" w:line="131" w:lineRule="exact"/>
        <w:rPr>
          <w:rFonts w:ascii="Arial" w:cs="Arial" w:eastAsia="Arial" w:hAnsi="Arial"/>
          <w:sz w:val="18"/>
          <w:szCs w:val="18"/>
          <w:color w:val="auto"/>
        </w:rPr>
      </w:pPr>
    </w:p>
    <w:p>
      <w:pPr>
        <w:ind w:left="1000" w:hanging="395"/>
        <w:spacing w:after="0"/>
        <w:tabs>
          <w:tab w:leader="none" w:pos="10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left="1060" w:hanging="455"/>
        <w:spacing w:after="0"/>
        <w:tabs>
          <w:tab w:leader="none" w:pos="10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firstLine="605"/>
        <w:spacing w:after="0" w:line="291" w:lineRule="auto"/>
        <w:tabs>
          <w:tab w:leader="none" w:pos="1019"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Indebtedness in respect of taxes, assessments or governmental charges to the extent that payment thereof shall not at the time be required to be made hereunder;</w:t>
      </w:r>
    </w:p>
    <w:p>
      <w:pPr>
        <w:spacing w:after="0" w:line="134" w:lineRule="exact"/>
        <w:rPr>
          <w:rFonts w:ascii="Arial" w:cs="Arial" w:eastAsia="Arial" w:hAnsi="Arial"/>
          <w:sz w:val="20"/>
          <w:szCs w:val="20"/>
          <w:color w:val="auto"/>
        </w:rPr>
      </w:pPr>
    </w:p>
    <w:p>
      <w:pPr>
        <w:ind w:left="1000" w:hanging="395"/>
        <w:spacing w:after="0"/>
        <w:tabs>
          <w:tab w:leader="none" w:pos="10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jc w:val="both"/>
        <w:ind w:firstLine="605"/>
        <w:spacing w:after="0" w:line="263" w:lineRule="auto"/>
        <w:tabs>
          <w:tab w:leader="none" w:pos="102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Indebtedness of (i) any Securitization Subsidiary arising under any Securitization Facility or (ii) the Borrower or any Restricted Subsidiary arising under any Receivables Facility or Qualified Securitization Financing;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principal amount of Indebtedness permitted under this </w:t>
      </w:r>
      <w:r>
        <w:rPr>
          <w:rFonts w:ascii="Arial" w:cs="Arial" w:eastAsia="Arial" w:hAnsi="Arial"/>
          <w:sz w:val="20"/>
          <w:szCs w:val="20"/>
          <w:u w:val="single" w:color="auto"/>
          <w:color w:val="auto"/>
        </w:rPr>
        <w:t>Section 7.03(z)</w:t>
      </w:r>
      <w:r>
        <w:rPr>
          <w:rFonts w:ascii="Arial" w:cs="Arial" w:eastAsia="Arial" w:hAnsi="Arial"/>
          <w:sz w:val="20"/>
          <w:szCs w:val="20"/>
          <w:color w:val="auto"/>
        </w:rPr>
        <w:t xml:space="preserve">, together with the aggregate principal amount of Indebtedness permitted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7.03(o)</w:t>
      </w:r>
      <w:r>
        <w:rPr>
          <w:rFonts w:ascii="Arial" w:cs="Arial" w:eastAsia="Arial" w:hAnsi="Arial"/>
          <w:sz w:val="20"/>
          <w:szCs w:val="20"/>
          <w:color w:val="auto"/>
        </w:rPr>
        <w:t>, shall not exceed $550,000,000 at any one time outstanding;</w:t>
      </w:r>
    </w:p>
    <w:p>
      <w:pPr>
        <w:spacing w:after="0" w:line="162" w:lineRule="exact"/>
        <w:rPr>
          <w:sz w:val="20"/>
          <w:szCs w:val="20"/>
          <w:color w:val="auto"/>
        </w:rPr>
      </w:pPr>
    </w:p>
    <w:p>
      <w:pPr>
        <w:ind w:left="1080" w:hanging="475"/>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in respect of Sale and Leaseback Transactions in an amount not to exceed $50,000,000 at any time outstanding;</w:t>
      </w:r>
    </w:p>
    <w:p>
      <w:pPr>
        <w:spacing w:after="0" w:line="246" w:lineRule="exact"/>
        <w:rPr>
          <w:rFonts w:ascii="Arial" w:cs="Arial" w:eastAsia="Arial" w:hAnsi="Arial"/>
          <w:sz w:val="18"/>
          <w:szCs w:val="18"/>
          <w:color w:val="auto"/>
        </w:rPr>
      </w:pPr>
    </w:p>
    <w:p>
      <w:pPr>
        <w:ind w:left="1100" w:hanging="495"/>
        <w:spacing w:after="0"/>
        <w:tabs>
          <w:tab w:leader="none" w:pos="11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Indebtedness in respect of Investments not prohibited by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(other than clause (v) thereof);</w:t>
      </w:r>
    </w:p>
    <w:p>
      <w:pPr>
        <w:spacing w:after="0" w:line="223" w:lineRule="exact"/>
        <w:rPr>
          <w:rFonts w:ascii="Arial" w:cs="Arial" w:eastAsia="Arial" w:hAnsi="Arial"/>
          <w:sz w:val="20"/>
          <w:szCs w:val="20"/>
          <w:color w:val="auto"/>
        </w:rPr>
      </w:pPr>
    </w:p>
    <w:p>
      <w:pPr>
        <w:ind w:left="1080" w:hanging="475"/>
        <w:spacing w:after="0"/>
        <w:tabs>
          <w:tab w:leader="none" w:pos="10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jc w:val="both"/>
        <w:ind w:firstLine="605"/>
        <w:spacing w:after="0" w:line="270" w:lineRule="auto"/>
        <w:tabs>
          <w:tab w:leader="none" w:pos="11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Indebtedness incurred in respect of credit cards, credit card processing services, debit cards, stored value cards, purchase cards (including so-called "procurement cards" or "P-cards") or other similar cash management services, in each case, incurred in the ordinary course of business consistent with past practice;</w:t>
      </w:r>
    </w:p>
    <w:p>
      <w:pPr>
        <w:spacing w:after="0" w:line="155" w:lineRule="exact"/>
        <w:rPr>
          <w:rFonts w:ascii="Arial" w:cs="Arial" w:eastAsia="Arial" w:hAnsi="Arial"/>
          <w:sz w:val="20"/>
          <w:szCs w:val="20"/>
          <w:color w:val="auto"/>
        </w:rPr>
      </w:pPr>
    </w:p>
    <w:p>
      <w:pPr>
        <w:ind w:left="1080" w:hanging="475"/>
        <w:spacing w:after="0"/>
        <w:tabs>
          <w:tab w:leader="none" w:pos="10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23" w:lineRule="exact"/>
        <w:rPr>
          <w:rFonts w:ascii="Arial" w:cs="Arial" w:eastAsia="Arial" w:hAnsi="Arial"/>
          <w:sz w:val="20"/>
          <w:szCs w:val="20"/>
          <w:color w:val="auto"/>
        </w:rPr>
      </w:pPr>
    </w:p>
    <w:p>
      <w:pPr>
        <w:jc w:val="both"/>
        <w:ind w:firstLine="605"/>
        <w:spacing w:after="0" w:line="270" w:lineRule="auto"/>
        <w:tabs>
          <w:tab w:leader="none" w:pos="12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other Indebtedness of the Borrower or any of its Restricted Subsidiaries, in an aggregate principal amount at any time outstanding not to exceed $30,000,000;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principal amount of Indebtedness of Restricted Subsidiaries that are not Guarantors permitted under this </w:t>
      </w:r>
      <w:r>
        <w:rPr>
          <w:rFonts w:ascii="Arial" w:cs="Arial" w:eastAsia="Arial" w:hAnsi="Arial"/>
          <w:sz w:val="20"/>
          <w:szCs w:val="20"/>
          <w:u w:val="single" w:color="auto"/>
          <w:color w:val="auto"/>
        </w:rPr>
        <w:t>Section 7.03(ff)</w:t>
      </w:r>
      <w:r>
        <w:rPr>
          <w:rFonts w:ascii="Arial" w:cs="Arial" w:eastAsia="Arial" w:hAnsi="Arial"/>
          <w:sz w:val="20"/>
          <w:szCs w:val="20"/>
          <w:color w:val="auto"/>
        </w:rPr>
        <w:t xml:space="preserve"> at any time outstanding shall not exceed $5,000,000.</w:t>
      </w:r>
    </w:p>
    <w:p>
      <w:pPr>
        <w:spacing w:after="0" w:line="155" w:lineRule="exact"/>
        <w:rPr>
          <w:sz w:val="20"/>
          <w:szCs w:val="20"/>
          <w:color w:val="auto"/>
        </w:rPr>
      </w:pPr>
    </w:p>
    <w:p>
      <w:pPr>
        <w:jc w:val="both"/>
        <w:ind w:firstLine="604"/>
        <w:spacing w:after="0" w:line="313"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Fundamental Changes.</w:t>
      </w:r>
      <w:r>
        <w:rPr>
          <w:rFonts w:ascii="Arial" w:cs="Arial" w:eastAsia="Arial" w:hAnsi="Arial"/>
          <w:sz w:val="18"/>
          <w:szCs w:val="18"/>
          <w:color w:val="auto"/>
        </w:rPr>
        <w:t xml:space="preserve"> The Borrower shall not, nor shall it permit any Restricted Subsidiary to, directly or indirectly, merge, dissolve, liquidate, consolidate with or into another Person, or Dispose of (whether in one transaction or in a series of related transactions) all or substantially all of its assets (whether now owned or hereafter acquired) to or in favor of any Person, except that:</w:t>
      </w:r>
    </w:p>
    <w:p>
      <w:pPr>
        <w:spacing w:after="0" w:line="121" w:lineRule="exact"/>
        <w:rPr>
          <w:sz w:val="20"/>
          <w:szCs w:val="20"/>
          <w:color w:val="auto"/>
        </w:rPr>
      </w:pPr>
    </w:p>
    <w:p>
      <w:pPr>
        <w:jc w:val="both"/>
        <w:ind w:firstLine="605"/>
        <w:spacing w:after="0" w:line="295" w:lineRule="auto"/>
        <w:tabs>
          <w:tab w:leader="none" w:pos="108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(i) the Borrower (including a merger, the purpose of which is to reorganize the Borrower into a new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 no Event of Default exists or would result therefrom, (x) the Borrower shall be the continuing or surviving Person, (y) such transaction does not result in the Borrower ceasing to be organized under the laws of the United States, any State thereof or the District of Columbia and (z) such transaction does not have an adverse effect in any material respect on the perfection or priority of the Liens granted under the Collateral Documents or (ii) one or more other Restricted</w:t>
      </w:r>
    </w:p>
    <w:p>
      <w:pPr>
        <w:sectPr>
          <w:pgSz w:w="11900" w:h="16856" w:orient="portrait"/>
          <w:cols w:equalWidth="0" w:num="1">
            <w:col w:w="11420"/>
          </w:cols>
          <w:pgMar w:left="240" w:top="131" w:right="239" w:bottom="0" w:gutter="0" w:footer="0" w:header="0"/>
        </w:sectPr>
      </w:pPr>
    </w:p>
    <w:bookmarkStart w:id="105" w:name="page106"/>
    <w:bookmarkEnd w:id="105"/>
    <w:p>
      <w:pPr>
        <w:spacing w:after="0" w:line="278" w:lineRule="auto"/>
        <w:rPr>
          <w:sz w:val="20"/>
          <w:szCs w:val="20"/>
          <w:color w:val="auto"/>
        </w:rPr>
      </w:pPr>
      <w:r>
        <w:rPr>
          <w:rFonts w:ascii="Arial" w:cs="Arial" w:eastAsia="Arial" w:hAnsi="Arial"/>
          <w:sz w:val="20"/>
          <w:szCs w:val="20"/>
          <w:color w:val="auto"/>
        </w:rPr>
        <w:t xml:space="preserve">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in the case of this clause (ii), that when such transaction involves a Loan Party, a Loan Party shall be the continuing or surviving Person except to the extent otherwise constituting an Investment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47" w:lineRule="exact"/>
        <w:rPr>
          <w:sz w:val="20"/>
          <w:szCs w:val="20"/>
          <w:color w:val="auto"/>
        </w:rPr>
      </w:pPr>
    </w:p>
    <w:p>
      <w:pPr>
        <w:jc w:val="both"/>
        <w:ind w:firstLine="605"/>
        <w:spacing w:after="0" w:line="289" w:lineRule="auto"/>
        <w:tabs>
          <w:tab w:leader="none" w:pos="10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 any Restricted Subsidiary that is not a Loan Party may merge, amalgamate or consolidate with or into any other Restricted Subsidiary that is not a Loan Party and (ii) any Restricted Subsidiary may liquidate or dissolve or change its legal form if the Borrower determines in good faith that such action is in the best interest of the Borrower and the Restricted Subsidiaries and is not disadvantageous to the Lenders in any material respect (it being understood that (other than a transaction constituting a permitted Investment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involving an Excluded Subsidiary) in the case of any liquidation or dissolution of a Guarantor, such Guarantor shall transfer its assets to a Loan Party, and in the case of any change in legal form, a Restricted Subsidiary that is a Guarantor will remain a Guarantor and such transaction shall not have an adverse effect on the perfection or priority of the Liens granted under the Collateral Documents);</w:t>
      </w:r>
    </w:p>
    <w:p>
      <w:pPr>
        <w:spacing w:after="0" w:line="142" w:lineRule="exact"/>
        <w:rPr>
          <w:rFonts w:ascii="Arial" w:cs="Arial" w:eastAsia="Arial" w:hAnsi="Arial"/>
          <w:sz w:val="18"/>
          <w:szCs w:val="18"/>
          <w:color w:val="auto"/>
        </w:rPr>
      </w:pPr>
    </w:p>
    <w:p>
      <w:pPr>
        <w:jc w:val="both"/>
        <w:ind w:firstLine="605"/>
        <w:spacing w:after="0" w:line="281" w:lineRule="auto"/>
        <w:tabs>
          <w:tab w:leader="none" w:pos="105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any Restricted Subsidiary may Dispose of all or substantially all of its assets (upon voluntary liquidation or otherwise) to the Borrower or to another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transferor in such a transaction is a Guarantor, then (i) the transferee must be a Guarantor or the Borrower or (ii) to the extent constituting an Investment, such Investment must be a permitted Investment in or Indebtedness of a Restricted Subsidiary which is not a Loan Party in accordance with </w:t>
      </w:r>
      <w:r>
        <w:rPr>
          <w:rFonts w:ascii="Arial" w:cs="Arial" w:eastAsia="Arial" w:hAnsi="Arial"/>
          <w:sz w:val="19"/>
          <w:szCs w:val="19"/>
          <w:u w:val="single" w:color="auto"/>
          <w:color w:val="auto"/>
        </w:rPr>
        <w:t>Sections 7.02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7.03</w:t>
      </w:r>
      <w:r>
        <w:rPr>
          <w:rFonts w:ascii="Arial" w:cs="Arial" w:eastAsia="Arial" w:hAnsi="Arial"/>
          <w:sz w:val="19"/>
          <w:szCs w:val="19"/>
          <w:color w:val="auto"/>
        </w:rPr>
        <w:t>, respectively;</w:t>
      </w:r>
    </w:p>
    <w:p>
      <w:pPr>
        <w:spacing w:after="0" w:line="147" w:lineRule="exact"/>
        <w:rPr>
          <w:rFonts w:ascii="Arial" w:cs="Arial" w:eastAsia="Arial" w:hAnsi="Arial"/>
          <w:sz w:val="19"/>
          <w:szCs w:val="19"/>
          <w:color w:val="auto"/>
        </w:rPr>
      </w:pPr>
    </w:p>
    <w:p>
      <w:pPr>
        <w:jc w:val="both"/>
        <w:ind w:firstLine="605"/>
        <w:spacing w:after="0" w:line="265" w:lineRule="auto"/>
        <w:tabs>
          <w:tab w:leader="none" w:pos="100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so long as no Event of Default exists or would result therefrom, the Borrower may merge with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Borrower shall be the continuing or surviving corporation or (ii) if the Person formed by or surviving any such merger or consolidation is not the Borrower (any such Person, the “</w:t>
      </w:r>
      <w:r>
        <w:rPr>
          <w:rFonts w:ascii="Arial" w:cs="Arial" w:eastAsia="Arial" w:hAnsi="Arial"/>
          <w:sz w:val="19"/>
          <w:szCs w:val="19"/>
          <w:b w:val="1"/>
          <w:bCs w:val="1"/>
          <w:color w:val="auto"/>
        </w:rPr>
        <w:t>Successor Borrower</w:t>
      </w:r>
      <w:r>
        <w:rPr>
          <w:rFonts w:ascii="Arial" w:cs="Arial" w:eastAsia="Arial" w:hAnsi="Arial"/>
          <w:sz w:val="19"/>
          <w:szCs w:val="19"/>
          <w:color w:val="auto"/>
        </w:rPr>
        <w:t xml:space="preserve">”), (A) the Successor Borrower shall be an entity organized or existing under the Laws of the United States, any state thereof or the District of Columbia and such transaction shall not have an adverse effect in any material respect on the perfection or priority of the Liens granted under the Collateral Documents, (B) the Successor Borrower shall expressly assume all the obligations of the Borrower under this Agreement and the other Loan Documents to which the Borrower is a party pursuant to a supplement hereto or thereto in form reasonably satisfactory to the Administrative Agent and the Borrower, (C) each Guarantor, unless it is the other party to such merger or consolidation, shall have confirmed that its Guarantee shall apply to the Successor Borrower’s obligations under the Loan Documents, (D) each Guarantor, unless it is the other party to such merger or consolidation, shall have by a supplement to the Security Agreement and other applicable Collateral Documents confirmed that the collateral granted by it to secure its obligations thereunder shall apply to secure its and the Successor Borrower’s obligations under the Loan Documents, (E) if reasonably requested by the Collateral Agent, each mortgagor of a Mortgaged Property, unless it is the other party to such merger or consolidation, shall have by an amendment to or restatement of the applicable Mortgage (or other instrument reasonably satisfactory to the Collateral Agent) confirmed that the collateral granted by it to secure its obligations thereunder shall apply to secure its and the Successor Borrower’s obligations under the Loan Documents, and (F) the Borrower shall have delivered to the Administrative Agent an officer’s certificate and an opinion, each stating that such merger or consolidation and such supplement to this Agreement or any Collateral Document comply with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foregoing are satisfied (or waived), the Successor Borrower will succeed to, and be substituted for, the Borrower under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Borrower agrees to provide any documentation and other information about the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w:t>
      </w:r>
    </w:p>
    <w:p>
      <w:pPr>
        <w:spacing w:after="0" w:line="168" w:lineRule="exact"/>
        <w:rPr>
          <w:rFonts w:ascii="Arial" w:cs="Arial" w:eastAsia="Arial" w:hAnsi="Arial"/>
          <w:sz w:val="19"/>
          <w:szCs w:val="19"/>
          <w:color w:val="auto"/>
        </w:rPr>
      </w:pPr>
    </w:p>
    <w:p>
      <w:pPr>
        <w:jc w:val="both"/>
        <w:ind w:firstLine="605"/>
        <w:spacing w:after="0" w:line="301" w:lineRule="auto"/>
        <w:tabs>
          <w:tab w:leader="none" w:pos="10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any other Person (other than the Borrower) in order to effect an Investment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 (x) the continuing or surviving Person shall be a Restricted Subsidiary, which together with each of its Restricted Subsidiaries, shall have complied with the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to the extent required pursuant to the Collateral and Guarantee Requirement or (y) the transaction shall otherwise constitute a permitted Investment;</w:t>
      </w:r>
    </w:p>
    <w:p>
      <w:pPr>
        <w:spacing w:after="0" w:line="131" w:lineRule="exact"/>
        <w:rPr>
          <w:rFonts w:ascii="Arial" w:cs="Arial" w:eastAsia="Arial" w:hAnsi="Arial"/>
          <w:sz w:val="18"/>
          <w:szCs w:val="18"/>
          <w:color w:val="auto"/>
        </w:rPr>
      </w:pPr>
    </w:p>
    <w:p>
      <w:pPr>
        <w:ind w:firstLine="605"/>
        <w:spacing w:after="0" w:line="291" w:lineRule="auto"/>
        <w:tabs>
          <w:tab w:leader="none" w:pos="107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any Restricted Subsidiary may effect a merger, dissolution, liquidation or consolidation, the purpose of which is to effect a Disposition permitted pursuant to </w:t>
      </w:r>
      <w:r>
        <w:rPr>
          <w:rFonts w:ascii="Arial" w:cs="Arial" w:eastAsia="Arial" w:hAnsi="Arial"/>
          <w:sz w:val="20"/>
          <w:szCs w:val="20"/>
          <w:u w:val="single" w:color="auto"/>
          <w:color w:val="auto"/>
        </w:rPr>
        <w:t>Section 7.05</w:t>
      </w:r>
      <w:r>
        <w:rPr>
          <w:rFonts w:ascii="Arial" w:cs="Arial" w:eastAsia="Arial" w:hAnsi="Arial"/>
          <w:sz w:val="20"/>
          <w:szCs w:val="20"/>
          <w:color w:val="auto"/>
        </w:rPr>
        <w:t>; and</w:t>
      </w:r>
    </w:p>
    <w:p>
      <w:pPr>
        <w:spacing w:after="0" w:line="134" w:lineRule="exact"/>
        <w:rPr>
          <w:rFonts w:ascii="Arial" w:cs="Arial" w:eastAsia="Arial" w:hAnsi="Arial"/>
          <w:sz w:val="20"/>
          <w:szCs w:val="20"/>
          <w:color w:val="auto"/>
        </w:rPr>
      </w:pPr>
    </w:p>
    <w:p>
      <w:pPr>
        <w:ind w:firstLine="605"/>
        <w:spacing w:after="0" w:line="291" w:lineRule="auto"/>
        <w:tabs>
          <w:tab w:leader="none" w:pos="107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any Restricted Subsidiary may Dispose of all or substantially all of its assets (upon voluntary liquidation or otherwise) to the extent that such Disposition (or series of related Dispositions) is not prohibited under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134" w:lineRule="exact"/>
        <w:rPr>
          <w:sz w:val="20"/>
          <w:szCs w:val="20"/>
          <w:color w:val="auto"/>
        </w:rPr>
      </w:pPr>
    </w:p>
    <w:p>
      <w:pPr>
        <w:ind w:left="600"/>
        <w:spacing w:after="0"/>
        <w:tabs>
          <w:tab w:leader="none" w:pos="1880" w:val="left"/>
        </w:tabs>
        <w:rPr>
          <w:sz w:val="20"/>
          <w:szCs w:val="20"/>
          <w:color w:val="auto"/>
        </w:rPr>
      </w:pPr>
      <w:r>
        <w:rPr>
          <w:rFonts w:ascii="Arial" w:cs="Arial" w:eastAsia="Arial" w:hAnsi="Arial"/>
          <w:sz w:val="20"/>
          <w:szCs w:val="20"/>
          <w:color w:val="auto"/>
        </w:rPr>
        <w:t>Section 7.05.</w:t>
      </w:r>
      <w:r>
        <w:rPr>
          <w:sz w:val="20"/>
          <w:szCs w:val="20"/>
          <w:color w:val="auto"/>
        </w:rPr>
        <w:tab/>
      </w: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The Borrower shall not, nor shall it permit any Restricted Subsidiary to, directly or indirectly, make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Disposition, except:</w:t>
      </w:r>
    </w:p>
    <w:p>
      <w:pPr>
        <w:spacing w:after="0" w:line="205" w:lineRule="exact"/>
        <w:rPr>
          <w:sz w:val="20"/>
          <w:szCs w:val="20"/>
          <w:color w:val="auto"/>
        </w:rPr>
      </w:pPr>
    </w:p>
    <w:p>
      <w:pPr>
        <w:jc w:val="both"/>
        <w:ind w:firstLine="605"/>
        <w:spacing w:after="0" w:line="276" w:lineRule="auto"/>
        <w:tabs>
          <w:tab w:leader="none" w:pos="1071"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 Dispositions (including abandonment) of obsolete or worn out property, whether now owned or hereafter acquired, in the ordinary course of business, (ii) Dispositions (including abandonment) in the ordinary course of business of surplus property or property no longer used or useful in the conduct of the business of the Borrower or any of the Restricted Subsidiaries, (iii) Dispositions of immaterial assets (considered in the aggregate) in the ordinary course of business and (iv) Dispositions to landlords of improvements made to leased real property pursuant to customary terms of leases entered into in the ordinary course of business;</w:t>
      </w:r>
    </w:p>
    <w:p>
      <w:pPr>
        <w:spacing w:after="0" w:line="153" w:lineRule="exact"/>
        <w:rPr>
          <w:rFonts w:ascii="Arial" w:cs="Arial" w:eastAsia="Arial" w:hAnsi="Arial"/>
          <w:sz w:val="19"/>
          <w:szCs w:val="19"/>
          <w:color w:val="auto"/>
        </w:rPr>
      </w:pPr>
    </w:p>
    <w:p>
      <w:pPr>
        <w:jc w:val="both"/>
        <w:ind w:firstLine="605"/>
        <w:spacing w:after="0" w:line="281" w:lineRule="auto"/>
        <w:tabs>
          <w:tab w:leader="none" w:pos="114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Dispositions of property to the extent that (i) such property is exchanged for credit against the purchase price of similar replacement property, (ii) the proceeds of such Disposition are promptly applied to the purchase price of such replacement property, or (iii) such property is swapped in exchange for services or other assets of comparable or greater value or usefulness to the business of the Borrower and the Subsidiaries as whole, as determined in good faith by the management of the Borrower;</w:t>
      </w:r>
    </w:p>
    <w:p>
      <w:pPr>
        <w:spacing w:after="0" w:line="147" w:lineRule="exact"/>
        <w:rPr>
          <w:rFonts w:ascii="Arial" w:cs="Arial" w:eastAsia="Arial" w:hAnsi="Arial"/>
          <w:sz w:val="19"/>
          <w:szCs w:val="19"/>
          <w:color w:val="auto"/>
        </w:rPr>
      </w:pPr>
    </w:p>
    <w:p>
      <w:pPr>
        <w:jc w:val="both"/>
        <w:ind w:firstLine="605"/>
        <w:spacing w:after="0" w:line="290" w:lineRule="auto"/>
        <w:tabs>
          <w:tab w:leader="none" w:pos="10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Dispositions of property to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transferor of such property is a Loan Party (i) the transferee thereof must be a Loan Party and if such property constitutes Collateral, it shall continue to constitute Collateral after such Disposition or (ii) if such transaction constitutes an Investment, such transaction is permitted under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ind w:left="1000" w:hanging="395"/>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Dispositions of cash and Cash Equivalents;</w:t>
      </w:r>
    </w:p>
    <w:p>
      <w:pPr>
        <w:sectPr>
          <w:pgSz w:w="11900" w:h="16838" w:orient="portrait"/>
          <w:cols w:equalWidth="0" w:num="1">
            <w:col w:w="11420"/>
          </w:cols>
          <w:pgMar w:left="240" w:top="131" w:right="239" w:bottom="182" w:gutter="0" w:footer="0" w:header="0"/>
        </w:sectPr>
      </w:pPr>
    </w:p>
    <w:bookmarkStart w:id="106" w:name="page107"/>
    <w:bookmarkEnd w:id="106"/>
    <w:p>
      <w:pPr>
        <w:jc w:val="both"/>
        <w:ind w:firstLine="605"/>
        <w:spacing w:after="0" w:line="270" w:lineRule="auto"/>
        <w:tabs>
          <w:tab w:leader="none" w:pos="103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leases, subleases, licenses, sublicenses (including the provision of software under an open source license) or any abandonment thereof, in each case (i) in the ordinary course of business and (ii) without interfering in any material respect with the business of the Borrower or any of its Restricted Subsidiaries;</w:t>
      </w:r>
    </w:p>
    <w:p>
      <w:pPr>
        <w:spacing w:after="0" w:line="155" w:lineRule="exact"/>
        <w:rPr>
          <w:rFonts w:ascii="Arial" w:cs="Arial" w:eastAsia="Arial" w:hAnsi="Arial"/>
          <w:sz w:val="20"/>
          <w:szCs w:val="20"/>
          <w:color w:val="auto"/>
        </w:rPr>
      </w:pPr>
    </w:p>
    <w:p>
      <w:pPr>
        <w:ind w:left="980" w:hanging="375"/>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transfers of property subject to Casualty Events upon the receipt (where practical) of the Net Proceeds of such Casualty Event;</w:t>
      </w:r>
    </w:p>
    <w:p>
      <w:pPr>
        <w:spacing w:after="0" w:line="246" w:lineRule="exact"/>
        <w:rPr>
          <w:rFonts w:ascii="Arial" w:cs="Arial" w:eastAsia="Arial" w:hAnsi="Arial"/>
          <w:sz w:val="18"/>
          <w:szCs w:val="18"/>
          <w:color w:val="auto"/>
        </w:rPr>
      </w:pPr>
    </w:p>
    <w:p>
      <w:pPr>
        <w:ind w:firstLine="605"/>
        <w:spacing w:after="0" w:line="319" w:lineRule="auto"/>
        <w:tabs>
          <w:tab w:leader="none" w:pos="105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Dispositions (including write-offs, discounts, and compromises in clause (b) above) or discounts without recourse of accounts receivable and related assets in connection with the compromise or collection thereof in the ordinary course of business;</w:t>
      </w:r>
    </w:p>
    <w:p>
      <w:pPr>
        <w:spacing w:after="0" w:line="111" w:lineRule="exact"/>
        <w:rPr>
          <w:rFonts w:ascii="Arial" w:cs="Arial" w:eastAsia="Arial" w:hAnsi="Arial"/>
          <w:sz w:val="19"/>
          <w:szCs w:val="19"/>
          <w:color w:val="auto"/>
        </w:rPr>
      </w:pPr>
    </w:p>
    <w:p>
      <w:pPr>
        <w:ind w:left="1000" w:hanging="395"/>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left="960" w:hanging="355"/>
        <w:spacing w:after="0"/>
        <w:tabs>
          <w:tab w:leader="none" w:pos="9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jc w:val="both"/>
        <w:ind w:firstLine="605"/>
        <w:spacing w:after="0" w:line="270" w:lineRule="auto"/>
        <w:tabs>
          <w:tab w:leader="none" w:pos="97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Dispositions of Investments in joint ventures or other non-wholly owned Subsidiaries to the extent required by, or made pursuant to, customary buy/sell arrangements between the joint venture parties set forth in joint venture arrangements and similar binding arrangements;</w:t>
      </w:r>
    </w:p>
    <w:p>
      <w:pPr>
        <w:spacing w:after="0" w:line="155" w:lineRule="exact"/>
        <w:rPr>
          <w:rFonts w:ascii="Arial" w:cs="Arial" w:eastAsia="Arial" w:hAnsi="Arial"/>
          <w:sz w:val="20"/>
          <w:szCs w:val="20"/>
          <w:color w:val="auto"/>
        </w:rPr>
      </w:pPr>
    </w:p>
    <w:p>
      <w:pPr>
        <w:ind w:left="1000" w:hanging="395"/>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unwinding of any Swap Contract or cash management agreement;</w:t>
      </w:r>
    </w:p>
    <w:p>
      <w:pPr>
        <w:spacing w:after="0" w:line="223" w:lineRule="exact"/>
        <w:rPr>
          <w:rFonts w:ascii="Arial" w:cs="Arial" w:eastAsia="Arial" w:hAnsi="Arial"/>
          <w:sz w:val="20"/>
          <w:szCs w:val="20"/>
          <w:color w:val="auto"/>
        </w:rPr>
      </w:pPr>
    </w:p>
    <w:p>
      <w:pPr>
        <w:jc w:val="both"/>
        <w:ind w:firstLine="605"/>
        <w:spacing w:after="0" w:line="269" w:lineRule="auto"/>
        <w:tabs>
          <w:tab w:leader="none" w:pos="98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Dispositions of property not otherwise permitted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at the time of such Disposition (other than any such Disposition made pursuant to a legally binding commitment entered into at a time when no Event of Default exists), no Event of Default shall exist or would result from such Disposition, (ii) any prepayment required to be made in connection with the receipt of Net Proceeds in respect of such Disposition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be made in accordance therewith, (iii) the Borrower or any of the Restricted Subsidiaries shall receive not less than 75% of the consideration for such Disposition in the form of cash or Cash Equivalents (in each case, free and clear of all Liens at the time received, other than nonconsensual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Liens permitted by </w:t>
      </w:r>
      <w:r>
        <w:rPr>
          <w:rFonts w:ascii="Arial" w:cs="Arial" w:eastAsia="Arial" w:hAnsi="Arial"/>
          <w:sz w:val="19"/>
          <w:szCs w:val="19"/>
          <w:u w:val="single" w:color="auto"/>
          <w:color w:val="auto"/>
        </w:rPr>
        <w:t>Section 7.01(a)</w:t>
      </w:r>
      <w:r>
        <w:rPr>
          <w:rFonts w:ascii="Arial" w:cs="Arial" w:eastAsia="Arial" w:hAnsi="Arial"/>
          <w:sz w:val="19"/>
          <w:szCs w:val="19"/>
          <w:color w:val="auto"/>
        </w:rPr>
        <w:t>, (</w:t>
      </w:r>
      <w:r>
        <w:rPr>
          <w:rFonts w:ascii="Arial" w:cs="Arial" w:eastAsia="Arial" w:hAnsi="Arial"/>
          <w:sz w:val="19"/>
          <w:szCs w:val="19"/>
          <w:u w:val="single" w:color="auto"/>
          <w:color w:val="auto"/>
        </w:rPr>
        <w:t>c</w:t>
      </w:r>
      <w:r>
        <w:rPr>
          <w:rFonts w:ascii="Arial" w:cs="Arial" w:eastAsia="Arial" w:hAnsi="Arial"/>
          <w:sz w:val="19"/>
          <w:szCs w:val="19"/>
          <w:color w:val="auto"/>
        </w:rPr>
        <w:t>), (</w:t>
      </w:r>
      <w:r>
        <w:rPr>
          <w:rFonts w:ascii="Arial" w:cs="Arial" w:eastAsia="Arial" w:hAnsi="Arial"/>
          <w:sz w:val="19"/>
          <w:szCs w:val="19"/>
          <w:u w:val="single" w:color="auto"/>
          <w:color w:val="auto"/>
        </w:rPr>
        <w:t>d</w:t>
      </w:r>
      <w:r>
        <w:rPr>
          <w:rFonts w:ascii="Arial" w:cs="Arial" w:eastAsia="Arial" w:hAnsi="Arial"/>
          <w:sz w:val="19"/>
          <w:szCs w:val="19"/>
          <w:color w:val="auto"/>
        </w:rPr>
        <w:t>), (</w:t>
      </w:r>
      <w:r>
        <w:rPr>
          <w:rFonts w:ascii="Arial" w:cs="Arial" w:eastAsia="Arial" w:hAnsi="Arial"/>
          <w:sz w:val="19"/>
          <w:szCs w:val="19"/>
          <w:u w:val="single" w:color="auto"/>
          <w:color w:val="auto"/>
        </w:rPr>
        <w:t>f</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w:t>
      </w:r>
      <w:r>
        <w:rPr>
          <w:rFonts w:ascii="Arial" w:cs="Arial" w:eastAsia="Arial" w:hAnsi="Arial"/>
          <w:sz w:val="19"/>
          <w:szCs w:val="19"/>
          <w:u w:val="single" w:color="auto"/>
          <w:color w:val="auto"/>
        </w:rPr>
        <w:t>k</w:t>
      </w:r>
      <w:r>
        <w:rPr>
          <w:rFonts w:ascii="Arial" w:cs="Arial" w:eastAsia="Arial" w:hAnsi="Arial"/>
          <w:sz w:val="19"/>
          <w:szCs w:val="19"/>
          <w:color w:val="auto"/>
        </w:rPr>
        <w:t>), (</w:t>
      </w:r>
      <w:r>
        <w:rPr>
          <w:rFonts w:ascii="Arial" w:cs="Arial" w:eastAsia="Arial" w:hAnsi="Arial"/>
          <w:sz w:val="19"/>
          <w:szCs w:val="19"/>
          <w:u w:val="single" w:color="auto"/>
          <w:color w:val="auto"/>
        </w:rPr>
        <w:t>l</w:t>
      </w:r>
      <w:r>
        <w:rPr>
          <w:rFonts w:ascii="Arial" w:cs="Arial" w:eastAsia="Arial" w:hAnsi="Arial"/>
          <w:sz w:val="19"/>
          <w:szCs w:val="19"/>
          <w:color w:val="auto"/>
        </w:rPr>
        <w:t>), (</w:t>
      </w:r>
      <w:r>
        <w:rPr>
          <w:rFonts w:ascii="Arial" w:cs="Arial" w:eastAsia="Arial" w:hAnsi="Arial"/>
          <w:sz w:val="19"/>
          <w:szCs w:val="19"/>
          <w:u w:val="single" w:color="auto"/>
          <w:color w:val="auto"/>
        </w:rPr>
        <w:t>o</w:t>
      </w:r>
      <w:r>
        <w:rPr>
          <w:rFonts w:ascii="Arial" w:cs="Arial" w:eastAsia="Arial" w:hAnsi="Arial"/>
          <w:sz w:val="19"/>
          <w:szCs w:val="19"/>
          <w:color w:val="auto"/>
        </w:rPr>
        <w:t>), (</w:t>
      </w:r>
      <w:r>
        <w:rPr>
          <w:rFonts w:ascii="Arial" w:cs="Arial" w:eastAsia="Arial" w:hAnsi="Arial"/>
          <w:sz w:val="19"/>
          <w:szCs w:val="19"/>
          <w:u w:val="single" w:color="auto"/>
          <w:color w:val="auto"/>
        </w:rPr>
        <w:t>p</w:t>
      </w:r>
      <w:r>
        <w:rPr>
          <w:rFonts w:ascii="Arial" w:cs="Arial" w:eastAsia="Arial" w:hAnsi="Arial"/>
          <w:sz w:val="19"/>
          <w:szCs w:val="19"/>
          <w:color w:val="auto"/>
        </w:rPr>
        <w:t>), (</w:t>
      </w:r>
      <w:r>
        <w:rPr>
          <w:rFonts w:ascii="Arial" w:cs="Arial" w:eastAsia="Arial" w:hAnsi="Arial"/>
          <w:sz w:val="19"/>
          <w:szCs w:val="19"/>
          <w:u w:val="single" w:color="auto"/>
          <w:color w:val="auto"/>
        </w:rPr>
        <w:t>v</w:t>
      </w:r>
      <w:r>
        <w:rPr>
          <w:rFonts w:ascii="Arial" w:cs="Arial" w:eastAsia="Arial" w:hAnsi="Arial"/>
          <w:sz w:val="19"/>
          <w:szCs w:val="19"/>
          <w:color w:val="auto"/>
        </w:rPr>
        <w:t>), (</w:t>
      </w:r>
      <w:r>
        <w:rPr>
          <w:rFonts w:ascii="Arial" w:cs="Arial" w:eastAsia="Arial" w:hAnsi="Arial"/>
          <w:sz w:val="19"/>
          <w:szCs w:val="19"/>
          <w:u w:val="single" w:color="auto"/>
          <w:color w:val="auto"/>
        </w:rPr>
        <w:t>w</w:t>
      </w:r>
      <w:r>
        <w:rPr>
          <w:rFonts w:ascii="Arial" w:cs="Arial" w:eastAsia="Arial" w:hAnsi="Arial"/>
          <w:sz w:val="19"/>
          <w:szCs w:val="19"/>
          <w:color w:val="auto"/>
        </w:rPr>
        <w:t>), (</w:t>
      </w:r>
      <w:r>
        <w:rPr>
          <w:rFonts w:ascii="Arial" w:cs="Arial" w:eastAsia="Arial" w:hAnsi="Arial"/>
          <w:sz w:val="19"/>
          <w:szCs w:val="19"/>
          <w:u w:val="single" w:color="auto"/>
          <w:color w:val="auto"/>
        </w:rPr>
        <w:t>z</w:t>
      </w:r>
      <w:r>
        <w:rPr>
          <w:rFonts w:ascii="Arial" w:cs="Arial" w:eastAsia="Arial" w:hAnsi="Arial"/>
          <w:sz w:val="19"/>
          <w:szCs w:val="19"/>
          <w:color w:val="auto"/>
        </w:rPr>
        <w:t xml:space="preserve">), </w:t>
      </w:r>
      <w:r>
        <w:rPr>
          <w:rFonts w:ascii="Arial" w:cs="Arial" w:eastAsia="Arial" w:hAnsi="Arial"/>
          <w:sz w:val="19"/>
          <w:szCs w:val="19"/>
          <w:u w:val="single" w:color="auto"/>
          <w:color w:val="auto"/>
        </w:rPr>
        <w:t>(aa</w:t>
      </w:r>
      <w:r>
        <w:rPr>
          <w:rFonts w:ascii="Arial" w:cs="Arial" w:eastAsia="Arial" w:hAnsi="Arial"/>
          <w:sz w:val="19"/>
          <w:szCs w:val="19"/>
          <w:color w:val="auto"/>
        </w:rPr>
        <w:t>), (</w:t>
      </w:r>
      <w:r>
        <w:rPr>
          <w:rFonts w:ascii="Arial" w:cs="Arial" w:eastAsia="Arial" w:hAnsi="Arial"/>
          <w:sz w:val="19"/>
          <w:szCs w:val="19"/>
          <w:u w:val="single" w:color="auto"/>
          <w:color w:val="auto"/>
        </w:rPr>
        <w:t>bb</w:t>
      </w:r>
      <w:r>
        <w:rPr>
          <w:rFonts w:ascii="Arial" w:cs="Arial" w:eastAsia="Arial" w:hAnsi="Arial"/>
          <w:sz w:val="19"/>
          <w:szCs w:val="19"/>
          <w:color w:val="auto"/>
        </w:rPr>
        <w:t>), (</w:t>
      </w:r>
      <w:r>
        <w:rPr>
          <w:rFonts w:ascii="Arial" w:cs="Arial" w:eastAsia="Arial" w:hAnsi="Arial"/>
          <w:sz w:val="19"/>
          <w:szCs w:val="19"/>
          <w:u w:val="single" w:color="auto"/>
          <w:color w:val="auto"/>
        </w:rPr>
        <w:t>cc</w:t>
      </w:r>
      <w:r>
        <w:rPr>
          <w:rFonts w:ascii="Arial" w:cs="Arial" w:eastAsia="Arial" w:hAnsi="Arial"/>
          <w:sz w:val="19"/>
          <w:szCs w:val="19"/>
          <w:color w:val="auto"/>
        </w:rPr>
        <w:t>) and (</w:t>
      </w:r>
      <w:r>
        <w:rPr>
          <w:rFonts w:ascii="Arial" w:cs="Arial" w:eastAsia="Arial" w:hAnsi="Arial"/>
          <w:sz w:val="19"/>
          <w:szCs w:val="19"/>
          <w:u w:val="single" w:color="auto"/>
          <w:color w:val="auto"/>
        </w:rPr>
        <w:t>ee</w:t>
      </w:r>
      <w:r>
        <w:rPr>
          <w:rFonts w:ascii="Arial" w:cs="Arial" w:eastAsia="Arial" w:hAnsi="Arial"/>
          <w:sz w:val="19"/>
          <w:szCs w:val="19"/>
          <w:color w:val="auto"/>
        </w:rPr>
        <w:t xml:space="preserve">), (iv) any portion of the consideration for such Disposition that is not in the form of cash or Cash Equivalents shall become Collateral and (v) this </w:t>
      </w:r>
      <w:r>
        <w:rPr>
          <w:rFonts w:ascii="Arial" w:cs="Arial" w:eastAsia="Arial" w:hAnsi="Arial"/>
          <w:sz w:val="19"/>
          <w:szCs w:val="19"/>
          <w:u w:val="single" w:color="auto"/>
          <w:color w:val="auto"/>
        </w:rPr>
        <w:t>Section 7.05(l)</w:t>
      </w:r>
      <w:r>
        <w:rPr>
          <w:rFonts w:ascii="Arial" w:cs="Arial" w:eastAsia="Arial" w:hAnsi="Arial"/>
          <w:sz w:val="19"/>
          <w:szCs w:val="19"/>
          <w:color w:val="auto"/>
        </w:rPr>
        <w:t xml:space="preserve"> shall not permit the Disposition of all or substantially all of the assets of the Borrower and its Subsidiaries (taken as a whole).</w:t>
      </w:r>
    </w:p>
    <w:p>
      <w:pPr>
        <w:spacing w:after="0" w:line="161" w:lineRule="exact"/>
        <w:rPr>
          <w:rFonts w:ascii="Arial" w:cs="Arial" w:eastAsia="Arial" w:hAnsi="Arial"/>
          <w:sz w:val="19"/>
          <w:szCs w:val="19"/>
          <w:color w:val="auto"/>
        </w:rPr>
      </w:pPr>
    </w:p>
    <w:p>
      <w:pPr>
        <w:jc w:val="both"/>
        <w:ind w:firstLine="605"/>
        <w:spacing w:after="0" w:line="263" w:lineRule="auto"/>
        <w:tabs>
          <w:tab w:leader="none" w:pos="111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(i) any Disposition of Securitization Assets or Receivables Assets, or participations therein, in connection with any Qualified Securitization Financing or Receivables Facility, in the case of this clause (i) to the extent permitted under </w:t>
      </w:r>
      <w:r>
        <w:rPr>
          <w:rFonts w:ascii="Arial" w:cs="Arial" w:eastAsia="Arial" w:hAnsi="Arial"/>
          <w:sz w:val="20"/>
          <w:szCs w:val="20"/>
          <w:u w:val="single" w:color="auto"/>
          <w:color w:val="auto"/>
        </w:rPr>
        <w:t>Section 7.03(z)</w:t>
      </w:r>
      <w:r>
        <w:rPr>
          <w:rFonts w:ascii="Arial" w:cs="Arial" w:eastAsia="Arial" w:hAnsi="Arial"/>
          <w:sz w:val="20"/>
          <w:szCs w:val="20"/>
          <w:color w:val="auto"/>
        </w:rPr>
        <w:t>, or (ii) the Disposition of an account receivable in connection with the collection or compromise thereof in the ordinary course of business or consistent with past practice;</w:t>
      </w:r>
    </w:p>
    <w:p>
      <w:pPr>
        <w:spacing w:after="0" w:line="162" w:lineRule="exact"/>
        <w:rPr>
          <w:rFonts w:ascii="Arial" w:cs="Arial" w:eastAsia="Arial" w:hAnsi="Arial"/>
          <w:sz w:val="20"/>
          <w:szCs w:val="20"/>
          <w:color w:val="auto"/>
        </w:rPr>
      </w:pPr>
    </w:p>
    <w:p>
      <w:pPr>
        <w:ind w:left="1000" w:hanging="395"/>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firstLine="605"/>
        <w:spacing w:after="0" w:line="291" w:lineRule="auto"/>
        <w:tabs>
          <w:tab w:leader="none" w:pos="11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dispositions from and after the Restatement Effective Date of non-core or obsolete assets acquired in connection with any Permitted Acquisition or other permitted Investments;</w:t>
      </w:r>
    </w:p>
    <w:p>
      <w:pPr>
        <w:spacing w:after="0" w:line="134" w:lineRule="exact"/>
        <w:rPr>
          <w:rFonts w:ascii="Arial" w:cs="Arial" w:eastAsia="Arial" w:hAnsi="Arial"/>
          <w:sz w:val="20"/>
          <w:szCs w:val="20"/>
          <w:color w:val="auto"/>
        </w:rPr>
      </w:pPr>
    </w:p>
    <w:p>
      <w:pPr>
        <w:ind w:left="1000" w:hanging="395"/>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incurrence of Liens permitted hereunder;</w:t>
      </w:r>
    </w:p>
    <w:p>
      <w:pPr>
        <w:spacing w:after="0" w:line="223" w:lineRule="exact"/>
        <w:rPr>
          <w:rFonts w:ascii="Arial" w:cs="Arial" w:eastAsia="Arial" w:hAnsi="Arial"/>
          <w:sz w:val="20"/>
          <w:szCs w:val="20"/>
          <w:color w:val="auto"/>
        </w:rPr>
      </w:pPr>
    </w:p>
    <w:p>
      <w:pPr>
        <w:ind w:firstLine="605"/>
        <w:spacing w:after="0" w:line="291" w:lineRule="auto"/>
        <w:tabs>
          <w:tab w:leader="none" w:pos="1145"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sales or dispositions of Equity Interests of any Subsidiary (other than the Borrower) in order to qualify members of the governing body of such Subsidiary if required by applicable law;</w:t>
      </w:r>
    </w:p>
    <w:p>
      <w:pPr>
        <w:spacing w:after="0" w:line="134" w:lineRule="exact"/>
        <w:rPr>
          <w:rFonts w:ascii="Arial" w:cs="Arial" w:eastAsia="Arial" w:hAnsi="Arial"/>
          <w:sz w:val="20"/>
          <w:szCs w:val="20"/>
          <w:color w:val="auto"/>
        </w:rPr>
      </w:pPr>
    </w:p>
    <w:p>
      <w:pPr>
        <w:ind w:left="980" w:hanging="375"/>
        <w:spacing w:after="0"/>
        <w:tabs>
          <w:tab w:leader="none" w:pos="9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left="980" w:hanging="375"/>
        <w:spacing w:after="0"/>
        <w:tabs>
          <w:tab w:leader="none" w:pos="9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Restricted Payments made pursuant to </w:t>
      </w:r>
      <w:r>
        <w:rPr>
          <w:rFonts w:ascii="Arial" w:cs="Arial" w:eastAsia="Arial" w:hAnsi="Arial"/>
          <w:sz w:val="20"/>
          <w:szCs w:val="20"/>
          <w:u w:val="single" w:color="auto"/>
          <w:color w:val="auto"/>
        </w:rPr>
        <w:t>Section 7.06</w:t>
      </w:r>
      <w:r>
        <w:rPr>
          <w:rFonts w:ascii="Arial" w:cs="Arial" w:eastAsia="Arial" w:hAnsi="Arial"/>
          <w:sz w:val="20"/>
          <w:szCs w:val="20"/>
          <w:color w:val="auto"/>
        </w:rPr>
        <w:t>; and</w:t>
      </w:r>
    </w:p>
    <w:p>
      <w:pPr>
        <w:spacing w:after="0" w:line="223" w:lineRule="exact"/>
        <w:rPr>
          <w:rFonts w:ascii="Arial" w:cs="Arial" w:eastAsia="Arial" w:hAnsi="Arial"/>
          <w:sz w:val="20"/>
          <w:szCs w:val="20"/>
          <w:color w:val="auto"/>
        </w:rPr>
      </w:pPr>
    </w:p>
    <w:p>
      <w:pPr>
        <w:ind w:left="960" w:hanging="355"/>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Sale and Leaseback Transactions in an aggregate principal amount not to exceed $50,000,000 during the term of this Agreement;</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Disposition of any property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7.05</w:t>
      </w:r>
      <w:r>
        <w:rPr>
          <w:rFonts w:ascii="Arial" w:cs="Arial" w:eastAsia="Arial" w:hAnsi="Arial"/>
          <w:sz w:val="19"/>
          <w:szCs w:val="19"/>
          <w:i w:val="1"/>
          <w:iCs w:val="1"/>
          <w:color w:val="auto"/>
        </w:rPr>
        <w:t xml:space="preserve"> </w:t>
      </w:r>
      <w:r>
        <w:rPr>
          <w:rFonts w:ascii="Arial" w:cs="Arial" w:eastAsia="Arial" w:hAnsi="Arial"/>
          <w:sz w:val="19"/>
          <w:szCs w:val="19"/>
          <w:color w:val="auto"/>
        </w:rPr>
        <w:t>(except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7.05(a), (c), (e), (f), (g), (i), (j), (k),</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(m), (n), (o), (p), (q), (r) and (s)</w:t>
      </w:r>
      <w:r>
        <w:rPr>
          <w:rFonts w:ascii="Arial" w:cs="Arial" w:eastAsia="Arial" w:hAnsi="Arial"/>
          <w:sz w:val="19"/>
          <w:szCs w:val="19"/>
          <w:color w:val="auto"/>
        </w:rPr>
        <w:t xml:space="preserve"> and except for Dispositions from a Loan Party to any other Loan Party) shall be for no less than the fair market value of such property at the time of such Disposition. To the extent any Collateral is Disposed of as expressly permitted by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to any Person other than a Loan Party, such Collateral shall be automatically sold free and clear of the Liens created by the Loan Documents, and, if requested by the Borrower, upon the certification delivered to the Administrative Agent by the Borrower that such Disposition is permitted by this Agreement, the Administrative Agent or the Collateral Agent, as applicable, shall be authorized to take, and shall take, any actions reasonably requested by the Borrower in order to effect the foregoing (at the Borrower’s expense) and/or to expressly subordinate any Lien in favor of the Collateral Agent on such Collateral that is disposed of.</w:t>
      </w:r>
    </w:p>
    <w:p>
      <w:pPr>
        <w:spacing w:after="0" w:line="162"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7.06. </w:t>
      </w:r>
      <w:r>
        <w:rPr>
          <w:rFonts w:ascii="Arial" w:cs="Arial" w:eastAsia="Arial" w:hAnsi="Arial"/>
          <w:sz w:val="20"/>
          <w:szCs w:val="20"/>
          <w:i w:val="1"/>
          <w:iCs w:val="1"/>
          <w:color w:val="auto"/>
        </w:rPr>
        <w:t>Restricted Payments.</w:t>
      </w:r>
      <w:r>
        <w:rPr>
          <w:rFonts w:ascii="Arial" w:cs="Arial" w:eastAsia="Arial" w:hAnsi="Arial"/>
          <w:sz w:val="20"/>
          <w:szCs w:val="20"/>
          <w:color w:val="auto"/>
        </w:rPr>
        <w:t xml:space="preserve"> The Borrower shall not, nor shall it permit any Restricted Subsidiary to, directly or indirectly, declare or make, directly or indirectly, any Restricted Payment, except:</w:t>
      </w:r>
    </w:p>
    <w:p>
      <w:pPr>
        <w:spacing w:after="0" w:line="134" w:lineRule="exact"/>
        <w:rPr>
          <w:sz w:val="20"/>
          <w:szCs w:val="20"/>
          <w:color w:val="auto"/>
        </w:rPr>
      </w:pPr>
    </w:p>
    <w:p>
      <w:pPr>
        <w:jc w:val="both"/>
        <w:ind w:firstLine="605"/>
        <w:spacing w:after="0" w:line="313" w:lineRule="auto"/>
        <w:tabs>
          <w:tab w:leader="none" w:pos="10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or any other Restricted Subsidiary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spacing w:after="0" w:line="121" w:lineRule="exact"/>
        <w:rPr>
          <w:rFonts w:ascii="Arial" w:cs="Arial" w:eastAsia="Arial" w:hAnsi="Arial"/>
          <w:sz w:val="18"/>
          <w:szCs w:val="18"/>
          <w:color w:val="auto"/>
        </w:rPr>
      </w:pPr>
    </w:p>
    <w:p>
      <w:pPr>
        <w:jc w:val="both"/>
        <w:ind w:firstLine="605"/>
        <w:spacing w:after="0" w:line="270" w:lineRule="auto"/>
        <w:tabs>
          <w:tab w:leader="none" w:pos="107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the Borrower and each Restricted Subsidiary may declare and make dividend payments or other Restricted Payments payable solely in the Equity Interests (other than Disqualified Equity Interests unless such Disqualified Equity Interests would be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 of such Person;</w:t>
      </w:r>
    </w:p>
    <w:p>
      <w:pPr>
        <w:sectPr>
          <w:pgSz w:w="11900" w:h="16838" w:orient="portrait"/>
          <w:cols w:equalWidth="0" w:num="1">
            <w:col w:w="11420"/>
          </w:cols>
          <w:pgMar w:left="240" w:top="131" w:right="239" w:bottom="76" w:gutter="0" w:footer="0" w:header="0"/>
        </w:sectPr>
      </w:pPr>
    </w:p>
    <w:bookmarkStart w:id="107" w:name="page108"/>
    <w:bookmarkEnd w:id="107"/>
    <w:p>
      <w:pPr>
        <w:jc w:val="both"/>
        <w:ind w:firstLine="605"/>
        <w:spacing w:after="0" w:line="257" w:lineRule="auto"/>
        <w:tabs>
          <w:tab w:leader="none" w:pos="110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(i) repurchases of Equity Interests in the Borrower deemed to occur upon the exercise of stock options or warrants or the settlement or vesting of other equity awards if such Equity Interests represent a portion of the exercise price of such options or warrants, (ii) cash payments in lieu of the issuance of fractional shares in connection with the exercise of stock options, warrants or other securities convertible into or exchangeable for Equity Interests of the Borrower or (iii) Restricted Payments made in respect of any other transaction involving fractional shares;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such cash payment shall not be for the purpose of evading the limitations of this Agreement;</w:t>
      </w:r>
    </w:p>
    <w:p>
      <w:pPr>
        <w:spacing w:after="0" w:line="170" w:lineRule="exact"/>
        <w:rPr>
          <w:rFonts w:ascii="Arial" w:cs="Arial" w:eastAsia="Arial" w:hAnsi="Arial"/>
          <w:sz w:val="20"/>
          <w:szCs w:val="20"/>
          <w:color w:val="auto"/>
        </w:rPr>
      </w:pPr>
    </w:p>
    <w:p>
      <w:pPr>
        <w:jc w:val="both"/>
        <w:ind w:firstLine="605"/>
        <w:spacing w:after="0" w:line="283" w:lineRule="auto"/>
        <w:tabs>
          <w:tab w:leader="none" w:pos="110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Borrower may pay for the repurchase, retirement or other acquisition or retirement for value of Equity Interests of the Borrower held by any present or former employee, officer, director or consultant of the Borrower or any Restricted Subsidiary or equity based awards held by such Persons, in each case, upon the death, disability, retirement or termination of employment of any such Person or pursuant to any employee or director equity plan, employee or director stock option plan or any other employee or director benefit plan or any agreement (including any stock subscription or shareholder agreement) with any employee, director, officer or consultant of the Borrower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Restricted Payments made pursuant to this clause (d) shall not exceed (i) $7,500,000 in any fiscal year plus (ii) the then applicable Cumulative Credit plus (iii) the proceeds of any key man insurance policies;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to the extent that the aggregate amount of Restricted Payments made by the Borrower and the Restricted Subsidiaries pursuant to this clause (d) in any fiscal year is less than the amount set forth above, 100% of the amount of such difference may be carried forward and used to make such Restricted Payments pursuant to this clause (d) in the next two succeeding fiscal years (</w:t>
      </w:r>
      <w:r>
        <w:rPr>
          <w:rFonts w:ascii="Arial" w:cs="Arial" w:eastAsia="Arial" w:hAnsi="Arial"/>
          <w:sz w:val="18"/>
          <w:szCs w:val="18"/>
          <w:i w:val="1"/>
          <w:iCs w:val="1"/>
          <w:color w:val="auto"/>
        </w:rPr>
        <w:t>provided</w:t>
      </w:r>
      <w:r>
        <w:rPr>
          <w:rFonts w:ascii="Arial" w:cs="Arial" w:eastAsia="Arial" w:hAnsi="Arial"/>
          <w:sz w:val="18"/>
          <w:szCs w:val="18"/>
          <w:color w:val="auto"/>
        </w:rPr>
        <w:t>, that any such amount carried forward shall be deemed to be used to make such Restricted Payments in any fiscal year after the amount set forth above for such fiscal year shall be deemed to be used to make such Restricted Payments for such fiscal year);</w:t>
      </w:r>
    </w:p>
    <w:p>
      <w:pPr>
        <w:spacing w:after="0" w:line="154" w:lineRule="exact"/>
        <w:rPr>
          <w:rFonts w:ascii="Arial" w:cs="Arial" w:eastAsia="Arial" w:hAnsi="Arial"/>
          <w:sz w:val="18"/>
          <w:szCs w:val="18"/>
          <w:color w:val="auto"/>
        </w:rPr>
      </w:pPr>
    </w:p>
    <w:p>
      <w:pPr>
        <w:jc w:val="both"/>
        <w:ind w:firstLine="605"/>
        <w:spacing w:after="0" w:line="273" w:lineRule="auto"/>
        <w:tabs>
          <w:tab w:leader="none" w:pos="99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the Borrower may make Restricted Payments in an aggregate amount not to exceed (x) together with (I) the aggregate amount of Investments made under sub-clause (x) of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and (II) the aggregate amount of prepayments, redemptions, purchases, defeasances and other payments made pursuant to sub-clause (x) of </w:t>
      </w:r>
      <w:r>
        <w:rPr>
          <w:rFonts w:ascii="Arial" w:cs="Arial" w:eastAsia="Arial" w:hAnsi="Arial"/>
          <w:sz w:val="19"/>
          <w:szCs w:val="19"/>
          <w:u w:val="single" w:color="auto"/>
          <w:color w:val="auto"/>
        </w:rPr>
        <w:t>Section 7.13(a)(vi)</w:t>
      </w:r>
      <w:r>
        <w:rPr>
          <w:rFonts w:ascii="Arial" w:cs="Arial" w:eastAsia="Arial" w:hAnsi="Arial"/>
          <w:sz w:val="19"/>
          <w:szCs w:val="19"/>
          <w:color w:val="auto"/>
        </w:rPr>
        <w:t xml:space="preserve">, $30,000,000, plus (y) the portion, if any, of the Cumulative Credit on such date that the Borrower elects to apply to this subclause (y);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Restricted Payment made pursuant to this </w:t>
      </w:r>
      <w:r>
        <w:rPr>
          <w:rFonts w:ascii="Arial" w:cs="Arial" w:eastAsia="Arial" w:hAnsi="Arial"/>
          <w:sz w:val="19"/>
          <w:szCs w:val="19"/>
          <w:u w:val="single" w:color="auto"/>
          <w:color w:val="auto"/>
        </w:rPr>
        <w:t>Section 7.06(e)</w:t>
      </w:r>
      <w:r>
        <w:rPr>
          <w:rFonts w:ascii="Arial" w:cs="Arial" w:eastAsia="Arial" w:hAnsi="Arial"/>
          <w:sz w:val="19"/>
          <w:szCs w:val="19"/>
          <w:color w:val="auto"/>
        </w:rPr>
        <w:t>, (A) no Event of Default has occurred and is continuing or would result therefrom and (B) on a Pro Forma Basis after giving effect thereto the Total Leverage Ratio is equal to or less than 2.00:1.00;</w:t>
      </w:r>
    </w:p>
    <w:p>
      <w:pPr>
        <w:spacing w:after="0" w:line="157" w:lineRule="exact"/>
        <w:rPr>
          <w:rFonts w:ascii="Arial" w:cs="Arial" w:eastAsia="Arial" w:hAnsi="Arial"/>
          <w:sz w:val="19"/>
          <w:szCs w:val="19"/>
          <w:color w:val="auto"/>
        </w:rPr>
      </w:pPr>
    </w:p>
    <w:p>
      <w:pPr>
        <w:jc w:val="both"/>
        <w:ind w:firstLine="605"/>
        <w:spacing w:after="0" w:line="270" w:lineRule="auto"/>
        <w:tabs>
          <w:tab w:leader="none" w:pos="101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distributions or payments of Securitization Fees, sales, contributions and other transfers of Securitization Assets or Receivables Assets and purchases of Securitization Assets or Receivables Assets pursuant to a Securitization Purchase Obligations, in each case in connection with a Qualified Securitization Financing or a Receivables Facility;</w:t>
      </w:r>
    </w:p>
    <w:p>
      <w:pPr>
        <w:spacing w:after="0" w:line="155" w:lineRule="exact"/>
        <w:rPr>
          <w:rFonts w:ascii="Arial" w:cs="Arial" w:eastAsia="Arial" w:hAnsi="Arial"/>
          <w:sz w:val="20"/>
          <w:szCs w:val="20"/>
          <w:color w:val="auto"/>
        </w:rPr>
      </w:pPr>
    </w:p>
    <w:p>
      <w:pPr>
        <w:ind w:left="1000" w:hanging="395"/>
        <w:spacing w:after="0"/>
        <w:tabs>
          <w:tab w:leader="none" w:pos="10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[reserved];</w:t>
      </w:r>
    </w:p>
    <w:p>
      <w:pPr>
        <w:spacing w:after="0" w:line="223" w:lineRule="exact"/>
        <w:rPr>
          <w:rFonts w:ascii="Arial" w:cs="Arial" w:eastAsia="Arial" w:hAnsi="Arial"/>
          <w:sz w:val="20"/>
          <w:szCs w:val="20"/>
          <w:color w:val="auto"/>
        </w:rPr>
      </w:pPr>
    </w:p>
    <w:p>
      <w:pPr>
        <w:ind w:firstLine="605"/>
        <w:spacing w:after="0" w:line="291" w:lineRule="auto"/>
        <w:tabs>
          <w:tab w:leader="none" w:pos="104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the Restricted Subsidiaries may make a Restricted Payment in connection with the acquisition of additional Equity Interests in any Restricted Subsidiary from minority shareholders (in accordance with </w:t>
      </w:r>
      <w:r>
        <w:rPr>
          <w:rFonts w:ascii="Arial" w:cs="Arial" w:eastAsia="Arial" w:hAnsi="Arial"/>
          <w:sz w:val="20"/>
          <w:szCs w:val="20"/>
          <w:u w:val="single" w:color="auto"/>
          <w:color w:val="auto"/>
        </w:rPr>
        <w:t>Section 7.08</w:t>
      </w:r>
      <w:r>
        <w:rPr>
          <w:rFonts w:ascii="Arial" w:cs="Arial" w:eastAsia="Arial" w:hAnsi="Arial"/>
          <w:sz w:val="20"/>
          <w:szCs w:val="20"/>
          <w:color w:val="auto"/>
        </w:rPr>
        <w:t>, if applicable);</w:t>
      </w:r>
    </w:p>
    <w:p>
      <w:pPr>
        <w:spacing w:after="0" w:line="134" w:lineRule="exact"/>
        <w:rPr>
          <w:rFonts w:ascii="Arial" w:cs="Arial" w:eastAsia="Arial" w:hAnsi="Arial"/>
          <w:sz w:val="20"/>
          <w:szCs w:val="20"/>
          <w:color w:val="auto"/>
        </w:rPr>
      </w:pPr>
    </w:p>
    <w:p>
      <w:pPr>
        <w:jc w:val="both"/>
        <w:ind w:firstLine="605"/>
        <w:spacing w:after="0" w:line="270" w:lineRule="auto"/>
        <w:tabs>
          <w:tab w:leader="none" w:pos="98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Restricted Payments made (i) in respect of working capital adjustments or purchase price adjustments pursuant to any Permitted Acquisition or other permitted Investments (other than pursuant to </w:t>
      </w:r>
      <w:r>
        <w:rPr>
          <w:rFonts w:ascii="Arial" w:cs="Arial" w:eastAsia="Arial" w:hAnsi="Arial"/>
          <w:sz w:val="20"/>
          <w:szCs w:val="20"/>
          <w:u w:val="single" w:color="auto"/>
          <w:color w:val="auto"/>
        </w:rPr>
        <w:t>Section 7.02(x))</w:t>
      </w:r>
      <w:r>
        <w:rPr>
          <w:rFonts w:ascii="Arial" w:cs="Arial" w:eastAsia="Arial" w:hAnsi="Arial"/>
          <w:sz w:val="20"/>
          <w:szCs w:val="20"/>
          <w:color w:val="auto"/>
        </w:rPr>
        <w:t xml:space="preserve"> and (ii) to satisfy indemnity and other similar obligations under the Permitted Acquisitions or other permitted Investments;</w:t>
      </w:r>
    </w:p>
    <w:p>
      <w:pPr>
        <w:spacing w:after="0" w:line="155" w:lineRule="exact"/>
        <w:rPr>
          <w:rFonts w:ascii="Arial" w:cs="Arial" w:eastAsia="Arial" w:hAnsi="Arial"/>
          <w:sz w:val="20"/>
          <w:szCs w:val="20"/>
          <w:color w:val="auto"/>
        </w:rPr>
      </w:pPr>
    </w:p>
    <w:p>
      <w:pPr>
        <w:ind w:left="960" w:hanging="355"/>
        <w:spacing w:after="0"/>
        <w:tabs>
          <w:tab w:leader="none" w:pos="9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23" w:lineRule="exact"/>
        <w:rPr>
          <w:rFonts w:ascii="Arial" w:cs="Arial" w:eastAsia="Arial" w:hAnsi="Arial"/>
          <w:sz w:val="20"/>
          <w:szCs w:val="20"/>
          <w:color w:val="auto"/>
        </w:rPr>
      </w:pPr>
    </w:p>
    <w:p>
      <w:pPr>
        <w:ind w:firstLine="605"/>
        <w:spacing w:after="0" w:line="291" w:lineRule="auto"/>
        <w:tabs>
          <w:tab w:leader="none" w:pos="118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Restricted Payments in respect of transactions related to (i) fundamental changes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and (ii) Investments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(other than clause (v) thereof).</w:t>
      </w:r>
    </w:p>
    <w:p>
      <w:pPr>
        <w:spacing w:after="0" w:line="134"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7.07.</w:t>
      </w:r>
      <w:r>
        <w:rPr>
          <w:sz w:val="20"/>
          <w:szCs w:val="20"/>
          <w:color w:val="auto"/>
        </w:rPr>
        <w:tab/>
      </w:r>
      <w:r>
        <w:rPr>
          <w:rFonts w:ascii="Arial" w:cs="Arial" w:eastAsia="Arial" w:hAnsi="Arial"/>
          <w:sz w:val="18"/>
          <w:szCs w:val="18"/>
          <w:i w:val="1"/>
          <w:iCs w:val="1"/>
          <w:color w:val="auto"/>
        </w:rPr>
        <w:t>Change in Nature of Business; Organization Documents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63" w:lineRule="auto"/>
        <w:tabs>
          <w:tab w:leader="none" w:pos="1008"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Borrower shall not, nor shall the Borrower permit any of the Restricted Subsidiaries to, directly or indirectly, engage in any material line of business substantially different from those lines of business conducted by the Borrower and the Restricted Subsidiaries on the Restatement Effective Date or any business reasonably related, complementary, synergistic or ancillary thereto or reasonable extensions thereof.</w:t>
      </w:r>
    </w:p>
    <w:p>
      <w:pPr>
        <w:spacing w:after="0" w:line="162" w:lineRule="exact"/>
        <w:rPr>
          <w:rFonts w:ascii="Arial" w:cs="Arial" w:eastAsia="Arial" w:hAnsi="Arial"/>
          <w:sz w:val="20"/>
          <w:szCs w:val="20"/>
          <w:color w:val="auto"/>
        </w:rPr>
      </w:pPr>
    </w:p>
    <w:p>
      <w:pPr>
        <w:jc w:val="both"/>
        <w:ind w:firstLine="605"/>
        <w:spacing w:after="0" w:line="270" w:lineRule="auto"/>
        <w:tabs>
          <w:tab w:leader="none" w:pos="110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Borrower shall not, nor shall the Borrower permit any of the Restricted Subsidiaries to, amend, restate, supplement or otherwise modify to, or waive of any of its rights under, its Organization Documents to the extent any of the foregoing could reasonably be expected to be material and adverse to the Lenders (in their capacities as such).</w:t>
      </w:r>
    </w:p>
    <w:p>
      <w:pPr>
        <w:spacing w:after="0" w:line="155"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xml:space="preserve"> The Borrower shall not, nor shall it permit any Restricted Subsidiary to, directly or indirectly, enter into any transaction of any kind with any of its Affiliates, whether or not in the ordinary course of business, other than (a) transactions between or among Loan Parties or any entity that becomes a Loan Party as a result of such transaction and transactions between or among Restricted Subsidiaries that are not Loan Parties, (b) on terms (taken as a whole) substantially not less favorable to the Borrower in any material respect or such Restricted Subsidiary as would be obtainable by the Borrower or such Restricted Subsidiary at the time in a comparable arm’s-length transaction with a Person other than an Affiliate, (c) the Transactions and the payment of fees and expenses (including Transaction Expenses) as part of or in connection with the Transactions, (d) the issuance of Equity Interests or equity based awards to any officer, director, employee or consultant of the Borrower or any of its Restricted Subsidiaries in the ordinary course of business, (e) Investments made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Indebtedness incurred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Restricted Payments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(f) customary employment, consulting and severance arrangements between the Borrower and the Restricted Subsidiaries and their respective officers and employees in the ordinary course of business and transactions pursuant to stock option plans and employee benefit plans and similar arrangements in the ordinary course of business, (h) the payment of customary fees and reasonable out of pocket costs to, and customary indemnities provided on behalf of, directors, officers, employees and consultants of the Borrower and the Restricted Subsidiaries in the ordinary course of business, (i) any customary transaction with a Receivables Facility or a Securitization Subsidiary</w:t>
      </w:r>
    </w:p>
    <w:p>
      <w:pPr>
        <w:sectPr>
          <w:pgSz w:w="11900" w:h="16838" w:orient="portrait"/>
          <w:cols w:equalWidth="0" w:num="1">
            <w:col w:w="11420"/>
          </w:cols>
          <w:pgMar w:left="240" w:top="131" w:right="239" w:bottom="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effected as part of a Qualified Securitization Financing, (j) transactions pursuant to registration rights agreements and similar arrangements,</w:t>
      </w:r>
    </w:p>
    <w:p>
      <w:pPr>
        <w:spacing w:after="0" w:line="50" w:lineRule="exact"/>
        <w:rPr>
          <w:sz w:val="20"/>
          <w:szCs w:val="20"/>
          <w:color w:val="auto"/>
        </w:rPr>
      </w:pPr>
    </w:p>
    <w:p>
      <w:pPr>
        <w:jc w:val="both"/>
        <w:ind w:firstLine="1"/>
        <w:spacing w:after="0" w:line="251" w:lineRule="auto"/>
        <w:tabs>
          <w:tab w:leader="none" w:pos="31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transactions in which the Borrower or any Restricted Subsidiary, as the case may be, delivers to the Administrative Agent and the Required Lenders a letter from an independent financial advisor stating that such transaction is fair to the Borrower or such Restricted Subsidiary from a financial point of view or meets the requirements of clause (b) of this </w:t>
      </w:r>
      <w:r>
        <w:rPr>
          <w:rFonts w:ascii="Arial" w:cs="Arial" w:eastAsia="Arial" w:hAnsi="Arial"/>
          <w:sz w:val="20"/>
          <w:szCs w:val="20"/>
          <w:u w:val="single" w:color="auto"/>
          <w:color w:val="auto"/>
        </w:rPr>
        <w:t>Section 7.08</w:t>
      </w:r>
      <w:r>
        <w:rPr>
          <w:rFonts w:ascii="Arial" w:cs="Arial" w:eastAsia="Arial" w:hAnsi="Arial"/>
          <w:sz w:val="20"/>
          <w:szCs w:val="20"/>
          <w:color w:val="auto"/>
        </w:rPr>
        <w:t xml:space="preserve"> and (l) transactions pursuant to agreements in existence on the Restatement Effective Date and set forth on </w:t>
      </w:r>
      <w:r>
        <w:rPr>
          <w:rFonts w:ascii="Arial" w:cs="Arial" w:eastAsia="Arial" w:hAnsi="Arial"/>
          <w:sz w:val="20"/>
          <w:szCs w:val="20"/>
          <w:u w:val="single" w:color="auto"/>
          <w:color w:val="auto"/>
        </w:rPr>
        <w:t>Schedule 7.08</w:t>
      </w:r>
      <w:r>
        <w:rPr>
          <w:rFonts w:ascii="Arial" w:cs="Arial" w:eastAsia="Arial" w:hAnsi="Arial"/>
          <w:sz w:val="20"/>
          <w:szCs w:val="20"/>
          <w:color w:val="auto"/>
        </w:rPr>
        <w:t xml:space="preserve"> or any amendment thereto to the extent such an amendment (taken as a whole) is not adverse to the Lenders in any material respect.</w:t>
      </w:r>
    </w:p>
    <w:p>
      <w:pPr>
        <w:spacing w:after="0" w:line="176" w:lineRule="exact"/>
        <w:rPr>
          <w:sz w:val="20"/>
          <w:szCs w:val="20"/>
          <w:color w:val="auto"/>
        </w:rPr>
      </w:pPr>
    </w:p>
    <w:p>
      <w:pPr>
        <w:jc w:val="both"/>
        <w:ind w:firstLine="604"/>
        <w:spacing w:after="0" w:line="27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Burdensome Agreements.</w:t>
      </w:r>
      <w:r>
        <w:rPr>
          <w:rFonts w:ascii="Arial" w:cs="Arial" w:eastAsia="Arial" w:hAnsi="Arial"/>
          <w:sz w:val="18"/>
          <w:szCs w:val="18"/>
          <w:color w:val="auto"/>
        </w:rPr>
        <w:t xml:space="preserve"> The Borrower shall not, nor shall it permit any Restricted Subsidiary to, directly or indirectly, enter into or permit to exist any Contractual Obligation (other than (i) this Agreement or any other Loan Document, (ii) any ABL Facility Documentation or (iii) any documents governing Credit Agreement Refinancing Indebtedness, Alternative Incremental Indebtedness, or a Permitted Refinancing of (ii)-(iii)) that limits the ability of (a) any Restricted Subsidiary that is not a Guarantor to make Restricted Payments to the Borrower or any Guarantor or to make or repay loans or advances to or otherwise transfer assets to or make Investments in the Borrower or any Restricted Subsidiary that is a Guarantor or (b) any Loan Party to create, incur, assume or suffer to exist Liens on property of such Person to secure the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clauses (a) and (b) shall not apply to Contractual Obligations which (i) (x) exist on the Restatement Effective Date and (to the extent not otherwise permitted by 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are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in any material respect (as determined in good faith by the Borrower), (ii) are binding on a Restricted Subsidiary at the time such Restricted Subsidiary first becomes a Restricted Subsidiary, so long as such Contractual Obligations were not entered into in contemplation of such Person becoming a Restricted Subsidiary, (iii) represent Indebtedness of a Restricted Subsidiary which is not a Loan Party which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(iv) arise in connection with any Disposition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and relate solely to the assets or Person subject to such Disposition, (v) are customary provisions in joint venture agreements and other similar agreements applicable to joint ventures or other non-wholly owned Subsidiaries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applicable solely to such joint venture or other non-wholly owned Subsidiaries and are entered into in the ordinary course of business, (vi) are negative pledges and restrictions on Liens in favor of any holder of Indebtedness (other than any Junior Financing) permitted under </w:t>
      </w:r>
      <w:r>
        <w:rPr>
          <w:rFonts w:ascii="Arial" w:cs="Arial" w:eastAsia="Arial" w:hAnsi="Arial"/>
          <w:sz w:val="18"/>
          <w:szCs w:val="18"/>
          <w:u w:val="single" w:color="auto"/>
          <w:color w:val="auto"/>
        </w:rPr>
        <w:t>Section 7.03(e</w:t>
      </w:r>
      <w:r>
        <w:rPr>
          <w:rFonts w:ascii="Arial" w:cs="Arial" w:eastAsia="Arial" w:hAnsi="Arial"/>
          <w:sz w:val="18"/>
          <w:szCs w:val="18"/>
          <w:color w:val="auto"/>
        </w:rPr>
        <w:t>)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but solely to the extent any negative pledge relates to the property financed by such Indebtedness, (vii) are customary restrictions in leases, subleases, licenses or asset sale agreements otherwise permitted hereby so long as such restrictions relate only to the assets subject thereto, (viii) comprise restrictions imposed by any agreement governing secured Indebtedness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to the extent that such restrictions apply only to the property or assets securing such Indebtedness, (ix) are customary provisions restricting subletting or assignment of any lease governing a leasehold interest of the Borrower or any Restricted Subsidiary entered into in the ordinary course of business, (x) are customary provisions restricting assignment of any agreement entered into in the ordinary course of business, (xi) are customary restrictions contained in the ABL Facility Documentation and any Qualified Securitization Financing, (xii) arise in connection with cash or other deposits permitted under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limited to such cash or deposit or (xiii) comprise restrictions imposed by any agreement governing Indebtedness entered into on or after the Restatement Effective Date and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if the restrictions contained in any such agreement taken as a whole (a) are not materially less favorable to the Secured Parties than the encumbrances and restrictions contained in the Loan Documents (as determined by the Borrower) or (b) either (I) the Borrower determines at the time of entry into such agreement or instrument that such encumbrances or restrictions will not adversely affect, in any material respect, the Borrower’s ability to make principal or interest payments required hereunder or (II) such encumbrance or restriction applies only during the continuance of a default relating to such agreement or instrument.</w:t>
      </w:r>
    </w:p>
    <w:p>
      <w:pPr>
        <w:spacing w:after="0" w:line="200" w:lineRule="exact"/>
        <w:rPr>
          <w:sz w:val="20"/>
          <w:szCs w:val="20"/>
          <w:color w:val="auto"/>
        </w:rPr>
      </w:pPr>
    </w:p>
    <w:p>
      <w:pPr>
        <w:spacing w:after="0" w:line="205"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i w:val="1"/>
          <w:iCs w:val="1"/>
          <w:color w:val="auto"/>
        </w:rPr>
        <w:t>Financial Covenant</w:t>
      </w:r>
      <w:r>
        <w:rPr>
          <w:rFonts w:ascii="Arial" w:cs="Arial" w:eastAsia="Arial" w:hAnsi="Arial"/>
          <w:sz w:val="20"/>
          <w:szCs w:val="20"/>
          <w:color w:val="auto"/>
        </w:rPr>
        <w:t>. The Borrower shall not permit Consolidated EBITDA as of the last day of any Test Period ending as of the end of each of its fiscal quarters, commencing with the fiscal quarter ending September 30, 2019 to be less than $200,000,000.</w:t>
      </w:r>
    </w:p>
    <w:p>
      <w:pPr>
        <w:spacing w:after="0" w:line="155"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7.11.</w:t>
      </w:r>
      <w:r>
        <w:rPr>
          <w:sz w:val="20"/>
          <w:szCs w:val="20"/>
          <w:color w:val="auto"/>
        </w:rPr>
        <w:tab/>
      </w:r>
      <w:r>
        <w:rPr>
          <w:rFonts w:ascii="Arial" w:cs="Arial" w:eastAsia="Arial" w:hAnsi="Arial"/>
          <w:sz w:val="17"/>
          <w:szCs w:val="17"/>
          <w:color w:val="auto"/>
        </w:rPr>
        <w:t>[Reserved].</w:t>
      </w:r>
    </w:p>
    <w:p>
      <w:pPr>
        <w:spacing w:after="0" w:line="223"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Fiscal Year.</w:t>
      </w:r>
      <w:r>
        <w:rPr>
          <w:rFonts w:ascii="Arial" w:cs="Arial" w:eastAsia="Arial" w:hAnsi="Arial"/>
          <w:sz w:val="18"/>
          <w:szCs w:val="18"/>
          <w:color w:val="auto"/>
        </w:rPr>
        <w:t xml:space="preserve"> The Borrower shall not make any change in its fiscal year or fiscal quarters (it being understood that the Borrower’s fiscal year ends on December 31 of each year, and that each of the first three fiscal quarters of each fiscal year of the Borrower ends on the March 31, June 30 and September 30, respectively);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Borrower may, upon written notice to the Administrative Agent and the Required Lenders, change its fiscal year and fiscal quarters to any other fiscal year (and any other fiscal quarters) reasonably acceptable to the Administrative Agent and the Required Lenders, in which case, the Borrower and the Administrative Agent will, and are hereby authorized by the Lenders to, make any adjustments to this Agreement that are necessary to reflect such changes.</w:t>
      </w:r>
    </w:p>
    <w:p>
      <w:pPr>
        <w:spacing w:after="0" w:line="143"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7.13.</w:t>
      </w:r>
      <w:r>
        <w:rPr>
          <w:sz w:val="20"/>
          <w:szCs w:val="20"/>
          <w:color w:val="auto"/>
        </w:rPr>
        <w:tab/>
      </w:r>
      <w:r>
        <w:rPr>
          <w:rFonts w:ascii="Arial" w:cs="Arial" w:eastAsia="Arial" w:hAnsi="Arial"/>
          <w:sz w:val="17"/>
          <w:szCs w:val="17"/>
          <w:i w:val="1"/>
          <w:iCs w:val="1"/>
          <w:color w:val="auto"/>
        </w:rPr>
        <w:t>Prepayments, Etc. of Indebtedness</w:t>
      </w:r>
      <w:r>
        <w:rPr>
          <w:rFonts w:ascii="Arial" w:cs="Arial" w:eastAsia="Arial" w:hAnsi="Arial"/>
          <w:sz w:val="17"/>
          <w:szCs w:val="17"/>
          <w:color w:val="auto"/>
        </w:rPr>
        <w:t>.</w:t>
      </w:r>
    </w:p>
    <w:p>
      <w:pPr>
        <w:spacing w:after="0" w:line="223" w:lineRule="exact"/>
        <w:rPr>
          <w:sz w:val="20"/>
          <w:szCs w:val="20"/>
          <w:color w:val="auto"/>
        </w:rPr>
      </w:pPr>
    </w:p>
    <w:p>
      <w:pPr>
        <w:jc w:val="both"/>
        <w:ind w:firstLine="605"/>
        <w:spacing w:after="0" w:line="283" w:lineRule="auto"/>
        <w:tabs>
          <w:tab w:leader="none" w:pos="11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Borrower shall not, nor shall it permit any Restricted Subsidiary to, directly or indirectly, voluntarily prepay, redeem, purchase, defease or otherwise satisfy prior to the scheduled maturity thereof in any manner (it being understood that payments of regularly scheduled interest shall be permitted unless such payments violate any subordination terms of any Junior Financing Documentation) (x) any Permitted Additional Debt (or any Permitted Refinancing thereof) or (y) any Junior Financing that constitutes Subordinated Indebtedness (or any Permitted Refinancing thereof), or make any payment in violation of any subordination terms of any Junior Financing Documentation, if any, except (i) any Permitted Refinancing permitted in respect thereof (including any Permitted Refinancing set forth in </w:t>
      </w:r>
      <w:r>
        <w:rPr>
          <w:rFonts w:ascii="Arial" w:cs="Arial" w:eastAsia="Arial" w:hAnsi="Arial"/>
          <w:sz w:val="18"/>
          <w:szCs w:val="18"/>
          <w:u w:val="single" w:color="auto"/>
          <w:color w:val="auto"/>
        </w:rPr>
        <w:t>Section 7.03(u)</w:t>
      </w:r>
      <w:r>
        <w:rPr>
          <w:rFonts w:ascii="Arial" w:cs="Arial" w:eastAsia="Arial" w:hAnsi="Arial"/>
          <w:sz w:val="18"/>
          <w:szCs w:val="18"/>
          <w:color w:val="auto"/>
        </w:rPr>
        <w:t xml:space="preserve"> hereof), (ii) the conversion of any Permitted Additional Debt (or any Permitted Refinancing thereof) or Junior Financing that constitutes Subordinated Indebtedness (or any Permitted Refinancing thereof) to Equity Interests (other than Disqualified Equity Interests) of the Borrower, (iii) the prepayment of Indebtedness of the Borrower or any Restricted Subsidiary to the Borrower or any Restricted Subsidiary to the extent not prohibited by applicable subordination provisions, (iv) prepayments, redemptions, purchases, defeasances and other payments or satisfaction from the proceeds of equity issuances, (v) AHYDO “catch up” payments, (vi) prepayments, redemptions, purchases, defeasances and other payments in respect of Permitted Additional Debt (or any Permitted Refinancing thereof) and Junior Financings that constitutes Subordinated Indebtedness (or any Permitted Refinancing thereof) prior to their scheduled maturity in an aggregate amount not to</w:t>
      </w:r>
    </w:p>
    <w:p>
      <w:pPr>
        <w:sectPr>
          <w:pgSz w:w="11900" w:h="16838" w:orient="portrait"/>
          <w:cols w:equalWidth="0" w:num="1">
            <w:col w:w="11420"/>
          </w:cols>
          <w:pgMar w:left="240" w:top="131" w:right="239" w:bottom="0" w:gutter="0" w:footer="0" w:header="0"/>
        </w:sectPr>
      </w:pPr>
    </w:p>
    <w:bookmarkStart w:id="109" w:name="page110"/>
    <w:bookmarkEnd w:id="109"/>
    <w:p>
      <w:pPr>
        <w:spacing w:after="0" w:line="3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exceed (x) together with (I) the aggregate amount of Investments made under sub-clause (x) of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and (II) the aggregate amount of Restricted Payments made pursuant to sub-clause (x) of </w:t>
      </w:r>
      <w:r>
        <w:rPr>
          <w:rFonts w:ascii="Arial" w:cs="Arial" w:eastAsia="Arial" w:hAnsi="Arial"/>
          <w:sz w:val="19"/>
          <w:szCs w:val="19"/>
          <w:u w:val="single" w:color="auto"/>
          <w:color w:val="auto"/>
        </w:rPr>
        <w:t>Section 7.06(e)</w:t>
      </w:r>
      <w:r>
        <w:rPr>
          <w:rFonts w:ascii="Arial" w:cs="Arial" w:eastAsia="Arial" w:hAnsi="Arial"/>
          <w:sz w:val="19"/>
          <w:szCs w:val="19"/>
          <w:color w:val="auto"/>
        </w:rPr>
        <w:t xml:space="preserve">, $30,000,000, </w:t>
      </w:r>
      <w:r>
        <w:rPr>
          <w:rFonts w:ascii="Arial" w:cs="Arial" w:eastAsia="Arial" w:hAnsi="Arial"/>
          <w:sz w:val="19"/>
          <w:szCs w:val="19"/>
          <w:i w:val="1"/>
          <w:iCs w:val="1"/>
          <w:color w:val="auto"/>
        </w:rPr>
        <w:t>plus</w:t>
      </w:r>
      <w:r>
        <w:rPr>
          <w:rFonts w:ascii="Arial" w:cs="Arial" w:eastAsia="Arial" w:hAnsi="Arial"/>
          <w:sz w:val="19"/>
          <w:szCs w:val="19"/>
          <w:color w:val="auto"/>
        </w:rPr>
        <w:t xml:space="preserve"> (y) the portion, if any, of the Cumulative Credit on such date that the Borrower elects to apply to this subclause (y);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prepayment, redemption, purchase, defeasance or other payment shall be made pursuant to this clause (vi) if an Event of Default has occurred and is continuing or would result therefrom. For greater certainty, nothing in this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or elsewhere in this Agreement shall limit or restrict the ability of the Borrower or any Restricted Subsidiary to prepay, redeem, purchase, defease or otherwise satisfy prior to the scheduled maturity thereof any ABL Facility Indebtedness or other obligations also secured pursuant to the ABL Credit Agreement.</w:t>
      </w:r>
    </w:p>
    <w:p>
      <w:pPr>
        <w:spacing w:after="0" w:line="161" w:lineRule="exact"/>
        <w:rPr>
          <w:sz w:val="20"/>
          <w:szCs w:val="20"/>
          <w:color w:val="auto"/>
        </w:rPr>
      </w:pPr>
    </w:p>
    <w:p>
      <w:pPr>
        <w:jc w:val="both"/>
        <w:ind w:firstLine="605"/>
        <w:spacing w:after="0" w:line="256" w:lineRule="auto"/>
        <w:tabs>
          <w:tab w:leader="none" w:pos="101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The Borrower shall not, nor shall it permit any Restricted Subsidiary to, directly or indirectly, amend, modify, change, terminate or release in any manner materially adverse to the interests of the Lenders any term or condition of any Junior Financing Documentation or the documentation governing any Permitted Additional Debt (or any Permitted Refinancing thereof) if the effect thereof would be to cause such Junior Financing or Permitted Additional Debt to no longer constitute Junior Financing or Permitted Additional Debt, as the case may be, without the consent of the Required Lenders (which consent shall not be unreasonably withheld, conditioned or delayed); </w:t>
      </w:r>
      <w:r>
        <w:rPr>
          <w:rFonts w:ascii="Arial" w:cs="Arial" w:eastAsia="Arial" w:hAnsi="Arial"/>
          <w:sz w:val="20"/>
          <w:szCs w:val="20"/>
          <w:i w:val="1"/>
          <w:iCs w:val="1"/>
          <w:color w:val="auto"/>
        </w:rPr>
        <w:t>provided</w:t>
      </w:r>
      <w:r>
        <w:rPr>
          <w:rFonts w:ascii="Arial" w:cs="Arial" w:eastAsia="Arial" w:hAnsi="Arial"/>
          <w:sz w:val="20"/>
          <w:szCs w:val="20"/>
          <w:color w:val="auto"/>
        </w:rPr>
        <w:t>, that the ABL Facility Indebtedness shall not be subject to this clause (b) unless expressly designated as Permitted Second Priority Additional Debt.</w:t>
      </w:r>
    </w:p>
    <w:p>
      <w:pPr>
        <w:spacing w:after="0" w:line="170" w:lineRule="exact"/>
        <w:rPr>
          <w:sz w:val="20"/>
          <w:szCs w:val="20"/>
          <w:color w:val="auto"/>
        </w:rPr>
      </w:pPr>
    </w:p>
    <w:p>
      <w:pPr>
        <w:jc w:val="both"/>
        <w:ind w:firstLine="1208"/>
        <w:spacing w:after="0" w:line="259" w:lineRule="auto"/>
        <w:rPr>
          <w:sz w:val="20"/>
          <w:szCs w:val="20"/>
          <w:color w:val="auto"/>
        </w:rPr>
      </w:pPr>
      <w:r>
        <w:rPr>
          <w:rFonts w:ascii="Arial" w:cs="Arial" w:eastAsia="Arial" w:hAnsi="Arial"/>
          <w:sz w:val="20"/>
          <w:szCs w:val="20"/>
          <w:color w:val="auto"/>
        </w:rPr>
        <w:t>Section 7.14</w:t>
      </w:r>
      <w:r>
        <w:rPr>
          <w:rFonts w:ascii="Arial" w:cs="Arial" w:eastAsia="Arial" w:hAnsi="Arial"/>
          <w:sz w:val="20"/>
          <w:szCs w:val="20"/>
          <w:i w:val="1"/>
          <w:iCs w:val="1"/>
          <w:color w:val="auto"/>
        </w:rPr>
        <w:t>. Prepayments, Etc. of Single-Employer Plans</w:t>
      </w:r>
      <w:r>
        <w:rPr>
          <w:rFonts w:ascii="Arial" w:cs="Arial" w:eastAsia="Arial" w:hAnsi="Arial"/>
          <w:sz w:val="20"/>
          <w:szCs w:val="20"/>
          <w:color w:val="auto"/>
        </w:rPr>
        <w:t>. The Borrower shall not, except to the extent required by ERISA or other applicable Law, make any early lump sum payment to satisfy any liability under any Single-Employer Plan, in each case, directly from the cash or Cash Equivalents of the Borrower or the Restricted Subsidiaries (including, for the avoidance of doubt, the proceeds of any borrowing under the ABL Facility).</w:t>
      </w:r>
    </w:p>
    <w:p>
      <w:pPr>
        <w:spacing w:after="0" w:line="16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8</w:t>
      </w:r>
    </w:p>
    <w:p>
      <w:pPr>
        <w:spacing w:after="0" w:line="31"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EVENTS OF DEFAULT AND REMEDIES</w:t>
      </w:r>
    </w:p>
    <w:p>
      <w:pPr>
        <w:spacing w:after="0" w:line="205"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i w:val="1"/>
          <w:iCs w:val="1"/>
          <w:color w:val="auto"/>
        </w:rPr>
        <w:t>Events of Default.</w:t>
      </w:r>
      <w:r>
        <w:rPr>
          <w:rFonts w:ascii="Arial" w:cs="Arial" w:eastAsia="Arial" w:hAnsi="Arial"/>
          <w:sz w:val="20"/>
          <w:szCs w:val="20"/>
          <w:color w:val="auto"/>
        </w:rPr>
        <w:t xml:space="preserve"> Any of the following from and after the Restatement Effective Date shall constitute an event of default (an “</w:t>
      </w:r>
      <w:r>
        <w:rPr>
          <w:rFonts w:ascii="Arial" w:cs="Arial" w:eastAsia="Arial" w:hAnsi="Arial"/>
          <w:sz w:val="20"/>
          <w:szCs w:val="20"/>
          <w:b w:val="1"/>
          <w:bCs w:val="1"/>
          <w:color w:val="auto"/>
        </w:rPr>
        <w:t>Event of Default</w:t>
      </w:r>
      <w:r>
        <w:rPr>
          <w:rFonts w:ascii="Arial" w:cs="Arial" w:eastAsia="Arial" w:hAnsi="Arial"/>
          <w:sz w:val="20"/>
          <w:szCs w:val="20"/>
          <w:color w:val="auto"/>
        </w:rPr>
        <w:t>”):</w:t>
      </w:r>
    </w:p>
    <w:p>
      <w:pPr>
        <w:spacing w:after="0" w:line="134" w:lineRule="exact"/>
        <w:rPr>
          <w:sz w:val="20"/>
          <w:szCs w:val="20"/>
          <w:color w:val="auto"/>
        </w:rPr>
      </w:pPr>
    </w:p>
    <w:p>
      <w:pPr>
        <w:jc w:val="both"/>
        <w:ind w:firstLine="605"/>
        <w:spacing w:after="0" w:line="294" w:lineRule="auto"/>
        <w:tabs>
          <w:tab w:leader="none" w:pos="1083" w:val="left"/>
        </w:tabs>
        <w:numPr>
          <w:ilvl w:val="1"/>
          <w:numId w:val="150"/>
        </w:numPr>
        <w:rPr>
          <w:rFonts w:ascii="Arial" w:cs="Arial" w:eastAsia="Arial" w:hAnsi="Arial"/>
          <w:sz w:val="18"/>
          <w:szCs w:val="18"/>
          <w:color w:val="auto"/>
        </w:rPr>
      </w:pPr>
      <w:r>
        <w:rPr>
          <w:rFonts w:ascii="Arial" w:cs="Arial" w:eastAsia="Arial" w:hAnsi="Arial"/>
          <w:sz w:val="18"/>
          <w:szCs w:val="18"/>
          <w:i w:val="1"/>
          <w:iCs w:val="1"/>
          <w:color w:val="auto"/>
        </w:rPr>
        <w:t>Non-Payment</w:t>
      </w:r>
      <w:r>
        <w:rPr>
          <w:rFonts w:ascii="Arial" w:cs="Arial" w:eastAsia="Arial" w:hAnsi="Arial"/>
          <w:sz w:val="18"/>
          <w:szCs w:val="18"/>
          <w:color w:val="auto"/>
        </w:rPr>
        <w:t>. Any Loan Party fails to pay (i) when and as required to be paid herein or in any other Loan Document,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principal of any Loan, (ii) within five (5) Business Days after the same becomes due, any interest on any Loan, or (iii) within ten</w:t>
      </w:r>
    </w:p>
    <w:p>
      <w:pPr>
        <w:spacing w:after="0" w:line="1" w:lineRule="exact"/>
        <w:rPr>
          <w:rFonts w:ascii="Arial" w:cs="Arial" w:eastAsia="Arial" w:hAnsi="Arial"/>
          <w:sz w:val="18"/>
          <w:szCs w:val="18"/>
          <w:color w:val="auto"/>
        </w:rPr>
      </w:pPr>
    </w:p>
    <w:p>
      <w:pPr>
        <w:ind w:left="380" w:hanging="379"/>
        <w:spacing w:after="0"/>
        <w:tabs>
          <w:tab w:leader="none" w:pos="3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days after the same becomes due, any other amount payable hereunder or with respect to any other Loan Document; or</w:t>
      </w:r>
    </w:p>
    <w:p>
      <w:pPr>
        <w:spacing w:after="0" w:line="192" w:lineRule="exact"/>
        <w:rPr>
          <w:rFonts w:ascii="Arial" w:cs="Arial" w:eastAsia="Arial" w:hAnsi="Arial"/>
          <w:sz w:val="20"/>
          <w:szCs w:val="20"/>
          <w:color w:val="auto"/>
        </w:rPr>
      </w:pPr>
    </w:p>
    <w:p>
      <w:pPr>
        <w:jc w:val="both"/>
        <w:ind w:firstLine="605"/>
        <w:spacing w:after="0" w:line="263" w:lineRule="auto"/>
        <w:tabs>
          <w:tab w:leader="none" w:pos="1082" w:val="left"/>
        </w:tabs>
        <w:numPr>
          <w:ilvl w:val="1"/>
          <w:numId w:val="151"/>
        </w:numPr>
        <w:rPr>
          <w:rFonts w:ascii="Arial" w:cs="Arial" w:eastAsia="Arial" w:hAnsi="Arial"/>
          <w:sz w:val="20"/>
          <w:szCs w:val="20"/>
          <w:color w:val="auto"/>
        </w:rPr>
      </w:pPr>
      <w:r>
        <w:rPr>
          <w:rFonts w:ascii="Arial" w:cs="Arial" w:eastAsia="Arial" w:hAnsi="Arial"/>
          <w:sz w:val="20"/>
          <w:szCs w:val="20"/>
          <w:i w:val="1"/>
          <w:iCs w:val="1"/>
          <w:color w:val="auto"/>
        </w:rPr>
        <w:t xml:space="preserve">Specific Covenants. </w:t>
      </w:r>
      <w:r>
        <w:rPr>
          <w:rFonts w:ascii="Arial" w:cs="Arial" w:eastAsia="Arial" w:hAnsi="Arial"/>
          <w:sz w:val="20"/>
          <w:szCs w:val="20"/>
          <w:color w:val="auto"/>
        </w:rPr>
        <w:t>The Borrower fails to perform or observe any term, covenant or agreement contained in any of</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6.03(a)</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delivery of a notice of Default or Event of Default at any time will cure an Event of Default under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arising from the failure of the Borrower to timely deliver such notice of Default or Event of Default), </w:t>
      </w:r>
      <w:r>
        <w:rPr>
          <w:rFonts w:ascii="Arial" w:cs="Arial" w:eastAsia="Arial" w:hAnsi="Arial"/>
          <w:sz w:val="20"/>
          <w:szCs w:val="20"/>
          <w:u w:val="single" w:color="auto"/>
          <w:color w:val="auto"/>
        </w:rPr>
        <w:t>6.05(a)</w:t>
      </w:r>
      <w:r>
        <w:rPr>
          <w:rFonts w:ascii="Arial" w:cs="Arial" w:eastAsia="Arial" w:hAnsi="Arial"/>
          <w:sz w:val="20"/>
          <w:szCs w:val="20"/>
          <w:color w:val="auto"/>
        </w:rPr>
        <w:t xml:space="preserve"> (solely with respect to the Borrower) or </w:t>
      </w:r>
      <w:r>
        <w:rPr>
          <w:rFonts w:ascii="Arial" w:cs="Arial" w:eastAsia="Arial" w:hAnsi="Arial"/>
          <w:sz w:val="20"/>
          <w:szCs w:val="20"/>
          <w:u w:val="single" w:color="auto"/>
          <w:color w:val="auto"/>
        </w:rPr>
        <w:t>Article 7</w:t>
      </w:r>
      <w:r>
        <w:rPr>
          <w:rFonts w:ascii="Arial" w:cs="Arial" w:eastAsia="Arial" w:hAnsi="Arial"/>
          <w:sz w:val="20"/>
          <w:szCs w:val="20"/>
          <w:color w:val="auto"/>
        </w:rPr>
        <w:t>; or</w:t>
      </w:r>
    </w:p>
    <w:p>
      <w:pPr>
        <w:spacing w:after="0" w:line="162" w:lineRule="exact"/>
        <w:rPr>
          <w:rFonts w:ascii="Arial" w:cs="Arial" w:eastAsia="Arial" w:hAnsi="Arial"/>
          <w:sz w:val="20"/>
          <w:szCs w:val="20"/>
          <w:color w:val="auto"/>
        </w:rPr>
      </w:pPr>
    </w:p>
    <w:p>
      <w:pPr>
        <w:jc w:val="both"/>
        <w:ind w:firstLine="605"/>
        <w:spacing w:after="0" w:line="290" w:lineRule="auto"/>
        <w:tabs>
          <w:tab w:leader="none" w:pos="1071" w:val="left"/>
        </w:tabs>
        <w:numPr>
          <w:ilvl w:val="1"/>
          <w:numId w:val="151"/>
        </w:numPr>
        <w:rPr>
          <w:rFonts w:ascii="Arial" w:cs="Arial" w:eastAsia="Arial" w:hAnsi="Arial"/>
          <w:sz w:val="19"/>
          <w:szCs w:val="19"/>
          <w:color w:val="auto"/>
        </w:rPr>
      </w:pPr>
      <w:r>
        <w:rPr>
          <w:rFonts w:ascii="Arial" w:cs="Arial" w:eastAsia="Arial" w:hAnsi="Arial"/>
          <w:sz w:val="19"/>
          <w:szCs w:val="19"/>
          <w:i w:val="1"/>
          <w:iCs w:val="1"/>
          <w:color w:val="auto"/>
        </w:rPr>
        <w:t xml:space="preserve">Other Defaults. </w:t>
      </w:r>
      <w:r>
        <w:rPr>
          <w:rFonts w:ascii="Arial" w:cs="Arial" w:eastAsia="Arial" w:hAnsi="Arial"/>
          <w:sz w:val="19"/>
          <w:szCs w:val="19"/>
          <w:color w:val="auto"/>
        </w:rPr>
        <w:t>Any Loan Party fails to perform or observe any other term, covenant or agreement (not specified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8.01(a)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above) contained in any Loan Document on its part to be performed or observed and such failure continues for thirty (30) days after receipt by the Borrower of written notice thereof from the Administrative Agent or the Required Lenders; or</w:t>
      </w:r>
    </w:p>
    <w:p>
      <w:pPr>
        <w:spacing w:after="0" w:line="139" w:lineRule="exact"/>
        <w:rPr>
          <w:rFonts w:ascii="Arial" w:cs="Arial" w:eastAsia="Arial" w:hAnsi="Arial"/>
          <w:sz w:val="19"/>
          <w:szCs w:val="19"/>
          <w:color w:val="auto"/>
        </w:rPr>
      </w:pPr>
    </w:p>
    <w:p>
      <w:pPr>
        <w:jc w:val="both"/>
        <w:ind w:firstLine="605"/>
        <w:spacing w:after="0" w:line="263" w:lineRule="auto"/>
        <w:tabs>
          <w:tab w:leader="none" w:pos="1019" w:val="left"/>
        </w:tabs>
        <w:numPr>
          <w:ilvl w:val="1"/>
          <w:numId w:val="151"/>
        </w:numPr>
        <w:rPr>
          <w:rFonts w:ascii="Arial" w:cs="Arial" w:eastAsia="Arial" w:hAnsi="Arial"/>
          <w:sz w:val="20"/>
          <w:szCs w:val="20"/>
          <w:color w:val="auto"/>
        </w:rPr>
      </w:pPr>
      <w:r>
        <w:rPr>
          <w:rFonts w:ascii="Arial" w:cs="Arial" w:eastAsia="Arial" w:hAnsi="Arial"/>
          <w:sz w:val="20"/>
          <w:szCs w:val="20"/>
          <w:i w:val="1"/>
          <w:iCs w:val="1"/>
          <w:color w:val="auto"/>
        </w:rPr>
        <w:t xml:space="preserve">Representations and Warranties. </w:t>
      </w:r>
      <w:r>
        <w:rPr>
          <w:rFonts w:ascii="Arial" w:cs="Arial" w:eastAsia="Arial" w:hAnsi="Arial"/>
          <w:sz w:val="20"/>
          <w:szCs w:val="20"/>
          <w:color w:val="auto"/>
        </w:rPr>
        <w:t>Any representation, warranty, certification or statement of fact made or deemed made by or on</w:t>
      </w:r>
      <w:r>
        <w:rPr>
          <w:rFonts w:ascii="Arial" w:cs="Arial" w:eastAsia="Arial" w:hAnsi="Arial"/>
          <w:sz w:val="20"/>
          <w:szCs w:val="20"/>
          <w:i w:val="1"/>
          <w:iCs w:val="1"/>
          <w:color w:val="auto"/>
        </w:rPr>
        <w:t xml:space="preserve"> </w:t>
      </w:r>
      <w:r>
        <w:rPr>
          <w:rFonts w:ascii="Arial" w:cs="Arial" w:eastAsia="Arial" w:hAnsi="Arial"/>
          <w:sz w:val="20"/>
          <w:szCs w:val="20"/>
          <w:color w:val="auto"/>
        </w:rPr>
        <w:t>behalf of the Borrower or any other Loan Party herein, in any other Loan Document, or in any Compliance Certificate or other document required to be delivered in connection herewith or therewith shall be incorrect or misleading in any material respect when made or deemed made; or</w:t>
      </w:r>
    </w:p>
    <w:p>
      <w:pPr>
        <w:spacing w:after="0" w:line="162" w:lineRule="exact"/>
        <w:rPr>
          <w:rFonts w:ascii="Arial" w:cs="Arial" w:eastAsia="Arial" w:hAnsi="Arial"/>
          <w:sz w:val="20"/>
          <w:szCs w:val="20"/>
          <w:color w:val="auto"/>
        </w:rPr>
      </w:pPr>
    </w:p>
    <w:p>
      <w:pPr>
        <w:jc w:val="both"/>
        <w:ind w:firstLine="605"/>
        <w:spacing w:after="0" w:line="281" w:lineRule="auto"/>
        <w:tabs>
          <w:tab w:leader="none" w:pos="1008" w:val="left"/>
        </w:tabs>
        <w:numPr>
          <w:ilvl w:val="1"/>
          <w:numId w:val="151"/>
        </w:numPr>
        <w:rPr>
          <w:rFonts w:ascii="Arial" w:cs="Arial" w:eastAsia="Arial" w:hAnsi="Arial"/>
          <w:sz w:val="18"/>
          <w:szCs w:val="18"/>
          <w:color w:val="auto"/>
        </w:rPr>
      </w:pPr>
      <w:r>
        <w:rPr>
          <w:rFonts w:ascii="Arial" w:cs="Arial" w:eastAsia="Arial" w:hAnsi="Arial"/>
          <w:sz w:val="18"/>
          <w:szCs w:val="18"/>
          <w:i w:val="1"/>
          <w:iCs w:val="1"/>
          <w:color w:val="auto"/>
        </w:rPr>
        <w:t>Cross-Default</w:t>
      </w:r>
      <w:r>
        <w:rPr>
          <w:rFonts w:ascii="Arial" w:cs="Arial" w:eastAsia="Arial" w:hAnsi="Arial"/>
          <w:sz w:val="18"/>
          <w:szCs w:val="18"/>
          <w:color w:val="auto"/>
        </w:rPr>
        <w:t>. Any Loan Party or any Restricted Subsidiary (i) fails to make any payment after the applicable grace period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thereto, if any, (whether by scheduled maturity, required prepayment, acceleration, demand, or otherwise) in respect of any other Indebtedness (other than Indebtedness hereunder ) having an outstanding aggregate principal amount of not less than the Threshold Amount or (ii) fails to observe or perform any other agreement or condition relating to any such Indebtedness, or any other event occurs (other than, with respect to Indebtedness consisting of Swap Contracts, termination events or equivalent events pursuant to the terms of such Swap Contracts and not as a result of any other default thereunder by any Loan Party), after all grace periods having expired and all required notices having been given, the effect of which default or other event is to cause, or to permit the holder or holders of such Indebtedness (or a trustee or agent on behalf of such holder or holders or beneficiary or beneficiaries) to cause, after all grace periods having expired and all required notices having been given,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failure or the occurrence of any such other event referred to in subclause (ii) relating to Indebtedness under the ABL Credit Agreement or any Permitted Refinancing thereof shall not constitute an Event of Default under this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until the earlier of (x) thirty days after the expiration of all grace periods relating to such failure or occurrence under the ABL Credit Agreement and (y) any acceleration of the ABL Obligations (as defined in the ABL Intercreditor Agreement) outstanding under the ABL Credit Agreement, whether automatic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this clause (e)(ii) shall not apply to (I) secured Indebtedness that becomes due as a result of the voluntary sale or transfer of the property or assets securing such Indebtedness, (II) Indebtedness which is convertible into Equity Interest and converts to Equity Interests in accordance with its terms or (III) any breach or default that (X) is remedied by the Borrower or the applicable Restricted Subsidiary or (Y) waived (including in the form of amendment) by the requisite holders of the applicable item of Indebtedness, in either case, prior to the acceleration of all the Loans pursuant to this </w:t>
      </w:r>
      <w:r>
        <w:rPr>
          <w:rFonts w:ascii="Arial" w:cs="Arial" w:eastAsia="Arial" w:hAnsi="Arial"/>
          <w:sz w:val="18"/>
          <w:szCs w:val="18"/>
          <w:u w:val="single" w:color="auto"/>
          <w:color w:val="auto"/>
        </w:rPr>
        <w:t>Section 8.01</w:t>
      </w:r>
      <w:r>
        <w:rPr>
          <w:rFonts w:ascii="Arial" w:cs="Arial" w:eastAsia="Arial" w:hAnsi="Arial"/>
          <w:sz w:val="18"/>
          <w:szCs w:val="18"/>
          <w:color w:val="auto"/>
        </w:rPr>
        <w:t>; or</w:t>
      </w:r>
    </w:p>
    <w:p>
      <w:pPr>
        <w:spacing w:after="0" w:line="152" w:lineRule="exact"/>
        <w:rPr>
          <w:rFonts w:ascii="Arial" w:cs="Arial" w:eastAsia="Arial" w:hAnsi="Arial"/>
          <w:sz w:val="18"/>
          <w:szCs w:val="18"/>
          <w:color w:val="auto"/>
        </w:rPr>
      </w:pPr>
    </w:p>
    <w:p>
      <w:pPr>
        <w:jc w:val="both"/>
        <w:ind w:firstLine="605"/>
        <w:spacing w:after="0" w:line="295" w:lineRule="auto"/>
        <w:tabs>
          <w:tab w:leader="none" w:pos="1111" w:val="left"/>
        </w:tabs>
        <w:numPr>
          <w:ilvl w:val="1"/>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Insolvency Proceedings, Etc. </w:t>
      </w:r>
      <w:r>
        <w:rPr>
          <w:rFonts w:ascii="Arial" w:cs="Arial" w:eastAsia="Arial" w:hAnsi="Arial"/>
          <w:sz w:val="18"/>
          <w:szCs w:val="18"/>
          <w:color w:val="auto"/>
        </w:rPr>
        <w:t>Any Loan Party or any Restricted Subsidiary institutes or consents to the institution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or involuntary proceeding under any Debtor Relief Law, or makes a general assignment for the benefit of creditors; or applies for or consents to the appointment of any receiver, trustee, custodian, conservator, liquidator, rehabilitator, administrator, administrative receiver or similar officer for it or for all or substantially all of its property; or any receiver, trustee, custodian, conservator, liquidator, rehabilitator, administrator, administrative receiver or similar officer is appointed without the application or consent of such Person and the appointment</w:t>
      </w:r>
    </w:p>
    <w:p>
      <w:pPr>
        <w:sectPr>
          <w:pgSz w:w="11900" w:h="16868" w:orient="portrait"/>
          <w:cols w:equalWidth="0" w:num="1">
            <w:col w:w="11420"/>
          </w:cols>
          <w:pgMar w:left="240" w:top="131" w:right="239" w:bottom="0" w:gutter="0" w:footer="0" w:header="0"/>
        </w:sectPr>
      </w:pPr>
    </w:p>
    <w:bookmarkStart w:id="110" w:name="page111"/>
    <w:bookmarkEnd w:id="110"/>
    <w:p>
      <w:pPr>
        <w:jc w:val="both"/>
        <w:spacing w:after="0" w:line="284" w:lineRule="auto"/>
        <w:rPr>
          <w:sz w:val="20"/>
          <w:szCs w:val="20"/>
          <w:color w:val="auto"/>
        </w:rPr>
      </w:pPr>
      <w:r>
        <w:rPr>
          <w:rFonts w:ascii="Arial" w:cs="Arial" w:eastAsia="Arial" w:hAnsi="Arial"/>
          <w:sz w:val="19"/>
          <w:szCs w:val="19"/>
          <w:color w:val="auto"/>
        </w:rPr>
        <w:t>continues undischarged or unstayed for sixty (60) consecutive calendar days; or any proceeding under any Debtor Relief Law relating to any such Person or to all or substantially all of its property is instituted without the consent of such Person and continues undismissed or unstayed for sixty (60) consecutive calendar days, or an order for relief is entered in any such proceeding; or</w:t>
      </w:r>
    </w:p>
    <w:p>
      <w:pPr>
        <w:spacing w:after="0" w:line="143" w:lineRule="exact"/>
        <w:rPr>
          <w:sz w:val="20"/>
          <w:szCs w:val="20"/>
          <w:color w:val="auto"/>
        </w:rPr>
      </w:pPr>
    </w:p>
    <w:p>
      <w:pPr>
        <w:jc w:val="both"/>
        <w:ind w:firstLine="605"/>
        <w:spacing w:after="0" w:line="281" w:lineRule="auto"/>
        <w:tabs>
          <w:tab w:leader="none" w:pos="1019"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Inability to Pay Debts; Attachment</w:t>
      </w:r>
      <w:r>
        <w:rPr>
          <w:rFonts w:ascii="Arial" w:cs="Arial" w:eastAsia="Arial" w:hAnsi="Arial"/>
          <w:sz w:val="19"/>
          <w:szCs w:val="19"/>
          <w:color w:val="auto"/>
        </w:rPr>
        <w:t>. Any Loan Party or any Restricted Subsidiary becomes generally unable or admits in writing</w:t>
      </w:r>
      <w:r>
        <w:rPr>
          <w:rFonts w:ascii="Arial" w:cs="Arial" w:eastAsia="Arial" w:hAnsi="Arial"/>
          <w:sz w:val="19"/>
          <w:szCs w:val="19"/>
          <w:i w:val="1"/>
          <w:iCs w:val="1"/>
          <w:color w:val="auto"/>
        </w:rPr>
        <w:t xml:space="preserve"> </w:t>
      </w:r>
      <w:r>
        <w:rPr>
          <w:rFonts w:ascii="Arial" w:cs="Arial" w:eastAsia="Arial" w:hAnsi="Arial"/>
          <w:sz w:val="19"/>
          <w:szCs w:val="19"/>
          <w:color w:val="auto"/>
        </w:rPr>
        <w:t>its general inability or fails generally to pay its debts as they become due, or any writ or warrant of attachment or execution or similar process is issued or levied against all or substantially all of the property of the Borrower and the Restricted Subsidiaries, taken as a whole, and is not released, vacated or fully bonded within sixty (60) consecutive days after its issue or levy; or</w:t>
      </w:r>
    </w:p>
    <w:p>
      <w:pPr>
        <w:spacing w:after="0" w:line="147" w:lineRule="exact"/>
        <w:rPr>
          <w:rFonts w:ascii="Arial" w:cs="Arial" w:eastAsia="Arial" w:hAnsi="Arial"/>
          <w:sz w:val="19"/>
          <w:szCs w:val="19"/>
          <w:color w:val="auto"/>
        </w:rPr>
      </w:pPr>
    </w:p>
    <w:p>
      <w:pPr>
        <w:jc w:val="both"/>
        <w:ind w:firstLine="605"/>
        <w:spacing w:after="0" w:line="259" w:lineRule="auto"/>
        <w:tabs>
          <w:tab w:leader="none" w:pos="1057" w:val="left"/>
        </w:tabs>
        <w:numPr>
          <w:ilvl w:val="0"/>
          <w:numId w:val="152"/>
        </w:numPr>
        <w:rPr>
          <w:rFonts w:ascii="Arial" w:cs="Arial" w:eastAsia="Arial" w:hAnsi="Arial"/>
          <w:sz w:val="20"/>
          <w:szCs w:val="20"/>
          <w:color w:val="auto"/>
        </w:rPr>
      </w:pPr>
      <w:r>
        <w:rPr>
          <w:rFonts w:ascii="Arial" w:cs="Arial" w:eastAsia="Arial" w:hAnsi="Arial"/>
          <w:sz w:val="20"/>
          <w:szCs w:val="20"/>
          <w:i w:val="1"/>
          <w:iCs w:val="1"/>
          <w:color w:val="auto"/>
        </w:rPr>
        <w:t>Judgments</w:t>
      </w:r>
      <w:r>
        <w:rPr>
          <w:rFonts w:ascii="Arial" w:cs="Arial" w:eastAsia="Arial" w:hAnsi="Arial"/>
          <w:sz w:val="20"/>
          <w:szCs w:val="20"/>
          <w:color w:val="auto"/>
        </w:rPr>
        <w:t>. There is entered against any Loan Party or any Restricted Subsidiary a final judgment or order for the payment of</w:t>
      </w:r>
      <w:r>
        <w:rPr>
          <w:rFonts w:ascii="Arial" w:cs="Arial" w:eastAsia="Arial" w:hAnsi="Arial"/>
          <w:sz w:val="20"/>
          <w:szCs w:val="20"/>
          <w:i w:val="1"/>
          <w:iCs w:val="1"/>
          <w:color w:val="auto"/>
        </w:rPr>
        <w:t xml:space="preserve"> </w:t>
      </w:r>
      <w:r>
        <w:rPr>
          <w:rFonts w:ascii="Arial" w:cs="Arial" w:eastAsia="Arial" w:hAnsi="Arial"/>
          <w:sz w:val="20"/>
          <w:szCs w:val="20"/>
          <w:color w:val="auto"/>
        </w:rPr>
        <w:t>money in an aggregate amount exceeding the Threshold Amount (to the extent not covered by independent third-party insurance or indemnity as to which the insurer or third party indemnitor has been notified of such judgment or order and has not denied coverage) and such judgment or order shall not have been satisfied, vacated, discharged or stayed or bonded pending an appeal for a period of sixty (60) consecutive days; or</w:t>
      </w:r>
    </w:p>
    <w:p>
      <w:pPr>
        <w:spacing w:after="0" w:line="168" w:lineRule="exact"/>
        <w:rPr>
          <w:rFonts w:ascii="Arial" w:cs="Arial" w:eastAsia="Arial" w:hAnsi="Arial"/>
          <w:sz w:val="20"/>
          <w:szCs w:val="20"/>
          <w:color w:val="auto"/>
        </w:rPr>
      </w:pPr>
    </w:p>
    <w:p>
      <w:pPr>
        <w:jc w:val="both"/>
        <w:ind w:firstLine="605"/>
        <w:spacing w:after="0" w:line="256" w:lineRule="auto"/>
        <w:tabs>
          <w:tab w:leader="none" w:pos="974" w:val="left"/>
        </w:tabs>
        <w:numPr>
          <w:ilvl w:val="0"/>
          <w:numId w:val="152"/>
        </w:numPr>
        <w:rPr>
          <w:rFonts w:ascii="Arial" w:cs="Arial" w:eastAsia="Arial" w:hAnsi="Arial"/>
          <w:sz w:val="20"/>
          <w:szCs w:val="20"/>
          <w:color w:val="auto"/>
        </w:rPr>
      </w:pPr>
      <w:r>
        <w:rPr>
          <w:rFonts w:ascii="Arial" w:cs="Arial" w:eastAsia="Arial" w:hAnsi="Arial"/>
          <w:sz w:val="20"/>
          <w:szCs w:val="20"/>
          <w:i w:val="1"/>
          <w:iCs w:val="1"/>
          <w:color w:val="auto"/>
        </w:rPr>
        <w:t>Invalidity of Loan Documents</w:t>
      </w:r>
      <w:r>
        <w:rPr>
          <w:rFonts w:ascii="Arial" w:cs="Arial" w:eastAsia="Arial" w:hAnsi="Arial"/>
          <w:sz w:val="20"/>
          <w:szCs w:val="20"/>
          <w:color w:val="auto"/>
        </w:rPr>
        <w:t>. Any material provision of the Loan Documents, at any time after their execution and delivery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for any reason other than as expressly permitted hereunder or thereunder (including as a result of a transaction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or as a result of acts or omissions by the Administrative Agent or Collateral Agent or any Lender or the satisfaction in full of all the Obligations (other than other than contingent obligations), ceases to be in full force and effect; or any Loan Party contests in writing the validity or enforceability of any provision of any Loan Document; or any Loan Party denies in writing that it has any or further liability or obligation under any Loan Document (other than as a result of repayment in full of the Obligations), or purports in writing to revoke or rescind any Loan Document; or</w:t>
      </w:r>
    </w:p>
    <w:p>
      <w:pPr>
        <w:spacing w:after="0" w:line="170" w:lineRule="exact"/>
        <w:rPr>
          <w:rFonts w:ascii="Arial" w:cs="Arial" w:eastAsia="Arial" w:hAnsi="Arial"/>
          <w:sz w:val="20"/>
          <w:szCs w:val="20"/>
          <w:color w:val="auto"/>
        </w:rPr>
      </w:pPr>
    </w:p>
    <w:p>
      <w:pPr>
        <w:ind w:left="960" w:hanging="355"/>
        <w:spacing w:after="0"/>
        <w:tabs>
          <w:tab w:leader="none" w:pos="960" w:val="left"/>
        </w:tabs>
        <w:numPr>
          <w:ilvl w:val="0"/>
          <w:numId w:val="152"/>
        </w:numPr>
        <w:rPr>
          <w:rFonts w:ascii="Arial" w:cs="Arial" w:eastAsia="Arial" w:hAnsi="Arial"/>
          <w:sz w:val="20"/>
          <w:szCs w:val="20"/>
          <w:color w:val="auto"/>
        </w:rPr>
      </w:pPr>
      <w:r>
        <w:rPr>
          <w:rFonts w:ascii="Arial" w:cs="Arial" w:eastAsia="Arial" w:hAnsi="Arial"/>
          <w:sz w:val="20"/>
          <w:szCs w:val="20"/>
          <w:i w:val="1"/>
          <w:iCs w:val="1"/>
          <w:color w:val="auto"/>
        </w:rPr>
        <w:t>Change of Control</w:t>
      </w:r>
      <w:r>
        <w:rPr>
          <w:rFonts w:ascii="Arial" w:cs="Arial" w:eastAsia="Arial" w:hAnsi="Arial"/>
          <w:sz w:val="20"/>
          <w:szCs w:val="20"/>
          <w:color w:val="auto"/>
        </w:rPr>
        <w:t>. There occurs any Change of Control; or</w:t>
      </w:r>
    </w:p>
    <w:p>
      <w:pPr>
        <w:spacing w:after="0" w:line="223" w:lineRule="exact"/>
        <w:rPr>
          <w:rFonts w:ascii="Arial" w:cs="Arial" w:eastAsia="Arial" w:hAnsi="Arial"/>
          <w:sz w:val="20"/>
          <w:szCs w:val="20"/>
          <w:color w:val="auto"/>
        </w:rPr>
      </w:pPr>
    </w:p>
    <w:p>
      <w:pPr>
        <w:jc w:val="both"/>
        <w:ind w:firstLine="605"/>
        <w:spacing w:after="0" w:line="285" w:lineRule="auto"/>
        <w:tabs>
          <w:tab w:leader="none" w:pos="1082"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Collateral Documents</w:t>
      </w:r>
      <w:r>
        <w:rPr>
          <w:rFonts w:ascii="Arial" w:cs="Arial" w:eastAsia="Arial" w:hAnsi="Arial"/>
          <w:sz w:val="18"/>
          <w:szCs w:val="18"/>
          <w:color w:val="auto"/>
        </w:rPr>
        <w:t>. The Collateral Documents after delivery thereof pursuant to Section</w:t>
      </w:r>
      <w:r>
        <w:rPr>
          <w:rFonts w:ascii="Arial" w:cs="Arial" w:eastAsia="Arial" w:hAnsi="Arial"/>
          <w:sz w:val="18"/>
          <w:szCs w:val="18"/>
          <w:u w:val="single" w:color="auto"/>
          <w:color w:val="auto"/>
        </w:rPr>
        <w:t>s 4.02</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i w:val="1"/>
          <w:iCs w:val="1"/>
          <w:color w:val="auto"/>
        </w:rPr>
        <w:t xml:space="preserve"> </w:t>
      </w:r>
      <w:r>
        <w:rPr>
          <w:rFonts w:ascii="Arial" w:cs="Arial" w:eastAsia="Arial" w:hAnsi="Arial"/>
          <w:sz w:val="18"/>
          <w:szCs w:val="18"/>
          <w:color w:val="auto"/>
        </w:rPr>
        <w:t>shall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reason (other than pursuant to the terms hereof or thereof including as a result of a transaction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cease to create, or shall be asserted by any Loan Party not to create, a valid and perfected Lien, with the priority required by the Collateral Documents on and security interest in Collateral purported to be covered thereby with an aggregate value equal to or greater than $25,000,000, subject to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(i) except to the extent that any such perfection or priority is not required pursuant to the Collateral and Guarantee Requirement or results from the failure of the Administrative Agent or the Collateral Agent to maintain possession or control of certificates representing securities, other collateral requiring possession or control, or motor vehicle certificates of title (or notation thereon) pledged under the Collateral Documents, in each case actually delivered to it, or to file Uniform Commercial Code financing statements or continuation statements or any Collateral Documents and (ii) except as to Collateral consisting of Real Property to the extent that such losses are covered by a lender’s title insurance policy and such insurer has not denied coverage; or</w:t>
      </w:r>
    </w:p>
    <w:p>
      <w:pPr>
        <w:spacing w:after="0" w:line="147" w:lineRule="exact"/>
        <w:rPr>
          <w:rFonts w:ascii="Arial" w:cs="Arial" w:eastAsia="Arial" w:hAnsi="Arial"/>
          <w:sz w:val="18"/>
          <w:szCs w:val="18"/>
          <w:color w:val="auto"/>
        </w:rPr>
      </w:pPr>
    </w:p>
    <w:p>
      <w:pPr>
        <w:jc w:val="both"/>
        <w:ind w:firstLine="605"/>
        <w:spacing w:after="0" w:line="266" w:lineRule="auto"/>
        <w:tabs>
          <w:tab w:leader="none" w:pos="1000"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 xml:space="preserve">ERISA. </w:t>
      </w:r>
      <w:r>
        <w:rPr>
          <w:rFonts w:ascii="Arial" w:cs="Arial" w:eastAsia="Arial" w:hAnsi="Arial"/>
          <w:sz w:val="19"/>
          <w:szCs w:val="19"/>
          <w:color w:val="auto"/>
        </w:rPr>
        <w:t>(i) An ERISA Event that occurs after the Restatement Effective Date and that, alone or together with any other ERISA</w:t>
      </w:r>
      <w:r>
        <w:rPr>
          <w:rFonts w:ascii="Arial" w:cs="Arial" w:eastAsia="Arial" w:hAnsi="Arial"/>
          <w:sz w:val="19"/>
          <w:szCs w:val="19"/>
          <w:i w:val="1"/>
          <w:iCs w:val="1"/>
          <w:color w:val="auto"/>
        </w:rPr>
        <w:t xml:space="preserve"> </w:t>
      </w:r>
      <w:r>
        <w:rPr>
          <w:rFonts w:ascii="Arial" w:cs="Arial" w:eastAsia="Arial" w:hAnsi="Arial"/>
          <w:sz w:val="19"/>
          <w:szCs w:val="19"/>
          <w:color w:val="auto"/>
        </w:rPr>
        <w:t>Events that have occurred after the Restatement Effective Date, has resulted or could reasonably be expected to result in liability of a Loan Party, any Restricted Subsidiary or any of their respective ERISA Affiliates in an aggregate amount at any particular time that would reasonably be expected to have a Material Adverse Effect, or (ii) a Loan Party, any Restricted Subsidiary or any of their respective ERISA Affiliates fails to pay when due, after the expiration of any applicable grace period, any installment payment with respect to its Withdrawal Liability under Section 4201 of ERISA under a Multiemployer Plan in an aggregate amount, that, alone or together with any other such failures to pay, has resulted or would reasonably be expected to result in a Material Adverse Effect; or (iii) as of any date, a Loan Party, any Restricted Subsidiary or any of their respective ERISA Affiliates (x) shall have made contributions to any Multiemployer Plan during the immediately preceding twelve month period ending on such date that exceed in value in the aggregate among all such Persons the Pension Contribution Cap for such period or (y) is projected or reasonably expected (in each case by the Borrower in good faith) to make contributions to any Multiemployer Plan in the next twelve month period that exceed in the aggregate among all such Persons the Pension Contribution Cap for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Pension Contribution Cap may be exceeded solely to facilitate a compromise, settlement, rearrangement or other restructuring of liabilities under such Multiemployer Plan with the consent of the Required Lenders (such consent not to be unreasonably withheld, delayed or conditioned or denied));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(iii) shall not apply if on the applicable date of determination Consolidated EBITDA for the most recent Test Period ending prior to such date of determination as set forth in the most recent Compliance Certificate received by the Administrative Agent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on or prior to such date of determination exceeds $400,000,000; or</w:t>
      </w:r>
    </w:p>
    <w:p>
      <w:pPr>
        <w:spacing w:after="0" w:line="162" w:lineRule="exact"/>
        <w:rPr>
          <w:rFonts w:ascii="Arial" w:cs="Arial" w:eastAsia="Arial" w:hAnsi="Arial"/>
          <w:sz w:val="19"/>
          <w:szCs w:val="19"/>
          <w:color w:val="auto"/>
        </w:rPr>
      </w:pPr>
    </w:p>
    <w:p>
      <w:pPr>
        <w:jc w:val="both"/>
        <w:ind w:firstLine="605"/>
        <w:spacing w:after="0" w:line="270" w:lineRule="auto"/>
        <w:tabs>
          <w:tab w:leader="none" w:pos="1062"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Junior Financing Documentation</w:t>
      </w:r>
      <w:r>
        <w:rPr>
          <w:rFonts w:ascii="Arial" w:cs="Arial" w:eastAsia="Arial" w:hAnsi="Arial"/>
          <w:sz w:val="19"/>
          <w:szCs w:val="19"/>
          <w:color w:val="auto"/>
        </w:rPr>
        <w:t>. (i) Any of the Obligations of the Loan Parties under the Loan Documents for any reason shall</w:t>
      </w:r>
      <w:r>
        <w:rPr>
          <w:rFonts w:ascii="Arial" w:cs="Arial" w:eastAsia="Arial" w:hAnsi="Arial"/>
          <w:sz w:val="19"/>
          <w:szCs w:val="19"/>
          <w:i w:val="1"/>
          <w:iCs w:val="1"/>
          <w:color w:val="auto"/>
        </w:rPr>
        <w:t xml:space="preserve"> </w:t>
      </w:r>
      <w:r>
        <w:rPr>
          <w:rFonts w:ascii="Arial" w:cs="Arial" w:eastAsia="Arial" w:hAnsi="Arial"/>
          <w:sz w:val="19"/>
          <w:szCs w:val="19"/>
          <w:color w:val="auto"/>
        </w:rPr>
        <w:t>cease to be, or shall be asserted by any Loan Party not to be, “Senior Indebtedness” (or any comparable term) or “Senior Secured Financing” (or any comparable term) under, and as defined in, any Junior Financing Documentation in respect of any Junior Financing that is, or is required by this Agreement to be, Subordinated Indebtedness or (ii) the subordination provisions set forth in any Junior Financing Documentation in respect of any Junior Financing that is, or is required by this Agreement to be, Subordinated Indebtedness shall, in whole or in part, cease to be, or shall be asserted by any Loan Party not to be, effective or legally valid, binding and enforceable against the holders of any such Junior Financing, if applicable (other than as a result of acts or omissions by the Administrative Agent or Collateral Agent or the satisfaction in full of all the Obligations (other than contingent obligations)); or</w:t>
      </w:r>
    </w:p>
    <w:p>
      <w:pPr>
        <w:spacing w:after="0" w:line="160" w:lineRule="exact"/>
        <w:rPr>
          <w:rFonts w:ascii="Arial" w:cs="Arial" w:eastAsia="Arial" w:hAnsi="Arial"/>
          <w:sz w:val="19"/>
          <w:szCs w:val="19"/>
          <w:color w:val="auto"/>
        </w:rPr>
      </w:pPr>
    </w:p>
    <w:p>
      <w:pPr>
        <w:ind w:left="1040" w:hanging="435"/>
        <w:spacing w:after="0"/>
        <w:tabs>
          <w:tab w:leader="none" w:pos="104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IBT Agreement</w:t>
      </w:r>
      <w:r>
        <w:rPr>
          <w:rFonts w:ascii="Arial" w:cs="Arial" w:eastAsia="Arial" w:hAnsi="Arial"/>
          <w:sz w:val="18"/>
          <w:szCs w:val="18"/>
          <w:color w:val="auto"/>
        </w:rPr>
        <w:t>. The IBT Agreement shall be declared invalid or illegal, shall be terminated, or shall no longer be in full force</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effect.</w:t>
      </w:r>
    </w:p>
    <w:p>
      <w:pPr>
        <w:spacing w:after="0" w:line="205" w:lineRule="exact"/>
        <w:rPr>
          <w:sz w:val="20"/>
          <w:szCs w:val="20"/>
          <w:color w:val="auto"/>
        </w:rPr>
      </w:pPr>
    </w:p>
    <w:p>
      <w:pPr>
        <w:ind w:firstLine="604"/>
        <w:spacing w:after="0" w:line="291"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i w:val="1"/>
          <w:iCs w:val="1"/>
          <w:color w:val="auto"/>
        </w:rPr>
        <w:t>Remedies Upon Event of Default.</w:t>
      </w:r>
      <w:r>
        <w:rPr>
          <w:rFonts w:ascii="Arial" w:cs="Arial" w:eastAsia="Arial" w:hAnsi="Arial"/>
          <w:sz w:val="20"/>
          <w:szCs w:val="20"/>
          <w:color w:val="auto"/>
        </w:rPr>
        <w:t xml:space="preserve"> If any Event of Default occurs and is continuing the Administrative Agent may, and at the request of the Required Lenders shall, take any or all of the following actions:</w:t>
      </w:r>
    </w:p>
    <w:p>
      <w:pPr>
        <w:sectPr>
          <w:pgSz w:w="11900" w:h="16838" w:orient="portrait"/>
          <w:cols w:equalWidth="0" w:num="1">
            <w:col w:w="11420"/>
          </w:cols>
          <w:pgMar w:left="240" w:top="131" w:right="239" w:bottom="43" w:gutter="0" w:footer="0" w:header="0"/>
        </w:sectPr>
      </w:pPr>
    </w:p>
    <w:bookmarkStart w:id="111" w:name="page112"/>
    <w:bookmarkEnd w:id="111"/>
    <w:p>
      <w:pPr>
        <w:spacing w:after="0" w:line="46" w:lineRule="exact"/>
        <w:rPr>
          <w:sz w:val="20"/>
          <w:szCs w:val="20"/>
          <w:color w:val="auto"/>
        </w:rPr>
      </w:pPr>
    </w:p>
    <w:p>
      <w:pPr>
        <w:ind w:left="1740" w:hanging="531"/>
        <w:spacing w:after="0"/>
        <w:tabs>
          <w:tab w:leader="none" w:pos="174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declare the commitment of each Lender to make Loans to be terminated, whereupon such commitments shall be</w:t>
      </w:r>
    </w:p>
    <w:p>
      <w:pPr>
        <w:spacing w:after="0" w:line="38"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0"/>
          <w:szCs w:val="20"/>
          <w:color w:val="auto"/>
        </w:rPr>
        <w:t>terminated;</w:t>
      </w:r>
    </w:p>
    <w:p>
      <w:pPr>
        <w:spacing w:after="0" w:line="204" w:lineRule="exact"/>
        <w:rPr>
          <w:rFonts w:ascii="Arial" w:cs="Arial" w:eastAsia="Arial" w:hAnsi="Arial"/>
          <w:sz w:val="19"/>
          <w:szCs w:val="19"/>
          <w:color w:val="auto"/>
        </w:rPr>
      </w:pPr>
    </w:p>
    <w:p>
      <w:pPr>
        <w:jc w:val="both"/>
        <w:ind w:left="600" w:firstLine="609"/>
        <w:spacing w:after="0" w:line="281" w:lineRule="auto"/>
        <w:tabs>
          <w:tab w:leader="none" w:pos="179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premium (including the Prepayment Premium) and all other amounts owing or payable or accrued hereunder or under any other Loan Document to be immediately due and payable, without presentment, demand, protest or other notice of any kind, all of which are hereby expressly waived (to the extent permitted by applicable law) by the Borrower and each other Loan Party; and</w:t>
      </w:r>
    </w:p>
    <w:p>
      <w:pPr>
        <w:spacing w:after="0" w:line="147" w:lineRule="exact"/>
        <w:rPr>
          <w:rFonts w:ascii="Arial" w:cs="Arial" w:eastAsia="Arial" w:hAnsi="Arial"/>
          <w:sz w:val="19"/>
          <w:szCs w:val="19"/>
          <w:color w:val="auto"/>
        </w:rPr>
      </w:pPr>
    </w:p>
    <w:p>
      <w:pPr>
        <w:ind w:left="600" w:firstLine="609"/>
        <w:spacing w:after="0" w:line="291" w:lineRule="auto"/>
        <w:tabs>
          <w:tab w:leader="none" w:pos="177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subject to the terms, conditions and provisions of any Intercreditor Agreement, exercise on behalf of itself and the Lenders all rights and remedies available to it and the Lenders under the Loan Documents or applicable Law;</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upon the occurrence of an actual or deemed entry of an order for relief with respect to the Borrower under the Bankruptcy Code</w:t>
      </w:r>
      <w:r>
        <w:rPr>
          <w:rFonts w:ascii="Arial" w:cs="Arial" w:eastAsia="Arial" w:hAnsi="Arial"/>
          <w:sz w:val="20"/>
          <w:szCs w:val="20"/>
          <w:i w:val="1"/>
          <w:iCs w:val="1"/>
          <w:color w:val="auto"/>
        </w:rPr>
        <w:t xml:space="preserve"> </w:t>
      </w:r>
      <w:r>
        <w:rPr>
          <w:rFonts w:ascii="Arial" w:cs="Arial" w:eastAsia="Arial" w:hAnsi="Arial"/>
          <w:sz w:val="20"/>
          <w:szCs w:val="20"/>
          <w:color w:val="auto"/>
        </w:rPr>
        <w:t>of the United States, the obligation of each Lender to make Loans shall automatically terminate, the unpaid principal amount of all outstanding Loans and all interest, premium (including the Prepayment Premium) and other amounts as aforesaid shall automatically become due and payable, in each case without further act of the Administrative Agent or any Lender, and without presentment, demand, protest or other notice of any kind, all of which are hereby expressly waived (to the extent permitted by applicable law) by the Borrower and each other Loan Party.</w:t>
      </w:r>
    </w:p>
    <w:p>
      <w:pPr>
        <w:spacing w:after="0" w:line="170"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i w:val="1"/>
          <w:iCs w:val="1"/>
          <w:color w:val="auto"/>
        </w:rPr>
        <w:t>Exclusion of Immaterial Subsidiaries.</w:t>
      </w:r>
      <w:r>
        <w:rPr>
          <w:rFonts w:ascii="Arial" w:cs="Arial" w:eastAsia="Arial" w:hAnsi="Arial"/>
          <w:sz w:val="20"/>
          <w:szCs w:val="20"/>
          <w:color w:val="auto"/>
        </w:rPr>
        <w:t xml:space="preserve"> Solely for the purpose of determining whether a Default or an Event of Default has occurred under clause (f) or (g) of </w:t>
      </w:r>
      <w:r>
        <w:rPr>
          <w:rFonts w:ascii="Arial" w:cs="Arial" w:eastAsia="Arial" w:hAnsi="Arial"/>
          <w:sz w:val="20"/>
          <w:szCs w:val="20"/>
          <w:u w:val="single" w:color="auto"/>
          <w:color w:val="auto"/>
        </w:rPr>
        <w:t>Section 8.01</w:t>
      </w:r>
      <w:r>
        <w:rPr>
          <w:rFonts w:ascii="Arial" w:cs="Arial" w:eastAsia="Arial" w:hAnsi="Arial"/>
          <w:sz w:val="20"/>
          <w:szCs w:val="20"/>
          <w:color w:val="auto"/>
        </w:rPr>
        <w:t>, any reference in any such clause to any Restricted Subsidiary or Loan Party shall be deemed not to include any Restricted Subsidiary affected by any event or circumstances referred to in any such clause that was, as of the last day of the most recent completed fiscal quarter of the Borrower, an Immaterial Subsidiary.</w:t>
      </w:r>
    </w:p>
    <w:p>
      <w:pPr>
        <w:spacing w:after="0" w:line="162"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i w:val="1"/>
          <w:iCs w:val="1"/>
          <w:color w:val="auto"/>
        </w:rPr>
        <w:t>Application of Funds</w:t>
      </w:r>
      <w:r>
        <w:rPr>
          <w:rFonts w:ascii="Arial" w:cs="Arial" w:eastAsia="Arial" w:hAnsi="Arial"/>
          <w:sz w:val="20"/>
          <w:szCs w:val="20"/>
          <w:color w:val="auto"/>
        </w:rPr>
        <w:t xml:space="preserve">. Subject to the terms, conditions and provisions of each Intercreditor Agreement, 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Loans have automatically become immediately due and payable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any amounts received on account of the Obligations shall be applied by the Administrative Agent in the following order (to the fullest extent permitted by mandatory provisions of applicable Law):</w:t>
      </w:r>
    </w:p>
    <w:p>
      <w:pPr>
        <w:spacing w:after="0" w:line="162" w:lineRule="exact"/>
        <w:rPr>
          <w:sz w:val="20"/>
          <w:szCs w:val="20"/>
          <w:color w:val="auto"/>
        </w:rPr>
      </w:pPr>
    </w:p>
    <w:p>
      <w:pPr>
        <w:jc w:val="both"/>
        <w:ind w:firstLine="1208"/>
        <w:spacing w:after="0" w:line="263" w:lineRule="auto"/>
        <w:rPr>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to payment of that portion of the Obligations constituting fees, indemnities, expenses and other amounts (other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principal and interest, but including Attorney Costs payable under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3</w:t>
      </w:r>
      <w:r>
        <w:rPr>
          <w:rFonts w:ascii="Arial" w:cs="Arial" w:eastAsia="Arial" w:hAnsi="Arial"/>
          <w:sz w:val="20"/>
          <w:szCs w:val="20"/>
          <w:color w:val="auto"/>
        </w:rPr>
        <w:t>) payable to the Administrative Agent or the Collateral Agent in its capacity as such;</w:t>
      </w:r>
    </w:p>
    <w:p>
      <w:pPr>
        <w:spacing w:after="0" w:line="163" w:lineRule="exact"/>
        <w:rPr>
          <w:sz w:val="20"/>
          <w:szCs w:val="20"/>
          <w:color w:val="auto"/>
        </w:rPr>
      </w:pPr>
    </w:p>
    <w:p>
      <w:pPr>
        <w:jc w:val="both"/>
        <w:ind w:firstLine="1208"/>
        <w:spacing w:after="0" w:line="259" w:lineRule="auto"/>
        <w:rPr>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payment of that portion of the Obligations constituting fees, indemnities, premium (including the Prepayment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Premium) and other amounts (other than principal and interest) payable to the Lenders (including Attorney Costs payable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3</w:t>
      </w:r>
      <w:r>
        <w:rPr>
          <w:rFonts w:ascii="Arial" w:cs="Arial" w:eastAsia="Arial" w:hAnsi="Arial"/>
          <w:sz w:val="20"/>
          <w:szCs w:val="20"/>
          <w:color w:val="auto"/>
        </w:rPr>
        <w:t xml:space="preserve">), ratably among them in proportion to the amounts described in this clause </w:t>
      </w:r>
      <w:r>
        <w:rPr>
          <w:rFonts w:ascii="Arial" w:cs="Arial" w:eastAsia="Arial" w:hAnsi="Arial"/>
          <w:sz w:val="20"/>
          <w:szCs w:val="20"/>
          <w:i w:val="1"/>
          <w:iCs w:val="1"/>
          <w:color w:val="auto"/>
        </w:rPr>
        <w:t>Second</w:t>
      </w:r>
      <w:r>
        <w:rPr>
          <w:rFonts w:ascii="Arial" w:cs="Arial" w:eastAsia="Arial" w:hAnsi="Arial"/>
          <w:sz w:val="20"/>
          <w:szCs w:val="20"/>
          <w:color w:val="auto"/>
        </w:rPr>
        <w:t xml:space="preserve"> payable to them;</w:t>
      </w:r>
    </w:p>
    <w:p>
      <w:pPr>
        <w:spacing w:after="0" w:line="165" w:lineRule="exact"/>
        <w:rPr>
          <w:sz w:val="20"/>
          <w:szCs w:val="20"/>
          <w:color w:val="auto"/>
        </w:rPr>
      </w:pPr>
    </w:p>
    <w:p>
      <w:pPr>
        <w:jc w:val="both"/>
        <w:ind w:firstLine="1208"/>
        <w:spacing w:after="0" w:line="278" w:lineRule="auto"/>
        <w:rPr>
          <w:sz w:val="20"/>
          <w:szCs w:val="20"/>
          <w:color w:val="auto"/>
        </w:rPr>
      </w:pPr>
      <w:r>
        <w:rPr>
          <w:rFonts w:ascii="Arial" w:cs="Arial" w:eastAsia="Arial" w:hAnsi="Arial"/>
          <w:sz w:val="20"/>
          <w:szCs w:val="20"/>
          <w:i w:val="1"/>
          <w:iCs w:val="1"/>
          <w:color w:val="auto"/>
        </w:rPr>
        <w:t>Third</w:t>
      </w:r>
      <w:r>
        <w:rPr>
          <w:rFonts w:ascii="Arial" w:cs="Arial" w:eastAsia="Arial" w:hAnsi="Arial"/>
          <w:sz w:val="20"/>
          <w:szCs w:val="20"/>
          <w:color w:val="auto"/>
        </w:rPr>
        <w:t>, to payment of that portion of the Obligations constituting accrued and unpaid interest on the Loans, ratably among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Secured Parties in proportion to the respective amounts described in this clause </w:t>
      </w:r>
      <w:r>
        <w:rPr>
          <w:rFonts w:ascii="Arial" w:cs="Arial" w:eastAsia="Arial" w:hAnsi="Arial"/>
          <w:sz w:val="20"/>
          <w:szCs w:val="20"/>
          <w:i w:val="1"/>
          <w:iCs w:val="1"/>
          <w:color w:val="auto"/>
        </w:rPr>
        <w:t>Third</w:t>
      </w:r>
      <w:r>
        <w:rPr>
          <w:rFonts w:ascii="Arial" w:cs="Arial" w:eastAsia="Arial" w:hAnsi="Arial"/>
          <w:sz w:val="20"/>
          <w:szCs w:val="20"/>
          <w:color w:val="auto"/>
        </w:rPr>
        <w:t xml:space="preserve"> payable to them;</w:t>
      </w:r>
    </w:p>
    <w:p>
      <w:pPr>
        <w:spacing w:after="0" w:line="147" w:lineRule="exact"/>
        <w:rPr>
          <w:sz w:val="20"/>
          <w:szCs w:val="20"/>
          <w:color w:val="auto"/>
        </w:rPr>
      </w:pPr>
    </w:p>
    <w:p>
      <w:pPr>
        <w:jc w:val="both"/>
        <w:ind w:firstLine="1208"/>
        <w:spacing w:after="0" w:line="278" w:lineRule="auto"/>
        <w:rPr>
          <w:sz w:val="20"/>
          <w:szCs w:val="20"/>
          <w:color w:val="auto"/>
        </w:rPr>
      </w:pPr>
      <w:r>
        <w:rPr>
          <w:rFonts w:ascii="Arial" w:cs="Arial" w:eastAsia="Arial" w:hAnsi="Arial"/>
          <w:sz w:val="20"/>
          <w:szCs w:val="20"/>
          <w:i w:val="1"/>
          <w:iCs w:val="1"/>
          <w:color w:val="auto"/>
        </w:rPr>
        <w:t>Fourth</w:t>
      </w:r>
      <w:r>
        <w:rPr>
          <w:rFonts w:ascii="Arial" w:cs="Arial" w:eastAsia="Arial" w:hAnsi="Arial"/>
          <w:sz w:val="20"/>
          <w:szCs w:val="20"/>
          <w:color w:val="auto"/>
        </w:rPr>
        <w:t>, to payment of that portion of the Obligations constituting unpaid principal of the Loans, ratably among the Secured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Parties in proportion to the respective amounts described in this clause </w:t>
      </w:r>
      <w:r>
        <w:rPr>
          <w:rFonts w:ascii="Arial" w:cs="Arial" w:eastAsia="Arial" w:hAnsi="Arial"/>
          <w:sz w:val="20"/>
          <w:szCs w:val="20"/>
          <w:i w:val="1"/>
          <w:iCs w:val="1"/>
          <w:color w:val="auto"/>
        </w:rPr>
        <w:t>Fourth</w:t>
      </w:r>
      <w:r>
        <w:rPr>
          <w:rFonts w:ascii="Arial" w:cs="Arial" w:eastAsia="Arial" w:hAnsi="Arial"/>
          <w:sz w:val="20"/>
          <w:szCs w:val="20"/>
          <w:color w:val="auto"/>
        </w:rPr>
        <w:t xml:space="preserve"> held by them;</w:t>
      </w:r>
    </w:p>
    <w:p>
      <w:pPr>
        <w:spacing w:after="0" w:line="147" w:lineRule="exact"/>
        <w:rPr>
          <w:sz w:val="20"/>
          <w:szCs w:val="20"/>
          <w:color w:val="auto"/>
        </w:rPr>
      </w:pPr>
    </w:p>
    <w:p>
      <w:pPr>
        <w:jc w:val="both"/>
        <w:ind w:firstLine="1208"/>
        <w:spacing w:after="0" w:line="263" w:lineRule="auto"/>
        <w:rPr>
          <w:sz w:val="20"/>
          <w:szCs w:val="20"/>
          <w:color w:val="auto"/>
        </w:rPr>
      </w:pPr>
      <w:r>
        <w:rPr>
          <w:rFonts w:ascii="Arial" w:cs="Arial" w:eastAsia="Arial" w:hAnsi="Arial"/>
          <w:sz w:val="20"/>
          <w:szCs w:val="20"/>
          <w:i w:val="1"/>
          <w:iCs w:val="1"/>
          <w:color w:val="auto"/>
        </w:rPr>
        <w:t>Fifth</w:t>
      </w:r>
      <w:r>
        <w:rPr>
          <w:rFonts w:ascii="Arial" w:cs="Arial" w:eastAsia="Arial" w:hAnsi="Arial"/>
          <w:sz w:val="20"/>
          <w:szCs w:val="20"/>
          <w:color w:val="auto"/>
        </w:rPr>
        <w:t>, to the payment of all other Obligations of the Borrower that are due and payable to the Administrative Agent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other Secured Parties on such date, ratably based upon the respective aggregate amounts of all such Obligations owing to the Administrative Agent and the other Secured Parties on such date; and</w:t>
      </w:r>
    </w:p>
    <w:p>
      <w:pPr>
        <w:spacing w:after="0" w:line="163" w:lineRule="exact"/>
        <w:rPr>
          <w:sz w:val="20"/>
          <w:szCs w:val="20"/>
          <w:color w:val="auto"/>
        </w:rPr>
      </w:pPr>
    </w:p>
    <w:p>
      <w:pPr>
        <w:jc w:val="both"/>
        <w:ind w:firstLine="1208"/>
        <w:spacing w:after="0" w:line="278" w:lineRule="auto"/>
        <w:rPr>
          <w:sz w:val="20"/>
          <w:szCs w:val="20"/>
          <w:color w:val="auto"/>
        </w:rPr>
      </w:pPr>
      <w:r>
        <w:rPr>
          <w:rFonts w:ascii="Arial" w:cs="Arial" w:eastAsia="Arial" w:hAnsi="Arial"/>
          <w:sz w:val="20"/>
          <w:szCs w:val="20"/>
          <w:i w:val="1"/>
          <w:iCs w:val="1"/>
          <w:color w:val="auto"/>
        </w:rPr>
        <w:t>Last</w:t>
      </w:r>
      <w:r>
        <w:rPr>
          <w:rFonts w:ascii="Arial" w:cs="Arial" w:eastAsia="Arial" w:hAnsi="Arial"/>
          <w:sz w:val="20"/>
          <w:szCs w:val="20"/>
          <w:color w:val="auto"/>
        </w:rPr>
        <w:t>, the balance, if any, after all of the Obligations (other than contingent obligations) have been paid in full, to the Borrower</w:t>
      </w:r>
      <w:r>
        <w:rPr>
          <w:rFonts w:ascii="Arial" w:cs="Arial" w:eastAsia="Arial" w:hAnsi="Arial"/>
          <w:sz w:val="20"/>
          <w:szCs w:val="20"/>
          <w:i w:val="1"/>
          <w:iCs w:val="1"/>
          <w:color w:val="auto"/>
        </w:rPr>
        <w:t xml:space="preserve"> </w:t>
      </w:r>
      <w:r>
        <w:rPr>
          <w:rFonts w:ascii="Arial" w:cs="Arial" w:eastAsia="Arial" w:hAnsi="Arial"/>
          <w:sz w:val="20"/>
          <w:szCs w:val="20"/>
          <w:color w:val="auto"/>
        </w:rPr>
        <w:t>or as otherwise required by Law.</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ADMINISTRATIVE AGENT AND THE COLLATERAL AGENT</w:t>
      </w:r>
    </w:p>
    <w:p>
      <w:pPr>
        <w:spacing w:after="0" w:line="205" w:lineRule="exact"/>
        <w:rPr>
          <w:sz w:val="20"/>
          <w:szCs w:val="20"/>
          <w:color w:val="auto"/>
        </w:rPr>
      </w:pPr>
    </w:p>
    <w:p>
      <w:pPr>
        <w:jc w:val="both"/>
        <w:ind w:firstLine="604"/>
        <w:spacing w:after="0" w:line="267" w:lineRule="auto"/>
        <w:rPr>
          <w:sz w:val="20"/>
          <w:szCs w:val="20"/>
          <w:color w:val="auto"/>
        </w:rPr>
      </w:pPr>
      <w:r>
        <w:rPr>
          <w:rFonts w:ascii="Arial" w:cs="Arial" w:eastAsia="Arial" w:hAnsi="Arial"/>
          <w:sz w:val="19"/>
          <w:szCs w:val="19"/>
          <w:color w:val="auto"/>
        </w:rPr>
        <w:t>Each Lender hereby irrevocably appoints the Administrative Agent and the Collateral Agent (for purposes of this Article 9, the Administrative Agent and the Collateral Agent are referred to collectively as the “</w:t>
      </w:r>
      <w:r>
        <w:rPr>
          <w:rFonts w:ascii="Arial" w:cs="Arial" w:eastAsia="Arial" w:hAnsi="Arial"/>
          <w:sz w:val="19"/>
          <w:szCs w:val="19"/>
          <w:b w:val="1"/>
          <w:bCs w:val="1"/>
          <w:color w:val="auto"/>
        </w:rPr>
        <w:t>Agents</w:t>
      </w:r>
      <w:r>
        <w:rPr>
          <w:rFonts w:ascii="Arial" w:cs="Arial" w:eastAsia="Arial" w:hAnsi="Arial"/>
          <w:sz w:val="19"/>
          <w:szCs w:val="19"/>
          <w:color w:val="auto"/>
        </w:rPr>
        <w:t>”) its agent and authorizes the Agents to take such actions on its behalf and to exercise such powers as are delegated to such Agent by the terms of the Loan Documents, together with such actions and powers as are reasonably incidental or related thereto. 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Collateral Documents (including, for the avoidance of doubt, (x) the ABL Intercreditor Agreement, including any amendment or supplement expressly contemplated thereby and (y) upon the incurrence of any Permitted Second Priority Additional Debt, the Second Lien Intercreditor Agreement) and (ii) negotiate, enforce or settle any claim, action or proceeding affecting the Lenders in their capacity as such, at the direction of the Required Lenders, which negotiation, enforcement or settlement will be binding upon each Lender.</w:t>
      </w:r>
    </w:p>
    <w:p>
      <w:pPr>
        <w:spacing w:after="0" w:line="162" w:lineRule="exact"/>
        <w:rPr>
          <w:sz w:val="20"/>
          <w:szCs w:val="20"/>
          <w:color w:val="auto"/>
        </w:rPr>
      </w:pPr>
    </w:p>
    <w:p>
      <w:pPr>
        <w:jc w:val="both"/>
        <w:ind w:firstLine="604"/>
        <w:spacing w:after="0" w:line="254" w:lineRule="auto"/>
        <w:rPr>
          <w:sz w:val="20"/>
          <w:szCs w:val="20"/>
          <w:color w:val="auto"/>
        </w:rPr>
      </w:pPr>
      <w:r>
        <w:rPr>
          <w:rFonts w:ascii="Arial" w:cs="Arial" w:eastAsia="Arial" w:hAnsi="Arial"/>
          <w:sz w:val="20"/>
          <w:szCs w:val="20"/>
          <w:color w:val="auto"/>
        </w:rPr>
        <w:t>The institution serving as the Administrative Agent and/or the Collateral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Borrower or any Subsidiary or other Affiliate thereof as if it were not an Agent hereunder. The Agents shall not, except as expressly set forth herein and in the other Loan Documents, have any duty to disclose, and shall not be liable for the failure to disclose, any information relating to the Borrower or any Loan Party that is communicated or obtained by the Person serving as Administrative Agent or Collateral Agent, as applicable, or any of their Affiliates in any capacity.</w:t>
      </w:r>
    </w:p>
    <w:p>
      <w:pPr>
        <w:sectPr>
          <w:pgSz w:w="11900" w:h="16885" w:orient="portrait"/>
          <w:cols w:equalWidth="0" w:num="1">
            <w:col w:w="11420"/>
          </w:cols>
          <w:pgMar w:left="240" w:top="131" w:right="239" w:bottom="0" w:gutter="0" w:footer="0" w:header="0"/>
        </w:sectPr>
      </w:pPr>
    </w:p>
    <w:bookmarkStart w:id="112" w:name="page113"/>
    <w:bookmarkEnd w:id="112"/>
    <w:p>
      <w:pPr>
        <w:jc w:val="both"/>
        <w:ind w:firstLine="604"/>
        <w:spacing w:after="0" w:line="281" w:lineRule="auto"/>
        <w:rPr>
          <w:sz w:val="20"/>
          <w:szCs w:val="20"/>
          <w:color w:val="auto"/>
        </w:rPr>
      </w:pPr>
      <w:r>
        <w:rPr>
          <w:rFonts w:ascii="Arial" w:cs="Arial" w:eastAsia="Arial" w:hAnsi="Arial"/>
          <w:sz w:val="18"/>
          <w:szCs w:val="18"/>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10.08</w:t>
      </w:r>
      <w:r>
        <w:rPr>
          <w:rFonts w:ascii="Arial" w:cs="Arial" w:eastAsia="Arial" w:hAnsi="Arial"/>
          <w:sz w:val="18"/>
          <w:szCs w:val="18"/>
          <w:color w:val="auto"/>
        </w:rPr>
        <w:t>), and</w:t>
      </w:r>
    </w:p>
    <w:p>
      <w:pPr>
        <w:spacing w:after="0" w:line="2" w:lineRule="exact"/>
        <w:rPr>
          <w:sz w:val="20"/>
          <w:szCs w:val="20"/>
          <w:color w:val="auto"/>
        </w:rPr>
      </w:pPr>
    </w:p>
    <w:p>
      <w:pPr>
        <w:jc w:val="both"/>
        <w:ind w:firstLine="1"/>
        <w:spacing w:after="0" w:line="279" w:lineRule="auto"/>
        <w:tabs>
          <w:tab w:leader="none" w:pos="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the Loan Documents, neither Agent shall have any duty to disclose, nor shall it be liable for the failure to disclose, any information relating to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or in the absence of its own gross negligence or willful misconduct as determined by the final non-appealable judgment of a court of competent jurisdiction. Notwithstanding the foregoing, no action nor any omission to act, taken by either Agent at the direction of the Required Lenders (or such other number of percentage of Lenders as shall be expressly provided for herein or in the other Loan Documents) shall constitute gross negligence or willful misconduct. Neither Agent shall be deemed to have knowledge of any Default unless and until written notice thereof, conspicuously labeled as a “notice of default” and specifically describing such Default, is given to such Agent by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elsewhere in any Loan Document, other than to confirm receipt of items expressly required to be delivered to such Agent.</w:t>
      </w:r>
    </w:p>
    <w:p>
      <w:pPr>
        <w:spacing w:after="0" w:line="161" w:lineRule="exact"/>
        <w:rPr>
          <w:sz w:val="20"/>
          <w:szCs w:val="20"/>
          <w:color w:val="auto"/>
        </w:rPr>
      </w:pPr>
    </w:p>
    <w:p>
      <w:pPr>
        <w:jc w:val="both"/>
        <w:ind w:firstLine="604"/>
        <w:spacing w:after="0" w:line="255" w:lineRule="auto"/>
        <w:rPr>
          <w:sz w:val="20"/>
          <w:szCs w:val="20"/>
          <w:color w:val="auto"/>
        </w:rPr>
      </w:pPr>
      <w:r>
        <w:rPr>
          <w:rFonts w:ascii="Arial" w:cs="Arial" w:eastAsia="Arial" w:hAnsi="Arial"/>
          <w:sz w:val="20"/>
          <w:szCs w:val="20"/>
          <w:color w:val="auto"/>
        </w:rPr>
        <w:t>Each Agent shall be entitled to rely upon, and shall not incur any liability for relying upon, any notice, request, certificate,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jc w:val="both"/>
        <w:ind w:firstLine="604"/>
        <w:spacing w:after="0" w:line="273" w:lineRule="auto"/>
        <w:rPr>
          <w:sz w:val="20"/>
          <w:szCs w:val="20"/>
          <w:color w:val="auto"/>
        </w:rPr>
      </w:pPr>
      <w:r>
        <w:rPr>
          <w:rFonts w:ascii="Arial" w:cs="Arial" w:eastAsia="Arial" w:hAnsi="Arial"/>
          <w:sz w:val="19"/>
          <w:szCs w:val="19"/>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(other than Disqualified Lenders). The exculpatory provisions of the preceding paragraphs shall apply to any such sub-agent and to the Related Parties (other than Disqualified Lenders) of each Agent and any such sub-agent, and shall apply to their respective activities in connection with the arrangement of the Facilities as well as activities as Agent.</w:t>
      </w:r>
    </w:p>
    <w:p>
      <w:pPr>
        <w:spacing w:after="0" w:line="154" w:lineRule="exact"/>
        <w:rPr>
          <w:sz w:val="20"/>
          <w:szCs w:val="20"/>
          <w:color w:val="auto"/>
        </w:rPr>
      </w:pPr>
    </w:p>
    <w:p>
      <w:pPr>
        <w:jc w:val="both"/>
        <w:ind w:firstLine="604"/>
        <w:spacing w:after="0" w:line="264" w:lineRule="auto"/>
        <w:rPr>
          <w:sz w:val="20"/>
          <w:szCs w:val="20"/>
          <w:color w:val="auto"/>
        </w:rPr>
      </w:pPr>
      <w:r>
        <w:rPr>
          <w:rFonts w:ascii="Arial" w:cs="Arial" w:eastAsia="Arial" w:hAnsi="Arial"/>
          <w:sz w:val="19"/>
          <w:szCs w:val="19"/>
          <w:color w:val="auto"/>
        </w:rPr>
        <w:t xml:space="preserve">Either Agent may resign at any time by notifying the Lenders and the Borrower in writing, and either Agent may be removed at any time with or without cause by an instrument or concurrent instruments in writing delivered to the Borrower and such Agent and signed by the Required Lenders. Upon any such resignation or removal, the Required Lenders shall have the right, with the consent of the Borrower (which consent shall not be required during the continuance of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to appoint a successor. If no successor shall have been so appointed by the Required Lenders (with the consent of the Borrower (which consent shall not be required during the continuance of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 and shall have accepted such appointment within 30 days after (i) the retiring Agent gives notice of its resignation or (ii) the Required Lenders delivers removal instructions, then the retiring or removed Agent may, on behalf of the Lenders (with the consent of the Borrower (which consent shall not be required during the continuance of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appoint a successor Agent which shall be a bank with an office in New York, New York, or an Affiliate of any such bank. If no successor Agent has been appointed pursuant to the immediately preceding, such Agent’s resignation or removal shall become effective and the Required Lenders shall thereafter perform all the duties of such Agent hereunder and/or under any other Loan Document until such time, if any, as the Required Lenders (with the consent of the Borrower (which consent shall not be required during the continuance of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appoint a successor Administrative Agent and/or Collateral Agent, as the case may be. Upon the acceptance of its appointment as Agent hereunder by a successor, such successor shall succeed to and become vested with all the rights, powers, privileges and duties of its predecessor Agent, and its predecessor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shall continue in effect for the benefit of such retiring Agent, its sub-agents and their respective Related Parties (other than Disqualified Lenders) in respect of any actions taken or omitted to be taken by any of them while acting as Agent.</w:t>
      </w:r>
    </w:p>
    <w:p>
      <w:pPr>
        <w:spacing w:after="0" w:line="177"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18"/>
          <w:szCs w:val="18"/>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142" w:lineRule="exact"/>
        <w:rPr>
          <w:sz w:val="20"/>
          <w:szCs w:val="20"/>
          <w:color w:val="auto"/>
        </w:rPr>
      </w:pPr>
    </w:p>
    <w:p>
      <w:pPr>
        <w:jc w:val="both"/>
        <w:ind w:firstLine="604"/>
        <w:spacing w:after="0" w:line="271" w:lineRule="auto"/>
        <w:rPr>
          <w:sz w:val="20"/>
          <w:szCs w:val="20"/>
          <w:color w:val="auto"/>
        </w:rPr>
      </w:pPr>
      <w:r>
        <w:rPr>
          <w:rFonts w:ascii="Arial" w:cs="Arial" w:eastAsia="Arial" w:hAnsi="Arial"/>
          <w:sz w:val="19"/>
          <w:szCs w:val="19"/>
          <w:color w:val="auto"/>
        </w:rPr>
        <w:t>Each Lender acknowledges and agrees that Cortland Products Corp. or one or more of its Affiliates may (but is not obligated to) act as collateral agent or representative for the holders of ABL Facility Indebtedness, Permitted Second Priority Additional Debt, any Extended Term Loan or any Permitted Refinancing thereof under the collateral agreements with respect thereto and/or under the ABL Intercreditor Agreement or the Second Lien Intercreditor Agreement. Each Lender waives any conflict of interest, now contemplated or arising hereafter, in connection therewith and agrees not to assert against Cortland Products Corp. or any of its Affiliates any claims, causes of action, damages or liabilities of whatever kind or nature relating thereto.</w:t>
      </w:r>
    </w:p>
    <w:p>
      <w:pPr>
        <w:sectPr>
          <w:pgSz w:w="11900" w:h="16838" w:orient="portrait"/>
          <w:cols w:equalWidth="0" w:num="1">
            <w:col w:w="11420"/>
          </w:cols>
          <w:pgMar w:left="240" w:top="282" w:right="239" w:bottom="115" w:gutter="0" w:footer="0" w:header="0"/>
        </w:sectPr>
      </w:pPr>
    </w:p>
    <w:bookmarkStart w:id="113" w:name="page114"/>
    <w:bookmarkEnd w:id="113"/>
    <w:p>
      <w:pPr>
        <w:jc w:val="both"/>
        <w:ind w:firstLine="604"/>
        <w:spacing w:after="0" w:line="265" w:lineRule="auto"/>
        <w:rPr>
          <w:sz w:val="20"/>
          <w:szCs w:val="20"/>
          <w:color w:val="auto"/>
        </w:rPr>
      </w:pPr>
      <w:r>
        <w:rPr>
          <w:rFonts w:ascii="Arial" w:cs="Arial" w:eastAsia="Arial" w:hAnsi="Arial"/>
          <w:sz w:val="19"/>
          <w:szCs w:val="19"/>
          <w:color w:val="auto"/>
        </w:rPr>
        <w:t xml:space="preserve">In case of the pendency of any case or proceeding under any insolvency or other similar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the Agents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Agents any amount due for the reasonable compensation, expenses, disbursements and advances of the Administrative Agent and its agents and counsel, and any other amounts due to the Agents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10.05</w:t>
      </w:r>
      <w:r>
        <w:rPr>
          <w:rFonts w:ascii="Arial" w:cs="Arial" w:eastAsia="Arial" w:hAnsi="Arial"/>
          <w:sz w:val="19"/>
          <w:szCs w:val="19"/>
          <w:color w:val="auto"/>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5" w:lineRule="exact"/>
        <w:rPr>
          <w:sz w:val="20"/>
          <w:szCs w:val="20"/>
          <w:color w:val="auto"/>
        </w:rPr>
      </w:pPr>
    </w:p>
    <w:p>
      <w:pPr>
        <w:jc w:val="both"/>
        <w:ind w:firstLine="604"/>
        <w:spacing w:after="0" w:line="279" w:lineRule="auto"/>
        <w:rPr>
          <w:sz w:val="20"/>
          <w:szCs w:val="20"/>
          <w:color w:val="auto"/>
        </w:rPr>
      </w:pPr>
      <w:r>
        <w:rPr>
          <w:rFonts w:ascii="Arial" w:cs="Arial" w:eastAsia="Arial" w:hAnsi="Arial"/>
          <w:sz w:val="18"/>
          <w:szCs w:val="18"/>
          <w:color w:val="auto"/>
        </w:rPr>
        <w:t>The Lenders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amounts owed to the Agents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stock or debt instruments of the acquisition vehicle or vehicles that are used to consummate such purchase). In connection with any such bid</w:t>
      </w:r>
    </w:p>
    <w:p>
      <w:pPr>
        <w:spacing w:after="0" w:line="1" w:lineRule="exact"/>
        <w:rPr>
          <w:sz w:val="20"/>
          <w:szCs w:val="20"/>
          <w:color w:val="auto"/>
        </w:rPr>
      </w:pPr>
    </w:p>
    <w:p>
      <w:pPr>
        <w:jc w:val="both"/>
        <w:ind w:firstLine="1"/>
        <w:spacing w:after="0" w:line="280" w:lineRule="auto"/>
        <w:tabs>
          <w:tab w:leader="none" w:pos="24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stock thereof shall be governed, directly or indirectly, by the vote of the Required Lenders, irrespective of the termination of this Agreement, (iii) the Administrative Agent shall be authorized to assign the relevant Obligations to any such acquisition vehicle pro rata by the Lenders, as a result of which each of the Lenders shall be deemed to have received a pro rata portion of any stock and/or debt instruments issued by such an acquisition vehicle on account of the assignment of the Obligations to be credit bid, all without the need for the Administrative Agent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each Lenders pro rata and the stock and/or debt instruments issued by any acquisition vehicle on account of the Obligations that had been assigned to the acquisition vehicle shall automatically be cancelled, without the need for the Administrative Agent or any acquisition vehicle to take any further action.</w:t>
      </w:r>
    </w:p>
    <w:p>
      <w:pPr>
        <w:spacing w:after="0" w:line="151"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10</w:t>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MISCELLANEOUS</w:t>
      </w:r>
    </w:p>
    <w:p>
      <w:pPr>
        <w:spacing w:after="0" w:line="205" w:lineRule="exact"/>
        <w:rPr>
          <w:sz w:val="20"/>
          <w:szCs w:val="20"/>
          <w:color w:val="auto"/>
        </w:rPr>
      </w:pPr>
    </w:p>
    <w:p>
      <w:pPr>
        <w:ind w:firstLine="604"/>
        <w:spacing w:after="0" w:line="319"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i w:val="1"/>
          <w:iCs w:val="1"/>
          <w:color w:val="auto"/>
        </w:rPr>
        <w:t>Notices; Electronic Communications.</w:t>
      </w:r>
      <w:r>
        <w:rPr>
          <w:rFonts w:ascii="Arial" w:cs="Arial" w:eastAsia="Arial" w:hAnsi="Arial"/>
          <w:sz w:val="19"/>
          <w:szCs w:val="19"/>
          <w:color w:val="auto"/>
        </w:rPr>
        <w:t xml:space="preserve"> Notices and other communications provided for herein shall be in writing and shall be delivered by hand or overnight courier service, mailed by certified or registered mail or sent by email or fax, as follows:</w:t>
      </w:r>
    </w:p>
    <w:p>
      <w:pPr>
        <w:spacing w:after="0" w:line="111" w:lineRule="exact"/>
        <w:rPr>
          <w:sz w:val="20"/>
          <w:szCs w:val="20"/>
          <w:color w:val="auto"/>
        </w:rPr>
      </w:pPr>
    </w:p>
    <w:p>
      <w:pPr>
        <w:ind w:left="1200" w:hanging="595"/>
        <w:spacing w:after="0"/>
        <w:tabs>
          <w:tab w:leader="none" w:pos="12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if to the Borrower or any other Loan Party, to it at:</w:t>
      </w:r>
    </w:p>
    <w:p>
      <w:pPr>
        <w:spacing w:after="0" w:line="210" w:lineRule="exact"/>
        <w:rPr>
          <w:rFonts w:ascii="Arial" w:cs="Arial" w:eastAsia="Arial" w:hAnsi="Arial"/>
          <w:sz w:val="20"/>
          <w:szCs w:val="20"/>
          <w:color w:val="auto"/>
        </w:rPr>
      </w:pPr>
    </w:p>
    <w:p>
      <w:pPr>
        <w:ind w:left="1200"/>
        <w:spacing w:after="0"/>
        <w:rPr>
          <w:rFonts w:ascii="Arial" w:cs="Arial" w:eastAsia="Arial" w:hAnsi="Arial"/>
          <w:sz w:val="20"/>
          <w:szCs w:val="20"/>
          <w:color w:val="auto"/>
        </w:rPr>
      </w:pPr>
      <w:r>
        <w:rPr>
          <w:rFonts w:ascii="Arial" w:cs="Arial" w:eastAsia="Arial" w:hAnsi="Arial"/>
          <w:sz w:val="20"/>
          <w:szCs w:val="20"/>
          <w:color w:val="auto"/>
        </w:rPr>
        <w:t>YRC Worldwide Inc.</w:t>
      </w:r>
    </w:p>
    <w:p>
      <w:pPr>
        <w:spacing w:after="0" w:line="27" w:lineRule="exact"/>
        <w:rPr>
          <w:rFonts w:ascii="Arial" w:cs="Arial" w:eastAsia="Arial" w:hAnsi="Arial"/>
          <w:sz w:val="20"/>
          <w:szCs w:val="20"/>
          <w:color w:val="auto"/>
        </w:rPr>
      </w:pPr>
    </w:p>
    <w:p>
      <w:pPr>
        <w:ind w:left="1200" w:right="5560"/>
        <w:spacing w:after="0" w:line="249" w:lineRule="auto"/>
        <w:rPr>
          <w:rFonts w:ascii="Arial" w:cs="Arial" w:eastAsia="Arial" w:hAnsi="Arial"/>
          <w:sz w:val="20"/>
          <w:szCs w:val="20"/>
          <w:color w:val="auto"/>
        </w:rPr>
      </w:pPr>
      <w:r>
        <w:rPr>
          <w:rFonts w:ascii="Arial" w:cs="Arial" w:eastAsia="Arial" w:hAnsi="Arial"/>
          <w:sz w:val="20"/>
          <w:szCs w:val="20"/>
          <w:color w:val="auto"/>
        </w:rPr>
        <w:t>Attention of Chief Financial Officer and General Counsel 10990 Roe Avenue</w:t>
      </w:r>
    </w:p>
    <w:p>
      <w:pPr>
        <w:spacing w:after="0" w:line="1" w:lineRule="exact"/>
        <w:rPr>
          <w:rFonts w:ascii="Arial" w:cs="Arial" w:eastAsia="Arial" w:hAnsi="Arial"/>
          <w:sz w:val="20"/>
          <w:szCs w:val="20"/>
          <w:color w:val="auto"/>
        </w:rPr>
      </w:pPr>
    </w:p>
    <w:p>
      <w:pPr>
        <w:ind w:left="1200" w:right="7820"/>
        <w:spacing w:after="0" w:line="277" w:lineRule="auto"/>
        <w:rPr>
          <w:rFonts w:ascii="Arial" w:cs="Arial" w:eastAsia="Arial" w:hAnsi="Arial"/>
          <w:sz w:val="20"/>
          <w:szCs w:val="20"/>
          <w:color w:val="auto"/>
        </w:rPr>
      </w:pPr>
      <w:r>
        <w:rPr>
          <w:rFonts w:ascii="Arial" w:cs="Arial" w:eastAsia="Arial" w:hAnsi="Arial"/>
          <w:sz w:val="18"/>
          <w:szCs w:val="18"/>
          <w:color w:val="auto"/>
        </w:rPr>
        <w:t>Overland Park, Kansas 66211 Fax No. 913-696-6116</w:t>
      </w:r>
    </w:p>
    <w:p>
      <w:pPr>
        <w:ind w:left="1200"/>
        <w:spacing w:after="0"/>
        <w:rPr>
          <w:rFonts w:ascii="Arial" w:cs="Arial" w:eastAsia="Arial" w:hAnsi="Arial"/>
          <w:sz w:val="20"/>
          <w:szCs w:val="20"/>
          <w:color w:val="auto"/>
        </w:rPr>
      </w:pPr>
      <w:r>
        <w:rPr>
          <w:rFonts w:ascii="Arial" w:cs="Arial" w:eastAsia="Arial" w:hAnsi="Arial"/>
          <w:sz w:val="20"/>
          <w:szCs w:val="20"/>
          <w:color w:val="auto"/>
        </w:rPr>
        <w:t>Tel. No. 913-696-6529 or 913-696-6132</w:t>
      </w:r>
    </w:p>
    <w:p>
      <w:pPr>
        <w:spacing w:after="0" w:line="9" w:lineRule="exact"/>
        <w:rPr>
          <w:rFonts w:ascii="Arial" w:cs="Arial" w:eastAsia="Arial" w:hAnsi="Arial"/>
          <w:sz w:val="20"/>
          <w:szCs w:val="20"/>
          <w:color w:val="auto"/>
        </w:rPr>
      </w:pPr>
    </w:p>
    <w:p>
      <w:pPr>
        <w:ind w:left="1200"/>
        <w:spacing w:after="0"/>
        <w:rPr>
          <w:rFonts w:ascii="Arial" w:cs="Arial" w:eastAsia="Arial" w:hAnsi="Arial"/>
          <w:sz w:val="20"/>
          <w:szCs w:val="20"/>
          <w:color w:val="auto"/>
        </w:rPr>
      </w:pPr>
      <w:r>
        <w:rPr>
          <w:rFonts w:ascii="Arial" w:cs="Arial" w:eastAsia="Arial" w:hAnsi="Arial"/>
          <w:sz w:val="20"/>
          <w:szCs w:val="20"/>
          <w:color w:val="auto"/>
        </w:rPr>
        <w:t>Email: stephanie.fisher@yrcw.com and jim.fry@yrcw.com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With copy to:</w:t>
      </w:r>
    </w:p>
    <w:p>
      <w:pPr>
        <w:spacing w:after="0" w:line="21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Kirkland &amp; Ellis LLP</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Attention of Michelle Kilkenney, Esq.</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300 North LaSalle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Chicago, Illinois 60654</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Fax No. 312-862-2200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Tel. No. 312-862-2487</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Email: michelle.kilkenney@kirkland.com</w:t>
      </w:r>
    </w:p>
    <w:p>
      <w:pPr>
        <w:spacing w:after="0" w:line="192" w:lineRule="exact"/>
        <w:rPr>
          <w:sz w:val="20"/>
          <w:szCs w:val="20"/>
          <w:color w:val="auto"/>
        </w:rPr>
      </w:pPr>
    </w:p>
    <w:p>
      <w:pPr>
        <w:ind w:left="1200" w:hanging="595"/>
        <w:spacing w:after="0"/>
        <w:tabs>
          <w:tab w:leader="none" w:pos="12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if to the Administrative Agent, to:</w:t>
      </w:r>
    </w:p>
    <w:p>
      <w:pPr>
        <w:sectPr>
          <w:pgSz w:w="11900" w:h="16838" w:orient="portrait"/>
          <w:cols w:equalWidth="0" w:num="1">
            <w:col w:w="11420"/>
          </w:cols>
          <w:pgMar w:left="240" w:top="131" w:right="239" w:bottom="0" w:gutter="0" w:footer="0" w:header="0"/>
        </w:sectPr>
      </w:pPr>
    </w:p>
    <w:bookmarkStart w:id="114" w:name="page115"/>
    <w:bookmarkEnd w:id="114"/>
    <w:p>
      <w:pPr>
        <w:spacing w:after="0" w:line="1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Cortland Products Corp.</w:t>
      </w:r>
    </w:p>
    <w:p>
      <w:pPr>
        <w:ind w:left="1200"/>
        <w:spacing w:after="0" w:line="213" w:lineRule="auto"/>
        <w:rPr>
          <w:sz w:val="20"/>
          <w:szCs w:val="20"/>
          <w:color w:val="auto"/>
        </w:rPr>
      </w:pPr>
      <w:r>
        <w:rPr>
          <w:rFonts w:ascii="Arial" w:cs="Arial" w:eastAsia="Arial" w:hAnsi="Arial"/>
          <w:sz w:val="20"/>
          <w:szCs w:val="20"/>
          <w:color w:val="auto"/>
        </w:rPr>
        <w:t>225 W. Washington Street, 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Chicago, Illinois 60606</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Attention: Legal Department and Lisa Schutz</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Fax No.: 312-376-0751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Tel. No.: 312-564-5100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Email: legal@cortlandglobal.com and lisa.schutz@cortlandglobal.com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1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Holland &amp; Knight LLP</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150 N. Riverside Plaza, Suite 2700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Chicago, Illinois 60606</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Fax No.: 312-578-6666</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Tel. No.: 312-263-3600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Attention: Joshua M. Spencer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Email: joshua.spencer@hklaw.com</w:t>
      </w:r>
    </w:p>
    <w:p>
      <w:pPr>
        <w:spacing w:after="0" w:line="230" w:lineRule="exact"/>
        <w:rPr>
          <w:sz w:val="20"/>
          <w:szCs w:val="20"/>
          <w:color w:val="auto"/>
        </w:rPr>
      </w:pPr>
    </w:p>
    <w:p>
      <w:pPr>
        <w:ind w:firstLine="605"/>
        <w:spacing w:after="0" w:line="291" w:lineRule="auto"/>
        <w:tabs>
          <w:tab w:leader="none" w:pos="100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if to a Lender, to it at its address (email address or fax number) set forth on Schedule 2.01 or in the Assignment and Acceptance or Refinancing Amendment pursuant to which such Lender shall have become a party hereto.</w:t>
      </w:r>
    </w:p>
    <w:p>
      <w:pPr>
        <w:spacing w:after="0" w:line="134" w:lineRule="exact"/>
        <w:rPr>
          <w:sz w:val="20"/>
          <w:szCs w:val="20"/>
          <w:color w:val="auto"/>
        </w:rPr>
      </w:pPr>
    </w:p>
    <w:p>
      <w:pPr>
        <w:jc w:val="both"/>
        <w:ind w:firstLine="604"/>
        <w:spacing w:after="0" w:line="288" w:lineRule="auto"/>
        <w:rPr>
          <w:sz w:val="20"/>
          <w:szCs w:val="20"/>
          <w:color w:val="auto"/>
        </w:rPr>
      </w:pPr>
      <w:r>
        <w:rPr>
          <w:rFonts w:ascii="Arial" w:cs="Arial" w:eastAsia="Arial" w:hAnsi="Arial"/>
          <w:sz w:val="18"/>
          <w:szCs w:val="18"/>
          <w:color w:val="auto"/>
        </w:rPr>
        <w:t xml:space="preserve">All notices and other communications given to any party hereto in accordance with the provisions of this Agreement shall be deemed to have been given on the date of receipt if delivered by hand or overnight courier service or sent by fax or on the date three Business Days after dispatch by certified or registered mail if mailed, in each case delivered, sent or mailed (properly addressed) to such party as provided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in accordance with the latest unrevoked direction from such party given in accordance with this </w:t>
      </w:r>
      <w:r>
        <w:rPr>
          <w:rFonts w:ascii="Arial" w:cs="Arial" w:eastAsia="Arial" w:hAnsi="Arial"/>
          <w:sz w:val="18"/>
          <w:szCs w:val="18"/>
          <w:u w:val="single" w:color="auto"/>
          <w:color w:val="auto"/>
        </w:rPr>
        <w:t>Section 10.01</w:t>
      </w:r>
      <w:r>
        <w:rPr>
          <w:rFonts w:ascii="Arial" w:cs="Arial" w:eastAsia="Arial" w:hAnsi="Arial"/>
          <w:sz w:val="18"/>
          <w:szCs w:val="18"/>
          <w:color w:val="auto"/>
        </w:rPr>
        <w:t>. As agreed to among the Borrower, the Administrative Agent and the applicable Lenders from time to time, notices and other communications may also be delivered by e-mail to the e-mail address of a representative of the applicable Person provided from time to time by such Person.</w:t>
      </w:r>
    </w:p>
    <w:p>
      <w:pPr>
        <w:spacing w:after="0" w:line="146"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8"/>
          <w:szCs w:val="18"/>
          <w:color w:val="auto"/>
        </w:rPr>
        <w:t xml:space="preserve">The Borrower hereby agrees, unless directed otherwise by the Required Lenders or Administrative Agent or unless the electronic mail address referred to below has not been provided by the Administrative Agent to the Borrower, that it will, or will cause its Restricted Subsidiaries to, provide to the Administrative Agent and/or the Required Lenders all information, documents and other materials that it is obligated to furnish to the Administrative Agent and/or the Required Lenders pursuant to the Loan Documents or to the Lenders under Article 6, including all notices, requests, financial statements, financial and other reports, certificates and other information materials, but excluding any such communication that (i) is or relates to a Request for Credit Extension or a notice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(ii) relates to the payment of any principal or other amount due under this Agreement prior to the scheduled date therefor, or (iii) provides notice of any Default or Event of Default under this Agreement or any other Loan Document, (all such non-excluded communications being referred to herein collectively as “</w:t>
      </w:r>
      <w:r>
        <w:rPr>
          <w:rFonts w:ascii="Arial" w:cs="Arial" w:eastAsia="Arial" w:hAnsi="Arial"/>
          <w:sz w:val="18"/>
          <w:szCs w:val="18"/>
          <w:b w:val="1"/>
          <w:bCs w:val="1"/>
          <w:color w:val="auto"/>
        </w:rPr>
        <w:t>Communications</w:t>
      </w:r>
      <w:r>
        <w:rPr>
          <w:rFonts w:ascii="Arial" w:cs="Arial" w:eastAsia="Arial" w:hAnsi="Arial"/>
          <w:sz w:val="18"/>
          <w:szCs w:val="18"/>
          <w:color w:val="auto"/>
        </w:rPr>
        <w:t>”), by transmitting the Communications in an electronic/soft medium that is properly identified in a format reasonably acceptable to the Administrative Agent and/or the Required Lenders to an electronic mail address as directed by the Administrative Agent and/or the Required Lenders. In addition, the Borrower agrees, and agrees to cause its Restricted Subsidiaries, to continue to provide the Communications to the Administrative Agent, the Required Lenders or the Lenders, as the case may be, in the manner specified in the Loan Documents but only to the extent requested by the Administrative Agent.</w:t>
      </w:r>
    </w:p>
    <w:p>
      <w:pPr>
        <w:spacing w:after="0" w:line="148" w:lineRule="exact"/>
        <w:rPr>
          <w:sz w:val="20"/>
          <w:szCs w:val="20"/>
          <w:color w:val="auto"/>
        </w:rPr>
      </w:pPr>
    </w:p>
    <w:p>
      <w:pPr>
        <w:jc w:val="both"/>
        <w:ind w:firstLine="604"/>
        <w:spacing w:after="0" w:line="281" w:lineRule="auto"/>
        <w:rPr>
          <w:sz w:val="20"/>
          <w:szCs w:val="20"/>
          <w:color w:val="auto"/>
        </w:rPr>
      </w:pPr>
      <w:r>
        <w:rPr>
          <w:rFonts w:ascii="Arial" w:cs="Arial" w:eastAsia="Arial" w:hAnsi="Arial"/>
          <w:sz w:val="18"/>
          <w:szCs w:val="18"/>
          <w:color w:val="auto"/>
        </w:rPr>
        <w:t>The Borrower hereby acknowledges that (a) the Administrative Agent will make available to the Lenders materials and/or information provided by or on behalf of the Borrower hereunder (collectively, the “</w:t>
      </w:r>
      <w:r>
        <w:rPr>
          <w:rFonts w:ascii="Arial" w:cs="Arial" w:eastAsia="Arial" w:hAnsi="Arial"/>
          <w:sz w:val="18"/>
          <w:szCs w:val="18"/>
          <w:b w:val="1"/>
          <w:bCs w:val="1"/>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b w:val="1"/>
          <w:bCs w:val="1"/>
          <w:color w:val="auto"/>
        </w:rPr>
        <w:t>Platform</w:t>
      </w:r>
      <w:r>
        <w:rPr>
          <w:rFonts w:ascii="Arial" w:cs="Arial" w:eastAsia="Arial" w:hAnsi="Arial"/>
          <w:sz w:val="18"/>
          <w:szCs w:val="18"/>
          <w:color w:val="auto"/>
        </w:rPr>
        <w:t>”) and (b) certain of the Lenders may be “public</w:t>
      </w:r>
      <w:r>
        <w:rPr>
          <w:rFonts w:ascii="Arial" w:cs="Arial" w:eastAsia="Arial" w:hAnsi="Arial"/>
          <w:sz w:val="18"/>
          <w:szCs w:val="18"/>
          <w:b w:val="1"/>
          <w:bCs w:val="1"/>
          <w:color w:val="auto"/>
        </w:rPr>
        <w:t>-</w:t>
      </w:r>
      <w:r>
        <w:rPr>
          <w:rFonts w:ascii="Arial" w:cs="Arial" w:eastAsia="Arial" w:hAnsi="Arial"/>
          <w:sz w:val="18"/>
          <w:szCs w:val="18"/>
          <w:color w:val="auto"/>
        </w:rPr>
        <w:t>side” Lenders (i.e., Lenders that do not wish to receive material non-public information with respect to the Borrower, its Restricted Subsidiaries or any of their respective securities) (each, a “</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The Borrower hereby agrees (w) to use commercially reasonable effort to make all Borrower Materials that are to be made available to Public Lenders clearly and conspicuously “PUBLIC” which, at a minimum, shall mean that the word “PUBLIC” shall appear prominently on the first page thereof; (x) by marking Borrower Materials “PUBLIC,” the Borrower shall be deemed to have authorized the Administrative Agent and the Lenders to treat such Borrower Materials as not containing any material non-public information with respect to the Borrower or any of its securities for purposes of United States federal and state securities laws (provided, however, that to the extent such Borrower Materials constitute Information, they shall be treated as set forth in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(y) all Borrower Materials marked “PUBLIC” are permitted to be made available through a portion of the Platform designated as “Public Investor;” and (z) the Administrative Agent shall be entitled to treat any Borrower Materials that are not marked “PUBLIC” as being suitable only for posting on a portion of the Platform not marked as “Public Investor.” Notwithstanding the foregoing, the following Borrower Materials shall be marked “PUBLIC”, unless the Borrower notifies the Administrative Agent promptly that any such document contains material non-public information: (1) the Loan Documents, (2) financial statements and related documentation, in each case, provided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 xml:space="preserve"> and (3) notification of changes in the terms of the Facilities.</w:t>
      </w:r>
    </w:p>
    <w:p>
      <w:pPr>
        <w:spacing w:after="0" w:line="150" w:lineRule="exact"/>
        <w:rPr>
          <w:sz w:val="20"/>
          <w:szCs w:val="20"/>
          <w:color w:val="auto"/>
        </w:rPr>
      </w:pPr>
    </w:p>
    <w:p>
      <w:pPr>
        <w:jc w:val="both"/>
        <w:ind w:firstLine="604"/>
        <w:spacing w:after="0" w:line="271" w:lineRule="auto"/>
        <w:rPr>
          <w:sz w:val="20"/>
          <w:szCs w:val="20"/>
          <w:color w:val="auto"/>
        </w:rPr>
      </w:pPr>
      <w:r>
        <w:rPr>
          <w:rFonts w:ascii="Arial" w:cs="Arial" w:eastAsia="Arial" w:hAnsi="Arial"/>
          <w:sz w:val="19"/>
          <w:szCs w:val="19"/>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its Restricted Subsidiaries or any of their respective securities for purposes of United States Federal or state securities laws.</w:t>
      </w:r>
    </w:p>
    <w:p>
      <w:pPr>
        <w:spacing w:after="0" w:line="156" w:lineRule="exact"/>
        <w:rPr>
          <w:sz w:val="20"/>
          <w:szCs w:val="20"/>
          <w:color w:val="auto"/>
        </w:rPr>
      </w:pPr>
    </w:p>
    <w:p>
      <w:pPr>
        <w:jc w:val="both"/>
        <w:ind w:firstLine="604"/>
        <w:spacing w:after="0" w:line="305" w:lineRule="auto"/>
        <w:rPr>
          <w:sz w:val="20"/>
          <w:szCs w:val="20"/>
          <w:color w:val="auto"/>
        </w:rPr>
      </w:pPr>
      <w:r>
        <w:rPr>
          <w:rFonts w:ascii="Arial" w:cs="Arial" w:eastAsia="Arial" w:hAnsi="Arial"/>
          <w:sz w:val="19"/>
          <w:szCs w:val="19"/>
          <w:color w:val="auto"/>
        </w:rPr>
        <w:t>THE PLATFORM IS PROVIDED “AS IS” AND “AS AVAILABLE”. NEITHER THE ADMINISTRATIVE AGENT NOR ANY OF ITS RELATED PARTIES WARRANTS THE ACCURACY OR COMPLETENESS OF THE COMMUNICATIONS OR THE ADEQUACY</w:t>
      </w:r>
    </w:p>
    <w:p>
      <w:pPr>
        <w:sectPr>
          <w:pgSz w:w="11900" w:h="16856" w:orient="portrait"/>
          <w:cols w:equalWidth="0" w:num="1">
            <w:col w:w="11420"/>
          </w:cols>
          <w:pgMar w:left="240" w:top="131" w:right="239" w:bottom="0" w:gutter="0" w:footer="0" w:header="0"/>
        </w:sectPr>
      </w:pPr>
    </w:p>
    <w:bookmarkStart w:id="115" w:name="page116"/>
    <w:bookmarkEnd w:id="115"/>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OF THE PLATFORM AND EACH EXPRESSLY DISCLAIMS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NON-APPEALABLE RULING BY A COURT OF COMPETENT JURISDICTION TO HAVE RESULTED FROM SUCH PERSON’S OR ITS RELATED PARTIES’ GROSS NEGLIGENCE, WILLFUL MISCONDUCT OR BAD FAITH, IN EACH CASE, AS DETERMINED BY THE FINAL NON-APPEALABLE JUDGMENT OF A COURT OF COMPETENT JURISDICTION.</w:t>
      </w:r>
    </w:p>
    <w:p>
      <w:pPr>
        <w:spacing w:after="0" w:line="182" w:lineRule="exact"/>
        <w:rPr>
          <w:sz w:val="20"/>
          <w:szCs w:val="20"/>
          <w:color w:val="auto"/>
        </w:rPr>
      </w:pPr>
    </w:p>
    <w:p>
      <w:pPr>
        <w:jc w:val="both"/>
        <w:ind w:firstLine="604"/>
        <w:spacing w:after="0" w:line="288"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receipt of notice to it (as provided in the next sentence) specifying that the Communications have been posted to the Platform shall constitute effective delivery of the Communications to such Lender for purposes of the Loan Documents. Each Lender agrees to notify the Administrative Agent in writing (including by electronic communication) from time to time of such Lender’s e-mail address to which the foregoing notice may be sent by electronic transmission and that the foregoing notice may be sent to such e-mail address.</w:t>
      </w:r>
    </w:p>
    <w:p>
      <w:pPr>
        <w:spacing w:after="0" w:line="146"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20"/>
          <w:szCs w:val="20"/>
          <w:color w:val="auto"/>
        </w:rPr>
        <w:t>Nothing herein shall prejudice the right of the Administrative Agent or any Lender to give any notice or other communication pursuant to any Loan Document in any other manner specified in such Loan Document.</w:t>
      </w:r>
    </w:p>
    <w:p>
      <w:pPr>
        <w:spacing w:after="0" w:line="147" w:lineRule="exact"/>
        <w:rPr>
          <w:sz w:val="20"/>
          <w:szCs w:val="20"/>
          <w:color w:val="auto"/>
        </w:rPr>
      </w:pPr>
    </w:p>
    <w:p>
      <w:pPr>
        <w:jc w:val="both"/>
        <w:ind w:firstLine="604"/>
        <w:spacing w:after="0" w:line="28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Survival of Agreement.</w:t>
      </w:r>
      <w:r>
        <w:rPr>
          <w:rFonts w:ascii="Arial" w:cs="Arial" w:eastAsia="Arial" w:hAnsi="Arial"/>
          <w:sz w:val="18"/>
          <w:szCs w:val="18"/>
          <w:color w:val="auto"/>
        </w:rPr>
        <w:t xml:space="preserve"> All covenants, agreements, representations and warranties made by the Borrower herein and in the certificates or other instruments prepared or delivered in connection with or pursuant to this Agreement or any other Loan Document shall be considered to have been relied upon by the Lenders and shall survive the making by the Lenders of the Loans, regardless of any investigation made by the Lenders or on their behalf or that any Agent or Lender may have had notice of any Default or Event of Default at the time of any Credit Extension, and shall continue in full force and effect as long as the principal of or any accrued interest on any Loan or any Fee or any other amount payable under this Agreement or any other Loan Document is outstanding and unpaid and so long as the Commitments have not been terminated. The provisions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w:t>
      </w:r>
    </w:p>
    <w:p>
      <w:pPr>
        <w:spacing w:after="0" w:line="147" w:lineRule="exact"/>
        <w:rPr>
          <w:sz w:val="20"/>
          <w:szCs w:val="20"/>
          <w:color w:val="auto"/>
        </w:rPr>
      </w:pPr>
    </w:p>
    <w:p>
      <w:pPr>
        <w:jc w:val="both"/>
        <w:ind w:firstLine="604"/>
        <w:spacing w:after="0" w:line="31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This Agreement shall become effective when it shall have been executed and delivered by the Borrower, each other Loan Party party hereto on the Restatement Effective Date and the Administrative Agent and when the Administrative Agent shall have received counterparts hereof which, when taken together, bear the signatures of each of the other parties hereto.</w:t>
      </w:r>
    </w:p>
    <w:p>
      <w:pPr>
        <w:spacing w:after="0" w:line="121"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10.04.</w:t>
      </w:r>
      <w:r>
        <w:rPr>
          <w:sz w:val="20"/>
          <w:szCs w:val="20"/>
          <w:color w:val="auto"/>
        </w:rPr>
        <w:tab/>
      </w:r>
      <w:r>
        <w:rPr>
          <w:rFonts w:ascii="Arial" w:cs="Arial" w:eastAsia="Arial" w:hAnsi="Arial"/>
          <w:sz w:val="17"/>
          <w:szCs w:val="17"/>
          <w:i w:val="1"/>
          <w:iCs w:val="1"/>
          <w:color w:val="auto"/>
        </w:rPr>
        <w:t>Successors and Assigns</w:t>
      </w:r>
      <w:r>
        <w:rPr>
          <w:rFonts w:ascii="Arial" w:cs="Arial" w:eastAsia="Arial" w:hAnsi="Arial"/>
          <w:sz w:val="17"/>
          <w:szCs w:val="17"/>
          <w:color w:val="auto"/>
        </w:rPr>
        <w:t>.</w:t>
      </w:r>
    </w:p>
    <w:p>
      <w:pPr>
        <w:spacing w:after="0" w:line="223" w:lineRule="exact"/>
        <w:rPr>
          <w:sz w:val="20"/>
          <w:szCs w:val="20"/>
          <w:color w:val="auto"/>
        </w:rPr>
      </w:pPr>
    </w:p>
    <w:p>
      <w:pPr>
        <w:jc w:val="both"/>
        <w:ind w:firstLine="605"/>
        <w:spacing w:after="0" w:line="263" w:lineRule="auto"/>
        <w:tabs>
          <w:tab w:leader="none" w:pos="1058" w:val="left"/>
        </w:tabs>
        <w:numPr>
          <w:ilvl w:val="1"/>
          <w:numId w:val="159"/>
        </w:numPr>
        <w:rPr>
          <w:rFonts w:ascii="Arial" w:cs="Arial" w:eastAsia="Arial" w:hAnsi="Arial"/>
          <w:sz w:val="20"/>
          <w:szCs w:val="20"/>
          <w:color w:val="auto"/>
        </w:rPr>
      </w:pPr>
      <w:r>
        <w:rPr>
          <w:rFonts w:ascii="Arial" w:cs="Arial" w:eastAsia="Arial" w:hAnsi="Arial"/>
          <w:sz w:val="20"/>
          <w:szCs w:val="20"/>
          <w:color w:val="auto"/>
        </w:rPr>
        <w:t>Whenever in this Agreement any of the parties hereto is referred to, such reference shall be deemed to include the permitted successors and assigns of such party; and all covenants, promises and agreements by or on behalf of the Borrower, the Administrative Agent, the Collateral Agent or the Lenders that are contained in this Agreement shall bind and inure to the benefit of their respective permitted successors and assigns.</w:t>
      </w:r>
    </w:p>
    <w:p>
      <w:pPr>
        <w:spacing w:after="0" w:line="162" w:lineRule="exact"/>
        <w:rPr>
          <w:rFonts w:ascii="Arial" w:cs="Arial" w:eastAsia="Arial" w:hAnsi="Arial"/>
          <w:sz w:val="20"/>
          <w:szCs w:val="20"/>
          <w:color w:val="auto"/>
        </w:rPr>
      </w:pPr>
    </w:p>
    <w:p>
      <w:pPr>
        <w:jc w:val="both"/>
        <w:ind w:firstLine="605"/>
        <w:spacing w:after="0" w:line="280" w:lineRule="auto"/>
        <w:tabs>
          <w:tab w:leader="none" w:pos="108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Each Lender may assign to one or more Eligible Assignees all or a portion of its interests, rights and obligations under this Agreement (including all or a portion of the Loans at the time owing to it), with the prior written consent of the Administrative Agent (not to be unreasonably withheld, conditioned or delayed);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if the approval of the Borrower is required for any such assignment pursuant to the definition of “Eligible Assignee”, then the Borrower must also give its prior written consent to such assignment (which consent shall not be unreasonably withheld, conditioned or delayed), and the Borrower shall be deemed to have consented to any such assignment unless it shall have objected thereto by written notice to the Administrative Agent within ten (10) days after the Borrower having received written notice thereof, (ii) the amount of the Commitment or Loans of the assigning Lender subject to each such assignment (determined as of the date the Assignment and Acceptance with respect to such assignment is delivered to the Administrative Agent) shall be in an integral multiple of, and not less than, $1,000,000 (or, if less, the entire remaining amount of such Lender’s Commitment or Loans of the relevant Class) unless the Administrative Agent otherwise agrees;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simultaneous assignments by two or more Related Funds shall be combined for purposes of determining whether the minimum assignment requirement is met, (iii) the parties to each assignment shall</w:t>
      </w:r>
    </w:p>
    <w:p>
      <w:pPr>
        <w:spacing w:after="0" w:line="4" w:lineRule="exact"/>
        <w:rPr>
          <w:rFonts w:ascii="Arial" w:cs="Arial" w:eastAsia="Arial" w:hAnsi="Arial"/>
          <w:sz w:val="18"/>
          <w:szCs w:val="18"/>
          <w:color w:val="auto"/>
        </w:rPr>
      </w:pPr>
    </w:p>
    <w:p>
      <w:pPr>
        <w:jc w:val="both"/>
        <w:ind w:firstLine="1"/>
        <w:spacing w:after="0" w:line="280" w:lineRule="auto"/>
        <w:tabs>
          <w:tab w:leader="none" w:pos="34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execute and deliver to the Administrative Agent an Assignment and Acceptance via an electronic settlement system acceptable to the Administrative Agent or (B) if previously agreed with the Administrative Agent, manually execute and deliver to the Administrative Agent an Assignment and Acceptance, and, in each case, shall pay to the Administrative Agent a processing and recordation fee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simultaneous assignments by two or more Related Funds shall require the payment of a single processing and recordation fee of $3,500 and (y) such processing and recordation fee may be waived or reduced in the sole discretion of the Administrative Agent and (iv) the assignee, if it shall not be a Lender, shall deliver to the Administrative Agent an Administrative Questionnaire (in which the assignee shall designate one or more credit contacts to whom all Lender-level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all documentation and other information reasonably determined by the Administrative Agent to be required by applicable regulatory authorities under applicable “know your customer” and anti-money laundering rules and regulations, including the USA PATRIOT Act, and all applicable tax forms (including such documentation required under Section 3.01(d)). Upon acceptance and recording pursuant to paragraph (e) of this</w:t>
      </w:r>
    </w:p>
    <w:p>
      <w:pPr>
        <w:sectPr>
          <w:pgSz w:w="11900" w:h="16914" w:orient="portrait"/>
          <w:cols w:equalWidth="0" w:num="1">
            <w:col w:w="11420"/>
          </w:cols>
          <w:pgMar w:left="240" w:top="131" w:right="239" w:bottom="0" w:gutter="0" w:footer="0" w:header="0"/>
        </w:sectPr>
      </w:pPr>
    </w:p>
    <w:bookmarkStart w:id="116" w:name="page117"/>
    <w:bookmarkEnd w:id="116"/>
    <w:p>
      <w:pPr>
        <w:jc w:val="both"/>
        <w:spacing w:after="0" w:line="269" w:lineRule="auto"/>
        <w:rPr>
          <w:sz w:val="20"/>
          <w:szCs w:val="20"/>
          <w:color w:val="auto"/>
        </w:rPr>
      </w:pP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from and after the effective date specified in each Assignment and Acceptance,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10.05</w:t>
      </w:r>
      <w:r>
        <w:rPr>
          <w:rFonts w:ascii="Arial" w:cs="Arial" w:eastAsia="Arial" w:hAnsi="Arial"/>
          <w:sz w:val="19"/>
          <w:szCs w:val="19"/>
          <w:color w:val="auto"/>
        </w:rPr>
        <w:t>). Upon request and the surrender by the assigning Lender of its Term Note (if any), the Borrower (at its expense) shall execute and deliver a Term Note to the assignee Lender.</w:t>
      </w:r>
    </w:p>
    <w:p>
      <w:pPr>
        <w:spacing w:after="0" w:line="161" w:lineRule="exact"/>
        <w:rPr>
          <w:sz w:val="20"/>
          <w:szCs w:val="20"/>
          <w:color w:val="auto"/>
        </w:rPr>
      </w:pPr>
    </w:p>
    <w:p>
      <w:pPr>
        <w:jc w:val="both"/>
        <w:ind w:firstLine="605"/>
        <w:spacing w:after="0" w:line="281" w:lineRule="auto"/>
        <w:tabs>
          <w:tab w:leader="none" w:pos="10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and the outstanding balances of its Term Loans without giving effect to assignments thereof which have not become effective, are as set forth in such Assignment and Acceptance;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Subsidiary or the performance or observance by the Borrower or any Subsidiary of any of its obligations under this Agreement, any other Loan Document or any other instrument or document furnished pursuant hereto; (iii) such assignee represents and warrants that it is an Eligible Assignee legally authorized to enter into such Assignment and Acceptance; (iv) such assignee confirms that it has received a copy of this Agreement and the other Loan Documents, together with copies of the most recent financial statements referred to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or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such other documents and information as it has deemed appropriate to make its own credit analysis and decision to enter into such Assignment and Acceptance; (v) such assignee will independently and without reliance upon the Administrative Agent, the Collateral Agent, such assigning Lender or any other Lender and based on such documents and information as it shall deem appropriate at the time, continue to make its own credit decisions in taking or not taking action under this Agreement; (vi) such assignee appoints and authorizes the Administrative Agent and the Collateral Agent to take such action as agent on its behalf and to exercise such powers under this Agreement and the other Loan Documents as are delegated to the Administrative Agent and the Collateral Agent, respectively, by the terms hereof or thereof, together with such powers as are reasonably incidental or related thereto; and (vii) such assignee agrees that it will perform in accordance with their terms all the obligations which by the terms of this Agreement are required to be performed by it as a Lender.</w:t>
      </w:r>
    </w:p>
    <w:p>
      <w:pPr>
        <w:spacing w:after="0" w:line="149" w:lineRule="exact"/>
        <w:rPr>
          <w:rFonts w:ascii="Arial" w:cs="Arial" w:eastAsia="Arial" w:hAnsi="Arial"/>
          <w:sz w:val="18"/>
          <w:szCs w:val="18"/>
          <w:color w:val="auto"/>
        </w:rPr>
      </w:pPr>
    </w:p>
    <w:p>
      <w:pPr>
        <w:jc w:val="both"/>
        <w:ind w:firstLine="605"/>
        <w:spacing w:after="0" w:line="284" w:lineRule="auto"/>
        <w:tabs>
          <w:tab w:leader="none" w:pos="101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a copy of each Assignment and Acceptance delivered to it and a register for the recordation of the names and addresses of the Lenders, and the Commitment of, and principal amount of and the interest on the Loans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and, as to entries pertaining to it, any Lender, at any reasonable time and from time to time upon reasonable prior written notice. Upon reasonable request by a Lender, the Administrative Agent shall make available to such Lender a schedule of Disqualified Lenders, to the extent the Borrower has provided such a schedule to the Administrative Agent. This </w:t>
      </w:r>
      <w:r>
        <w:rPr>
          <w:rFonts w:ascii="Arial" w:cs="Arial" w:eastAsia="Arial" w:hAnsi="Arial"/>
          <w:sz w:val="18"/>
          <w:szCs w:val="18"/>
          <w:u w:val="single" w:color="auto"/>
          <w:color w:val="auto"/>
        </w:rPr>
        <w:t>Section 10.04(d)</w:t>
      </w:r>
      <w:r>
        <w:rPr>
          <w:rFonts w:ascii="Arial" w:cs="Arial" w:eastAsia="Arial" w:hAnsi="Arial"/>
          <w:sz w:val="18"/>
          <w:szCs w:val="18"/>
          <w:color w:val="auto"/>
        </w:rPr>
        <w:t xml:space="preserve"> shall be construed so that all Loans are at all times maintained in “registered form” within the meaning of Section 163(f), 871(h)(2) and 881(c)(2) of the Code and any related Treasury regulations (or any other relevant or successor provisions of the Code or of such Treasury regulations).</w:t>
      </w:r>
    </w:p>
    <w:p>
      <w:pPr>
        <w:spacing w:after="0" w:line="149" w:lineRule="exact"/>
        <w:rPr>
          <w:rFonts w:ascii="Arial" w:cs="Arial" w:eastAsia="Arial" w:hAnsi="Arial"/>
          <w:sz w:val="18"/>
          <w:szCs w:val="18"/>
          <w:color w:val="auto"/>
        </w:rPr>
      </w:pPr>
    </w:p>
    <w:p>
      <w:pPr>
        <w:jc w:val="both"/>
        <w:ind w:firstLine="605"/>
        <w:spacing w:after="0" w:line="256" w:lineRule="auto"/>
        <w:tabs>
          <w:tab w:leader="none" w:pos="108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Upon its receipt of, and consent to,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and, if required, the Borrower, to such assignment, and “know your customer” information requested by the Administrative Agent, and any applicable tax forms (including such documentation required under </w:t>
      </w:r>
      <w:r>
        <w:rPr>
          <w:rFonts w:ascii="Arial" w:cs="Arial" w:eastAsia="Arial" w:hAnsi="Arial"/>
          <w:sz w:val="20"/>
          <w:szCs w:val="20"/>
          <w:u w:val="single" w:color="auto"/>
          <w:color w:val="auto"/>
        </w:rPr>
        <w:t>Section 3.01(d)</w:t>
      </w:r>
      <w:r>
        <w:rPr>
          <w:rFonts w:ascii="Arial" w:cs="Arial" w:eastAsia="Arial" w:hAnsi="Arial"/>
          <w:sz w:val="20"/>
          <w:szCs w:val="20"/>
          <w:color w:val="auto"/>
        </w:rPr>
        <w:t>), the Administrative Agent shall promptly (i) accept such Assignment and Acceptance and (ii) record the information contained therein in the Register. No assignment shall be effective unless it has been recorded in the Register as provided in this paragraph (e).</w:t>
      </w:r>
    </w:p>
    <w:p>
      <w:pPr>
        <w:spacing w:after="0" w:line="170" w:lineRule="exact"/>
        <w:rPr>
          <w:rFonts w:ascii="Arial" w:cs="Arial" w:eastAsia="Arial" w:hAnsi="Arial"/>
          <w:sz w:val="20"/>
          <w:szCs w:val="20"/>
          <w:color w:val="auto"/>
        </w:rPr>
      </w:pPr>
    </w:p>
    <w:p>
      <w:pPr>
        <w:jc w:val="both"/>
        <w:ind w:firstLine="605"/>
        <w:spacing w:after="0" w:line="281" w:lineRule="auto"/>
        <w:tabs>
          <w:tab w:leader="none" w:pos="102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Each Lender may without the consent of the Borrower or the Administrative Agent sell participations to one or more banks or other Persons (other than Disqualified Lenders) in all or a portion of its rights and obligations under this Agreement (including all or a portion of its Commitment and the Loans owing to it);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(iii) the participating banks or other Persons shall be entitled to the benefit of the cost protection provisions contained in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shall be delivered to the participating Lender)) to the same extent as if they were Lenders (but with respect to any particular participant, to no greater extent than the Lender that sold the participation to such participant and only if such participant has complied with the requirements of such provisions as if it were a Lender) and (iv) the Borrower, the Administrative Agent and the Lenders shall continue to deal solely and directly with such Lender in connection with such Lender’s rights and obligations under this Agreement, and such Lender shall retain the sole right to enforce the obligations of the Borrower relating to the Loans and to approve any amendment, modification or waiver of (or consent under) any provision of this Agreement or any other Loan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agreement or instrument pursuant to which such Lender has sold a participation may provide that such Lender shall not agree to the following amendments without the consent of such participating bank or Person hereunder: amendments, modifications or waivers decreasing any fees payable to such participating bank or Person hereunder or the amount of principal of or the rate at which interest is payable on the Loans in which such participating bank has an interest; extending any scheduled principal payment date or scheduled date fixed for the payment of interest on the Loans in which such participating bank or Person has an interest; increasing or extending the Commitments in which such participating bank or Person has an interest; releasing all or substantially all of the Guarantors (other than in connection with the sale of any such Guarantor in a transaction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releasing all or substantially all of the Collateral or the Term Priority Collateral or reductions in the voting thresholds; or modifying the pro rata requirements of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2.13(c)</w:t>
      </w:r>
    </w:p>
    <w:p>
      <w:pPr>
        <w:sectPr>
          <w:pgSz w:w="11900" w:h="16838" w:orient="portrait"/>
          <w:cols w:equalWidth="0" w:num="1">
            <w:col w:w="11420"/>
          </w:cols>
          <w:pgMar w:left="240" w:top="131" w:right="239" w:bottom="0" w:gutter="0" w:footer="0" w:header="0"/>
        </w:sectPr>
      </w:pPr>
    </w:p>
    <w:bookmarkStart w:id="117" w:name="page118"/>
    <w:bookmarkEnd w:id="117"/>
    <w:p>
      <w:pPr>
        <w:jc w:val="both"/>
        <w:spacing w:after="0" w:line="280" w:lineRule="auto"/>
        <w:rPr>
          <w:sz w:val="20"/>
          <w:szCs w:val="20"/>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 each case, which directly and adversely affects such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notwithstanding the foregoing, only the consent of the Required Lenders shall be required in respect of any amendment, modification or waiver of (i) the payment of default interest, (ii) the occurrence of a default or an Event of Default, (iii) the mandatory prepayment requirements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(iv) the payment or receipt of the fee or premium pursuant to </w:t>
      </w:r>
      <w:r>
        <w:rPr>
          <w:rFonts w:ascii="Arial" w:cs="Arial" w:eastAsia="Arial" w:hAnsi="Arial"/>
          <w:sz w:val="18"/>
          <w:szCs w:val="18"/>
          <w:u w:val="single" w:color="auto"/>
          <w:color w:val="auto"/>
        </w:rPr>
        <w:t>Section 2.12(d</w:t>
      </w:r>
      <w:r>
        <w:rPr>
          <w:rFonts w:ascii="Arial" w:cs="Arial" w:eastAsia="Arial" w:hAnsi="Arial"/>
          <w:sz w:val="18"/>
          <w:szCs w:val="18"/>
          <w:color w:val="auto"/>
        </w:rPr>
        <w:t xml:space="preserve">)). To the extent permitted by law, each participating bank or other Person also shall be entitled to the benefits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participating bank or other Person agrees to be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as though it were a Lender. Each Lender that sells a participation or exercises its option under section 10.04(i) with respect to an SPV shall, acting solely for this purpose as a non-fiduciary agent of the Borrower, maintain a register on which it enters the name and address of each participant and SPV (other than any SPV that is treated as a disregarded entity of the Granting Lender for U.S. federal income tax purposes) and the principal amounts (and interest thereon) of each participant’s interest in the Loans or other Obligations under this Agreement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SPV or any information relating to a Participant’s or a SPV’s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United States Treasury Regulations Section 5f.103-1(c) and proposed United States Treasury Regulations Section 1.163-5(b) (or any amended or successor version). The entries in the Participant Register shall be conclusive absent manifest error, and the Borrower, the Lenders and each Agent shall treat each Person whose name is recorded in the Participant Register as the owner of such participation for all purposes of this Agreement, notwithstanding notice to the contrary.</w:t>
      </w:r>
    </w:p>
    <w:p>
      <w:pPr>
        <w:spacing w:after="0" w:line="161" w:lineRule="exact"/>
        <w:rPr>
          <w:sz w:val="20"/>
          <w:szCs w:val="20"/>
          <w:color w:val="auto"/>
        </w:rPr>
      </w:pPr>
    </w:p>
    <w:p>
      <w:pPr>
        <w:jc w:val="both"/>
        <w:ind w:firstLine="605"/>
        <w:spacing w:after="0" w:line="272" w:lineRule="auto"/>
        <w:tabs>
          <w:tab w:leader="none" w:pos="1107" w:val="left"/>
        </w:tabs>
        <w:numPr>
          <w:ilvl w:val="1"/>
          <w:numId w:val="162"/>
        </w:numPr>
        <w:rPr>
          <w:rFonts w:ascii="Arial" w:cs="Arial" w:eastAsia="Arial" w:hAnsi="Arial"/>
          <w:sz w:val="19"/>
          <w:szCs w:val="19"/>
          <w:color w:val="auto"/>
        </w:rPr>
      </w:pPr>
      <w:r>
        <w:rPr>
          <w:rFonts w:ascii="Arial" w:cs="Arial" w:eastAsia="Arial" w:hAnsi="Arial"/>
          <w:sz w:val="19"/>
          <w:szCs w:val="19"/>
          <w:color w:val="auto"/>
        </w:rPr>
        <w:t xml:space="preserve">Any Lender or participant may, in connection with any assignment or participation or proposed assignment or participation pursuant to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disclose to the assignee or participant or proposed assignee or participant any information relating to the Borrower furnished to such Lender by or on behalf of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during the arrangement by the Required Lenders when customary confidentiality arrangements shall apply), prior to any such disclosure of Information, each such assignee or participant or proposed assignee or participant shall execute an agreement whereby such assignee or participant shall agree to preserve the confidentiality of such confidential information on terms no less restrictive in any material respect than those applicable to the Lenders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10.16</w:t>
      </w:r>
      <w:r>
        <w:rPr>
          <w:rFonts w:ascii="Arial" w:cs="Arial" w:eastAsia="Arial" w:hAnsi="Arial"/>
          <w:sz w:val="19"/>
          <w:szCs w:val="19"/>
          <w:color w:val="auto"/>
        </w:rPr>
        <w:t xml:space="preserve"> for the benefit of (and enforceable by) the Borrower.</w:t>
      </w:r>
    </w:p>
    <w:p>
      <w:pPr>
        <w:spacing w:after="0" w:line="154" w:lineRule="exact"/>
        <w:rPr>
          <w:rFonts w:ascii="Arial" w:cs="Arial" w:eastAsia="Arial" w:hAnsi="Arial"/>
          <w:sz w:val="19"/>
          <w:szCs w:val="19"/>
          <w:color w:val="auto"/>
        </w:rPr>
      </w:pPr>
    </w:p>
    <w:p>
      <w:pPr>
        <w:jc w:val="both"/>
        <w:ind w:firstLine="605"/>
        <w:spacing w:after="0" w:line="270" w:lineRule="auto"/>
        <w:tabs>
          <w:tab w:leader="none" w:pos="1044" w:val="left"/>
        </w:tabs>
        <w:numPr>
          <w:ilvl w:val="1"/>
          <w:numId w:val="162"/>
        </w:numPr>
        <w:rPr>
          <w:rFonts w:ascii="Arial" w:cs="Arial" w:eastAsia="Arial" w:hAnsi="Arial"/>
          <w:sz w:val="20"/>
          <w:szCs w:val="20"/>
          <w:color w:val="auto"/>
        </w:rPr>
      </w:pPr>
      <w:r>
        <w:rPr>
          <w:rFonts w:ascii="Arial" w:cs="Arial" w:eastAsia="Arial" w:hAnsi="Arial"/>
          <w:sz w:val="20"/>
          <w:szCs w:val="20"/>
          <w:color w:val="auto"/>
        </w:rPr>
        <w:t xml:space="preserve">Any Lender may at any time assign all or any portion of its rights under this Agreement to secure extensions of credit to such Lender or in support of obligations owed by such Lender;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assignment shall release a Lender from any of its obligations hereunder or substitute any such assignee for such Lender as a party hereto.</w:t>
      </w:r>
    </w:p>
    <w:p>
      <w:pPr>
        <w:spacing w:after="0" w:line="151" w:lineRule="exact"/>
        <w:rPr>
          <w:rFonts w:ascii="Arial" w:cs="Arial" w:eastAsia="Arial" w:hAnsi="Arial"/>
          <w:sz w:val="20"/>
          <w:szCs w:val="20"/>
          <w:color w:val="auto"/>
        </w:rPr>
      </w:pPr>
    </w:p>
    <w:p>
      <w:pPr>
        <w:jc w:val="both"/>
        <w:ind w:firstLine="605"/>
        <w:spacing w:after="0" w:line="287" w:lineRule="auto"/>
        <w:tabs>
          <w:tab w:leader="none" w:pos="101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any Lender (a “</w:t>
      </w:r>
      <w:r>
        <w:rPr>
          <w:rFonts w:ascii="Arial" w:cs="Arial" w:eastAsia="Arial" w:hAnsi="Arial"/>
          <w:sz w:val="18"/>
          <w:szCs w:val="18"/>
          <w:b w:val="1"/>
          <w:bCs w:val="1"/>
          <w:color w:val="auto"/>
        </w:rPr>
        <w:t>Granting Lender</w:t>
      </w:r>
      <w:r>
        <w:rPr>
          <w:rFonts w:ascii="Arial" w:cs="Arial" w:eastAsia="Arial" w:hAnsi="Arial"/>
          <w:sz w:val="18"/>
          <w:szCs w:val="18"/>
          <w:color w:val="auto"/>
        </w:rPr>
        <w:t>”) may grant to a special purpose funding vehicle (an “</w:t>
      </w:r>
      <w:r>
        <w:rPr>
          <w:rFonts w:ascii="Arial" w:cs="Arial" w:eastAsia="Arial" w:hAnsi="Arial"/>
          <w:sz w:val="18"/>
          <w:szCs w:val="18"/>
          <w:b w:val="1"/>
          <w:bCs w:val="1"/>
          <w:color w:val="auto"/>
        </w:rPr>
        <w:t>SPV</w:t>
      </w:r>
      <w:r>
        <w:rPr>
          <w:rFonts w:ascii="Arial" w:cs="Arial" w:eastAsia="Arial" w:hAnsi="Arial"/>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nothing herein shall constitute a commitment by any SPV to make any Loan,</w:t>
      </w:r>
    </w:p>
    <w:p>
      <w:pPr>
        <w:jc w:val="both"/>
        <w:ind w:firstLine="1"/>
        <w:spacing w:after="0" w:line="280" w:lineRule="auto"/>
        <w:tabs>
          <w:tab w:leader="none" w:pos="32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if an SPV elects not to exercise such option or otherwise fails to provide all or any part of such Loan, the Granting Lender shall be obligated to make such Loan pursuant to the terms hereof, and (iii) the Granting Lender shall for all purposes remain the Lender hereunder.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8"/>
          <w:szCs w:val="18"/>
          <w:u w:val="single" w:color="auto"/>
          <w:color w:val="auto"/>
        </w:rPr>
        <w:t>Section 10.04</w:t>
      </w:r>
      <w:r>
        <w:rPr>
          <w:rFonts w:ascii="Arial" w:cs="Arial" w:eastAsia="Arial" w:hAnsi="Arial"/>
          <w:sz w:val="18"/>
          <w:szCs w:val="18"/>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150" w:lineRule="exact"/>
        <w:rPr>
          <w:rFonts w:ascii="Arial" w:cs="Arial" w:eastAsia="Arial" w:hAnsi="Arial"/>
          <w:sz w:val="18"/>
          <w:szCs w:val="18"/>
          <w:color w:val="auto"/>
        </w:rPr>
      </w:pPr>
    </w:p>
    <w:p>
      <w:pPr>
        <w:jc w:val="both"/>
        <w:ind w:firstLine="605"/>
        <w:spacing w:after="0" w:line="270" w:lineRule="auto"/>
        <w:tabs>
          <w:tab w:leader="none" w:pos="1025" w:val="left"/>
        </w:tabs>
        <w:numPr>
          <w:ilvl w:val="1"/>
          <w:numId w:val="163"/>
        </w:numPr>
        <w:rPr>
          <w:rFonts w:ascii="Arial" w:cs="Arial" w:eastAsia="Arial" w:hAnsi="Arial"/>
          <w:sz w:val="20"/>
          <w:szCs w:val="20"/>
          <w:color w:val="auto"/>
        </w:rPr>
      </w:pPr>
      <w:r>
        <w:rPr>
          <w:rFonts w:ascii="Arial" w:cs="Arial" w:eastAsia="Arial" w:hAnsi="Arial"/>
          <w:sz w:val="20"/>
          <w:szCs w:val="20"/>
          <w:color w:val="auto"/>
        </w:rPr>
        <w:t xml:space="preserve">The Borrower (except as expressly permitted by clause (ii) of </w:t>
      </w:r>
      <w:r>
        <w:rPr>
          <w:rFonts w:ascii="Arial" w:cs="Arial" w:eastAsia="Arial" w:hAnsi="Arial"/>
          <w:sz w:val="20"/>
          <w:szCs w:val="20"/>
          <w:u w:val="single" w:color="auto"/>
          <w:color w:val="auto"/>
        </w:rPr>
        <w:t>Section 7.04(d)</w:t>
      </w:r>
      <w:r>
        <w:rPr>
          <w:rFonts w:ascii="Arial" w:cs="Arial" w:eastAsia="Arial" w:hAnsi="Arial"/>
          <w:sz w:val="20"/>
          <w:szCs w:val="20"/>
          <w:color w:val="auto"/>
        </w:rPr>
        <w:t>) shall not assign or delegate any of its rights or duties hereunder without the prior written consent of the Administrative Agent and each Lender, and any attempted assignment without such consent shall be null and void.</w:t>
      </w:r>
    </w:p>
    <w:p>
      <w:pPr>
        <w:spacing w:after="0" w:line="155" w:lineRule="exact"/>
        <w:rPr>
          <w:rFonts w:ascii="Arial" w:cs="Arial" w:eastAsia="Arial" w:hAnsi="Arial"/>
          <w:sz w:val="20"/>
          <w:szCs w:val="20"/>
          <w:color w:val="auto"/>
        </w:rPr>
      </w:pPr>
    </w:p>
    <w:p>
      <w:pPr>
        <w:jc w:val="both"/>
        <w:ind w:firstLine="605"/>
        <w:spacing w:after="0" w:line="270" w:lineRule="auto"/>
        <w:tabs>
          <w:tab w:leader="none" w:pos="103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So long as no Event of Default has occurred or is continuing or would result therefrom, any Lender may, at any time, assign all or a portion of its rights and obligations under this Agreement in respect of its Term Loans to the Borrower or any of its Subsidiaries, subject to the following limitations and other provisions:</w:t>
      </w:r>
    </w:p>
    <w:p>
      <w:pPr>
        <w:spacing w:after="0" w:line="155" w:lineRule="exact"/>
        <w:rPr>
          <w:rFonts w:ascii="Arial" w:cs="Arial" w:eastAsia="Arial" w:hAnsi="Arial"/>
          <w:sz w:val="20"/>
          <w:szCs w:val="20"/>
          <w:color w:val="auto"/>
        </w:rPr>
      </w:pPr>
    </w:p>
    <w:p>
      <w:pPr>
        <w:jc w:val="both"/>
        <w:ind w:left="600" w:firstLine="609"/>
        <w:spacing w:after="0" w:line="257" w:lineRule="auto"/>
        <w:tabs>
          <w:tab w:leader="none" w:pos="1562" w:val="left"/>
        </w:tabs>
        <w:numPr>
          <w:ilvl w:val="2"/>
          <w:numId w:val="163"/>
        </w:numPr>
        <w:rPr>
          <w:rFonts w:ascii="Arial" w:cs="Arial" w:eastAsia="Arial" w:hAnsi="Arial"/>
          <w:sz w:val="20"/>
          <w:szCs w:val="20"/>
          <w:color w:val="auto"/>
        </w:rPr>
      </w:pPr>
      <w:r>
        <w:rPr>
          <w:rFonts w:ascii="Arial" w:cs="Arial" w:eastAsia="Arial" w:hAnsi="Arial"/>
          <w:sz w:val="20"/>
          <w:szCs w:val="20"/>
          <w:color w:val="auto"/>
        </w:rPr>
        <w:t>such assignment shall be made pursuant to (A) an open-market transaction on a non-pro rata basis or (B) a Dutch Auction open to all Lenders of the applicable Class of Term Loans on a pro rata basis in accordance with the Auction Procedures (it being agreed that none of the Borrower or any other Restricted Subsidiary shall have any obligation to make any representation as to the absence of MNPI in connection therewith and such assignment shall be made pursuant to the form of Assignment and Acceptance, which shall contain customary “big boy” assurance by the assignor Lender to the effect that it is a sophisticated investor and is willing to proceed with the assignment);</w:t>
      </w:r>
    </w:p>
    <w:p>
      <w:pPr>
        <w:spacing w:after="0" w:line="170" w:lineRule="exact"/>
        <w:rPr>
          <w:rFonts w:ascii="Arial" w:cs="Arial" w:eastAsia="Arial" w:hAnsi="Arial"/>
          <w:sz w:val="20"/>
          <w:szCs w:val="20"/>
          <w:color w:val="auto"/>
        </w:rPr>
      </w:pPr>
    </w:p>
    <w:p>
      <w:pPr>
        <w:jc w:val="both"/>
        <w:ind w:left="600" w:firstLine="609"/>
        <w:spacing w:after="0" w:line="270" w:lineRule="auto"/>
        <w:tabs>
          <w:tab w:leader="none" w:pos="1769" w:val="left"/>
        </w:tabs>
        <w:numPr>
          <w:ilvl w:val="2"/>
          <w:numId w:val="163"/>
        </w:numPr>
        <w:rPr>
          <w:rFonts w:ascii="Arial" w:cs="Arial" w:eastAsia="Arial" w:hAnsi="Arial"/>
          <w:sz w:val="20"/>
          <w:szCs w:val="20"/>
          <w:color w:val="auto"/>
        </w:rPr>
      </w:pPr>
      <w:r>
        <w:rPr>
          <w:rFonts w:ascii="Arial" w:cs="Arial" w:eastAsia="Arial" w:hAnsi="Arial"/>
          <w:sz w:val="20"/>
          <w:szCs w:val="20"/>
          <w:color w:val="auto"/>
        </w:rPr>
        <w:t>the Borrower will not be entitled to receive, and will not receive, information provided solely to Lenders by the Administrative Agent or any Lender and will not be permitted to attend or participate in, and will not attend or participate in, meetings or conference calls attended solely by the Lenders and the Administrative Agent;</w:t>
      </w:r>
    </w:p>
    <w:p>
      <w:pPr>
        <w:spacing w:after="0" w:line="155" w:lineRule="exact"/>
        <w:rPr>
          <w:rFonts w:ascii="Arial" w:cs="Arial" w:eastAsia="Arial" w:hAnsi="Arial"/>
          <w:sz w:val="20"/>
          <w:szCs w:val="20"/>
          <w:color w:val="auto"/>
        </w:rPr>
      </w:pPr>
    </w:p>
    <w:p>
      <w:pPr>
        <w:ind w:left="1680" w:hanging="471"/>
        <w:spacing w:after="0"/>
        <w:tabs>
          <w:tab w:leader="none" w:pos="1680" w:val="left"/>
        </w:tabs>
        <w:numPr>
          <w:ilvl w:val="2"/>
          <w:numId w:val="163"/>
        </w:numPr>
        <w:rPr>
          <w:rFonts w:ascii="Arial" w:cs="Arial" w:eastAsia="Arial" w:hAnsi="Arial"/>
          <w:sz w:val="20"/>
          <w:szCs w:val="20"/>
          <w:color w:val="auto"/>
        </w:rPr>
      </w:pPr>
      <w:r>
        <w:rPr>
          <w:rFonts w:ascii="Arial" w:cs="Arial" w:eastAsia="Arial" w:hAnsi="Arial"/>
          <w:sz w:val="20"/>
          <w:szCs w:val="20"/>
          <w:color w:val="auto"/>
        </w:rPr>
        <w:t>[reserved];</w:t>
      </w:r>
    </w:p>
    <w:p>
      <w:pPr>
        <w:sectPr>
          <w:pgSz w:w="11900" w:h="16838" w:orient="portrait"/>
          <w:cols w:equalWidth="0" w:num="1">
            <w:col w:w="11420"/>
          </w:cols>
          <w:pgMar w:left="240" w:top="131" w:right="239" w:bottom="0" w:gutter="0" w:footer="0" w:header="0"/>
        </w:sectPr>
      </w:pPr>
    </w:p>
    <w:bookmarkStart w:id="118" w:name="page119"/>
    <w:bookmarkEnd w:id="118"/>
    <w:p>
      <w:pPr>
        <w:jc w:val="both"/>
        <w:ind w:firstLine="609"/>
        <w:spacing w:after="0" w:line="270" w:lineRule="auto"/>
        <w:tabs>
          <w:tab w:leader="none" w:pos="118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aggregate principal amount of Term Loans purchased by the Borrower may not exceed 20% of the aggregate principal amount of all Tranche B-2 Term Loans as of the Restatement Effective Date plus the aggregate amount of all Credit Agreement Refinancing Indebtedness incurred after the Restatement Effective Date;</w:t>
      </w:r>
    </w:p>
    <w:p>
      <w:pPr>
        <w:spacing w:after="0" w:line="155" w:lineRule="exact"/>
        <w:rPr>
          <w:rFonts w:ascii="Arial" w:cs="Arial" w:eastAsia="Arial" w:hAnsi="Arial"/>
          <w:sz w:val="20"/>
          <w:szCs w:val="20"/>
          <w:color w:val="auto"/>
        </w:rPr>
      </w:pPr>
    </w:p>
    <w:p>
      <w:pPr>
        <w:ind w:firstLine="609"/>
        <w:spacing w:after="0" w:line="291" w:lineRule="auto"/>
        <w:tabs>
          <w:tab w:leader="none" w:pos="117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any Term Loans purchased by the Borrower shall be automatically and permanently cancelled immediately upon acquisition by the Borrower;</w:t>
      </w:r>
    </w:p>
    <w:p>
      <w:pPr>
        <w:spacing w:after="0" w:line="134" w:lineRule="exact"/>
        <w:rPr>
          <w:rFonts w:ascii="Arial" w:cs="Arial" w:eastAsia="Arial" w:hAnsi="Arial"/>
          <w:sz w:val="20"/>
          <w:szCs w:val="20"/>
          <w:color w:val="auto"/>
        </w:rPr>
      </w:pPr>
    </w:p>
    <w:p>
      <w:pPr>
        <w:ind w:right="160" w:firstLine="609"/>
        <w:spacing w:after="0" w:line="263" w:lineRule="auto"/>
        <w:tabs>
          <w:tab w:leader="none" w:pos="106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(including in the definitions of “Consolidated Net Income” and “Consolidated EBITDA”) any non-cash gains in respect of “cancellation of indebtedness” resulting from the cancellation of any Term Loans purchased by the Borrower shall be excluded from the determination of Consolidated Net Income and Consolidated EBITDA; and</w:t>
      </w:r>
    </w:p>
    <w:p>
      <w:pPr>
        <w:spacing w:after="0" w:line="162" w:lineRule="exact"/>
        <w:rPr>
          <w:rFonts w:ascii="Arial" w:cs="Arial" w:eastAsia="Arial" w:hAnsi="Arial"/>
          <w:sz w:val="20"/>
          <w:szCs w:val="20"/>
          <w:color w:val="auto"/>
        </w:rPr>
      </w:pPr>
    </w:p>
    <w:p>
      <w:pPr>
        <w:ind w:right="660" w:firstLine="609"/>
        <w:spacing w:after="0" w:line="291" w:lineRule="auto"/>
        <w:tabs>
          <w:tab w:leader="none" w:pos="111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the purchase and cancellation of Term Loans pursuant to this </w:t>
      </w:r>
      <w:r>
        <w:rPr>
          <w:rFonts w:ascii="Arial" w:cs="Arial" w:eastAsia="Arial" w:hAnsi="Arial"/>
          <w:sz w:val="20"/>
          <w:szCs w:val="20"/>
          <w:u w:val="single" w:color="auto"/>
          <w:color w:val="auto"/>
        </w:rPr>
        <w:t>Section 10.04(k)</w:t>
      </w:r>
      <w:r>
        <w:rPr>
          <w:rFonts w:ascii="Arial" w:cs="Arial" w:eastAsia="Arial" w:hAnsi="Arial"/>
          <w:sz w:val="20"/>
          <w:szCs w:val="20"/>
          <w:color w:val="auto"/>
        </w:rPr>
        <w:t xml:space="preserve"> shall not constitute a voluntary or mandatory prepayment for purposes of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2.13</w:t>
      </w:r>
      <w:r>
        <w:rPr>
          <w:rFonts w:ascii="Arial" w:cs="Arial" w:eastAsia="Arial" w:hAnsi="Arial"/>
          <w:sz w:val="20"/>
          <w:szCs w:val="20"/>
          <w:color w:val="auto"/>
        </w:rPr>
        <w:t>.</w:t>
      </w:r>
    </w:p>
    <w:p>
      <w:pPr>
        <w:spacing w:after="0" w:line="13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Section 10.05.</w:t>
      </w:r>
      <w:r>
        <w:rPr>
          <w:sz w:val="20"/>
          <w:szCs w:val="20"/>
          <w:color w:val="auto"/>
        </w:rPr>
        <w:tab/>
      </w:r>
      <w:r>
        <w:rPr>
          <w:rFonts w:ascii="Arial" w:cs="Arial" w:eastAsia="Arial" w:hAnsi="Arial"/>
          <w:sz w:val="17"/>
          <w:szCs w:val="17"/>
          <w:i w:val="1"/>
          <w:iCs w:val="1"/>
          <w:color w:val="auto"/>
        </w:rPr>
        <w:t>Expenses; Indemnity</w:t>
      </w:r>
      <w:r>
        <w:rPr>
          <w:rFonts w:ascii="Arial" w:cs="Arial" w:eastAsia="Arial" w:hAnsi="Arial"/>
          <w:sz w:val="17"/>
          <w:szCs w:val="17"/>
          <w:color w:val="auto"/>
        </w:rPr>
        <w:t>.</w:t>
      </w:r>
    </w:p>
    <w:p>
      <w:pPr>
        <w:spacing w:after="0" w:line="223" w:lineRule="exact"/>
        <w:rPr>
          <w:sz w:val="20"/>
          <w:szCs w:val="20"/>
          <w:color w:val="auto"/>
        </w:rPr>
      </w:pPr>
    </w:p>
    <w:p>
      <w:pPr>
        <w:jc w:val="both"/>
        <w:ind w:left="-600" w:firstLine="605"/>
        <w:spacing w:after="0" w:line="281" w:lineRule="auto"/>
        <w:tabs>
          <w:tab w:leader="none" w:pos="59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agrees (i) promptly following (and in any event within thirty (30) days of) written demand (including documentation reasonably supporting such request) therefor, to pay or reimburse the Administrative Agent, the Collateral Agent and Apollo for all reasonable and documented out-of-pocket costs and expenses incurred in connection with the preparation, negotiation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Attorney Costs which shall be limited to Attorney Costs of one counsel to the Agents, and one counsel to the Lenders (and one local counsel in each applicable jurisdiction for each group and, in the event of any actual or reasonably perceived conflict of interest, one additional counsel of each type to similarly situated parties)) and (ii) from and after the Restatement Effective Date, promptly following (and in any event within thirty (30) days of) written demand (including documentation reasonably supporting such request) therefor, to pay or reimburse the Administrative Agent, the Collateral Agent, Apollo and each Lender promptly following written demand for all reasonable and documented out-of-pocket costs and expenses incurred in connection with the enforcement (whether through negotiations, legal proceedings or otherwise) of any rights or remedies under this Agreement or the other Loan Documents (including all such out-of-pocket costs and expenses incurred during any legal proceeding, including any proceeding under any Debtor Relief Law, and including all respective Attorney Costs which shall be limited to Attorney Costs of one counsel to the Agents and one counsel to the Lenders (and one local counsel in each applicable jurisdiction for each group and, in the event of any actual or reasonably perceived conflict of interest, one additional counsel of each type to similarly situated parties)). To the extent otherwise reimbursable by the foregoing sentence of this section, the foregoing costs and expenses shall include all reasonable search, filing, recording, title insurance, survey, environmental, property condition report and zoning report charges and fees related thereto, and other reasonable and documented out of pocket expenses incurred by any Agent. The foregoing costs and expenses shall also include all mortgage recording, recording and filing fees charged by governmental authorities to record and/or file Collateral Documents.</w:t>
      </w:r>
    </w:p>
    <w:p>
      <w:pPr>
        <w:spacing w:after="0" w:line="149" w:lineRule="exact"/>
        <w:rPr>
          <w:rFonts w:ascii="Arial" w:cs="Arial" w:eastAsia="Arial" w:hAnsi="Arial"/>
          <w:sz w:val="18"/>
          <w:szCs w:val="18"/>
          <w:color w:val="auto"/>
        </w:rPr>
      </w:pPr>
    </w:p>
    <w:p>
      <w:pPr>
        <w:jc w:val="both"/>
        <w:ind w:left="-600" w:firstLine="605"/>
        <w:spacing w:after="0" w:line="279" w:lineRule="auto"/>
        <w:tabs>
          <w:tab w:leader="none" w:pos="4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Whether or not the transactions contemplated hereby are consummated, the Loan Parties shall, jointly and severally, indemnify and hold harmless the Administrative Agent, the Collateral Agent and their respective Affiliates, successors and permitted assigns (or the directors, officers, employees, agents, advisors and members of each of the foregoing) (each an “</w:t>
      </w:r>
      <w:r>
        <w:rPr>
          <w:rFonts w:ascii="Arial" w:cs="Arial" w:eastAsia="Arial" w:hAnsi="Arial"/>
          <w:sz w:val="18"/>
          <w:szCs w:val="18"/>
          <w:b w:val="1"/>
          <w:bCs w:val="1"/>
          <w:color w:val="auto"/>
        </w:rPr>
        <w:t>Agent Indemnitee</w:t>
      </w:r>
      <w:r>
        <w:rPr>
          <w:rFonts w:ascii="Arial" w:cs="Arial" w:eastAsia="Arial" w:hAnsi="Arial"/>
          <w:sz w:val="18"/>
          <w:szCs w:val="18"/>
          <w:color w:val="auto"/>
        </w:rPr>
        <w:t>” and collectively, the “</w:t>
      </w:r>
      <w:r>
        <w:rPr>
          <w:rFonts w:ascii="Arial" w:cs="Arial" w:eastAsia="Arial" w:hAnsi="Arial"/>
          <w:sz w:val="18"/>
          <w:szCs w:val="18"/>
          <w:b w:val="1"/>
          <w:bCs w:val="1"/>
          <w:color w:val="auto"/>
        </w:rPr>
        <w:t>Agent Indemnitees</w:t>
      </w:r>
      <w:r>
        <w:rPr>
          <w:rFonts w:ascii="Arial" w:cs="Arial" w:eastAsia="Arial" w:hAnsi="Arial"/>
          <w:sz w:val="18"/>
          <w:szCs w:val="18"/>
          <w:color w:val="auto"/>
        </w:rPr>
        <w:t>”) and each Lender and their respective Affiliates, successors and permitted assigns (or the directors, officers, employees, agents, advisors and members of each of the foregoing) (each a “</w:t>
      </w:r>
      <w:r>
        <w:rPr>
          <w:rFonts w:ascii="Arial" w:cs="Arial" w:eastAsia="Arial" w:hAnsi="Arial"/>
          <w:sz w:val="18"/>
          <w:szCs w:val="18"/>
          <w:b w:val="1"/>
          <w:bCs w:val="1"/>
          <w:color w:val="auto"/>
        </w:rPr>
        <w:t>Lender Indemnitee</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Indemnitees</w:t>
      </w:r>
      <w:r>
        <w:rPr>
          <w:rFonts w:ascii="Arial" w:cs="Arial" w:eastAsia="Arial" w:hAnsi="Arial"/>
          <w:sz w:val="18"/>
          <w:szCs w:val="18"/>
          <w:color w:val="auto"/>
        </w:rPr>
        <w:t>”; together with, the Agent Indemnitees, collectively the “</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actual losses,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claims, liabilities and reasonable documented out-of-pocket costs and expenses (including Attorney Costs which shall be limited to Attorney Costs of one outside counsel for the Agent Indemnitees and Attorney Costs of one outside counsel for the Lender Indemnitees (and, if necessary, one local counsel in each applicable jurisdiction and, in the event of any actual or reasonably perceived conflict of interest, one additional counsel for each type of similarly situated affected Indemnitees)) of any kind or nature whatsoever which may at any time be imposed on, incurred by or asserted against any Agent Indemnitee or Lender Indemnitee in any way relating to or arising out of or in connection with (i) the execution, delivery, enforcement, performance or administration of any Loan Document or any other agreement, letter or instrument delivered in connection with the transactions contemplated thereby or the consummation of the Transactions or the other transactions contemplated thereby, (ii) any Commitment or Loan or the use or proposed use of the proceeds therefrom, (iii) any actual or alleged presence or Release of Hazardous Materials at, on, under or from any property, vehicle or facility currently or formerly owned, leased or operated by the Loan Parties or any Subsidiary, or any other Environmental Liability related in any way to any Loan Parties or any Subsidiary,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Agent Indemnitee or Lender Indemnitee is a party thereto and regardless of whether such matter is initiated by a third party or by the Borrower or any of its Affiliates or equityholders in all cases, whether or not caused by or arising, in whole or in part, out of the negligence of any such Agent Indemnitee or Lender Indemnitee;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such indemnity shall not, as to any Indemnitee, be available to the extent that such losses, damages, claims, liabilities and expenses resulted from (x) the gross negligence, bad faith or willful misconduct of such Indemnitee or of any affiliate, director, officer, employee, counsel, agent or attorney-in-fact of such Indemnitee, as determined by the final non-appealable judgment of a court of competent jurisdiction, (y) any dispute solely among the Indemnitees other than (1) any claim against an Indemnitee in its capacity or in fulfilling its role as Administrative Agent, Collateral Agent or similar role and (2) any claim arising out of any act or omission of the Borrower or any of its Affiliates or (z) the material breach by such Indemnitee of its obligations under the Loan Documents (or any related party), as determined by the final non-appealable judgment of a court of competent jurisdiction. No Indemnitee or any other party hereto shall be liable for any damages arising from the use by others of any information or other materials obtained through IntraLinks or other similar information transmission systems in connection with this Agreement except to the extent that such damages resulted from the (A) gross negligence, bad faith or willful misconduct of such Indemnitee or of any affiliate, director, officer, employee, counsel, agent or attorney-in-fact of such</w:t>
      </w:r>
    </w:p>
    <w:p>
      <w:pPr>
        <w:sectPr>
          <w:pgSz w:w="11900" w:h="16838" w:orient="portrait"/>
          <w:cols w:equalWidth="0" w:num="1">
            <w:col w:w="10820"/>
          </w:cols>
          <w:pgMar w:left="840" w:top="131" w:right="239" w:bottom="0" w:gutter="0" w:footer="0" w:header="0"/>
        </w:sectPr>
      </w:pPr>
    </w:p>
    <w:bookmarkStart w:id="119" w:name="page120"/>
    <w:bookmarkEnd w:id="119"/>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Indemnitee, as determined by the final non-appealable judgment of a court of competent jurisdiction or (B) the material breach by such Indemnitee of its or of any affiliate, director, officer, employee, counsel, agent or attorney-in-fact of such Indemnitee’s obligations under the Loan Documents, as determined by the final non-appealable judgment of a court of competent jurisdiction. In the case of a claim, investigation, litigation or other proceeding to which the indemnity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applies, such indemnity shall be effective whether or not such claim, investigation, litigation or proceeding is brought by any Loan Party, any Subsidiary of any Loan Party, any Loan Party’s directors, stockholders or creditors or other Affiliates or an Indemnitee or any other Person, whether or not any Indemnitee is otherwise a party thereto and whether or not any of the transactions contemplated hereunder or under any of the other Loan Documents are consummated. For the avoidance of doubt, this paragraph shall not apply with respect to Taxes other than any Taxes that represent losses, claims, damages, etc. arising from any non-Tax claim. To the extent that any Loan Party fails to pay any amount required to be paid by them to the Administrative Agent or the Collateral Agent under paragraph (a) or (b) of this Section within the timeframe specified therein, each Lender severally agrees to indemnify and reimburse, and pay to the Administrative Agent or the Collateral Agent such Lender’s pro rata share (determined as of the time that the applicable unreimbursed expense or indemnity payment is sought) of such unpaid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the Collateral Agent in its capacity as such. For purposes hereof, if the Term Loans have been paid in full prior to such determination pursuant to the immediately preceding sentence, then each such Lender’s “pro rata share” shall be determined as of the last date the Term Loans were in effect immediately prior to such payment in full.</w:t>
      </w:r>
    </w:p>
    <w:p>
      <w:pPr>
        <w:spacing w:after="0" w:line="150" w:lineRule="exact"/>
        <w:rPr>
          <w:sz w:val="20"/>
          <w:szCs w:val="20"/>
          <w:color w:val="auto"/>
        </w:rPr>
      </w:pPr>
    </w:p>
    <w:p>
      <w:pPr>
        <w:jc w:val="both"/>
        <w:ind w:firstLine="605"/>
        <w:spacing w:after="0" w:line="273" w:lineRule="auto"/>
        <w:tabs>
          <w:tab w:leader="none" w:pos="110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(i) no Loan Party shall assert, and each hereby waives, any claim against any Indemnitee and (ii) no Indemnitee shall assert, and each hereby waives, any claim against any Loan Party,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the use of the proceeds thereof (whether before or after the Restatement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in no event limit the Borrower’s indemnification obligations under clause (b) above.</w:t>
      </w:r>
    </w:p>
    <w:p>
      <w:pPr>
        <w:spacing w:after="0" w:line="157" w:lineRule="exact"/>
        <w:rPr>
          <w:rFonts w:ascii="Arial" w:cs="Arial" w:eastAsia="Arial" w:hAnsi="Arial"/>
          <w:sz w:val="19"/>
          <w:szCs w:val="19"/>
          <w:color w:val="auto"/>
        </w:rPr>
      </w:pPr>
    </w:p>
    <w:p>
      <w:pPr>
        <w:jc w:val="both"/>
        <w:ind w:firstLine="605"/>
        <w:spacing w:after="0" w:line="276" w:lineRule="auto"/>
        <w:tabs>
          <w:tab w:leader="none" w:pos="100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 All amounts due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shall be payable within 30 days after written demand therefor (including documentation reasonably supporting such request).</w:t>
      </w:r>
    </w:p>
    <w:p>
      <w:pPr>
        <w:spacing w:after="0" w:line="153" w:lineRule="exact"/>
        <w:rPr>
          <w:sz w:val="20"/>
          <w:szCs w:val="20"/>
          <w:color w:val="auto"/>
        </w:rPr>
      </w:pPr>
    </w:p>
    <w:p>
      <w:pPr>
        <w:jc w:val="both"/>
        <w:ind w:firstLine="604"/>
        <w:spacing w:after="0" w:line="266"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i w:val="1"/>
          <w:iCs w:val="1"/>
          <w:color w:val="auto"/>
        </w:rPr>
        <w:t>Right of Setoff.</w:t>
      </w:r>
      <w:r>
        <w:rPr>
          <w:rFonts w:ascii="Arial" w:cs="Arial" w:eastAsia="Arial" w:hAnsi="Arial"/>
          <w:sz w:val="19"/>
          <w:szCs w:val="19"/>
          <w:color w:val="auto"/>
        </w:rPr>
        <w:t xml:space="preserve"> In addition to any rights and remedies of the Lenders provided by Law, upon the occurrence and during the continuance of any Event of Default, each Lender and its Affiliates (and the Agents, in respect of any unpaid fees, costs and expenses payable hereunder) is authorized at any time and from time to time (with the prior consent of the Administrative Agent), without prior notice to any Loan Party, any such notice being waived by each Loan Party (on its own behalf and on behalf of each of its Subsidiaries), to the fullest extent permitted by applicable Law, to set off and apply any and all deposits (general or special, time or demand, provisional or final) (other than payroll accounts, trust accounts, escrow accounts, employee benefits accounts or petty cash accounts) at any time held by, and other indebtedness at any time owing by, such Lender and its Affiliates or the Collateral Agent to or for the credit or the account of the respective Loan Parties against any and all matured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denominated in a currency different from that of the applicable deposit or Indebtedness. Each Lender agrees promptly to notify the Borrower and the Administrative Agent after any such set off and application made by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 The rights of the Administrative Agent, the Collateral Agent and each Lender under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are in addition to other rights and remedies (including other rights of setoff) that the Administrative Agent, the Collateral Agent and such Lender may have at Law.</w:t>
      </w:r>
    </w:p>
    <w:p>
      <w:pPr>
        <w:spacing w:after="0" w:line="168"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i w:val="1"/>
          <w:iCs w:val="1"/>
          <w:color w:val="auto"/>
        </w:rPr>
        <w:t>Applicable Law.</w:t>
      </w:r>
      <w:r>
        <w:rPr>
          <w:rFonts w:ascii="Arial" w:cs="Arial" w:eastAsia="Arial" w:hAnsi="Arial"/>
          <w:sz w:val="20"/>
          <w:szCs w:val="20"/>
          <w:color w:val="auto"/>
        </w:rPr>
        <w:t xml:space="preserve"> THIS AGREEMENT AND THE OTHER LOAN DOCUMENTS (OTHER THAN AS EXPRESSLY SET FORTH IN OTHER LOAN DOCUMENTS) SHALL BE CONSTRUED IN ACCORDANCE WITH AND GOVERNED BY THE LAWS OF THE STATE OF NEW YORK.</w:t>
      </w:r>
    </w:p>
    <w:p>
      <w:pPr>
        <w:spacing w:after="0" w:line="155"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10.08.</w:t>
      </w:r>
      <w:r>
        <w:rPr>
          <w:sz w:val="20"/>
          <w:szCs w:val="20"/>
          <w:color w:val="auto"/>
        </w:rPr>
        <w:tab/>
      </w:r>
      <w:r>
        <w:rPr>
          <w:rFonts w:ascii="Arial" w:cs="Arial" w:eastAsia="Arial" w:hAnsi="Arial"/>
          <w:sz w:val="17"/>
          <w:szCs w:val="17"/>
          <w:i w:val="1"/>
          <w:iCs w:val="1"/>
          <w:color w:val="auto"/>
        </w:rPr>
        <w:t>Waivers; Amendment</w:t>
      </w:r>
      <w:r>
        <w:rPr>
          <w:rFonts w:ascii="Arial" w:cs="Arial" w:eastAsia="Arial" w:hAnsi="Arial"/>
          <w:sz w:val="17"/>
          <w:szCs w:val="17"/>
          <w:color w:val="auto"/>
        </w:rPr>
        <w:t>.</w:t>
      </w:r>
    </w:p>
    <w:p>
      <w:pPr>
        <w:spacing w:after="0" w:line="223" w:lineRule="exact"/>
        <w:rPr>
          <w:sz w:val="20"/>
          <w:szCs w:val="20"/>
          <w:color w:val="auto"/>
        </w:rPr>
      </w:pPr>
    </w:p>
    <w:p>
      <w:pPr>
        <w:jc w:val="both"/>
        <w:ind w:firstLine="605"/>
        <w:spacing w:after="0" w:line="269" w:lineRule="auto"/>
        <w:tabs>
          <w:tab w:leader="none" w:pos="102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No failure or delay of the Administrative Agent, the Collateral Agent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paragraph (b) below, and then such waiver or consent shall be effective only in the specific instance and for the purpose for which given. No notice or demand on the Borrower in any case shall entitle the Borrower to any other or further notice or demand in similar or other circumstances.</w:t>
      </w:r>
    </w:p>
    <w:p>
      <w:pPr>
        <w:spacing w:after="0" w:line="161" w:lineRule="exact"/>
        <w:rPr>
          <w:rFonts w:ascii="Arial" w:cs="Arial" w:eastAsia="Arial" w:hAnsi="Arial"/>
          <w:sz w:val="19"/>
          <w:szCs w:val="19"/>
          <w:color w:val="auto"/>
        </w:rPr>
      </w:pPr>
    </w:p>
    <w:p>
      <w:pPr>
        <w:jc w:val="both"/>
        <w:ind w:firstLine="529"/>
        <w:spacing w:after="0" w:line="287" w:lineRule="auto"/>
        <w:tabs>
          <w:tab w:leader="none" w:pos="98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with respect to any Refinancing Amendment,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with respect to an Extension Offer or as otherwise provided herein or in a Loan Document, neither this Agreement nor any other Loan Document nor any provision hereof or thereof may be waived, amended or modified except (x) in the case of this Agreement, pursuant to an agreement or agreements in writing entered into by the Borrower and the Required Lenders and (y) in the case of any other Loan Document, pursuant to an agreement or agreements in writing entered into by each party thereto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amendments to the ABL Intercreditor Agreement or the Second Lien Intercreditor Agreement shall require the agreement of the Loan Parties (or any of them) only to the extent required pursuant to the terms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agreement shall (i) decrease the principal amount of, or extend the maturity of or any scheduled principal payment date or date for the payment of any fee or any interest on any Loan, or waive or</w:t>
      </w:r>
    </w:p>
    <w:p>
      <w:pPr>
        <w:sectPr>
          <w:pgSz w:w="11900" w:h="16947" w:orient="portrait"/>
          <w:cols w:equalWidth="0" w:num="1">
            <w:col w:w="11420"/>
          </w:cols>
          <w:pgMar w:left="240" w:top="131" w:right="239" w:bottom="0" w:gutter="0" w:footer="0" w:header="0"/>
        </w:sectPr>
      </w:pPr>
    </w:p>
    <w:bookmarkStart w:id="120" w:name="page121"/>
    <w:bookmarkEnd w:id="120"/>
    <w:p>
      <w:pPr>
        <w:jc w:val="both"/>
        <w:spacing w:after="0" w:line="278" w:lineRule="auto"/>
        <w:rPr>
          <w:sz w:val="20"/>
          <w:szCs w:val="20"/>
          <w:color w:val="auto"/>
        </w:rPr>
      </w:pPr>
      <w:r>
        <w:rPr>
          <w:rFonts w:ascii="Arial" w:cs="Arial" w:eastAsia="Arial" w:hAnsi="Arial"/>
          <w:sz w:val="18"/>
          <w:szCs w:val="18"/>
          <w:color w:val="auto"/>
        </w:rPr>
        <w:t xml:space="preserve">excuse any such payment or any part thereof (other than with respect to any default interest), or decrease the amount of any fee or the rate of interest on any Loan (other than with respect to any default interest), without the prior written consent of each Lender directly and adversely affected thereby (it being understood that (x) the waiver of (or amendment to the terms of) any mandatory prepayment of the Loans shall not constitute a postponement of any date scheduled for the payment of principal or interest, (y) any change to the definition of “Consolidated EBITDA” or in the component definitions thereof shall not constitute a reduction or forgiveness in any rate of interest pursuant to this clause (i), (ii) increase or extend the Commitment of any Lender without the prior written consent of such Lender (it being understood that a waiver of any condition precedent or of any Default or Event of Default, mandatory prepayment or mandatory reduction of the Commitments shall not constitute an extension or increase of any Commitment of any Lender), (iii) amend or modify the pro rata requirements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10.04(j)</w:t>
      </w:r>
      <w:r>
        <w:rPr>
          <w:rFonts w:ascii="Arial" w:cs="Arial" w:eastAsia="Arial" w:hAnsi="Arial"/>
          <w:sz w:val="18"/>
          <w:szCs w:val="18"/>
          <w:color w:val="auto"/>
        </w:rPr>
        <w:t xml:space="preserve"> or the provisions of this Section or release all or substantially all of the Guarantors (other than in connection with the sale of such Guarantors in a transaction permitted by </w:t>
      </w:r>
      <w:r>
        <w:rPr>
          <w:rFonts w:ascii="Arial" w:cs="Arial" w:eastAsia="Arial" w:hAnsi="Arial"/>
          <w:sz w:val="18"/>
          <w:szCs w:val="18"/>
          <w:u w:val="single" w:color="auto"/>
          <w:color w:val="auto"/>
        </w:rPr>
        <w:t>Sections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or all or substantially all of the Collateral (other than as permitted hereby), without the prior written consent of each Lender directly and adversely affected thereby (or, in the case of </w:t>
      </w:r>
      <w:r>
        <w:rPr>
          <w:rFonts w:ascii="Arial" w:cs="Arial" w:eastAsia="Arial" w:hAnsi="Arial"/>
          <w:sz w:val="18"/>
          <w:szCs w:val="18"/>
          <w:u w:val="single" w:color="auto"/>
          <w:color w:val="auto"/>
        </w:rPr>
        <w:t>Section 10.04(j)</w:t>
      </w:r>
      <w:r>
        <w:rPr>
          <w:rFonts w:ascii="Arial" w:cs="Arial" w:eastAsia="Arial" w:hAnsi="Arial"/>
          <w:sz w:val="18"/>
          <w:szCs w:val="18"/>
          <w:color w:val="auto"/>
        </w:rPr>
        <w:t xml:space="preserve">, each Lender), (iv) change the provisions of any Loan Document in a manner that by its terms materially and adversely affects the rights of Lenders holding Loans of one Class differently from the rights of Lenders holding Loans of any other Class without the prior written consent of the Required Class Lenders with respect to each materially and adversely affected Class, (v) modify the protections afforded to an SPV pursuant to the provisions of </w:t>
      </w:r>
      <w:r>
        <w:rPr>
          <w:rFonts w:ascii="Arial" w:cs="Arial" w:eastAsia="Arial" w:hAnsi="Arial"/>
          <w:sz w:val="18"/>
          <w:szCs w:val="18"/>
          <w:u w:val="single" w:color="auto"/>
          <w:color w:val="auto"/>
        </w:rPr>
        <w:t>Section 10.04(i)</w:t>
      </w:r>
      <w:r>
        <w:rPr>
          <w:rFonts w:ascii="Arial" w:cs="Arial" w:eastAsia="Arial" w:hAnsi="Arial"/>
          <w:sz w:val="18"/>
          <w:szCs w:val="18"/>
          <w:color w:val="auto"/>
        </w:rPr>
        <w:t xml:space="preserve"> without the written consent of such SPV</w:t>
      </w:r>
    </w:p>
    <w:p>
      <w:pPr>
        <w:spacing w:after="0" w:line="8" w:lineRule="exact"/>
        <w:rPr>
          <w:sz w:val="20"/>
          <w:szCs w:val="20"/>
          <w:color w:val="auto"/>
        </w:rPr>
      </w:pPr>
    </w:p>
    <w:p>
      <w:pPr>
        <w:jc w:val="both"/>
        <w:ind w:firstLine="1"/>
        <w:spacing w:after="0" w:line="263" w:lineRule="auto"/>
        <w:tabs>
          <w:tab w:leader="none" w:pos="359"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reduce the percentage contained in the definition of the term “Required Lenders” without the prior written consent of each Lender (it being understood that, with the consent of the Required Lenders (if such consent is otherwise required), additional extensions of credit pursuant to this Agreement may be included in the determination of the Required Lenders on substantially the same basis as the Term Loan Commitments on the Restatement Effective Date) or (vii) modify the definition of “Required Class Lenders” without the consent of the Required Class Lenders with respect to each Class of Loans or Commitments;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(w) no Lender consent is required to effect a Refinancing Amendment or an Extension (except as expressly provided in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as applicable) or to effect any amendment expressly contemplated by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(x) [reserved], (y) modifications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any other provision requiring pro rata payments or sharing of payments in connection with (I) any buy back of Term Loans by the Borrower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or pursuant to any similar program that may in the future be permitted hereunder, (II) [reserved] or (III) any Extension, shall only require approval (to the extent any such approval is otherwise required) of the Lenders participating and (z) no Lender consent other than the consent of the Required Lenders is required to effect any amendment or supplement to the ABL Intercreditor Agreement or the Second Lien Intercreditor Agreement (I) that the Administrative Agent is otherwise authorized to enter into with only the consent of the Required Lenders by </w:t>
      </w:r>
      <w:r>
        <w:rPr>
          <w:rFonts w:ascii="Arial" w:cs="Arial" w:eastAsia="Arial" w:hAnsi="Arial"/>
          <w:sz w:val="19"/>
          <w:szCs w:val="19"/>
          <w:u w:val="single" w:color="auto"/>
          <w:color w:val="auto"/>
        </w:rPr>
        <w:t>Section 10.23</w:t>
      </w:r>
      <w:r>
        <w:rPr>
          <w:rFonts w:ascii="Arial" w:cs="Arial" w:eastAsia="Arial" w:hAnsi="Arial"/>
          <w:sz w:val="19"/>
          <w:szCs w:val="19"/>
          <w:color w:val="auto"/>
        </w:rPr>
        <w:t xml:space="preserve">, (II) that is for the purpose of adding the holders of Permitted Second Priority Additional Debt, (or a Senior Representative with respect thereto) as parties thereto, as expressly contemplated by the Second Lien Intercreditor Agreement (it being understood that any such amendment or supplement may make such other changes to the applicable intercreditor agreement as, in the good faith determination of the Administrative Agent, are required to effectuate the foregoing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other changes are not adverse, in any material respect, to the interests of the Lenders) or (III) that is expressly contemplated by </w:t>
      </w:r>
      <w:r>
        <w:rPr>
          <w:rFonts w:ascii="Arial" w:cs="Arial" w:eastAsia="Arial" w:hAnsi="Arial"/>
          <w:sz w:val="19"/>
          <w:szCs w:val="19"/>
          <w:u w:val="single" w:color="auto"/>
          <w:color w:val="auto"/>
        </w:rPr>
        <w:t>Section 5.2(c)</w:t>
      </w:r>
      <w:r>
        <w:rPr>
          <w:rFonts w:ascii="Arial" w:cs="Arial" w:eastAsia="Arial" w:hAnsi="Arial"/>
          <w:sz w:val="19"/>
          <w:szCs w:val="19"/>
          <w:color w:val="auto"/>
        </w:rPr>
        <w:t xml:space="preserve"> or the second paragraph of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of the ABL Intercreditor Agreement (or the comparable provisions, if any, of the Second Lien Intercreditor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such agreement shall amend, modify or otherwise adversely affect the rights or duties of the Administrative Agent or the Collateral Agent hereunder or under any other Loan Document without the prior written consent of the Required Lenders, Administrative Agent or the Collateral Agent, as applicable.</w:t>
      </w:r>
    </w:p>
    <w:p>
      <w:pPr>
        <w:spacing w:after="0" w:line="177" w:lineRule="exact"/>
        <w:rPr>
          <w:sz w:val="20"/>
          <w:szCs w:val="20"/>
          <w:color w:val="auto"/>
        </w:rPr>
      </w:pPr>
    </w:p>
    <w:p>
      <w:pPr>
        <w:jc w:val="both"/>
        <w:ind w:firstLine="529"/>
        <w:spacing w:after="0" w:line="276" w:lineRule="auto"/>
        <w:rPr>
          <w:sz w:val="20"/>
          <w:szCs w:val="20"/>
          <w:color w:val="auto"/>
        </w:rPr>
      </w:pPr>
      <w:r>
        <w:rPr>
          <w:rFonts w:ascii="Arial" w:cs="Arial" w:eastAsia="Arial" w:hAnsi="Arial"/>
          <w:sz w:val="19"/>
          <w:szCs w:val="19"/>
          <w:color w:val="auto"/>
        </w:rPr>
        <w:t>Notwithstanding any other language to the contrary contained herein, with respect to any amendment, waiver or modification to which the Administrative Agent’s consent is not required, the parties agree to deliver to the Administrative Agent a copy of each such amendment, waiver or modification; provided that, (i) no party shall be liable for its failure to comply with this sentence and (ii) the Administrative Agent shall not be bound by any such amendment unless and until it has received a copy thereof.</w:t>
      </w:r>
    </w:p>
    <w:p>
      <w:pPr>
        <w:spacing w:after="0" w:line="153" w:lineRule="exact"/>
        <w:rPr>
          <w:sz w:val="20"/>
          <w:szCs w:val="20"/>
          <w:color w:val="auto"/>
        </w:rPr>
      </w:pPr>
    </w:p>
    <w:p>
      <w:pPr>
        <w:jc w:val="both"/>
        <w:ind w:firstLine="605"/>
        <w:spacing w:after="0" w:line="266" w:lineRule="auto"/>
        <w:tabs>
          <w:tab w:leader="none" w:pos="104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Notwithstanding the foregoing, this Agreement and any other Loan Document may be amended solely with the consent of the Administrative Agent, the Required Lenders and the Borrower without the need to obtain the consent of any other Lender if such amendment is delivered in order to if such amendment is delivered in order to correct or cure (x) ambiguities, errors, omissions, defects, (y) to effect administrative changes of a technical or immaterial nature or (z) incorrect cross references or similar inaccuracies in this Agreement or the applicable Loan Document. This Agreement, guarantees, collateral documents, security documents, intercreditor agreements, and related documents executed in connection with this Agreement may be in a form reasonably determined by the Administrative Agent or Collateral Agent, as applicable, and may be amended, modified, terminated or waived, and consent to any departure therefrom may be given, without the consent of any Lender if such amendment, modification, waiver or consent is given in order to (x) comply with local law or advice of counsel or (y) cause such guarantee, collateral document, security document or related document to be consistent with this Agreement and the other Loan Documents. The Borrower, the Required Lenders and the Administrative Agent may, without the consent of any other Lender, effect amendments to this Agreement and the other Loan Documents as may be necessary in the reasonable opinion of the Borrower, the Required Lenders and the Administrative Agent to effect the provisions of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7,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2.19</w:t>
      </w:r>
      <w:r>
        <w:rPr>
          <w:rFonts w:ascii="Arial" w:cs="Arial" w:eastAsia="Arial" w:hAnsi="Arial"/>
          <w:sz w:val="19"/>
          <w:szCs w:val="19"/>
          <w:color w:val="auto"/>
        </w:rPr>
        <w:t>. Notwithstanding anything to the contrary contained herein, such amendment shall become effective without any further consent of any other party to such Loan Document.</w:t>
      </w:r>
    </w:p>
    <w:p>
      <w:pPr>
        <w:spacing w:after="0" w:line="171"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Interest Rate Limitation.</w:t>
      </w:r>
      <w:r>
        <w:rPr>
          <w:rFonts w:ascii="Arial" w:cs="Arial" w:eastAsia="Arial" w:hAnsi="Arial"/>
          <w:sz w:val="18"/>
          <w:szCs w:val="18"/>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8"/>
          <w:szCs w:val="18"/>
          <w:b w:val="1"/>
          <w:bCs w:val="1"/>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which may be contracted for, charged, taken, received or reserved by the Lender holding such Loan or participation in accordance with applicable Law, the rate of interest payable in respect of such Loan or participation hereunder, together with all Charges payable in respect thereof, shall be limited to the Maximum Rate and, to the extent lawful, the interest and Charges that would have been payable in respect of such Loan or participation but were not payable as a result of the operation of this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shall be cumulated and the interest and Charges payable to such Lender in respect of other Loans or participations or periods shall be increased (but not above the Maximum Rate therefor) until such cumulated amount, together with interest thereon at the Federal Funds Effective Rate to the date of repayment, shall have been received by such Lender.</w:t>
      </w:r>
    </w:p>
    <w:p>
      <w:pPr>
        <w:spacing w:after="0" w:line="146" w:lineRule="exact"/>
        <w:rPr>
          <w:sz w:val="20"/>
          <w:szCs w:val="20"/>
          <w:color w:val="auto"/>
        </w:rPr>
      </w:pPr>
    </w:p>
    <w:p>
      <w:pPr>
        <w:jc w:val="both"/>
        <w:ind w:firstLine="604"/>
        <w:spacing w:after="0" w:line="350"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the Fee Letter and the other Loan Documents constitute the entire contract between the parties relative to the subject matter hereof. Any other previous agreement among the parties with respect to the subject matter</w:t>
      </w:r>
    </w:p>
    <w:p>
      <w:pPr>
        <w:sectPr>
          <w:pgSz w:w="11900" w:h="16838" w:orient="portrait"/>
          <w:cols w:equalWidth="0" w:num="1">
            <w:col w:w="11420"/>
          </w:cols>
          <w:pgMar w:left="240" w:top="131" w:right="239" w:bottom="0" w:gutter="0" w:footer="0" w:header="0"/>
        </w:sectPr>
      </w:pPr>
    </w:p>
    <w:bookmarkStart w:id="121" w:name="page122"/>
    <w:bookmarkEnd w:id="121"/>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hereof is superseded by this Agreement and the other Loan Documents. Nothing in this Agreement or in the other Loan Documents, expressed or implied, is intended to confer upon any Person (other than the parties hereto and thereto, their respective successors and assigns permitted hereunder and, to the extent expressly contemplated hereby, the Related Parties of each of the Required Lenders, Administrative Agent, the Collateral Agent and the Lenders) any rights, remedies, obligations or liabilities under or by reason of this Agreement or the other Loan Documents.</w:t>
      </w:r>
    </w:p>
    <w:p>
      <w:pPr>
        <w:spacing w:after="0" w:line="170"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i w:val="1"/>
          <w:iCs w:val="1"/>
          <w:color w:val="auto"/>
        </w:rPr>
        <w:t>WAIVER OF JURY TRIAL.</w:t>
      </w:r>
      <w:r>
        <w:rPr>
          <w:rFonts w:ascii="Arial" w:cs="Arial" w:eastAsia="Arial" w:hAnsi="Arial"/>
          <w:sz w:val="19"/>
          <w:szCs w:val="19"/>
          <w:color w:val="auto"/>
        </w:rPr>
        <w:t xml:space="preserve">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Arial" w:cs="Arial" w:eastAsia="Arial" w:hAnsi="Arial"/>
          <w:sz w:val="19"/>
          <w:szCs w:val="19"/>
          <w:u w:val="single" w:color="auto"/>
          <w:color w:val="auto"/>
        </w:rPr>
        <w:t>SECTION 10.11</w:t>
      </w:r>
      <w:r>
        <w:rPr>
          <w:rFonts w:ascii="Arial" w:cs="Arial" w:eastAsia="Arial" w:hAnsi="Arial"/>
          <w:sz w:val="19"/>
          <w:szCs w:val="19"/>
          <w:color w:val="auto"/>
        </w:rPr>
        <w:t>.</w:t>
      </w:r>
    </w:p>
    <w:p>
      <w:pPr>
        <w:spacing w:after="0" w:line="160" w:lineRule="exact"/>
        <w:rPr>
          <w:sz w:val="20"/>
          <w:szCs w:val="20"/>
          <w:color w:val="auto"/>
        </w:rPr>
      </w:pPr>
    </w:p>
    <w:p>
      <w:pPr>
        <w:jc w:val="both"/>
        <w:ind w:firstLine="604"/>
        <w:spacing w:after="0" w:line="273"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i w:val="1"/>
          <w:iCs w:val="1"/>
          <w:color w:val="auto"/>
        </w:rPr>
        <w:t>Severability.</w:t>
      </w:r>
      <w:r>
        <w:rPr>
          <w:rFonts w:ascii="Arial" w:cs="Arial" w:eastAsia="Arial" w:hAnsi="Arial"/>
          <w:sz w:val="19"/>
          <w:szCs w:val="19"/>
          <w:color w:val="auto"/>
        </w:rPr>
        <w:t xml:space="preserve">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57"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10.13. </w:t>
      </w:r>
      <w:r>
        <w:rPr>
          <w:rFonts w:ascii="Arial" w:cs="Arial" w:eastAsia="Arial" w:hAnsi="Arial"/>
          <w:sz w:val="20"/>
          <w:szCs w:val="20"/>
          <w:i w:val="1"/>
          <w:iCs w:val="1"/>
          <w:color w:val="auto"/>
        </w:rPr>
        <w:t>Counterparts.</w:t>
      </w:r>
      <w:r>
        <w:rPr>
          <w:rFonts w:ascii="Arial" w:cs="Arial" w:eastAsia="Arial" w:hAnsi="Arial"/>
          <w:sz w:val="20"/>
          <w:szCs w:val="20"/>
          <w:color w:val="auto"/>
        </w:rPr>
        <w:t xml:space="preserve"> This Agreement may be executed in counterparts (and by different parties hereto on different counterparts), each of which shall constitute an original but all of which when taken together shall constitute a single contract, and shall become effective as provided in </w:t>
      </w:r>
      <w:r>
        <w:rPr>
          <w:rFonts w:ascii="Arial" w:cs="Arial" w:eastAsia="Arial" w:hAnsi="Arial"/>
          <w:sz w:val="20"/>
          <w:szCs w:val="20"/>
          <w:u w:val="single" w:color="auto"/>
          <w:color w:val="auto"/>
        </w:rPr>
        <w:t>Section 10.03</w:t>
      </w:r>
      <w:r>
        <w:rPr>
          <w:rFonts w:ascii="Arial" w:cs="Arial" w:eastAsia="Arial" w:hAnsi="Arial"/>
          <w:sz w:val="20"/>
          <w:szCs w:val="20"/>
          <w:color w:val="auto"/>
        </w:rPr>
        <w:t>. Delivery of an executed signature page to this Agreement by facsimile or other electronic imaging transmission shall be as effective as delivery of a manually signed counterpart of this Agreement.</w:t>
      </w:r>
    </w:p>
    <w:p>
      <w:pPr>
        <w:spacing w:after="0" w:line="162" w:lineRule="exact"/>
        <w:rPr>
          <w:sz w:val="20"/>
          <w:szCs w:val="20"/>
          <w:color w:val="auto"/>
        </w:rPr>
      </w:pPr>
    </w:p>
    <w:p>
      <w:pPr>
        <w:jc w:val="both"/>
        <w:ind w:firstLine="604"/>
        <w:spacing w:after="0" w:line="350"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88"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10.15.</w:t>
      </w:r>
      <w:r>
        <w:rPr>
          <w:sz w:val="20"/>
          <w:szCs w:val="20"/>
          <w:color w:val="auto"/>
        </w:rPr>
        <w:tab/>
      </w:r>
      <w:r>
        <w:rPr>
          <w:rFonts w:ascii="Arial" w:cs="Arial" w:eastAsia="Arial" w:hAnsi="Arial"/>
          <w:sz w:val="18"/>
          <w:szCs w:val="18"/>
          <w:i w:val="1"/>
          <w:iCs w:val="1"/>
          <w:color w:val="auto"/>
        </w:rPr>
        <w:t>Jurisdiction; Consent to Service of Process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72" w:lineRule="auto"/>
        <w:tabs>
          <w:tab w:leader="none" w:pos="995"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any New York State court or Federal court of the United States of America sitting in the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54" w:lineRule="exact"/>
        <w:rPr>
          <w:rFonts w:ascii="Arial" w:cs="Arial" w:eastAsia="Arial" w:hAnsi="Arial"/>
          <w:sz w:val="19"/>
          <w:szCs w:val="19"/>
          <w:color w:val="auto"/>
        </w:rPr>
      </w:pPr>
    </w:p>
    <w:p>
      <w:pPr>
        <w:jc w:val="both"/>
        <w:ind w:firstLine="605"/>
        <w:spacing w:after="0" w:line="301" w:lineRule="auto"/>
        <w:tabs>
          <w:tab w:leader="none" w:pos="104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31" w:lineRule="exact"/>
        <w:rPr>
          <w:rFonts w:ascii="Arial" w:cs="Arial" w:eastAsia="Arial" w:hAnsi="Arial"/>
          <w:sz w:val="18"/>
          <w:szCs w:val="18"/>
          <w:color w:val="auto"/>
        </w:rPr>
      </w:pPr>
    </w:p>
    <w:p>
      <w:pPr>
        <w:ind w:firstLine="605"/>
        <w:spacing w:after="0" w:line="350" w:lineRule="auto"/>
        <w:tabs>
          <w:tab w:leader="none" w:pos="105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10.01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88" w:lineRule="exact"/>
        <w:rPr>
          <w:sz w:val="20"/>
          <w:szCs w:val="20"/>
          <w:color w:val="auto"/>
        </w:rPr>
      </w:pPr>
    </w:p>
    <w:p>
      <w:pPr>
        <w:jc w:val="both"/>
        <w:ind w:firstLine="604"/>
        <w:spacing w:after="0" w:line="280"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Each of the Administrative Agent, the Collateral Agent and the Lenders agrees to maintain the confidentiality of the Information (as defined below), except that Information may be disclosed (a) to its and its Affiliates’ officers, directors, employees and agents, including accountants, financing sources, legal counsel and other advisors involved in the Transaction on a “need to know” basis (it being understood that the Persons to whom such disclosure is made will be informed of the confidential nature of such Information and instructed to keep such Information confidential), (b) to the extent requested by any regulatory authority or quasi-regulatory authority (such as the National Association of Insurance Commissioners), (c) to the extent required by applicable Laws or regulations or by any subpoena or similar legal process (and in such case, such Person shall promptly notify the Borrower of such disclosure), (d) in connection with the exercise of any remedies hereunder or under the other Loan Documents or any suit, action or proceeding relating to the enforcement of its rights hereunder or thereunder, (e) subject to an agreement containing provisions substantially the same as those of this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to (i) any actual or prospective assignee of or participant in any of its rights or obligations under this Agreement and the other Loan Documents or (ii) any actual or prospective counterparty (or its advisors) to any swap or derivative transaction relating to the Borrower or any Subsidiary or any of their respective obligations, (f) with the prior written consent of the Borrower, (g) on a confidential basis to (x) any rating agency in connection with rating the Borrower or its Subsidiaries or the Facility or (y) the CUSIP Service Bureau or any similar agency in connection with the issuance and monitoring of CUSIP numbers with respect to the Facility, or (h) to the extent such Information becomes publicly available other than as a result of a breach of this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or other confidentiality obligation owed to the Borrower or any of its Subsidiaries. For the purposes of this Article,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shall mean all information received from the Borrower and related to the Borrower, its business, other than any such information that was available to the Administrative Agent, the Collateral Agent or any Lender on a nonconfidential basis prior to its disclosure by the Borrower not in violation of any confidentiality or obligation owed to the Borrower and the Subsidiaries.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Loan Documents. Any Person required to maintain the confidentiality of Information as provided in this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shall be considered to have complied with its obligation to do so</w:t>
      </w:r>
    </w:p>
    <w:p>
      <w:pPr>
        <w:sectPr>
          <w:pgSz w:w="11900" w:h="16882" w:orient="portrait"/>
          <w:cols w:equalWidth="0" w:num="1">
            <w:col w:w="11420"/>
          </w:cols>
          <w:pgMar w:left="240" w:top="131" w:right="239" w:bottom="0" w:gutter="0" w:footer="0" w:header="0"/>
        </w:sectPr>
      </w:pPr>
    </w:p>
    <w:bookmarkStart w:id="122" w:name="page123"/>
    <w:bookmarkEnd w:id="122"/>
    <w:p>
      <w:pPr>
        <w:jc w:val="both"/>
        <w:spacing w:after="0" w:line="278" w:lineRule="auto"/>
        <w:rPr>
          <w:sz w:val="20"/>
          <w:szCs w:val="20"/>
          <w:color w:val="auto"/>
        </w:rPr>
      </w:pPr>
      <w:r>
        <w:rPr>
          <w:rFonts w:ascii="Arial" w:cs="Arial" w:eastAsia="Arial" w:hAnsi="Arial"/>
          <w:sz w:val="20"/>
          <w:szCs w:val="20"/>
          <w:color w:val="auto"/>
        </w:rPr>
        <w:t>if such Person has exercised the same degree of care to maintain the confidentiality of such Information as such Person would accord its own confidential information.</w:t>
      </w:r>
    </w:p>
    <w:p>
      <w:pPr>
        <w:spacing w:after="0" w:line="147"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20"/>
          <w:szCs w:val="20"/>
          <w:color w:val="auto"/>
        </w:rPr>
        <w:t xml:space="preserve">Section 10.17. </w:t>
      </w:r>
      <w:r>
        <w:rPr>
          <w:rFonts w:ascii="Arial" w:cs="Arial" w:eastAsia="Arial" w:hAnsi="Arial"/>
          <w:sz w:val="20"/>
          <w:szCs w:val="20"/>
          <w:i w:val="1"/>
          <w:iCs w:val="1"/>
          <w:color w:val="auto"/>
        </w:rPr>
        <w:t>Lender Action.</w:t>
      </w:r>
      <w:r>
        <w:rPr>
          <w:rFonts w:ascii="Arial" w:cs="Arial" w:eastAsia="Arial" w:hAnsi="Arial"/>
          <w:sz w:val="20"/>
          <w:szCs w:val="20"/>
          <w:color w:val="auto"/>
        </w:rPr>
        <w:t xml:space="preserve"> Each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(which shall be given at the direction of the Required Lender).</w:t>
      </w:r>
    </w:p>
    <w:p>
      <w:pPr>
        <w:spacing w:after="0" w:line="171" w:lineRule="exact"/>
        <w:rPr>
          <w:sz w:val="20"/>
          <w:szCs w:val="20"/>
          <w:color w:val="auto"/>
        </w:rPr>
      </w:pPr>
    </w:p>
    <w:p>
      <w:pPr>
        <w:jc w:val="both"/>
        <w:ind w:firstLine="604"/>
        <w:spacing w:after="0" w:line="281" w:lineRule="auto"/>
        <w:rPr>
          <w:sz w:val="20"/>
          <w:szCs w:val="20"/>
          <w:color w:val="auto"/>
        </w:rPr>
      </w:pPr>
      <w:r>
        <w:rPr>
          <w:rFonts w:ascii="Arial" w:cs="Arial" w:eastAsia="Arial" w:hAnsi="Arial"/>
          <w:sz w:val="19"/>
          <w:szCs w:val="19"/>
          <w:color w:val="auto"/>
        </w:rPr>
        <w:t xml:space="preserve">Section 10.18. </w:t>
      </w:r>
      <w:r>
        <w:rPr>
          <w:rFonts w:ascii="Arial" w:cs="Arial" w:eastAsia="Arial" w:hAnsi="Arial"/>
          <w:sz w:val="19"/>
          <w:szCs w:val="19"/>
          <w:i w:val="1"/>
          <w:iCs w:val="1"/>
          <w:color w:val="auto"/>
        </w:rPr>
        <w:t>USA PATRIOT Act Notice.</w:t>
      </w:r>
      <w:r>
        <w:rPr>
          <w:rFonts w:ascii="Arial" w:cs="Arial" w:eastAsia="Arial" w:hAnsi="Arial"/>
          <w:sz w:val="19"/>
          <w:szCs w:val="19"/>
          <w:color w:val="auto"/>
        </w:rPr>
        <w:t xml:space="preserve"> Each Lender and the Administrative Agent (for itself and not on behalf of any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spacing w:after="0" w:line="147"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10.19.</w:t>
      </w:r>
      <w:r>
        <w:rPr>
          <w:sz w:val="20"/>
          <w:szCs w:val="20"/>
          <w:color w:val="auto"/>
        </w:rPr>
        <w:tab/>
      </w:r>
      <w:r>
        <w:rPr>
          <w:rFonts w:ascii="Arial" w:cs="Arial" w:eastAsia="Arial" w:hAnsi="Arial"/>
          <w:sz w:val="18"/>
          <w:szCs w:val="18"/>
          <w:i w:val="1"/>
          <w:iCs w:val="1"/>
          <w:color w:val="auto"/>
        </w:rPr>
        <w:t>Collateral And Guaranty Matters</w:t>
      </w:r>
      <w:r>
        <w:rPr>
          <w:rFonts w:ascii="Arial" w:cs="Arial" w:eastAsia="Arial" w:hAnsi="Arial"/>
          <w:sz w:val="18"/>
          <w:szCs w:val="18"/>
          <w:color w:val="auto"/>
        </w:rPr>
        <w:t>. The Lenders irrevocably agree:</w:t>
      </w:r>
    </w:p>
    <w:p>
      <w:pPr>
        <w:spacing w:after="0" w:line="223" w:lineRule="exact"/>
        <w:rPr>
          <w:sz w:val="20"/>
          <w:szCs w:val="20"/>
          <w:color w:val="auto"/>
        </w:rPr>
      </w:pPr>
    </w:p>
    <w:p>
      <w:pPr>
        <w:jc w:val="both"/>
        <w:ind w:firstLine="605"/>
        <w:spacing w:after="0" w:line="283" w:lineRule="auto"/>
        <w:tabs>
          <w:tab w:leader="none" w:pos="100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that any Lien on any property granted to or held by the Administrative Agent or the Collateral Agent under any Loan Document shall be automatically released (i) upon termination of all Commitments hereunder and payment in full of all Obligations (other than contingent obligations not yet accrued or payable), (ii) at the time the property subject to such Lien is disposed as part of or in connection with any disposition permitted hereunder or under any other Loan Document to any Person other than a Person required to grant a Lien to the Administrative Agent or the Collateral Agent under the Loan Documents (or, if such transferee is a Person required to grant a Lien to the Administrative Agent or the Collateral Agent on such asset, at the option of the applicable Loan Party, such Lien on such asset may still be released in connection with the transfer so long as (x) the transferee grants a new Lien to the Administrative Agent or Collateral Agent on such asset substantially concurrently with the transfer of such asset, (y) the transfer is between parties organized under the laws of different jurisdictions and at least one of such parties is a Foreign Subsidiary and (z) the priority of the new Lien is the same as that of the original Lien), (iii) subject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(v) any such property constitutes Excluded Property or (vi) in accordance with any Intercreditor Agreement;</w:t>
      </w:r>
    </w:p>
    <w:p>
      <w:pPr>
        <w:spacing w:after="0" w:line="154" w:lineRule="exact"/>
        <w:rPr>
          <w:rFonts w:ascii="Arial" w:cs="Arial" w:eastAsia="Arial" w:hAnsi="Arial"/>
          <w:sz w:val="18"/>
          <w:szCs w:val="18"/>
          <w:color w:val="auto"/>
        </w:rPr>
      </w:pPr>
    </w:p>
    <w:p>
      <w:pPr>
        <w:jc w:val="both"/>
        <w:ind w:firstLine="605"/>
        <w:spacing w:after="0" w:line="290" w:lineRule="auto"/>
        <w:tabs>
          <w:tab w:leader="none" w:pos="101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19"/>
          <w:szCs w:val="19"/>
          <w:u w:val="single" w:color="auto"/>
          <w:color w:val="auto"/>
        </w:rPr>
        <w:t>Sections 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7.01(g)</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7.01(q)</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7.01(s)</w:t>
      </w:r>
      <w:r>
        <w:rPr>
          <w:rFonts w:ascii="Arial" w:cs="Arial" w:eastAsia="Arial" w:hAnsi="Arial"/>
          <w:sz w:val="19"/>
          <w:szCs w:val="19"/>
          <w:color w:val="auto"/>
        </w:rPr>
        <w:t xml:space="preserve"> (in the case of </w:t>
      </w:r>
      <w:r>
        <w:rPr>
          <w:rFonts w:ascii="Arial" w:cs="Arial" w:eastAsia="Arial" w:hAnsi="Arial"/>
          <w:sz w:val="19"/>
          <w:szCs w:val="19"/>
          <w:u w:val="single" w:color="auto"/>
          <w:color w:val="auto"/>
        </w:rPr>
        <w:t>Section 7.01(s)</w:t>
      </w:r>
      <w:r>
        <w:rPr>
          <w:rFonts w:ascii="Arial" w:cs="Arial" w:eastAsia="Arial" w:hAnsi="Arial"/>
          <w:sz w:val="19"/>
          <w:szCs w:val="19"/>
          <w:color w:val="auto"/>
        </w:rPr>
        <w:t>, to the extent required by the terms of the obligations secured by such Liens); and</w:t>
      </w:r>
    </w:p>
    <w:p>
      <w:pPr>
        <w:spacing w:after="0" w:line="139" w:lineRule="exact"/>
        <w:rPr>
          <w:rFonts w:ascii="Arial" w:cs="Arial" w:eastAsia="Arial" w:hAnsi="Arial"/>
          <w:sz w:val="19"/>
          <w:szCs w:val="19"/>
          <w:color w:val="auto"/>
        </w:rPr>
      </w:pPr>
    </w:p>
    <w:p>
      <w:pPr>
        <w:ind w:left="1000" w:hanging="395"/>
        <w:spacing w:after="0"/>
        <w:tabs>
          <w:tab w:leader="none" w:pos="100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that any Guarantor shall be automatically released from its obligations under the Guaranty as provided in </w:t>
      </w:r>
      <w:r>
        <w:rPr>
          <w:rFonts w:ascii="Arial" w:cs="Arial" w:eastAsia="Arial" w:hAnsi="Arial"/>
          <w:sz w:val="19"/>
          <w:szCs w:val="19"/>
          <w:u w:val="single" w:color="auto"/>
          <w:color w:val="auto"/>
        </w:rPr>
        <w:t>Section 11.10</w:t>
      </w:r>
      <w:r>
        <w:rPr>
          <w:rFonts w:ascii="Arial" w:cs="Arial" w:eastAsia="Arial" w:hAnsi="Arial"/>
          <w:sz w:val="19"/>
          <w:szCs w:val="19"/>
          <w:color w:val="auto"/>
        </w:rPr>
        <w:t>.</w:t>
      </w:r>
    </w:p>
    <w:p>
      <w:pPr>
        <w:spacing w:after="0" w:line="235" w:lineRule="exact"/>
        <w:rPr>
          <w:sz w:val="20"/>
          <w:szCs w:val="20"/>
          <w:color w:val="auto"/>
        </w:rPr>
      </w:pPr>
    </w:p>
    <w:p>
      <w:pPr>
        <w:jc w:val="both"/>
        <w:ind w:firstLine="604"/>
        <w:spacing w:after="0" w:line="268" w:lineRule="auto"/>
        <w:rPr>
          <w:sz w:val="20"/>
          <w:szCs w:val="20"/>
          <w:color w:val="auto"/>
        </w:rPr>
      </w:pPr>
      <w:r>
        <w:rPr>
          <w:rFonts w:ascii="Arial" w:cs="Arial" w:eastAsia="Arial" w:hAnsi="Arial"/>
          <w:sz w:val="19"/>
          <w:szCs w:val="19"/>
          <w:color w:val="auto"/>
        </w:rPr>
        <w:t xml:space="preserve">Upon request by the Administrative Agent or the Collateral Agent at any time, the Required Lenders will confirm in writing the Administrative Agent’s or the Collateral Agent’s authority to release or subordinate its interest in particular types or items of property, or to release any Guarantor from its obligations under the Guaranty pursuant to this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the Administrative Agent or the Collateral Agent will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9"/>
          <w:szCs w:val="19"/>
          <w:u w:val="single" w:color="auto"/>
          <w:color w:val="auto"/>
        </w:rPr>
        <w:t>Section 10.19</w:t>
      </w:r>
      <w:r>
        <w:rPr>
          <w:rFonts w:ascii="Arial" w:cs="Arial" w:eastAsia="Arial" w:hAnsi="Arial"/>
          <w:sz w:val="19"/>
          <w:szCs w:val="19"/>
          <w:color w:val="auto"/>
        </w:rPr>
        <w:t>.</w:t>
      </w:r>
    </w:p>
    <w:p>
      <w:pPr>
        <w:spacing w:after="0" w:line="162"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10.20.</w:t>
      </w:r>
      <w:r>
        <w:rPr>
          <w:sz w:val="20"/>
          <w:szCs w:val="20"/>
          <w:color w:val="auto"/>
        </w:rPr>
        <w:tab/>
      </w:r>
      <w:r>
        <w:rPr>
          <w:rFonts w:ascii="Arial" w:cs="Arial" w:eastAsia="Arial" w:hAnsi="Arial"/>
          <w:sz w:val="18"/>
          <w:szCs w:val="18"/>
          <w:i w:val="1"/>
          <w:iCs w:val="1"/>
          <w:color w:val="auto"/>
        </w:rPr>
        <w:t>[Reserved].</w:t>
      </w:r>
    </w:p>
    <w:p>
      <w:pPr>
        <w:spacing w:after="0" w:line="223" w:lineRule="exact"/>
        <w:rPr>
          <w:sz w:val="20"/>
          <w:szCs w:val="20"/>
          <w:color w:val="auto"/>
        </w:rPr>
      </w:pPr>
    </w:p>
    <w:p>
      <w:pPr>
        <w:jc w:val="both"/>
        <w:ind w:firstLine="604"/>
        <w:spacing w:after="0" w:line="254" w:lineRule="auto"/>
        <w:rPr>
          <w:sz w:val="20"/>
          <w:szCs w:val="20"/>
          <w:color w:val="auto"/>
        </w:rPr>
      </w:pPr>
      <w:r>
        <w:rPr>
          <w:rFonts w:ascii="Arial" w:cs="Arial" w:eastAsia="Arial" w:hAnsi="Arial"/>
          <w:sz w:val="20"/>
          <w:szCs w:val="20"/>
          <w:color w:val="auto"/>
        </w:rPr>
        <w:t xml:space="preserve">Section 10.21. </w:t>
      </w:r>
      <w:r>
        <w:rPr>
          <w:rFonts w:ascii="Arial" w:cs="Arial" w:eastAsia="Arial" w:hAnsi="Arial"/>
          <w:sz w:val="20"/>
          <w:szCs w:val="20"/>
          <w:i w:val="1"/>
          <w:iCs w:val="1"/>
          <w:color w:val="auto"/>
        </w:rPr>
        <w:t>Payments Set Aside.</w:t>
      </w:r>
      <w:r>
        <w:rPr>
          <w:rFonts w:ascii="Arial" w:cs="Arial" w:eastAsia="Arial" w:hAnsi="Arial"/>
          <w:sz w:val="20"/>
          <w:szCs w:val="20"/>
          <w:color w:val="auto"/>
        </w:rPr>
        <w:t xml:space="preserve"> To the extent that any payment by or on behalf of the Borrower or any other Loan Party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Federal Funds Effective Rate from time to time in effect.</w:t>
      </w:r>
    </w:p>
    <w:p>
      <w:pPr>
        <w:spacing w:after="0" w:line="171"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10.22.</w:t>
      </w:r>
      <w:r>
        <w:rPr>
          <w:sz w:val="20"/>
          <w:szCs w:val="20"/>
          <w:color w:val="auto"/>
        </w:rPr>
        <w:tab/>
      </w:r>
      <w:r>
        <w:rPr>
          <w:rFonts w:ascii="Arial" w:cs="Arial" w:eastAsia="Arial" w:hAnsi="Arial"/>
          <w:sz w:val="18"/>
          <w:szCs w:val="18"/>
          <w:i w:val="1"/>
          <w:iCs w:val="1"/>
          <w:color w:val="auto"/>
        </w:rPr>
        <w:t>No Advisory or Fiduciary Responsibility</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85" w:lineRule="auto"/>
        <w:tabs>
          <w:tab w:leader="none" w:pos="115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Subsidiaries, on the one hand, and the Agents and the Lenders, on the other hand, and the Borrower and its Subsidiaries are capable of evaluating and understanding and understands and accepts the terms, risks and conditions of the transactions contemplated hereby and by the other Loan Documents (including any amendment, waiver or other modification hereof or thereof), (ii) the Agents, the Lenders and their respective Affiliates may be engaged in a broad range of transactions that involve interests that differ from, and may conflict with, those of the Borrower and its Affiliates, and none of the Agents or the Lenders has any obligation to disclose any of such interests by virtue of any advisory, agency or fiduciary relationship, and (iii) the Agents and the Lenders have not provided and will not provide any legal, accounting, regulatory or tax advice with respect to any of the transactions</w:t>
      </w:r>
    </w:p>
    <w:p>
      <w:pPr>
        <w:sectPr>
          <w:pgSz w:w="11900" w:h="16838" w:orient="portrait"/>
          <w:cols w:equalWidth="0" w:num="1">
            <w:col w:w="11420"/>
          </w:cols>
          <w:pgMar w:left="240" w:top="131" w:right="239" w:bottom="0" w:gutter="0" w:footer="0" w:header="0"/>
        </w:sectPr>
      </w:pPr>
    </w:p>
    <w:bookmarkStart w:id="123" w:name="page124"/>
    <w:bookmarkEnd w:id="123"/>
    <w:p>
      <w:pPr>
        <w:spacing w:after="0" w:line="75" w:lineRule="exact"/>
        <w:rPr>
          <w:sz w:val="20"/>
          <w:szCs w:val="20"/>
          <w:color w:val="auto"/>
        </w:rPr>
      </w:pPr>
    </w:p>
    <w:p>
      <w:pPr>
        <w:spacing w:after="0" w:line="305" w:lineRule="auto"/>
        <w:rPr>
          <w:sz w:val="20"/>
          <w:szCs w:val="20"/>
          <w:color w:val="auto"/>
        </w:rPr>
      </w:pPr>
      <w:r>
        <w:rPr>
          <w:rFonts w:ascii="Arial" w:cs="Arial" w:eastAsia="Arial" w:hAnsi="Arial"/>
          <w:sz w:val="19"/>
          <w:szCs w:val="19"/>
          <w:color w:val="auto"/>
        </w:rPr>
        <w:t>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124" w:lineRule="exact"/>
        <w:rPr>
          <w:sz w:val="20"/>
          <w:szCs w:val="20"/>
          <w:color w:val="auto"/>
        </w:rPr>
      </w:pPr>
    </w:p>
    <w:p>
      <w:pPr>
        <w:jc w:val="both"/>
        <w:ind w:firstLine="605"/>
        <w:spacing w:after="0" w:line="256" w:lineRule="auto"/>
        <w:tabs>
          <w:tab w:leader="none" w:pos="101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Each Loan Party acknowledges and agrees that each Lender and any of its affiliates may lend money to, invest in, and generally engage in any kind of business with, the Borrower, any of its Affiliates or any other person or entity that may do business with or own securities of any of the foregoing, all as if such Lender or Affiliate thereof were not a Lender (or an agent or any other person with any similar role under the Facilities) and without any duty to account therefor to any other Lender, the Borrower or any Affiliate of the foregoing. Each Lender and any of its Affiliates may accept fees and other consideration from the Borrower or any of its Affiliates for services in connection with this Agreement, the Facilities, the commitment letter or otherwise without having to account for the same to any other Lender, the Borrower or any Affiliate of the foregoing.</w:t>
      </w:r>
    </w:p>
    <w:p>
      <w:pPr>
        <w:spacing w:after="0" w:line="170"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10.23.</w:t>
      </w:r>
      <w:r>
        <w:rPr>
          <w:sz w:val="20"/>
          <w:szCs w:val="20"/>
          <w:color w:val="auto"/>
        </w:rPr>
        <w:tab/>
      </w:r>
      <w:r>
        <w:rPr>
          <w:rFonts w:ascii="Arial" w:cs="Arial" w:eastAsia="Arial" w:hAnsi="Arial"/>
          <w:sz w:val="18"/>
          <w:szCs w:val="18"/>
          <w:i w:val="1"/>
          <w:iCs w:val="1"/>
          <w:color w:val="auto"/>
        </w:rPr>
        <w:t>Intercreditor Agreements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85" w:lineRule="auto"/>
        <w:tabs>
          <w:tab w:leader="none" w:pos="9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Administrative Agent is authorized to become a party to the ABL Intercreditor Agreement pursuant to the ABL Intercreditor Amendment (and enter into the ABL Intercreditor Agreement in respect of any Permitted Refinancing of ABL Facility Indebtedness), and each of the parties hereto acknowledges that it has received a copy of the ABL Intercreditor Agreement and that the ABL Intercreditor Agreement is binding upon it. Each Lender (a) hereby consents to the subordination of the Liens on the ABL Priority Collateral securing the Obligations on the terms set forth in the ABL Intercreditor Agreement, (b) hereby agrees that it will be bound by and will take no actions contrary to the provisions of the ABL Intercreditor Agreement and (c) hereby authorizes and instructs the Administrative Agent to enter into the ABL Intercreditor Agreement and any amendments or supplements expressly contemplated thereby, and to subject the Liens on the ABL Priority Collateral securing the Obligations to the provisions of the ABL Intercreditor Agreement. The foregoing provisions are intended as an inducement to the ABL Secured Parties to extend credit to the borrowers under the ABL Credit Agreement and such ABL Secured Parties are intended third-party beneficiaries of such provisions and the provisions of the ABL Intercreditor Agreement.</w:t>
      </w:r>
    </w:p>
    <w:p>
      <w:pPr>
        <w:spacing w:after="0" w:line="147" w:lineRule="exact"/>
        <w:rPr>
          <w:rFonts w:ascii="Arial" w:cs="Arial" w:eastAsia="Arial" w:hAnsi="Arial"/>
          <w:sz w:val="18"/>
          <w:szCs w:val="18"/>
          <w:color w:val="auto"/>
        </w:rPr>
      </w:pPr>
    </w:p>
    <w:p>
      <w:pPr>
        <w:jc w:val="both"/>
        <w:ind w:firstLine="605"/>
        <w:spacing w:after="0" w:line="268" w:lineRule="auto"/>
        <w:tabs>
          <w:tab w:leader="none" w:pos="107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Administrative Agent is authorized to enter into the Second Lien Intercreditor Agreement, and each of the parties hereto acknowledges that each such agreement shall be binding upon it. Each Lender (a) hereby consents to the intercreditor agreements in respect of the Collateral securing the Obligations on the terms set forth in the Second Lien Intercreditor Agreement, (b) hereby agrees that it will be bound by and will take no actions contrary to the provisions of the Second Lien Intercreditor Agreement and (c) hereby authorizes and instructs the Administrative Agent to enter into the Second Lien Intercreditor Agreement and, without the further consent, direction or other action of any Lender, to enter into any amendments or supplements thereto, in each case solely if the form of the agreement as so amended or supplemented would constitute the Second Lien Intercreditor Agreement, as applicable, if being entered into as an original agreement. The foregoing provisions are intended as an inducement to the parties providing any Permitted Second Priority Additional Debt to extend credit to the borrowers thereof and such parties are intended third-party beneficiaries of such provisions and the provisions of the Second Lien Intercreditor Agreement.</w:t>
      </w:r>
    </w:p>
    <w:p>
      <w:pPr>
        <w:spacing w:after="0" w:line="165" w:lineRule="exact"/>
        <w:rPr>
          <w:rFonts w:ascii="Arial" w:cs="Arial" w:eastAsia="Arial" w:hAnsi="Arial"/>
          <w:sz w:val="19"/>
          <w:szCs w:val="19"/>
          <w:color w:val="auto"/>
        </w:rPr>
      </w:pPr>
    </w:p>
    <w:p>
      <w:pPr>
        <w:ind w:firstLine="605"/>
        <w:spacing w:after="0" w:line="291" w:lineRule="auto"/>
        <w:tabs>
          <w:tab w:leader="none" w:pos="1108"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The extent of any conflict between the Loan Documents, on the one hand, and the ABL Intercreditor Agreement or other intercreditor agreement contemplated by this </w:t>
      </w:r>
      <w:r>
        <w:rPr>
          <w:rFonts w:ascii="Arial" w:cs="Arial" w:eastAsia="Arial" w:hAnsi="Arial"/>
          <w:sz w:val="20"/>
          <w:szCs w:val="20"/>
          <w:u w:val="single" w:color="auto"/>
          <w:color w:val="auto"/>
        </w:rPr>
        <w:t>Section 10.23</w:t>
      </w:r>
      <w:r>
        <w:rPr>
          <w:rFonts w:ascii="Arial" w:cs="Arial" w:eastAsia="Arial" w:hAnsi="Arial"/>
          <w:sz w:val="20"/>
          <w:szCs w:val="20"/>
          <w:color w:val="auto"/>
        </w:rPr>
        <w:t>, on the other hand, such intercreditor agreement shall control.</w:t>
      </w:r>
    </w:p>
    <w:p>
      <w:pPr>
        <w:spacing w:after="0" w:line="134"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10.24.</w:t>
      </w:r>
      <w:r>
        <w:rPr>
          <w:sz w:val="20"/>
          <w:szCs w:val="20"/>
          <w:color w:val="auto"/>
        </w:rPr>
        <w:tab/>
      </w:r>
      <w:r>
        <w:rPr>
          <w:rFonts w:ascii="Arial" w:cs="Arial" w:eastAsia="Arial" w:hAnsi="Arial"/>
          <w:sz w:val="18"/>
          <w:szCs w:val="18"/>
          <w:i w:val="1"/>
          <w:iCs w:val="1"/>
          <w:color w:val="auto"/>
        </w:rPr>
        <w:t>Alternative Interest Rates</w:t>
      </w:r>
      <w:r>
        <w:rPr>
          <w:rFonts w:ascii="Arial" w:cs="Arial" w:eastAsia="Arial" w:hAnsi="Arial"/>
          <w:sz w:val="18"/>
          <w:szCs w:val="18"/>
          <w:color w:val="auto"/>
        </w:rPr>
        <w:t>.</w:t>
      </w:r>
    </w:p>
    <w:p>
      <w:pPr>
        <w:spacing w:after="0" w:line="223" w:lineRule="exact"/>
        <w:rPr>
          <w:sz w:val="20"/>
          <w:szCs w:val="20"/>
          <w:color w:val="auto"/>
        </w:rPr>
      </w:pPr>
    </w:p>
    <w:p>
      <w:pPr>
        <w:jc w:val="both"/>
        <w:ind w:firstLine="605"/>
        <w:spacing w:after="0" w:line="283" w:lineRule="auto"/>
        <w:tabs>
          <w:tab w:leader="none" w:pos="1046"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If at least two (2) Business Days prior to the commencement of any Interest Period for a Eurodollar Borrowing, the Required Lenders reasonably determine that for any reason, adequate and reasonable means do not exist for determining the Adjusted LIBO Rate for any requested Interest Period with respect to a proposed Eurodollar Loan, or that the Adjusted LIBO Rate for any requested Interest Period with respect to a proposed Eurodollar Loan does not adequately and fairly reflect the cost to such Lenders of funding such Loan, or that deposits are not being offered to banks in the relevant interbank market for the applicable amount and the Interest Period of such Eurodollar Loan, the Administrative Agent will promptly so notify the Borrower and each Lender. Thereafter, (x) the obligation of the Lenders to make or maintain Eurodollar Loans shall be suspended and (y) in the event of a determination described in the preceding sentence with respect to the Adjusted LIBO Rate component of the Base Rate, the utilization of the Adjusted LIBO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Loans or, failing that, will be deemed to have converted such request into a request for a Borrowing of Base Rate Loans (determined without reference to the Adjusted LIBO Rate component thereof) in the amount specified therein.</w:t>
      </w:r>
    </w:p>
    <w:p>
      <w:pPr>
        <w:spacing w:after="0" w:line="154" w:lineRule="exact"/>
        <w:rPr>
          <w:rFonts w:ascii="Arial" w:cs="Arial" w:eastAsia="Arial" w:hAnsi="Arial"/>
          <w:sz w:val="18"/>
          <w:szCs w:val="18"/>
          <w:color w:val="auto"/>
        </w:rPr>
      </w:pPr>
    </w:p>
    <w:p>
      <w:pPr>
        <w:jc w:val="both"/>
        <w:ind w:firstLine="605"/>
        <w:spacing w:after="0" w:line="284" w:lineRule="auto"/>
        <w:tabs>
          <w:tab w:leader="none" w:pos="105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If the Administrative Agent and the Borrower shall reasonably agree that either (i) the circumstances set forth in clause (a) of this </w:t>
      </w:r>
      <w:r>
        <w:rPr>
          <w:rFonts w:ascii="Arial" w:cs="Arial" w:eastAsia="Arial" w:hAnsi="Arial"/>
          <w:sz w:val="18"/>
          <w:szCs w:val="18"/>
          <w:u w:val="single" w:color="auto"/>
          <w:color w:val="auto"/>
        </w:rPr>
        <w:t>Section 10.24</w:t>
      </w:r>
      <w:r>
        <w:rPr>
          <w:rFonts w:ascii="Arial" w:cs="Arial" w:eastAsia="Arial" w:hAnsi="Arial"/>
          <w:sz w:val="18"/>
          <w:szCs w:val="18"/>
          <w:color w:val="auto"/>
        </w:rPr>
        <w:t xml:space="preserve"> have arisen and such circumstances are unlikely to be temporary or (ii) the circumstances set forth in clause (a) of this </w:t>
      </w:r>
      <w:r>
        <w:rPr>
          <w:rFonts w:ascii="Arial" w:cs="Arial" w:eastAsia="Arial" w:hAnsi="Arial"/>
          <w:sz w:val="18"/>
          <w:szCs w:val="18"/>
          <w:u w:val="single" w:color="auto"/>
          <w:color w:val="auto"/>
        </w:rPr>
        <w:t>Section 10.24</w:t>
      </w:r>
      <w:r>
        <w:rPr>
          <w:rFonts w:ascii="Arial" w:cs="Arial" w:eastAsia="Arial" w:hAnsi="Arial"/>
          <w:sz w:val="18"/>
          <w:szCs w:val="18"/>
          <w:color w:val="auto"/>
        </w:rPr>
        <w:t xml:space="preserve"> have not arisen but the supervisor for the administrator of the LIBO Rate (or any component thereof) or a Governmental Authority having jurisdiction over the Administrative Agent has made a public statement identifying a specific date after which the LIBO Rate (or any component thereof) shall no longer be published for use in determining interest rates for loans (in the case of either such clause</w:t>
      </w:r>
    </w:p>
    <w:p>
      <w:pPr>
        <w:spacing w:after="0" w:line="1" w:lineRule="exact"/>
        <w:rPr>
          <w:rFonts w:ascii="Arial" w:cs="Arial" w:eastAsia="Arial" w:hAnsi="Arial"/>
          <w:sz w:val="18"/>
          <w:szCs w:val="18"/>
          <w:color w:val="auto"/>
        </w:rPr>
      </w:pPr>
    </w:p>
    <w:p>
      <w:pPr>
        <w:jc w:val="both"/>
        <w:ind w:firstLine="1"/>
        <w:spacing w:after="0" w:line="280" w:lineRule="auto"/>
        <w:tabs>
          <w:tab w:leader="none" w:pos="26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or (ii), an “</w:t>
      </w:r>
      <w:r>
        <w:rPr>
          <w:rFonts w:ascii="Arial" w:cs="Arial" w:eastAsia="Arial" w:hAnsi="Arial"/>
          <w:sz w:val="18"/>
          <w:szCs w:val="18"/>
          <w:b w:val="1"/>
          <w:bCs w:val="1"/>
          <w:color w:val="auto"/>
        </w:rPr>
        <w:t>Alternative Interest Rate Election Event</w:t>
      </w:r>
      <w:r>
        <w:rPr>
          <w:rFonts w:ascii="Arial" w:cs="Arial" w:eastAsia="Arial" w:hAnsi="Arial"/>
          <w:sz w:val="18"/>
          <w:szCs w:val="18"/>
          <w:color w:val="auto"/>
        </w:rPr>
        <w:t xml:space="preserve">”), the Administrative Agent, the Required Lenders and the Borrower (a) shall endeavor to establish an alternate rate of interest to the LIBO Rate that gives due consideration to the then prevailing market convention for determining a rate of interest for leveraged syndicated loans in the United States at such time, and (b) shall enter into an amendment to this Agreement to reflect such alternate rate of interest and such other related changes to this Agreement as may be applicable. Notwithstanding anything to the contrary in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(5) Business Days after the date notice of such alternate rate of interest is provided to the Lenders, a written notice from Required Lenders stating that they object to such amendment (which amendment shall not be effective prior to the end of such five (5) Business Day notice period). To the extent an alternate rate of interest is adopted as contemplated hereby, the approved rate shall be applied in a manner consistent with prevailing market convention;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prevailing market convention is not administratively feasible for the Administrative Agent, such approved rate shall be applied in a manner as otherwise reasonably determined by the Required Lenders, Administrative Agent and the Borrower. From such time as an Alternative Interest Rate Election Event has occurred and continuing until an alternate rate of interest has</w:t>
      </w:r>
    </w:p>
    <w:p>
      <w:pPr>
        <w:sectPr>
          <w:pgSz w:w="11900" w:h="16914" w:orient="portrait"/>
          <w:cols w:equalWidth="0" w:num="1">
            <w:col w:w="11420"/>
          </w:cols>
          <w:pgMar w:left="240" w:top="131" w:right="239" w:bottom="0" w:gutter="0" w:footer="0" w:header="0"/>
        </w:sectPr>
      </w:pPr>
    </w:p>
    <w:bookmarkStart w:id="124" w:name="page125"/>
    <w:bookmarkEnd w:id="124"/>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been determined in accordance with the terms and conditions of this paragraph, (x) any Request for Credit Extension that requests the conversion of any Loan to, or continuation of any Loan as, a Eurodollar Loan shall be ineffective, and (y) if any Request for Credit Extension requests a Eurodollar Loan, such Loan shall be made as a Base Rate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Alternative Interest Rate Election Event is as a result of clause (ii) above, then clauses (x) and (y) of this sentence shall apply during such period only if the LIBO Rate for such Interest Period is not available or published at such time on a current basis. Notwithstanding anything contained herein to the contrary, if such alternate rate of interest as determined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is determined to be less than 1% per annum, such rate shall be deemed to be 1% percent per annum for the purposes of this Agreement.</w:t>
      </w:r>
    </w:p>
    <w:p>
      <w:pPr>
        <w:spacing w:after="0" w:line="15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11</w:t>
      </w:r>
    </w:p>
    <w:p>
      <w:pPr>
        <w:spacing w:after="0" w:line="3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GUARANTEE</w:t>
      </w:r>
    </w:p>
    <w:p>
      <w:pPr>
        <w:spacing w:after="0" w:line="205" w:lineRule="exact"/>
        <w:rPr>
          <w:sz w:val="20"/>
          <w:szCs w:val="20"/>
          <w:color w:val="auto"/>
        </w:rPr>
      </w:pPr>
    </w:p>
    <w:p>
      <w:pPr>
        <w:jc w:val="both"/>
        <w:ind w:firstLine="604"/>
        <w:spacing w:after="0" w:line="267"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i w:val="1"/>
          <w:iCs w:val="1"/>
          <w:color w:val="auto"/>
        </w:rPr>
        <w:t>The Guarantee.</w:t>
      </w:r>
      <w:r>
        <w:rPr>
          <w:rFonts w:ascii="Arial" w:cs="Arial" w:eastAsia="Arial" w:hAnsi="Arial"/>
          <w:sz w:val="19"/>
          <w:szCs w:val="19"/>
          <w:color w:val="auto"/>
        </w:rPr>
        <w:t xml:space="preserve"> Each Guarantor hereby jointly and severally with the other Guarantors guarantees, as a primary obligor and not as a surety to each Secured Party and their respective permitted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whether or not such items are allowed or allowable as a claim in any applicable proceeding) on the Loans made by the Lenders to, and the Term Notes (if any) issued hereunder and held by each Lender of, the Borrower, and all other Obligations from time to time owing to the Secured Parties by any other Loan Party under any Loan Document strictly in accordance with the terms thereof (such obligations being herein collectively called the “</w:t>
      </w:r>
      <w:r>
        <w:rPr>
          <w:rFonts w:ascii="Arial" w:cs="Arial" w:eastAsia="Arial" w:hAnsi="Arial"/>
          <w:sz w:val="19"/>
          <w:szCs w:val="19"/>
          <w:b w:val="1"/>
          <w:bCs w:val="1"/>
          <w:color w:val="auto"/>
        </w:rPr>
        <w:t>Guaranteed Obligations</w:t>
      </w:r>
      <w:r>
        <w:rPr>
          <w:rFonts w:ascii="Arial" w:cs="Arial" w:eastAsia="Arial" w:hAnsi="Arial"/>
          <w:sz w:val="19"/>
          <w:szCs w:val="19"/>
          <w:color w:val="auto"/>
        </w:rPr>
        <w:t>”).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62" w:lineRule="exact"/>
        <w:rPr>
          <w:sz w:val="20"/>
          <w:szCs w:val="20"/>
          <w:color w:val="auto"/>
        </w:rPr>
      </w:pPr>
    </w:p>
    <w:p>
      <w:pPr>
        <w:jc w:val="both"/>
        <w:ind w:firstLine="604"/>
        <w:spacing w:after="0" w:line="254" w:lineRule="auto"/>
        <w:rPr>
          <w:sz w:val="20"/>
          <w:szCs w:val="20"/>
          <w:color w:val="auto"/>
        </w:rPr>
      </w:pPr>
      <w:r>
        <w:rPr>
          <w:rFonts w:ascii="Arial" w:cs="Arial" w:eastAsia="Arial" w:hAnsi="Arial"/>
          <w:sz w:val="20"/>
          <w:szCs w:val="20"/>
          <w:color w:val="auto"/>
        </w:rPr>
        <w:t xml:space="preserve">Section 11.02. </w:t>
      </w:r>
      <w:r>
        <w:rPr>
          <w:rFonts w:ascii="Arial" w:cs="Arial" w:eastAsia="Arial" w:hAnsi="Arial"/>
          <w:sz w:val="20"/>
          <w:szCs w:val="20"/>
          <w:i w:val="1"/>
          <w:iCs w:val="1"/>
          <w:color w:val="auto"/>
        </w:rPr>
        <w:t>Obligations Unconditional.</w:t>
      </w:r>
      <w:r>
        <w:rPr>
          <w:rFonts w:ascii="Arial" w:cs="Arial" w:eastAsia="Arial" w:hAnsi="Arial"/>
          <w:sz w:val="20"/>
          <w:szCs w:val="20"/>
          <w:color w:val="auto"/>
        </w:rPr>
        <w:t xml:space="preserve"> The obligations of the Guarantors under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shall constitute a guaranty of payment and to the fullest extent permitted by applicable Law, are absolute, irrevocable and unconditional, joint and several, irrespective of the value, genuineness, validity, regularity or enforceability of the Guaranteed Obligations of the Borrower or any other Guarantor under this Agreement, any Term Notes issued under this Agreement,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75" w:lineRule="exact"/>
        <w:rPr>
          <w:sz w:val="20"/>
          <w:szCs w:val="20"/>
          <w:color w:val="auto"/>
        </w:rPr>
      </w:pPr>
    </w:p>
    <w:p>
      <w:pPr>
        <w:ind w:firstLine="680"/>
        <w:spacing w:after="0" w:line="350" w:lineRule="auto"/>
        <w:tabs>
          <w:tab w:leader="none" w:pos="107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88" w:lineRule="exact"/>
        <w:rPr>
          <w:rFonts w:ascii="Arial" w:cs="Arial" w:eastAsia="Arial" w:hAnsi="Arial"/>
          <w:sz w:val="18"/>
          <w:szCs w:val="18"/>
          <w:color w:val="auto"/>
        </w:rPr>
      </w:pPr>
    </w:p>
    <w:p>
      <w:pPr>
        <w:ind w:firstLine="680"/>
        <w:spacing w:after="0" w:line="291" w:lineRule="auto"/>
        <w:tabs>
          <w:tab w:leader="none" w:pos="115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any of the acts mentioned in any of the provisions of this Agreement or the Term Notes, if any, or any other agreement or instrument referred to herein or therein shall be done or omitted;</w:t>
      </w:r>
    </w:p>
    <w:p>
      <w:pPr>
        <w:spacing w:after="0" w:line="134" w:lineRule="exact"/>
        <w:rPr>
          <w:rFonts w:ascii="Arial" w:cs="Arial" w:eastAsia="Arial" w:hAnsi="Arial"/>
          <w:sz w:val="20"/>
          <w:szCs w:val="20"/>
          <w:color w:val="auto"/>
        </w:rPr>
      </w:pPr>
    </w:p>
    <w:p>
      <w:pPr>
        <w:jc w:val="both"/>
        <w:ind w:firstLine="680"/>
        <w:spacing w:after="0" w:line="263" w:lineRule="auto"/>
        <w:tabs>
          <w:tab w:leader="none" w:pos="109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62" w:lineRule="exact"/>
        <w:rPr>
          <w:rFonts w:ascii="Arial" w:cs="Arial" w:eastAsia="Arial" w:hAnsi="Arial"/>
          <w:sz w:val="20"/>
          <w:szCs w:val="20"/>
          <w:color w:val="auto"/>
        </w:rPr>
      </w:pPr>
    </w:p>
    <w:p>
      <w:pPr>
        <w:ind w:firstLine="680"/>
        <w:spacing w:after="0" w:line="291" w:lineRule="auto"/>
        <w:tabs>
          <w:tab w:leader="none" w:pos="118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any Lien or security interest granted to, or in favor of, any Secured Party or Agent as security for any of the Guaranteed Obligations shall fail to be perfected; or</w:t>
      </w:r>
    </w:p>
    <w:p>
      <w:pPr>
        <w:spacing w:after="0" w:line="134" w:lineRule="exact"/>
        <w:rPr>
          <w:rFonts w:ascii="Arial" w:cs="Arial" w:eastAsia="Arial" w:hAnsi="Arial"/>
          <w:sz w:val="20"/>
          <w:szCs w:val="20"/>
          <w:color w:val="auto"/>
        </w:rPr>
      </w:pPr>
    </w:p>
    <w:p>
      <w:pPr>
        <w:ind w:left="1080" w:hanging="400"/>
        <w:spacing w:after="0"/>
        <w:tabs>
          <w:tab w:leader="none" w:pos="108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the release of any other Guarantor pursuant to </w:t>
      </w:r>
      <w:r>
        <w:rPr>
          <w:rFonts w:ascii="Arial" w:cs="Arial" w:eastAsia="Arial" w:hAnsi="Arial"/>
          <w:sz w:val="20"/>
          <w:szCs w:val="20"/>
          <w:u w:val="single" w:color="auto"/>
          <w:color w:val="auto"/>
        </w:rPr>
        <w:t>Section 11.10</w:t>
      </w:r>
      <w:r>
        <w:rPr>
          <w:rFonts w:ascii="Arial" w:cs="Arial" w:eastAsia="Arial" w:hAnsi="Arial"/>
          <w:sz w:val="20"/>
          <w:szCs w:val="20"/>
          <w:color w:val="auto"/>
        </w:rPr>
        <w:t>.</w:t>
      </w:r>
    </w:p>
    <w:p>
      <w:pPr>
        <w:spacing w:after="0" w:line="223" w:lineRule="exact"/>
        <w:rPr>
          <w:sz w:val="20"/>
          <w:szCs w:val="20"/>
          <w:color w:val="auto"/>
        </w:rPr>
      </w:pPr>
    </w:p>
    <w:p>
      <w:pPr>
        <w:jc w:val="both"/>
        <w:ind w:firstLine="604"/>
        <w:spacing w:after="0" w:line="281"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Certain Waivers. Etc.</w:t>
      </w:r>
      <w:r>
        <w:rPr>
          <w:rFonts w:ascii="Arial" w:cs="Arial" w:eastAsia="Arial" w:hAnsi="Arial"/>
          <w:sz w:val="18"/>
          <w:szCs w:val="18"/>
          <w:color w:val="auto"/>
        </w:rPr>
        <w:t xml:space="preserve"> The Guarantors hereby expressly waive (to the extent permitted by applicable Law) diligence, presentment, demand of payment, protest and, to the extent permitted by Law, all notices whatsoever, and any requirement that any Secured Party exhaust any right, power or remedy or proceed against the Borrower under this Agreement or the Term Notes issued hereunder,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the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permitted assigns thereof, and shall inure to the benefit of the Secured Parties, and their respective successors and permitted assigns, notwithstanding that from time to time during the term of this Agreement there may be no Guaranteed Obligations outstanding. Each Guarantor waives (to the extent permitted by Law) any rights and defenses that are or may become available to it by reason of §§ 2787 to 2855, inclusive, and §§ 2899 and 3433 of the California Civil Code. As provided in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governed by, and construed in accordance with,</w:t>
      </w:r>
    </w:p>
    <w:p>
      <w:pPr>
        <w:sectPr>
          <w:pgSz w:w="11900" w:h="16891" w:orient="portrait"/>
          <w:cols w:equalWidth="0" w:num="1">
            <w:col w:w="11420"/>
          </w:cols>
          <w:pgMar w:left="240" w:top="131" w:right="239" w:bottom="0" w:gutter="0" w:footer="0" w:header="0"/>
        </w:sectPr>
      </w:pPr>
    </w:p>
    <w:bookmarkStart w:id="125" w:name="page126"/>
    <w:bookmarkEnd w:id="125"/>
    <w:p>
      <w:pPr>
        <w:jc w:val="both"/>
        <w:spacing w:after="0" w:line="284" w:lineRule="auto"/>
        <w:rPr>
          <w:sz w:val="20"/>
          <w:szCs w:val="20"/>
          <w:color w:val="auto"/>
        </w:rPr>
      </w:pPr>
      <w:r>
        <w:rPr>
          <w:rFonts w:ascii="Arial" w:cs="Arial" w:eastAsia="Arial" w:hAnsi="Arial"/>
          <w:sz w:val="19"/>
          <w:szCs w:val="19"/>
          <w:color w:val="auto"/>
        </w:rPr>
        <w:t xml:space="preserve">the laws of the State of New York. The foregoing waivers and the provisions hereinafter set forth in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which pertain to California law are included solely out of an abundance of caution, and shall not be construed to mean that any of the above-referenced provisions of California law are in any way applicable to this </w:t>
      </w:r>
      <w:r>
        <w:rPr>
          <w:rFonts w:ascii="Arial" w:cs="Arial" w:eastAsia="Arial" w:hAnsi="Arial"/>
          <w:sz w:val="19"/>
          <w:szCs w:val="19"/>
          <w:u w:val="single" w:color="auto"/>
          <w:color w:val="auto"/>
        </w:rPr>
        <w:t>Article 11</w:t>
      </w:r>
      <w:r>
        <w:rPr>
          <w:rFonts w:ascii="Arial" w:cs="Arial" w:eastAsia="Arial" w:hAnsi="Arial"/>
          <w:sz w:val="19"/>
          <w:szCs w:val="19"/>
          <w:color w:val="auto"/>
        </w:rPr>
        <w:t>, to any other provision of this Agreement or to the Obligations.</w:t>
      </w:r>
    </w:p>
    <w:p>
      <w:pPr>
        <w:spacing w:after="0" w:line="143"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11.04. </w:t>
      </w:r>
      <w:r>
        <w:rPr>
          <w:rFonts w:ascii="Arial" w:cs="Arial" w:eastAsia="Arial" w:hAnsi="Arial"/>
          <w:sz w:val="20"/>
          <w:szCs w:val="20"/>
          <w:i w:val="1"/>
          <w:iCs w:val="1"/>
          <w:color w:val="auto"/>
        </w:rPr>
        <w:t>Reinstatement.</w:t>
      </w:r>
      <w:r>
        <w:rPr>
          <w:rFonts w:ascii="Arial" w:cs="Arial" w:eastAsia="Arial" w:hAnsi="Arial"/>
          <w:sz w:val="20"/>
          <w:szCs w:val="20"/>
          <w:color w:val="auto"/>
        </w:rPr>
        <w:t xml:space="preserve"> The obligations of the Guarantors under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162"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i w:val="1"/>
          <w:iCs w:val="1"/>
          <w:color w:val="auto"/>
        </w:rPr>
        <w:t>Subrogation; Subordination.</w:t>
      </w:r>
      <w:r>
        <w:rPr>
          <w:rFonts w:ascii="Arial" w:cs="Arial" w:eastAsia="Arial" w:hAnsi="Arial"/>
          <w:sz w:val="20"/>
          <w:szCs w:val="20"/>
          <w:color w:val="auto"/>
        </w:rPr>
        <w:t xml:space="preserve"> Each Guarantor hereby agrees that until the payment and satisfaction in full in cash of all Guaranteed Obligations (other than contingent obligations) and the expiration and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whether by subrogation or otherwise, against the Borrower or any other Guarantor of any of the Guaranteed Obligations or any security for any of the Guaranteed Obligations. Any Indebtedness of any Loan Party to any Person that is not a Loan Party permitted pursuant to </w:t>
      </w:r>
      <w:r>
        <w:rPr>
          <w:rFonts w:ascii="Arial" w:cs="Arial" w:eastAsia="Arial" w:hAnsi="Arial"/>
          <w:sz w:val="20"/>
          <w:szCs w:val="20"/>
          <w:u w:val="single" w:color="auto"/>
          <w:color w:val="auto"/>
        </w:rPr>
        <w:t>Section 7.03(b)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7.03(d)</w:t>
      </w:r>
      <w:r>
        <w:rPr>
          <w:rFonts w:ascii="Arial" w:cs="Arial" w:eastAsia="Arial" w:hAnsi="Arial"/>
          <w:sz w:val="20"/>
          <w:szCs w:val="20"/>
          <w:color w:val="auto"/>
        </w:rPr>
        <w:t xml:space="preserve"> shall be subordinated to such Loan Party’s Obligations in an manner reasonably acceptable to the Required Lenders.</w:t>
      </w:r>
    </w:p>
    <w:p>
      <w:pPr>
        <w:spacing w:after="0" w:line="170" w:lineRule="exact"/>
        <w:rPr>
          <w:sz w:val="20"/>
          <w:szCs w:val="20"/>
          <w:color w:val="auto"/>
        </w:rPr>
      </w:pPr>
    </w:p>
    <w:p>
      <w:pPr>
        <w:jc w:val="both"/>
        <w:ind w:firstLine="604"/>
        <w:spacing w:after="0" w:line="272"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i w:val="1"/>
          <w:iCs w:val="1"/>
          <w:color w:val="auto"/>
        </w:rPr>
        <w:t>Remedies.</w:t>
      </w:r>
      <w:r>
        <w:rPr>
          <w:rFonts w:ascii="Arial" w:cs="Arial" w:eastAsia="Arial" w:hAnsi="Arial"/>
          <w:sz w:val="19"/>
          <w:szCs w:val="19"/>
          <w:color w:val="auto"/>
        </w:rPr>
        <w:t xml:space="preserve"> The Guarantors jointly and severally agree that, as between the Guarantors and the Lenders, the obligations of the Borrower under this Agreement and the Term Notes issued hereunder, if any, may be declared to be forthwith due and payable as provided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shall be deemed to have become automatically due and payable in the circumstances provided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54"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i w:val="1"/>
          <w:iCs w:val="1"/>
          <w:color w:val="auto"/>
        </w:rPr>
        <w:t>Instrument for the Payment of Money.</w:t>
      </w:r>
      <w:r>
        <w:rPr>
          <w:rFonts w:ascii="Arial" w:cs="Arial" w:eastAsia="Arial" w:hAnsi="Arial"/>
          <w:sz w:val="20"/>
          <w:szCs w:val="20"/>
          <w:color w:val="auto"/>
        </w:rPr>
        <w:t xml:space="preserve"> Each Guarantor hereby acknowledges that the guarantee in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constitutes an instrument for the payment of money, and consents and agrees that any Secured Party or Agent, at its sole option, in the event of a dispute by such Guarantor in the payment of any moneys due hereunder, shall have the right to bring a motion-action under New York CPLR Section 3213.</w:t>
      </w:r>
    </w:p>
    <w:p>
      <w:pPr>
        <w:spacing w:after="0" w:line="162" w:lineRule="exact"/>
        <w:rPr>
          <w:sz w:val="20"/>
          <w:szCs w:val="20"/>
          <w:color w:val="auto"/>
        </w:rPr>
      </w:pPr>
    </w:p>
    <w:p>
      <w:pPr>
        <w:jc w:val="both"/>
        <w:ind w:firstLine="604"/>
        <w:spacing w:after="0" w:line="291" w:lineRule="auto"/>
        <w:rPr>
          <w:sz w:val="20"/>
          <w:szCs w:val="20"/>
          <w:color w:val="auto"/>
        </w:rPr>
      </w:pPr>
      <w:r>
        <w:rPr>
          <w:rFonts w:ascii="Arial" w:cs="Arial" w:eastAsia="Arial" w:hAnsi="Arial"/>
          <w:sz w:val="20"/>
          <w:szCs w:val="20"/>
          <w:color w:val="auto"/>
        </w:rPr>
        <w:t xml:space="preserve">Section 11.08. </w:t>
      </w:r>
      <w:r>
        <w:rPr>
          <w:rFonts w:ascii="Arial" w:cs="Arial" w:eastAsia="Arial" w:hAnsi="Arial"/>
          <w:sz w:val="20"/>
          <w:szCs w:val="20"/>
          <w:i w:val="1"/>
          <w:iCs w:val="1"/>
          <w:color w:val="auto"/>
        </w:rPr>
        <w:t>Continuing Guarantee.</w:t>
      </w:r>
      <w:r>
        <w:rPr>
          <w:rFonts w:ascii="Arial" w:cs="Arial" w:eastAsia="Arial" w:hAnsi="Arial"/>
          <w:sz w:val="20"/>
          <w:szCs w:val="20"/>
          <w:color w:val="auto"/>
        </w:rPr>
        <w:t xml:space="preserve"> The guarantee in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is a continuing guarantee of payment, and shall apply to all Guaranteed Obligations whenever arising.</w:t>
      </w:r>
    </w:p>
    <w:p>
      <w:pPr>
        <w:spacing w:after="0" w:line="134" w:lineRule="exact"/>
        <w:rPr>
          <w:sz w:val="20"/>
          <w:szCs w:val="20"/>
          <w:color w:val="auto"/>
        </w:rPr>
      </w:pPr>
    </w:p>
    <w:p>
      <w:pPr>
        <w:jc w:val="both"/>
        <w:ind w:firstLine="604"/>
        <w:spacing w:after="0" w:line="270"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i w:val="1"/>
          <w:iCs w:val="1"/>
          <w:color w:val="auto"/>
        </w:rPr>
        <w:t>General Limitation on Guarantee Obligations.</w:t>
      </w:r>
      <w:r>
        <w:rPr>
          <w:rFonts w:ascii="Arial" w:cs="Arial" w:eastAsia="Arial" w:hAnsi="Arial"/>
          <w:sz w:val="19"/>
          <w:szCs w:val="19"/>
          <w:color w:val="auto"/>
        </w:rPr>
        <w:t xml:space="preserve"> In any action or proceeding involving any state corporate, limited partnership or limited liability company law, or any applicable state, federal or foreign bankruptcy, insolvency, reorganization or other Law affecting the rights of creditors generally, if the obligations of any Guarantor under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w:t>
      </w:r>
      <w:r>
        <w:rPr>
          <w:rFonts w:ascii="Arial" w:cs="Arial" w:eastAsia="Arial" w:hAnsi="Arial"/>
          <w:sz w:val="19"/>
          <w:szCs w:val="19"/>
          <w:u w:val="single" w:color="auto"/>
          <w:color w:val="auto"/>
        </w:rPr>
        <w:t>Section 11.11</w:t>
      </w:r>
      <w:r>
        <w:rPr>
          <w:rFonts w:ascii="Arial" w:cs="Arial" w:eastAsia="Arial" w:hAnsi="Arial"/>
          <w:sz w:val="19"/>
          <w:szCs w:val="19"/>
          <w:color w:val="auto"/>
        </w:rPr>
        <w:t>) that is valid and enforceable and not subordinated to the claims of other creditors as determined in such action or proceeding.</w:t>
      </w:r>
    </w:p>
    <w:p>
      <w:pPr>
        <w:spacing w:after="0" w:line="160" w:lineRule="exact"/>
        <w:rPr>
          <w:sz w:val="20"/>
          <w:szCs w:val="20"/>
          <w:color w:val="auto"/>
        </w:rPr>
      </w:pPr>
    </w:p>
    <w:p>
      <w:pPr>
        <w:jc w:val="both"/>
        <w:ind w:firstLine="604"/>
        <w:spacing w:after="0" w:line="266"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i w:val="1"/>
          <w:iCs w:val="1"/>
          <w:color w:val="auto"/>
        </w:rPr>
        <w:t>Release of Guarantors.</w:t>
      </w:r>
      <w:r>
        <w:rPr>
          <w:rFonts w:ascii="Arial" w:cs="Arial" w:eastAsia="Arial" w:hAnsi="Arial"/>
          <w:sz w:val="19"/>
          <w:szCs w:val="19"/>
          <w:color w:val="auto"/>
        </w:rPr>
        <w:t xml:space="preserve"> If, in compliance with the terms and provisions of the Loan Documents, (i) all or substantially all of the Equity Interests or property of any Guarantor are sold or otherwise transferred to a Person or Persons none of which is a Loan Party or (ii) any Guarantor becomes an Excluded Subsidiary (any such Guarantor, and any Guarantor referred to in clause (i), a “</w:t>
      </w:r>
      <w:r>
        <w:rPr>
          <w:rFonts w:ascii="Arial" w:cs="Arial" w:eastAsia="Arial" w:hAnsi="Arial"/>
          <w:sz w:val="19"/>
          <w:szCs w:val="19"/>
          <w:b w:val="1"/>
          <w:bCs w:val="1"/>
          <w:color w:val="auto"/>
        </w:rPr>
        <w:t>Transferred Guarantor</w:t>
      </w:r>
      <w:r>
        <w:rPr>
          <w:rFonts w:ascii="Arial" w:cs="Arial" w:eastAsia="Arial" w:hAnsi="Arial"/>
          <w:sz w:val="19"/>
          <w:szCs w:val="19"/>
          <w:color w:val="auto"/>
        </w:rPr>
        <w:t xml:space="preserve">”), such Transferred Guarantor shall, upon (x) the consummation of such sale or transfer or other transaction or (y) becoming an Excluded Subsidiary pursuant to clause (e) of the definition thereof, be automatically released from its obligations under this Agreement (including under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hereof) and its obligations to pledge and grant any Collateral owned by it pursuant to any Collateral Document and, in the case of a sale of all or substantially all of the Equity Interests of the Transferred Guarantor, the pledge of such Equity Interests to the Collateral Agent pursuant to the Collateral Documents shall be automatically released, and, the Collateral Agent shall take such actions as are necessary to effect each release described in this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in accordance with the relevant provisions of the Collateral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Guarantor shall be released as provided in this paragraph if such Guarantor continues to be a guarantor in respect of any Indebtedness incurred pursuant to </w:t>
      </w:r>
      <w:r>
        <w:rPr>
          <w:rFonts w:ascii="Arial" w:cs="Arial" w:eastAsia="Arial" w:hAnsi="Arial"/>
          <w:sz w:val="19"/>
          <w:szCs w:val="19"/>
          <w:u w:val="single" w:color="auto"/>
          <w:color w:val="auto"/>
        </w:rPr>
        <w:t>Section 7.03(o)</w:t>
      </w:r>
      <w:r>
        <w:rPr>
          <w:rFonts w:ascii="Arial" w:cs="Arial" w:eastAsia="Arial" w:hAnsi="Arial"/>
          <w:sz w:val="19"/>
          <w:szCs w:val="19"/>
          <w:color w:val="auto"/>
        </w:rPr>
        <w:t xml:space="preserve">, any Permitted Additional Debt, any Junior Financing or any Permitted Refinancing of any of the foregoing. Notwithstanding anything herein to the contrary,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9"/>
          <w:szCs w:val="19"/>
          <w:u w:val="single" w:color="auto"/>
          <w:color w:val="auto"/>
        </w:rPr>
        <w:t>Section 7.02(c)(iii)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at the time such Person becomes an Excluded Subsidiary pursuant to clause (a) of the definition of “Excluded Subsidiary”.</w:t>
      </w:r>
    </w:p>
    <w:p>
      <w:pPr>
        <w:spacing w:after="0" w:line="165" w:lineRule="exact"/>
        <w:rPr>
          <w:sz w:val="20"/>
          <w:szCs w:val="20"/>
          <w:color w:val="auto"/>
        </w:rPr>
      </w:pPr>
    </w:p>
    <w:p>
      <w:pPr>
        <w:jc w:val="both"/>
        <w:ind w:firstLine="604"/>
        <w:spacing w:after="0" w:line="284" w:lineRule="auto"/>
        <w:rPr>
          <w:sz w:val="20"/>
          <w:szCs w:val="20"/>
          <w:color w:val="auto"/>
        </w:rPr>
      </w:pPr>
      <w:r>
        <w:rPr>
          <w:rFonts w:ascii="Arial" w:cs="Arial" w:eastAsia="Arial" w:hAnsi="Arial"/>
          <w:sz w:val="19"/>
          <w:szCs w:val="19"/>
          <w:color w:val="auto"/>
        </w:rPr>
        <w:t>When all Commitments hereunder have terminated, and all Loans or other Obligations hereunder which are accrued and payable have been paid or satisfied, this Agreement and the Guarantees made herein shall automatically terminate with respect to all Obligations, except with respect to Obligations that expressly survive such repayment pursuant to the terms of this Agreement.</w:t>
      </w:r>
    </w:p>
    <w:p>
      <w:pPr>
        <w:spacing w:after="0" w:line="143" w:lineRule="exact"/>
        <w:rPr>
          <w:sz w:val="20"/>
          <w:szCs w:val="20"/>
          <w:color w:val="auto"/>
        </w:rPr>
      </w:pPr>
    </w:p>
    <w:p>
      <w:pPr>
        <w:jc w:val="both"/>
        <w:ind w:firstLine="604"/>
        <w:spacing w:after="0" w:line="273"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i w:val="1"/>
          <w:iCs w:val="1"/>
          <w:color w:val="auto"/>
        </w:rPr>
        <w:t>Right of Contribution.</w:t>
      </w:r>
      <w:r>
        <w:rPr>
          <w:rFonts w:ascii="Arial" w:cs="Arial" w:eastAsia="Arial" w:hAnsi="Arial"/>
          <w:sz w:val="19"/>
          <w:szCs w:val="19"/>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shall in no respect limit the obligations and liabilities of any Guarantor to the Administrative Agent and the Secured Parties, and each Guarantor shall remain liable to the Administrative Agent and the Secured Parties for the full amount guaranteed by such Guarantor hereunder.</w:t>
      </w:r>
    </w:p>
    <w:p>
      <w:pPr>
        <w:sectPr>
          <w:pgSz w:w="11900" w:h="16838" w:orient="portrait"/>
          <w:cols w:equalWidth="0" w:num="1">
            <w:col w:w="11420"/>
          </w:cols>
          <w:pgMar w:left="240" w:top="131" w:right="239" w:bottom="0" w:gutter="0" w:footer="0" w:header="0"/>
        </w:sectPr>
      </w:pPr>
    </w:p>
    <w:bookmarkStart w:id="126" w:name="page127"/>
    <w:bookmarkEnd w:id="126"/>
    <w:p>
      <w:pPr>
        <w:spacing w:after="0"/>
        <w:tabs>
          <w:tab w:leader="none" w:pos="1360" w:val="left"/>
        </w:tabs>
        <w:rPr>
          <w:sz w:val="20"/>
          <w:szCs w:val="20"/>
          <w:color w:val="auto"/>
        </w:rPr>
      </w:pPr>
      <w:r>
        <w:rPr>
          <w:rFonts w:ascii="Arial" w:cs="Arial" w:eastAsia="Arial" w:hAnsi="Arial"/>
          <w:sz w:val="20"/>
          <w:szCs w:val="20"/>
          <w:color w:val="auto"/>
        </w:rPr>
        <w:t>Section 11.12.</w:t>
      </w:r>
      <w:r>
        <w:rPr>
          <w:sz w:val="20"/>
          <w:szCs w:val="20"/>
          <w:color w:val="auto"/>
        </w:rPr>
        <w:tab/>
      </w:r>
      <w:r>
        <w:rPr>
          <w:rFonts w:ascii="Arial" w:cs="Arial" w:eastAsia="Arial" w:hAnsi="Arial"/>
          <w:sz w:val="18"/>
          <w:szCs w:val="18"/>
          <w:i w:val="1"/>
          <w:iCs w:val="1"/>
          <w:color w:val="auto"/>
        </w:rPr>
        <w:t>Additional Guarantor Waivers and Agreements</w:t>
      </w:r>
      <w:r>
        <w:rPr>
          <w:rFonts w:ascii="Arial" w:cs="Arial" w:eastAsia="Arial" w:hAnsi="Arial"/>
          <w:sz w:val="18"/>
          <w:szCs w:val="18"/>
          <w:color w:val="auto"/>
        </w:rPr>
        <w:t>.</w:t>
      </w:r>
    </w:p>
    <w:p>
      <w:pPr>
        <w:spacing w:after="0" w:line="223" w:lineRule="exact"/>
        <w:rPr>
          <w:sz w:val="20"/>
          <w:szCs w:val="20"/>
          <w:color w:val="auto"/>
        </w:rPr>
      </w:pPr>
    </w:p>
    <w:p>
      <w:pPr>
        <w:jc w:val="both"/>
        <w:ind w:left="-600" w:firstLine="680"/>
        <w:spacing w:after="0" w:line="266" w:lineRule="auto"/>
        <w:tabs>
          <w:tab w:leader="none" w:pos="50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Each Guarantor understands and acknowledges that if the Collateral Agent or any other Secured Party forecloses judicially or nonjudicially against any real property security for the Obligations, that foreclosure could impair or destroy any ability that such Guarantor may have to seek reimbursement, contribution, or indemnification from the Borrower or others based on any right such Guarantor may have of subrogation, reimbursement, contribution, or indemnification for any amounts paid by such Guarantor under the Guaranty. Each Guarantor further understands and acknowledges that in the absence of this paragraph, such potential impairment or destruction of such Guarantor’s rights, if any, may entitle such Guarantor to assert a defense to this Guaranty based on Section 580d of the California Code of Civil Procedure as interpreted in </w:t>
      </w:r>
      <w:r>
        <w:rPr>
          <w:rFonts w:ascii="Arial" w:cs="Arial" w:eastAsia="Arial" w:hAnsi="Arial"/>
          <w:sz w:val="19"/>
          <w:szCs w:val="19"/>
          <w:u w:val="single" w:color="auto"/>
          <w:color w:val="auto"/>
        </w:rPr>
        <w:t>Union Bank v. Gradsky</w:t>
      </w:r>
      <w:r>
        <w:rPr>
          <w:rFonts w:ascii="Arial" w:cs="Arial" w:eastAsia="Arial" w:hAnsi="Arial"/>
          <w:sz w:val="19"/>
          <w:szCs w:val="19"/>
          <w:color w:val="auto"/>
        </w:rPr>
        <w:t>, 265 Cal. App. 2d 40 (1968). By executing this Guaranty, each Guarantor freely, irrevocably, and unconditionally: (i) waives (to the extent permitted by Law) and relinquishes that defense and agrees that such Guarantor will be fully liable under this Guaranty even though the Collateral Agent or any other Secured Party may foreclose, either by judicial foreclosure or by exercise of power of sale, any deed of trust securing the Obligations; (ii) agrees that such Guarantor will not assert that defense in any action or proceeding which the Administrative Agent, the Collateral Agent or any other Secured Party may commence to enforce this Guaranty; (iii) acknowledges and agrees that the rights and defenses waived by such Guarantor in this Guaranty include any right or defense that such Guarantor may have or be entitled to assert based upon or arising out of any one or more of §§ 580a, 580b, 580d, or 726 of the California Code of Civil Procedure or § 2848 of the California Civil Code; and (iv) acknowledges and agrees that the Secured Parties are relying on this waiver in creating the Obligations, and that this waiver is a material part of the consideration which the Secured Parties are receiving for creating the Obligations.</w:t>
      </w:r>
    </w:p>
    <w:p>
      <w:pPr>
        <w:spacing w:after="0" w:line="165" w:lineRule="exact"/>
        <w:rPr>
          <w:rFonts w:ascii="Arial" w:cs="Arial" w:eastAsia="Arial" w:hAnsi="Arial"/>
          <w:sz w:val="19"/>
          <w:szCs w:val="19"/>
          <w:color w:val="auto"/>
        </w:rPr>
      </w:pPr>
    </w:p>
    <w:p>
      <w:pPr>
        <w:jc w:val="both"/>
        <w:ind w:left="-600" w:firstLine="680"/>
        <w:spacing w:after="0" w:line="285" w:lineRule="auto"/>
        <w:tabs>
          <w:tab w:leader="none" w:pos="5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Guarantor waives (to the extent permitted by Law) all rights and defenses that such Guarantor may have because any of the Obligations is secured by real property. This means, among other things: (i) the Administrative Agent, the Collateral Agent and the other Secured Parties may collect from such Guarantor without first foreclosing on any real or personal property Collateral pledged by the other Loan Parties; and (ii) if the Collateral Agent or any other Secured Party forecloses on any real property Collateral pledged by the other Loan Parties: (A) the amount of the Obligations may be reduced only by the price for which that Collateral is sold at the foreclosure sale, even if the collateral is worth more than the sale price, and (B) the Administrative Agent, the Collateral Agent and the other Secured Parties may collect from such Guarantor even if the Secured Parties, by foreclosing on the real property Collateral, have destroyed any right such Guarantor may have to collect from the Borrower. This is an unconditional and irrevocable waiver of any rights and defenses such Guarantor may have because any of the Obligations is secured by real property. These rights and defenses include, but are not limited to, any rights or defenses based upon § 580a, 580b, 580d, or 726 of the California Code of Civil Procedure.</w:t>
      </w:r>
    </w:p>
    <w:p>
      <w:pPr>
        <w:spacing w:after="0" w:line="147" w:lineRule="exact"/>
        <w:rPr>
          <w:rFonts w:ascii="Arial" w:cs="Arial" w:eastAsia="Arial" w:hAnsi="Arial"/>
          <w:sz w:val="18"/>
          <w:szCs w:val="18"/>
          <w:color w:val="auto"/>
        </w:rPr>
      </w:pPr>
    </w:p>
    <w:p>
      <w:pPr>
        <w:ind w:left="-600" w:firstLine="680"/>
        <w:spacing w:after="0" w:line="350" w:lineRule="auto"/>
        <w:tabs>
          <w:tab w:leader="none" w:pos="48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Guarantor waives (to the extent permitted by Law) any right or defense it may have at law or equity, including California Code of Civil Procedure § 580a, to a fair market value hearing or action to determine a deficiency judgment after a foreclosure.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have executed this Agreement as of the date first written above.</w:t>
      </w:r>
    </w:p>
    <w:p>
      <w:pPr>
        <w:spacing w:after="0" w:line="349"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YRC INC.</w:t>
      </w:r>
      <w:r>
        <w:rPr>
          <w:rFonts w:ascii="Arial" w:cs="Arial" w:eastAsia="Arial" w:hAnsi="Arial"/>
          <w:sz w:val="20"/>
          <w:szCs w:val="20"/>
          <w:color w:val="auto"/>
        </w:rPr>
        <w:t>,</w:t>
      </w:r>
    </w:p>
    <w:p>
      <w:pPr>
        <w:spacing w:after="0" w:line="277" w:lineRule="exact"/>
        <w:rPr>
          <w:sz w:val="20"/>
          <w:szCs w:val="20"/>
          <w:color w:val="auto"/>
        </w:rPr>
      </w:pPr>
    </w:p>
    <w:p>
      <w:pPr>
        <w:ind w:left="2300"/>
        <w:spacing w:after="0"/>
        <w:tabs>
          <w:tab w:leader="none" w:pos="3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27305</wp:posOffset>
            </wp:positionV>
            <wp:extent cx="1973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Title: Vice President and Treasurer</w:t>
      </w:r>
    </w:p>
    <w:p>
      <w:pPr>
        <w:spacing w:after="0" w:line="320"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NEW PENN MOTOR EXPRESS LLC</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(F/K/A NEW PENN MOTOR EXPRESS,</w:t>
      </w:r>
    </w:p>
    <w:p>
      <w:pPr>
        <w:ind w:left="2300"/>
        <w:spacing w:after="0"/>
        <w:rPr>
          <w:sz w:val="20"/>
          <w:szCs w:val="20"/>
          <w:color w:val="auto"/>
        </w:rPr>
      </w:pPr>
      <w:r>
        <w:rPr>
          <w:rFonts w:ascii="Arial" w:cs="Arial" w:eastAsia="Arial" w:hAnsi="Arial"/>
          <w:sz w:val="20"/>
          <w:szCs w:val="20"/>
          <w:b w:val="1"/>
          <w:bCs w:val="1"/>
          <w:color w:val="auto"/>
        </w:rPr>
        <w:t>INC.)</w:t>
      </w:r>
    </w:p>
    <w:p>
      <w:pPr>
        <w:spacing w:after="0" w:line="255" w:lineRule="exact"/>
        <w:rPr>
          <w:sz w:val="20"/>
          <w:szCs w:val="20"/>
          <w:color w:val="auto"/>
        </w:rPr>
      </w:pPr>
    </w:p>
    <w:tbl>
      <w:tblPr>
        <w:tblLayout w:type="fixed"/>
        <w:tblInd w:w="2280" w:type="dxa"/>
        <w:tblCellMar>
          <w:top w:w="0" w:type="dxa"/>
          <w:left w:w="0" w:type="dxa"/>
          <w:bottom w:w="0" w:type="dxa"/>
          <w:right w:w="0" w:type="dxa"/>
        </w:tblCellMar>
      </w:tblPr>
      <w:tr>
        <w:trPr>
          <w:trHeight w:val="265"/>
        </w:trPr>
        <w:tc>
          <w:tcPr>
            <w:tcW w:w="820" w:type="dxa"/>
            <w:vAlign w:val="bottom"/>
          </w:tcPr>
          <w:p>
            <w:pPr>
              <w:ind w:left="20"/>
              <w:spacing w:after="0"/>
              <w:rPr>
                <w:sz w:val="20"/>
                <w:szCs w:val="20"/>
                <w:color w:val="auto"/>
              </w:rPr>
            </w:pPr>
            <w:r>
              <w:rPr>
                <w:rFonts w:ascii="Arial" w:cs="Arial" w:eastAsia="Arial" w:hAnsi="Arial"/>
                <w:sz w:val="20"/>
                <w:szCs w:val="20"/>
                <w:color w:val="auto"/>
              </w:rPr>
              <w:t>By:</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Mark D. Boehmer</w:t>
            </w:r>
          </w:p>
        </w:tc>
      </w:tr>
      <w:tr>
        <w:trPr>
          <w:trHeight w:val="257"/>
        </w:trPr>
        <w:tc>
          <w:tcPr>
            <w:tcW w:w="3920" w:type="dxa"/>
            <w:vAlign w:val="bottom"/>
            <w:gridSpan w:val="2"/>
          </w:tcPr>
          <w:p>
            <w:pPr>
              <w:spacing w:after="0"/>
              <w:rPr>
                <w:sz w:val="20"/>
                <w:szCs w:val="20"/>
                <w:color w:val="auto"/>
              </w:rPr>
            </w:pPr>
            <w:r>
              <w:rPr>
                <w:rFonts w:ascii="Arial" w:cs="Arial" w:eastAsia="Arial" w:hAnsi="Arial"/>
                <w:sz w:val="20"/>
                <w:szCs w:val="20"/>
                <w:color w:val="auto"/>
              </w:rPr>
              <w:t>Name: Mark D. Boehmer</w:t>
            </w:r>
          </w:p>
        </w:tc>
      </w:tr>
      <w:tr>
        <w:trPr>
          <w:trHeight w:val="268"/>
        </w:trPr>
        <w:tc>
          <w:tcPr>
            <w:tcW w:w="3920" w:type="dxa"/>
            <w:vAlign w:val="bottom"/>
            <w:gridSpan w:val="2"/>
          </w:tcPr>
          <w:p>
            <w:pPr>
              <w:spacing w:after="0"/>
              <w:rPr>
                <w:sz w:val="20"/>
                <w:szCs w:val="20"/>
                <w:color w:val="auto"/>
              </w:rPr>
            </w:pPr>
            <w:r>
              <w:rPr>
                <w:rFonts w:ascii="Arial" w:cs="Arial" w:eastAsia="Arial" w:hAnsi="Arial"/>
                <w:sz w:val="20"/>
                <w:szCs w:val="20"/>
                <w:color w:val="auto"/>
              </w:rPr>
              <w:t>Title: Vice President and Treasurer</w:t>
            </w:r>
          </w:p>
        </w:tc>
      </w:tr>
      <w:tr>
        <w:trPr>
          <w:trHeight w:val="554"/>
        </w:trPr>
        <w:tc>
          <w:tcPr>
            <w:tcW w:w="3920" w:type="dxa"/>
            <w:vAlign w:val="bottom"/>
            <w:gridSpan w:val="2"/>
          </w:tcPr>
          <w:p>
            <w:pPr>
              <w:ind w:left="20"/>
              <w:spacing w:after="0"/>
              <w:rPr>
                <w:sz w:val="20"/>
                <w:szCs w:val="20"/>
                <w:color w:val="auto"/>
              </w:rPr>
            </w:pPr>
            <w:r>
              <w:rPr>
                <w:rFonts w:ascii="Arial" w:cs="Arial" w:eastAsia="Arial" w:hAnsi="Arial"/>
                <w:sz w:val="20"/>
                <w:szCs w:val="20"/>
                <w:b w:val="1"/>
                <w:bCs w:val="1"/>
                <w:color w:val="auto"/>
              </w:rPr>
              <w:t>YRC WORLDWIDE INC.</w:t>
            </w:r>
          </w:p>
        </w:tc>
      </w:tr>
      <w:tr>
        <w:trPr>
          <w:trHeight w:val="503"/>
        </w:trPr>
        <w:tc>
          <w:tcPr>
            <w:tcW w:w="820" w:type="dxa"/>
            <w:vAlign w:val="bottom"/>
          </w:tcPr>
          <w:p>
            <w:pPr>
              <w:ind w:left="20"/>
              <w:spacing w:after="0"/>
              <w:rPr>
                <w:sz w:val="20"/>
                <w:szCs w:val="20"/>
                <w:color w:val="auto"/>
              </w:rPr>
            </w:pPr>
            <w:r>
              <w:rPr>
                <w:rFonts w:ascii="Arial" w:cs="Arial" w:eastAsia="Arial" w:hAnsi="Arial"/>
                <w:sz w:val="20"/>
                <w:szCs w:val="20"/>
                <w:color w:val="auto"/>
              </w:rPr>
              <w:t>By:</w:t>
            </w:r>
          </w:p>
        </w:tc>
        <w:tc>
          <w:tcPr>
            <w:tcW w:w="3100" w:type="dxa"/>
            <w:vAlign w:val="bottom"/>
          </w:tcPr>
          <w:p>
            <w:pPr>
              <w:ind w:left="20"/>
              <w:spacing w:after="0"/>
              <w:rPr>
                <w:sz w:val="20"/>
                <w:szCs w:val="20"/>
                <w:color w:val="auto"/>
              </w:rPr>
            </w:pPr>
            <w:r>
              <w:rPr>
                <w:rFonts w:ascii="Arial" w:cs="Arial" w:eastAsia="Arial" w:hAnsi="Arial"/>
                <w:sz w:val="20"/>
                <w:szCs w:val="20"/>
                <w:color w:val="auto"/>
              </w:rPr>
              <w:t>/s/ Mark D. Boehmer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10160</wp:posOffset>
            </wp:positionV>
            <wp:extent cx="1973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Title: Vice President and Treasurer</w:t>
      </w:r>
    </w:p>
    <w:p>
      <w:pPr>
        <w:spacing w:after="0" w:line="320"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EXPRESS LANE SERVICE, INC.</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265"/>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Mark D. Boehmer</w:t>
            </w:r>
          </w:p>
        </w:tc>
      </w:tr>
      <w:tr>
        <w:trPr>
          <w:trHeight w:val="257"/>
        </w:trPr>
        <w:tc>
          <w:tcPr>
            <w:tcW w:w="3900" w:type="dxa"/>
            <w:vAlign w:val="bottom"/>
            <w:gridSpan w:val="2"/>
          </w:tcPr>
          <w:p>
            <w:pPr>
              <w:spacing w:after="0"/>
              <w:rPr>
                <w:sz w:val="20"/>
                <w:szCs w:val="20"/>
                <w:color w:val="auto"/>
              </w:rPr>
            </w:pPr>
            <w:r>
              <w:rPr>
                <w:rFonts w:ascii="Arial" w:cs="Arial" w:eastAsia="Arial" w:hAnsi="Arial"/>
                <w:sz w:val="20"/>
                <w:szCs w:val="20"/>
                <w:color w:val="auto"/>
              </w:rPr>
              <w:t>Name: Mark D. Boehmer</w:t>
            </w:r>
          </w:p>
        </w:tc>
      </w:tr>
      <w:tr>
        <w:trPr>
          <w:trHeight w:val="268"/>
        </w:trPr>
        <w:tc>
          <w:tcPr>
            <w:tcW w:w="3900" w:type="dxa"/>
            <w:vAlign w:val="bottom"/>
            <w:gridSpan w:val="2"/>
          </w:tcPr>
          <w:p>
            <w:pPr>
              <w:spacing w:after="0"/>
              <w:rPr>
                <w:sz w:val="20"/>
                <w:szCs w:val="20"/>
                <w:color w:val="auto"/>
              </w:rPr>
            </w:pPr>
            <w:r>
              <w:rPr>
                <w:rFonts w:ascii="Arial" w:cs="Arial" w:eastAsia="Arial" w:hAnsi="Arial"/>
                <w:sz w:val="20"/>
                <w:szCs w:val="20"/>
                <w:color w:val="auto"/>
              </w:rPr>
              <w:t>Title: Vice President and Treasurer</w:t>
            </w:r>
          </w:p>
        </w:tc>
      </w:tr>
      <w:tr>
        <w:trPr>
          <w:trHeight w:val="554"/>
        </w:trPr>
        <w:tc>
          <w:tcPr>
            <w:tcW w:w="3900" w:type="dxa"/>
            <w:vAlign w:val="bottom"/>
            <w:gridSpan w:val="2"/>
          </w:tcPr>
          <w:p>
            <w:pPr>
              <w:spacing w:after="0"/>
              <w:rPr>
                <w:sz w:val="20"/>
                <w:szCs w:val="20"/>
                <w:color w:val="auto"/>
              </w:rPr>
            </w:pPr>
            <w:r>
              <w:rPr>
                <w:rFonts w:ascii="Arial" w:cs="Arial" w:eastAsia="Arial" w:hAnsi="Arial"/>
                <w:sz w:val="20"/>
                <w:szCs w:val="20"/>
                <w:b w:val="1"/>
                <w:bCs w:val="1"/>
                <w:color w:val="auto"/>
              </w:rPr>
              <w:t>ROADWAY LLC</w:t>
            </w:r>
          </w:p>
        </w:tc>
      </w:tr>
      <w:tr>
        <w:trPr>
          <w:trHeight w:val="511"/>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Mark D. Boehmer</w:t>
            </w:r>
          </w:p>
        </w:tc>
      </w:tr>
    </w:tbl>
    <w:p>
      <w:pPr>
        <w:sectPr>
          <w:pgSz w:w="11900" w:h="16838" w:orient="portrait"/>
          <w:cols w:equalWidth="0" w:num="1">
            <w:col w:w="10820"/>
          </w:cols>
          <w:pgMar w:left="840" w:top="131" w:right="239" w:bottom="0" w:gutter="0" w:footer="0" w:header="0"/>
        </w:sectPr>
      </w:pPr>
    </w:p>
    <w:bookmarkStart w:id="127" w:name="page128"/>
    <w:bookmarkEnd w:id="127"/>
    <w:p>
      <w:pPr>
        <w:ind w:left="1700"/>
        <w:spacing w:after="0"/>
        <w:rPr>
          <w:sz w:val="20"/>
          <w:szCs w:val="20"/>
          <w:color w:val="auto"/>
        </w:rPr>
      </w:pPr>
      <w:r>
        <w:rPr>
          <w:rFonts w:ascii="Arial" w:cs="Arial" w:eastAsia="Arial" w:hAnsi="Arial"/>
          <w:sz w:val="20"/>
          <w:szCs w:val="20"/>
          <w:color w:val="auto"/>
        </w:rPr>
        <w:t>Name: Mark D. Boehmer</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YRC ASSOCIATION SOLUTIONS, INC.</w:t>
      </w:r>
    </w:p>
    <w:p>
      <w:pPr>
        <w:spacing w:after="0" w:line="277" w:lineRule="exact"/>
        <w:rPr>
          <w:sz w:val="20"/>
          <w:szCs w:val="20"/>
          <w:color w:val="auto"/>
        </w:rPr>
      </w:pPr>
    </w:p>
    <w:tbl>
      <w:tblPr>
        <w:tblLayout w:type="fixed"/>
        <w:tblInd w:w="1920" w:type="dxa"/>
        <w:tblCellMar>
          <w:top w:w="0" w:type="dxa"/>
          <w:left w:w="0" w:type="dxa"/>
          <w:bottom w:w="0" w:type="dxa"/>
          <w:right w:w="0" w:type="dxa"/>
        </w:tblCellMar>
      </w:tblPr>
      <w:tr>
        <w:trPr>
          <w:trHeight w:val="26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Mark D. Boehmer</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3880" w:type="dxa"/>
            <w:vAlign w:val="bottom"/>
          </w:tcPr>
          <w:p>
            <w:pPr>
              <w:spacing w:after="0"/>
              <w:rPr>
                <w:sz w:val="20"/>
                <w:szCs w:val="20"/>
                <w:color w:val="auto"/>
              </w:rPr>
            </w:pPr>
            <w:r>
              <w:rPr>
                <w:rFonts w:ascii="Arial" w:cs="Arial" w:eastAsia="Arial" w:hAnsi="Arial"/>
                <w:sz w:val="20"/>
                <w:szCs w:val="20"/>
                <w:color w:val="auto"/>
              </w:rPr>
              <w:t>Mark D. Boehmer</w:t>
            </w:r>
          </w:p>
        </w:tc>
      </w:tr>
      <w:tr>
        <w:trPr>
          <w:trHeight w:val="268"/>
        </w:trPr>
        <w:tc>
          <w:tcPr>
            <w:tcW w:w="4540" w:type="dxa"/>
            <w:vAlign w:val="bottom"/>
            <w:gridSpan w:val="2"/>
          </w:tcPr>
          <w:p>
            <w:pPr>
              <w:spacing w:after="0"/>
              <w:rPr>
                <w:sz w:val="20"/>
                <w:szCs w:val="20"/>
                <w:color w:val="auto"/>
              </w:rPr>
            </w:pPr>
            <w:r>
              <w:rPr>
                <w:rFonts w:ascii="Arial" w:cs="Arial" w:eastAsia="Arial" w:hAnsi="Arial"/>
                <w:sz w:val="20"/>
                <w:szCs w:val="20"/>
                <w:color w:val="auto"/>
              </w:rPr>
              <w:t>Title: Vice President and Treasurer</w:t>
            </w:r>
          </w:p>
        </w:tc>
      </w:tr>
      <w:tr>
        <w:trPr>
          <w:trHeight w:val="554"/>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YRC MORTGAGES, LLC</w:t>
            </w:r>
          </w:p>
        </w:tc>
      </w:tr>
      <w:tr>
        <w:trPr>
          <w:trHeight w:val="50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Pr>
          <w:p>
            <w:pPr>
              <w:ind w:left="40"/>
              <w:spacing w:after="0"/>
              <w:rPr>
                <w:sz w:val="20"/>
                <w:szCs w:val="20"/>
                <w:color w:val="auto"/>
              </w:rPr>
            </w:pPr>
            <w:r>
              <w:rPr>
                <w:rFonts w:ascii="Arial" w:cs="Arial" w:eastAsia="Arial" w:hAnsi="Arial"/>
                <w:sz w:val="20"/>
                <w:szCs w:val="20"/>
                <w:color w:val="auto"/>
              </w:rPr>
              <w:t>/s/ Mark D. Boehmer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10160</wp:posOffset>
            </wp:positionV>
            <wp:extent cx="2461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YRC REGIONAL TRANSPORTATION, INC.</w:t>
      </w:r>
    </w:p>
    <w:p>
      <w:pPr>
        <w:spacing w:after="0" w:line="277" w:lineRule="exact"/>
        <w:rPr>
          <w:sz w:val="20"/>
          <w:szCs w:val="20"/>
          <w:color w:val="auto"/>
        </w:rPr>
      </w:pPr>
    </w:p>
    <w:p>
      <w:pPr>
        <w:ind w:left="1920"/>
        <w:spacing w:after="0"/>
        <w:tabs>
          <w:tab w:leader="none" w:pos="2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27305</wp:posOffset>
            </wp:positionV>
            <wp:extent cx="2461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YRC ENTERPRISE SERVICES, INC.</w:t>
      </w:r>
    </w:p>
    <w:p>
      <w:pPr>
        <w:spacing w:after="0" w:line="277" w:lineRule="exact"/>
        <w:rPr>
          <w:sz w:val="20"/>
          <w:szCs w:val="20"/>
          <w:color w:val="auto"/>
        </w:rPr>
      </w:pPr>
    </w:p>
    <w:p>
      <w:pPr>
        <w:ind w:left="1920"/>
        <w:spacing w:after="0"/>
        <w:tabs>
          <w:tab w:leader="none" w:pos="2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27305</wp:posOffset>
            </wp:positionV>
            <wp:extent cx="2461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0"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ROADWAY EXPRESS INTERNATIONAL INC.</w:t>
      </w:r>
    </w:p>
    <w:p>
      <w:pPr>
        <w:spacing w:after="0" w:line="277" w:lineRule="exact"/>
        <w:rPr>
          <w:sz w:val="20"/>
          <w:szCs w:val="20"/>
          <w:color w:val="auto"/>
        </w:rPr>
      </w:pPr>
    </w:p>
    <w:p>
      <w:pPr>
        <w:ind w:left="1920"/>
        <w:spacing w:after="0"/>
        <w:tabs>
          <w:tab w:leader="none" w:pos="2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27305</wp:posOffset>
            </wp:positionV>
            <wp:extent cx="2461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ROADWAY NEXT DAY CORPORATION</w:t>
      </w:r>
    </w:p>
    <w:p>
      <w:pPr>
        <w:spacing w:after="0" w:line="277" w:lineRule="exact"/>
        <w:rPr>
          <w:sz w:val="20"/>
          <w:szCs w:val="20"/>
          <w:color w:val="auto"/>
        </w:rPr>
      </w:pPr>
    </w:p>
    <w:p>
      <w:pPr>
        <w:ind w:left="1920"/>
        <w:spacing w:after="0"/>
        <w:tabs>
          <w:tab w:leader="none" w:pos="2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27305</wp:posOffset>
            </wp:positionV>
            <wp:extent cx="24612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YRC LOGISTICS SERVICES, INC.</w:t>
      </w:r>
    </w:p>
    <w:p>
      <w:pPr>
        <w:spacing w:after="0" w:line="277" w:lineRule="exact"/>
        <w:rPr>
          <w:sz w:val="20"/>
          <w:szCs w:val="20"/>
          <w:color w:val="auto"/>
        </w:rPr>
      </w:pPr>
    </w:p>
    <w:tbl>
      <w:tblPr>
        <w:tblLayout w:type="fixed"/>
        <w:tblInd w:w="192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Mark D. Boehmer</w:t>
            </w:r>
          </w:p>
        </w:tc>
      </w:tr>
      <w:tr>
        <w:trPr>
          <w:trHeight w:val="257"/>
        </w:trPr>
        <w:tc>
          <w:tcPr>
            <w:tcW w:w="4220" w:type="dxa"/>
            <w:vAlign w:val="bottom"/>
            <w:gridSpan w:val="2"/>
          </w:tcPr>
          <w:p>
            <w:pPr>
              <w:spacing w:after="0"/>
              <w:rPr>
                <w:sz w:val="20"/>
                <w:szCs w:val="20"/>
                <w:color w:val="auto"/>
              </w:rPr>
            </w:pPr>
            <w:r>
              <w:rPr>
                <w:rFonts w:ascii="Arial" w:cs="Arial" w:eastAsia="Arial" w:hAnsi="Arial"/>
                <w:sz w:val="20"/>
                <w:szCs w:val="20"/>
                <w:color w:val="auto"/>
              </w:rPr>
              <w:t>Name: Mark D. Boehmer</w:t>
            </w:r>
          </w:p>
        </w:tc>
      </w:tr>
      <w:tr>
        <w:trPr>
          <w:trHeight w:val="268"/>
        </w:trPr>
        <w:tc>
          <w:tcPr>
            <w:tcW w:w="4220" w:type="dxa"/>
            <w:vAlign w:val="bottom"/>
            <w:gridSpan w:val="2"/>
          </w:tcPr>
          <w:p>
            <w:pPr>
              <w:spacing w:after="0"/>
              <w:rPr>
                <w:sz w:val="20"/>
                <w:szCs w:val="20"/>
                <w:color w:val="auto"/>
              </w:rPr>
            </w:pPr>
            <w:r>
              <w:rPr>
                <w:rFonts w:ascii="Arial" w:cs="Arial" w:eastAsia="Arial" w:hAnsi="Arial"/>
                <w:sz w:val="20"/>
                <w:szCs w:val="20"/>
                <w:color w:val="auto"/>
              </w:rPr>
              <w:t>Title: Vice President and Treasurer</w:t>
            </w:r>
          </w:p>
        </w:tc>
      </w:tr>
      <w:tr>
        <w:trPr>
          <w:trHeight w:val="554"/>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USF BESTWAY, INC.</w:t>
            </w:r>
          </w:p>
        </w:tc>
      </w:tr>
      <w:tr>
        <w:trPr>
          <w:trHeight w:val="503"/>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520" w:type="dxa"/>
            <w:vAlign w:val="bottom"/>
          </w:tcPr>
          <w:p>
            <w:pPr>
              <w:ind w:left="40"/>
              <w:spacing w:after="0"/>
              <w:rPr>
                <w:sz w:val="20"/>
                <w:szCs w:val="20"/>
                <w:color w:val="auto"/>
              </w:rPr>
            </w:pPr>
            <w:r>
              <w:rPr>
                <w:rFonts w:ascii="Arial" w:cs="Arial" w:eastAsia="Arial" w:hAnsi="Arial"/>
                <w:sz w:val="20"/>
                <w:szCs w:val="20"/>
                <w:color w:val="auto"/>
              </w:rPr>
              <w:t>/s/ Mark D. Boehmer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10160</wp:posOffset>
            </wp:positionV>
            <wp:extent cx="2237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USF DUGAN INC.</w:t>
      </w:r>
    </w:p>
    <w:p>
      <w:pPr>
        <w:spacing w:after="0" w:line="277" w:lineRule="exact"/>
        <w:rPr>
          <w:sz w:val="20"/>
          <w:szCs w:val="20"/>
          <w:color w:val="auto"/>
        </w:rPr>
      </w:pPr>
    </w:p>
    <w:p>
      <w:pPr>
        <w:ind w:left="1920"/>
        <w:spacing w:after="0"/>
        <w:tabs>
          <w:tab w:leader="none" w:pos="2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27305</wp:posOffset>
            </wp:positionV>
            <wp:extent cx="2237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9019"/>
          </w:cols>
          <w:pgMar w:left="1440" w:top="120" w:right="1440" w:bottom="0" w:gutter="0" w:footer="0" w:header="0"/>
        </w:sectPr>
      </w:pPr>
    </w:p>
    <w:bookmarkStart w:id="128" w:name="page129"/>
    <w:bookmarkEnd w:id="128"/>
    <w:p>
      <w:pPr>
        <w:ind w:left="1920"/>
        <w:spacing w:after="0"/>
        <w:rPr>
          <w:sz w:val="20"/>
          <w:szCs w:val="20"/>
          <w:color w:val="auto"/>
        </w:rPr>
      </w:pPr>
      <w:r>
        <w:rPr>
          <w:rFonts w:ascii="Arial" w:cs="Arial" w:eastAsia="Arial" w:hAnsi="Arial"/>
          <w:sz w:val="20"/>
          <w:szCs w:val="20"/>
          <w:b w:val="1"/>
          <w:bCs w:val="1"/>
          <w:color w:val="auto"/>
        </w:rPr>
        <w:t>USF GLEN MOORE INC.</w:t>
      </w:r>
    </w:p>
    <w:p>
      <w:pPr>
        <w:spacing w:after="0" w:line="277" w:lineRule="exact"/>
        <w:rPr>
          <w:sz w:val="20"/>
          <w:szCs w:val="20"/>
          <w:color w:val="auto"/>
        </w:rPr>
      </w:pPr>
    </w:p>
    <w:p>
      <w:pPr>
        <w:ind w:left="1920"/>
        <w:spacing w:after="0"/>
        <w:tabs>
          <w:tab w:leader="none" w:pos="2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27305</wp:posOffset>
            </wp:positionV>
            <wp:extent cx="2237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397"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USF REDSTAR LLC</w:t>
      </w:r>
    </w:p>
    <w:p>
      <w:pPr>
        <w:spacing w:after="0" w:line="277" w:lineRule="exact"/>
        <w:rPr>
          <w:sz w:val="20"/>
          <w:szCs w:val="20"/>
          <w:color w:val="auto"/>
        </w:rPr>
      </w:pPr>
    </w:p>
    <w:tbl>
      <w:tblPr>
        <w:tblLayout w:type="fixed"/>
        <w:tblInd w:w="192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2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Mark D. Boehmer</w:t>
            </w:r>
          </w:p>
        </w:tc>
      </w:tr>
      <w:tr>
        <w:trPr>
          <w:trHeight w:val="257"/>
        </w:trPr>
        <w:tc>
          <w:tcPr>
            <w:tcW w:w="4220" w:type="dxa"/>
            <w:vAlign w:val="bottom"/>
            <w:gridSpan w:val="4"/>
          </w:tcPr>
          <w:p>
            <w:pPr>
              <w:spacing w:after="0"/>
              <w:rPr>
                <w:sz w:val="20"/>
                <w:szCs w:val="20"/>
                <w:color w:val="auto"/>
              </w:rPr>
            </w:pPr>
            <w:r>
              <w:rPr>
                <w:rFonts w:ascii="Arial" w:cs="Arial" w:eastAsia="Arial" w:hAnsi="Arial"/>
                <w:sz w:val="20"/>
                <w:szCs w:val="20"/>
                <w:color w:val="auto"/>
              </w:rPr>
              <w:t>Name: Mark D. Boehmer</w:t>
            </w:r>
          </w:p>
        </w:tc>
      </w:tr>
      <w:tr>
        <w:trPr>
          <w:trHeight w:val="268"/>
        </w:trPr>
        <w:tc>
          <w:tcPr>
            <w:tcW w:w="4220" w:type="dxa"/>
            <w:vAlign w:val="bottom"/>
            <w:gridSpan w:val="4"/>
          </w:tcPr>
          <w:p>
            <w:pPr>
              <w:spacing w:after="0"/>
              <w:rPr>
                <w:sz w:val="20"/>
                <w:szCs w:val="20"/>
                <w:color w:val="auto"/>
              </w:rPr>
            </w:pPr>
            <w:r>
              <w:rPr>
                <w:rFonts w:ascii="Arial" w:cs="Arial" w:eastAsia="Arial" w:hAnsi="Arial"/>
                <w:sz w:val="20"/>
                <w:szCs w:val="20"/>
                <w:color w:val="auto"/>
              </w:rPr>
              <w:t>Title: Vice President and Treasurer</w:t>
            </w:r>
          </w:p>
        </w:tc>
      </w:tr>
      <w:tr>
        <w:trPr>
          <w:trHeight w:val="831"/>
        </w:trPr>
        <w:tc>
          <w:tcPr>
            <w:tcW w:w="4220" w:type="dxa"/>
            <w:vAlign w:val="bottom"/>
            <w:gridSpan w:val="4"/>
          </w:tcPr>
          <w:p>
            <w:pPr>
              <w:spacing w:after="0"/>
              <w:rPr>
                <w:sz w:val="20"/>
                <w:szCs w:val="20"/>
                <w:color w:val="auto"/>
              </w:rPr>
            </w:pPr>
            <w:r>
              <w:rPr>
                <w:rFonts w:ascii="Arial" w:cs="Arial" w:eastAsia="Arial" w:hAnsi="Arial"/>
                <w:sz w:val="20"/>
                <w:szCs w:val="20"/>
                <w:b w:val="1"/>
                <w:bCs w:val="1"/>
                <w:color w:val="auto"/>
              </w:rPr>
              <w:t>HNRY LOGISTICS, INC.</w:t>
            </w:r>
          </w:p>
        </w:tc>
      </w:tr>
      <w:tr>
        <w:trPr>
          <w:trHeight w:val="511"/>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Larry R. Catlett II</w:t>
            </w:r>
          </w:p>
        </w:tc>
      </w:tr>
      <w:tr>
        <w:trPr>
          <w:trHeight w:val="257"/>
        </w:trPr>
        <w:tc>
          <w:tcPr>
            <w:tcW w:w="4220" w:type="dxa"/>
            <w:vAlign w:val="bottom"/>
            <w:gridSpan w:val="4"/>
          </w:tcPr>
          <w:p>
            <w:pPr>
              <w:spacing w:after="0"/>
              <w:rPr>
                <w:sz w:val="20"/>
                <w:szCs w:val="20"/>
                <w:color w:val="auto"/>
              </w:rPr>
            </w:pPr>
            <w:r>
              <w:rPr>
                <w:rFonts w:ascii="Arial" w:cs="Arial" w:eastAsia="Arial" w:hAnsi="Arial"/>
                <w:sz w:val="20"/>
                <w:szCs w:val="20"/>
                <w:color w:val="auto"/>
              </w:rPr>
              <w:t>Name: Larry R. Catlett II</w:t>
            </w:r>
          </w:p>
        </w:tc>
      </w:tr>
      <w:tr>
        <w:trPr>
          <w:trHeight w:val="268"/>
        </w:trPr>
        <w:tc>
          <w:tcPr>
            <w:tcW w:w="4220" w:type="dxa"/>
            <w:vAlign w:val="bottom"/>
            <w:gridSpan w:val="4"/>
          </w:tcPr>
          <w:p>
            <w:pPr>
              <w:spacing w:after="0"/>
              <w:rPr>
                <w:sz w:val="20"/>
                <w:szCs w:val="20"/>
                <w:color w:val="auto"/>
              </w:rPr>
            </w:pPr>
            <w:r>
              <w:rPr>
                <w:rFonts w:ascii="Arial" w:cs="Arial" w:eastAsia="Arial" w:hAnsi="Arial"/>
                <w:sz w:val="20"/>
                <w:szCs w:val="20"/>
                <w:color w:val="auto"/>
              </w:rPr>
              <w:t>Title: President</w:t>
            </w:r>
          </w:p>
        </w:tc>
      </w:tr>
      <w:tr>
        <w:trPr>
          <w:trHeight w:val="919"/>
        </w:trPr>
        <w:tc>
          <w:tcPr>
            <w:tcW w:w="4220" w:type="dxa"/>
            <w:vAlign w:val="bottom"/>
            <w:gridSpan w:val="4"/>
          </w:tcPr>
          <w:p>
            <w:pPr>
              <w:spacing w:after="0"/>
              <w:rPr>
                <w:sz w:val="20"/>
                <w:szCs w:val="20"/>
                <w:color w:val="auto"/>
              </w:rPr>
            </w:pPr>
            <w:r>
              <w:rPr>
                <w:rFonts w:ascii="Arial" w:cs="Arial" w:eastAsia="Arial" w:hAnsi="Arial"/>
                <w:sz w:val="20"/>
                <w:szCs w:val="20"/>
                <w:b w:val="1"/>
                <w:bCs w:val="1"/>
                <w:color w:val="auto"/>
              </w:rPr>
              <w:t>USF HOLLAND LLC</w:t>
            </w:r>
          </w:p>
        </w:tc>
      </w:tr>
      <w:tr>
        <w:trPr>
          <w:trHeight w:val="511"/>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4"/>
                <w:szCs w:val="24"/>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Mark D. Boehmer</w:t>
            </w:r>
          </w:p>
        </w:tc>
        <w:tc>
          <w:tcPr>
            <w:tcW w:w="160" w:type="dxa"/>
            <w:vAlign w:val="bottom"/>
          </w:tcPr>
          <w:p>
            <w:pPr>
              <w:spacing w:after="0"/>
              <w:rPr>
                <w:sz w:val="24"/>
                <w:szCs w:val="24"/>
                <w:color w:val="auto"/>
              </w:rPr>
            </w:pPr>
          </w:p>
        </w:tc>
      </w:tr>
      <w:tr>
        <w:trPr>
          <w:trHeight w:val="257"/>
        </w:trPr>
        <w:tc>
          <w:tcPr>
            <w:tcW w:w="4060" w:type="dxa"/>
            <w:vAlign w:val="bottom"/>
            <w:gridSpan w:val="3"/>
          </w:tcPr>
          <w:p>
            <w:pPr>
              <w:spacing w:after="0"/>
              <w:rPr>
                <w:sz w:val="20"/>
                <w:szCs w:val="20"/>
                <w:color w:val="auto"/>
              </w:rPr>
            </w:pPr>
            <w:r>
              <w:rPr>
                <w:rFonts w:ascii="Arial" w:cs="Arial" w:eastAsia="Arial" w:hAnsi="Arial"/>
                <w:sz w:val="20"/>
                <w:szCs w:val="20"/>
                <w:color w:val="auto"/>
              </w:rPr>
              <w:t>Name: Mark D. Boehmer</w:t>
            </w:r>
          </w:p>
        </w:tc>
        <w:tc>
          <w:tcPr>
            <w:tcW w:w="160" w:type="dxa"/>
            <w:vAlign w:val="bottom"/>
          </w:tcPr>
          <w:p>
            <w:pPr>
              <w:spacing w:after="0"/>
              <w:rPr>
                <w:sz w:val="22"/>
                <w:szCs w:val="22"/>
                <w:color w:val="auto"/>
              </w:rPr>
            </w:pPr>
          </w:p>
        </w:tc>
      </w:tr>
      <w:tr>
        <w:trPr>
          <w:trHeight w:val="268"/>
        </w:trPr>
        <w:tc>
          <w:tcPr>
            <w:tcW w:w="4220" w:type="dxa"/>
            <w:vAlign w:val="bottom"/>
            <w:gridSpan w:val="4"/>
          </w:tcPr>
          <w:p>
            <w:pPr>
              <w:spacing w:after="0"/>
              <w:rPr>
                <w:sz w:val="20"/>
                <w:szCs w:val="20"/>
                <w:color w:val="auto"/>
              </w:rPr>
            </w:pPr>
            <w:r>
              <w:rPr>
                <w:rFonts w:ascii="Arial" w:cs="Arial" w:eastAsia="Arial" w:hAnsi="Arial"/>
                <w:sz w:val="20"/>
                <w:szCs w:val="20"/>
                <w:color w:val="auto"/>
              </w:rPr>
              <w:t>Title: Vice President and Treasurer</w:t>
            </w:r>
          </w:p>
        </w:tc>
      </w:tr>
      <w:tr>
        <w:trPr>
          <w:trHeight w:val="554"/>
        </w:trPr>
        <w:tc>
          <w:tcPr>
            <w:tcW w:w="4220" w:type="dxa"/>
            <w:vAlign w:val="bottom"/>
            <w:gridSpan w:val="4"/>
          </w:tcPr>
          <w:p>
            <w:pPr>
              <w:spacing w:after="0"/>
              <w:rPr>
                <w:sz w:val="20"/>
                <w:szCs w:val="20"/>
                <w:color w:val="auto"/>
              </w:rPr>
            </w:pPr>
            <w:r>
              <w:rPr>
                <w:rFonts w:ascii="Arial" w:cs="Arial" w:eastAsia="Arial" w:hAnsi="Arial"/>
                <w:sz w:val="20"/>
                <w:szCs w:val="20"/>
                <w:b w:val="1"/>
                <w:bCs w:val="1"/>
                <w:color w:val="auto"/>
              </w:rPr>
              <w:t>USF REDDAWAY INC.</w:t>
            </w:r>
          </w:p>
        </w:tc>
      </w:tr>
      <w:tr>
        <w:trPr>
          <w:trHeight w:val="503"/>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Arial" w:cs="Arial" w:eastAsia="Arial" w:hAnsi="Arial"/>
                <w:sz w:val="20"/>
                <w:szCs w:val="20"/>
                <w:color w:val="auto"/>
              </w:rPr>
              <w:t>/s/ Mark D. Boehmer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10160</wp:posOffset>
            </wp:positionV>
            <wp:extent cx="21253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25345"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8"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REIMER HOLDING B.V.</w:t>
      </w:r>
    </w:p>
    <w:p>
      <w:pPr>
        <w:spacing w:after="0" w:line="277" w:lineRule="exact"/>
        <w:rPr>
          <w:sz w:val="20"/>
          <w:szCs w:val="20"/>
          <w:color w:val="auto"/>
        </w:rPr>
      </w:pPr>
    </w:p>
    <w:p>
      <w:pPr>
        <w:ind w:left="1920"/>
        <w:spacing w:after="0"/>
        <w:tabs>
          <w:tab w:leader="none" w:pos="2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M.F.A van Schijndel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27305</wp:posOffset>
            </wp:positionV>
            <wp:extent cx="2197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M.F.A van Schijndel</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Director 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20"/>
        <w:spacing w:after="0"/>
        <w:tabs>
          <w:tab w:leader="none" w:pos="2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Phil J. Gaines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27305</wp:posOffset>
            </wp:positionV>
            <wp:extent cx="2197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Phil J. Gaines</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Director B</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Legal Name: Reimer Holding B.V.</w:t>
      </w:r>
    </w:p>
    <w:p>
      <w:pPr>
        <w:spacing w:after="0" w:line="1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Jurisdiction of Formation: Netherlands</w:t>
      </w:r>
    </w:p>
    <w:p>
      <w:pPr>
        <w:ind w:left="1920"/>
        <w:spacing w:after="0" w:line="236" w:lineRule="auto"/>
        <w:rPr>
          <w:sz w:val="20"/>
          <w:szCs w:val="20"/>
          <w:color w:val="auto"/>
        </w:rPr>
      </w:pPr>
      <w:r>
        <w:rPr>
          <w:rFonts w:ascii="Arial" w:cs="Arial" w:eastAsia="Arial" w:hAnsi="Arial"/>
          <w:sz w:val="20"/>
          <w:szCs w:val="20"/>
          <w:color w:val="auto"/>
        </w:rPr>
        <w:t>Location of Chief Executive office:</w:t>
      </w:r>
    </w:p>
    <w:p>
      <w:pPr>
        <w:ind w:left="1920"/>
        <w:spacing w:after="0" w:line="236" w:lineRule="auto"/>
        <w:rPr>
          <w:sz w:val="20"/>
          <w:szCs w:val="20"/>
          <w:color w:val="auto"/>
        </w:rPr>
      </w:pPr>
      <w:r>
        <w:rPr>
          <w:rFonts w:ascii="Arial" w:cs="Arial" w:eastAsia="Arial" w:hAnsi="Arial"/>
          <w:sz w:val="20"/>
          <w:szCs w:val="20"/>
          <w:color w:val="auto"/>
        </w:rPr>
        <w:t>Prins Bernhard plein 200</w:t>
      </w:r>
    </w:p>
    <w:p>
      <w:pPr>
        <w:ind w:left="1920"/>
        <w:spacing w:after="0" w:line="237" w:lineRule="auto"/>
        <w:rPr>
          <w:sz w:val="20"/>
          <w:szCs w:val="20"/>
          <w:color w:val="auto"/>
        </w:rPr>
      </w:pPr>
      <w:r>
        <w:rPr>
          <w:rFonts w:ascii="Arial" w:cs="Arial" w:eastAsia="Arial" w:hAnsi="Arial"/>
          <w:sz w:val="20"/>
          <w:szCs w:val="20"/>
          <w:color w:val="auto"/>
        </w:rPr>
        <w:t>1097 JB Amsterdam,</w:t>
      </w:r>
    </w:p>
    <w:p>
      <w:pPr>
        <w:ind w:left="1920"/>
        <w:spacing w:after="0"/>
        <w:rPr>
          <w:sz w:val="20"/>
          <w:szCs w:val="20"/>
          <w:color w:val="auto"/>
        </w:rPr>
      </w:pPr>
      <w:r>
        <w:rPr>
          <w:rFonts w:ascii="Arial" w:cs="Arial" w:eastAsia="Arial" w:hAnsi="Arial"/>
          <w:sz w:val="20"/>
          <w:szCs w:val="20"/>
          <w:color w:val="auto"/>
        </w:rPr>
        <w:t>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CORTLAND PRODUCTS CORP.,</w:t>
      </w:r>
    </w:p>
    <w:p>
      <w:pPr>
        <w:spacing w:after="0" w:line="19" w:lineRule="exact"/>
        <w:rPr>
          <w:sz w:val="20"/>
          <w:szCs w:val="20"/>
          <w:color w:val="auto"/>
        </w:rPr>
      </w:pPr>
    </w:p>
    <w:p>
      <w:pPr>
        <w:jc w:val="right"/>
        <w:ind w:right="2319"/>
        <w:spacing w:after="0"/>
        <w:rPr>
          <w:sz w:val="20"/>
          <w:szCs w:val="20"/>
          <w:color w:val="auto"/>
        </w:rPr>
      </w:pPr>
      <w:r>
        <w:rPr>
          <w:rFonts w:ascii="Arial" w:cs="Arial" w:eastAsia="Arial" w:hAnsi="Arial"/>
          <w:sz w:val="20"/>
          <w:szCs w:val="20"/>
          <w:b w:val="1"/>
          <w:bCs w:val="1"/>
          <w:color w:val="auto"/>
        </w:rPr>
        <w:t>as Administrative Agent and Collateral Agent</w:t>
      </w:r>
    </w:p>
    <w:p>
      <w:pPr>
        <w:spacing w:after="0" w:line="255" w:lineRule="exact"/>
        <w:rPr>
          <w:sz w:val="20"/>
          <w:szCs w:val="20"/>
          <w:color w:val="auto"/>
        </w:rPr>
      </w:pPr>
    </w:p>
    <w:p>
      <w:pPr>
        <w:ind w:left="2460"/>
        <w:spacing w:after="0"/>
        <w:tabs>
          <w:tab w:leader="none" w:pos="2980" w:val="left"/>
        </w:tabs>
        <w:rPr>
          <w:sz w:val="20"/>
          <w:szCs w:val="20"/>
          <w:color w:val="auto"/>
        </w:rPr>
      </w:pPr>
      <w:r>
        <w:rPr>
          <w:rFonts w:ascii="Arial" w:cs="Arial" w:eastAsia="Arial" w:hAnsi="Arial"/>
          <w:sz w:val="20"/>
          <w:szCs w:val="20"/>
          <w:color w:val="auto"/>
        </w:rPr>
        <w:t>By:</w:t>
        <w:tab/>
        <w:t>/s/ Joseph Maschern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27305</wp:posOffset>
            </wp:positionV>
            <wp:extent cx="16624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Joseph Maschern</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Associate Counsel</w:t>
      </w:r>
    </w:p>
    <w:p>
      <w:pPr>
        <w:sectPr>
          <w:pgSz w:w="11900" w:h="16838" w:orient="portrait"/>
          <w:cols w:equalWidth="0" w:num="1">
            <w:col w:w="9019"/>
          </w:cols>
          <w:pgMar w:left="1440" w:top="240" w:right="1440" w:bottom="107" w:gutter="0" w:footer="0" w:header="0"/>
        </w:sectPr>
      </w:pPr>
    </w:p>
    <w:bookmarkStart w:id="129" w:name="page130"/>
    <w:bookmarkEnd w:id="129"/>
    <w:p>
      <w:pPr>
        <w:ind w:left="1920"/>
        <w:spacing w:after="0"/>
        <w:rPr>
          <w:sz w:val="20"/>
          <w:szCs w:val="20"/>
          <w:color w:val="auto"/>
        </w:rPr>
      </w:pPr>
      <w:r>
        <w:rPr>
          <w:rFonts w:ascii="Arial" w:cs="Arial" w:eastAsia="Arial" w:hAnsi="Arial"/>
          <w:sz w:val="20"/>
          <w:szCs w:val="20"/>
          <w:b w:val="1"/>
          <w:bCs w:val="1"/>
          <w:color w:val="auto"/>
        </w:rPr>
        <w:t>Lenders:</w:t>
      </w:r>
    </w:p>
    <w:p>
      <w:pPr>
        <w:spacing w:after="0" w:line="273"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CREDIT STRATEGIES MASTER FUND, LTD.</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ST Fund Management LLC, its investment</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manager</w:t>
      </w:r>
    </w:p>
    <w:p>
      <w:pPr>
        <w:spacing w:after="0" w:line="29" w:lineRule="exact"/>
        <w:rPr>
          <w:sz w:val="20"/>
          <w:szCs w:val="20"/>
          <w:color w:val="auto"/>
        </w:rPr>
      </w:pPr>
    </w:p>
    <w:p>
      <w:pPr>
        <w:ind w:left="1920"/>
        <w:spacing w:after="0"/>
        <w:tabs>
          <w:tab w:leader="none" w:pos="2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27305</wp:posOffset>
            </wp:positionV>
            <wp:extent cx="17259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ATLAS MASTER FUND, LLC</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By: Apollo Atlas Management, LLC, its investment manager</w:t>
      </w:r>
    </w:p>
    <w:p>
      <w:pPr>
        <w:spacing w:after="0" w:line="58" w:lineRule="exact"/>
        <w:rPr>
          <w:sz w:val="20"/>
          <w:szCs w:val="20"/>
          <w:color w:val="auto"/>
        </w:rPr>
      </w:pPr>
    </w:p>
    <w:p>
      <w:pPr>
        <w:ind w:left="1920"/>
        <w:spacing w:after="0"/>
        <w:tabs>
          <w:tab w:leader="none" w:pos="2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27305</wp:posOffset>
            </wp:positionV>
            <wp:extent cx="1725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 KENT CREDIT MASTER FUND, L.P.</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 Kent Management, LLC, the investment manager</w:t>
      </w:r>
    </w:p>
    <w:p>
      <w:pPr>
        <w:spacing w:after="0" w:line="47" w:lineRule="exact"/>
        <w:rPr>
          <w:sz w:val="20"/>
          <w:szCs w:val="20"/>
          <w:color w:val="auto"/>
        </w:rPr>
      </w:pPr>
    </w:p>
    <w:p>
      <w:pPr>
        <w:ind w:left="1920"/>
        <w:spacing w:after="0"/>
        <w:tabs>
          <w:tab w:leader="none" w:pos="2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27305</wp:posOffset>
            </wp:positionV>
            <wp:extent cx="17259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MPI (London) Limited</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TRF MP Management LLC, its investment</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manager</w:t>
      </w:r>
    </w:p>
    <w:p>
      <w:pPr>
        <w:spacing w:after="0" w:line="20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Capital Management, L.P., its sole member</w:t>
      </w:r>
    </w:p>
    <w:p>
      <w:pPr>
        <w:spacing w:after="0" w:line="223"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By: Apollo Capital Management GP, LLC its general partner</w:t>
      </w:r>
    </w:p>
    <w:p>
      <w:pPr>
        <w:spacing w:after="0" w:line="58" w:lineRule="exact"/>
        <w:rPr>
          <w:sz w:val="20"/>
          <w:szCs w:val="20"/>
          <w:color w:val="auto"/>
        </w:rPr>
      </w:pPr>
    </w:p>
    <w:p>
      <w:pPr>
        <w:ind w:left="1920"/>
        <w:spacing w:after="0"/>
        <w:tabs>
          <w:tab w:leader="none" w:pos="2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27305</wp:posOffset>
            </wp:positionV>
            <wp:extent cx="17259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TR Enhanced Levered Yield LLC</w:t>
      </w:r>
    </w:p>
    <w:p>
      <w:pPr>
        <w:spacing w:after="0" w:line="227" w:lineRule="exact"/>
        <w:rPr>
          <w:sz w:val="20"/>
          <w:szCs w:val="20"/>
          <w:color w:val="auto"/>
        </w:rPr>
      </w:pPr>
    </w:p>
    <w:p>
      <w:pPr>
        <w:ind w:left="1920" w:right="2479"/>
        <w:spacing w:after="0" w:line="262" w:lineRule="auto"/>
        <w:rPr>
          <w:sz w:val="20"/>
          <w:szCs w:val="20"/>
          <w:color w:val="auto"/>
        </w:rPr>
      </w:pPr>
      <w:r>
        <w:rPr>
          <w:rFonts w:ascii="Arial" w:cs="Arial" w:eastAsia="Arial" w:hAnsi="Arial"/>
          <w:sz w:val="20"/>
          <w:szCs w:val="20"/>
          <w:color w:val="auto"/>
        </w:rPr>
        <w:t>By: Apollo Total Return Enhanced Management LLC, its investment manager</w:t>
      </w:r>
    </w:p>
    <w:p>
      <w:pPr>
        <w:spacing w:after="0" w:line="1"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TR OPPORTUNISTIC LTD.</w:t>
      </w:r>
    </w:p>
    <w:p>
      <w:pPr>
        <w:spacing w:after="0" w:line="227" w:lineRule="exact"/>
        <w:rPr>
          <w:sz w:val="20"/>
          <w:szCs w:val="20"/>
          <w:color w:val="auto"/>
        </w:rPr>
      </w:pPr>
    </w:p>
    <w:p>
      <w:pPr>
        <w:ind w:left="1920" w:right="2479"/>
        <w:spacing w:after="0" w:line="262" w:lineRule="auto"/>
        <w:rPr>
          <w:sz w:val="20"/>
          <w:szCs w:val="20"/>
          <w:color w:val="auto"/>
        </w:rPr>
      </w:pPr>
      <w:r>
        <w:rPr>
          <w:rFonts w:ascii="Arial" w:cs="Arial" w:eastAsia="Arial" w:hAnsi="Arial"/>
          <w:sz w:val="20"/>
          <w:szCs w:val="20"/>
          <w:color w:val="auto"/>
        </w:rPr>
        <w:t>By: Apollo Total Return Enhanced Management LLC, its investment manager</w:t>
      </w:r>
    </w:p>
    <w:p>
      <w:pPr>
        <w:spacing w:after="0" w:line="1"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4" w:lineRule="exact"/>
        <w:rPr>
          <w:sz w:val="20"/>
          <w:szCs w:val="20"/>
          <w:color w:val="auto"/>
        </w:rPr>
      </w:pPr>
    </w:p>
    <w:p>
      <w:pPr>
        <w:ind w:left="1920" w:right="2379"/>
        <w:spacing w:after="0" w:line="262" w:lineRule="auto"/>
        <w:rPr>
          <w:sz w:val="20"/>
          <w:szCs w:val="20"/>
          <w:color w:val="auto"/>
        </w:rPr>
      </w:pPr>
      <w:r>
        <w:rPr>
          <w:rFonts w:ascii="Arial" w:cs="Arial" w:eastAsia="Arial" w:hAnsi="Arial"/>
          <w:sz w:val="20"/>
          <w:szCs w:val="20"/>
          <w:color w:val="auto"/>
        </w:rPr>
        <w:t>By: Apollo Total Return Management LLC, its investment manager</w:t>
      </w:r>
    </w:p>
    <w:p>
      <w:pPr>
        <w:spacing w:after="0" w:line="1"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A-N Credit Fund (Delaware), L.P.</w:t>
      </w:r>
    </w:p>
    <w:p>
      <w:pPr>
        <w:sectPr>
          <w:pgSz w:w="11900" w:h="16838" w:orient="portrait"/>
          <w:cols w:equalWidth="0" w:num="1">
            <w:col w:w="9019"/>
          </w:cols>
          <w:pgMar w:left="1440" w:top="643" w:right="1440" w:bottom="0" w:gutter="0" w:footer="0" w:header="0"/>
        </w:sectPr>
      </w:pPr>
    </w:p>
    <w:bookmarkStart w:id="130" w:name="page131"/>
    <w:bookmarkEnd w:id="130"/>
    <w:p>
      <w:pPr>
        <w:ind w:left="1920" w:right="2479"/>
        <w:spacing w:after="0" w:line="262" w:lineRule="auto"/>
        <w:rPr>
          <w:sz w:val="20"/>
          <w:szCs w:val="20"/>
          <w:color w:val="auto"/>
        </w:rPr>
      </w:pPr>
      <w:r>
        <w:rPr>
          <w:rFonts w:ascii="Arial" w:cs="Arial" w:eastAsia="Arial" w:hAnsi="Arial"/>
          <w:sz w:val="20"/>
          <w:szCs w:val="20"/>
          <w:color w:val="auto"/>
        </w:rPr>
        <w:t>By: Apollo A-N Credit Management LLC, its investment manager</w:t>
      </w:r>
    </w:p>
    <w:p>
      <w:pPr>
        <w:spacing w:after="0" w:line="1"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CENTRE STREET PARTNERSHIP, LP</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Centre Street Management LLC, its</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investment manager</w:t>
      </w:r>
    </w:p>
    <w:p>
      <w:pPr>
        <w:spacing w:after="0" w:line="29"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Moultrie Credit Fund, L.P.</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Moultrie Credit Fund Management LLC, its</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investment manager</w:t>
      </w:r>
    </w:p>
    <w:p>
      <w:pPr>
        <w:spacing w:after="0" w:line="29"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Tactical Value SPN Investments, L.P.</w:t>
      </w:r>
    </w:p>
    <w:p>
      <w:pPr>
        <w:spacing w:after="0" w:line="227" w:lineRule="exact"/>
        <w:rPr>
          <w:sz w:val="20"/>
          <w:szCs w:val="20"/>
          <w:color w:val="auto"/>
        </w:rPr>
      </w:pPr>
    </w:p>
    <w:p>
      <w:pPr>
        <w:ind w:left="1920" w:right="1779"/>
        <w:spacing w:after="0" w:line="262" w:lineRule="auto"/>
        <w:rPr>
          <w:sz w:val="20"/>
          <w:szCs w:val="20"/>
          <w:color w:val="auto"/>
        </w:rPr>
      </w:pPr>
      <w:r>
        <w:rPr>
          <w:rFonts w:ascii="Arial" w:cs="Arial" w:eastAsia="Arial" w:hAnsi="Arial"/>
          <w:sz w:val="20"/>
          <w:szCs w:val="20"/>
          <w:color w:val="auto"/>
        </w:rPr>
        <w:t>By: Apollo Tactical Value SPN Management, LLC, its investment manager</w:t>
      </w:r>
    </w:p>
    <w:p>
      <w:pPr>
        <w:spacing w:after="0" w:line="1"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ACCORD MASTER FUND III, L.P.</w:t>
      </w:r>
    </w:p>
    <w:p>
      <w:pPr>
        <w:spacing w:after="0" w:line="227" w:lineRule="exact"/>
        <w:rPr>
          <w:sz w:val="20"/>
          <w:szCs w:val="20"/>
          <w:color w:val="auto"/>
        </w:rPr>
      </w:pPr>
    </w:p>
    <w:p>
      <w:pPr>
        <w:ind w:left="1920" w:right="2499"/>
        <w:spacing w:after="0" w:line="262" w:lineRule="auto"/>
        <w:rPr>
          <w:sz w:val="20"/>
          <w:szCs w:val="20"/>
          <w:color w:val="auto"/>
        </w:rPr>
      </w:pPr>
      <w:r>
        <w:rPr>
          <w:rFonts w:ascii="Arial" w:cs="Arial" w:eastAsia="Arial" w:hAnsi="Arial"/>
          <w:sz w:val="20"/>
          <w:szCs w:val="20"/>
          <w:color w:val="auto"/>
        </w:rPr>
        <w:t>By: Apollo Accord Management III, LLC, its investment manager</w:t>
      </w:r>
    </w:p>
    <w:p>
      <w:pPr>
        <w:spacing w:after="0" w:line="1"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Cadbury Mondelez Pension Trust Limited</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By: Apollo TRF CM Management, LLC, its investment manager</w:t>
      </w:r>
    </w:p>
    <w:p>
      <w:pPr>
        <w:spacing w:after="0" w:line="23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Capital Management, L.P., its member</w:t>
      </w:r>
    </w:p>
    <w:p>
      <w:pPr>
        <w:spacing w:after="0" w:line="223"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By: Apollo Capital Management GP, LLC, its general partner</w:t>
      </w:r>
    </w:p>
    <w:p>
      <w:pPr>
        <w:spacing w:after="0" w:line="58"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224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A-N Credit Fund (Delaware), L.P.</w:t>
      </w:r>
    </w:p>
    <w:p>
      <w:pPr>
        <w:spacing w:after="0" w:line="227" w:lineRule="exact"/>
        <w:rPr>
          <w:sz w:val="20"/>
          <w:szCs w:val="20"/>
          <w:color w:val="auto"/>
        </w:rPr>
      </w:pPr>
    </w:p>
    <w:p>
      <w:pPr>
        <w:ind w:left="1920" w:right="2019"/>
        <w:spacing w:after="0" w:line="262" w:lineRule="auto"/>
        <w:rPr>
          <w:sz w:val="20"/>
          <w:szCs w:val="20"/>
          <w:color w:val="auto"/>
        </w:rPr>
      </w:pPr>
      <w:r>
        <w:rPr>
          <w:rFonts w:ascii="Arial" w:cs="Arial" w:eastAsia="Arial" w:hAnsi="Arial"/>
          <w:sz w:val="20"/>
          <w:szCs w:val="20"/>
          <w:color w:val="auto"/>
        </w:rPr>
        <w:t>By: Apollo A-N Credit Fund Management LLC, its investment manager</w:t>
      </w:r>
    </w:p>
    <w:p>
      <w:pPr>
        <w:spacing w:after="0" w:line="1" w:lineRule="exact"/>
        <w:rPr>
          <w:sz w:val="20"/>
          <w:szCs w:val="20"/>
          <w:color w:val="auto"/>
        </w:rPr>
      </w:pPr>
    </w:p>
    <w:p>
      <w:pPr>
        <w:ind w:left="1920"/>
        <w:spacing w:after="0"/>
        <w:tabs>
          <w:tab w:leader="none" w:pos="2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27305</wp:posOffset>
            </wp:positionV>
            <wp:extent cx="16224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ectPr>
          <w:pgSz w:w="11900" w:h="16838" w:orient="portrait"/>
          <w:cols w:equalWidth="0" w:num="1">
            <w:col w:w="9019"/>
          </w:cols>
          <w:pgMar w:left="1440" w:top="345" w:right="1440" w:bottom="0" w:gutter="0" w:footer="0" w:header="0"/>
        </w:sectPr>
      </w:pPr>
    </w:p>
    <w:bookmarkStart w:id="131" w:name="page132"/>
    <w:bookmarkEnd w:id="131"/>
    <w:p>
      <w:pPr>
        <w:ind w:left="1920"/>
        <w:spacing w:after="0"/>
        <w:rPr>
          <w:sz w:val="20"/>
          <w:szCs w:val="20"/>
          <w:color w:val="auto"/>
        </w:rPr>
      </w:pPr>
      <w:r>
        <w:rPr>
          <w:rFonts w:ascii="Arial" w:cs="Arial" w:eastAsia="Arial" w:hAnsi="Arial"/>
          <w:sz w:val="20"/>
          <w:szCs w:val="20"/>
          <w:color w:val="auto"/>
        </w:rPr>
        <w:t>Title: Vice President</w:t>
      </w:r>
    </w:p>
    <w:p>
      <w:pPr>
        <w:spacing w:after="0" w:line="318"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AMISSIMA DIVERSIFIED INCOME ICAV,</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an Umbrella Irish Collective Asset-Management Vehicle</w:t>
      </w:r>
    </w:p>
    <w:p>
      <w:pPr>
        <w:spacing w:after="0" w:line="15" w:lineRule="exact"/>
        <w:rPr>
          <w:sz w:val="20"/>
          <w:szCs w:val="20"/>
          <w:color w:val="auto"/>
        </w:rPr>
      </w:pPr>
    </w:p>
    <w:p>
      <w:pPr>
        <w:ind w:left="1920" w:right="1519"/>
        <w:spacing w:after="0" w:line="246" w:lineRule="auto"/>
        <w:rPr>
          <w:sz w:val="20"/>
          <w:szCs w:val="20"/>
          <w:color w:val="auto"/>
        </w:rPr>
      </w:pPr>
      <w:r>
        <w:rPr>
          <w:rFonts w:ascii="Arial" w:cs="Arial" w:eastAsia="Arial" w:hAnsi="Arial"/>
          <w:sz w:val="20"/>
          <w:szCs w:val="20"/>
          <w:color w:val="auto"/>
        </w:rPr>
        <w:t>with Segregated Liability between its Sub-Funds, acting in respect of its Sub-Fund, Amissima Loan Origination Fund</w:t>
      </w:r>
    </w:p>
    <w:p>
      <w:pPr>
        <w:spacing w:after="0" w:line="190" w:lineRule="exact"/>
        <w:rPr>
          <w:sz w:val="20"/>
          <w:szCs w:val="20"/>
          <w:color w:val="auto"/>
        </w:rPr>
      </w:pPr>
    </w:p>
    <w:p>
      <w:pPr>
        <w:ind w:left="1920" w:right="1659"/>
        <w:spacing w:after="0" w:line="291" w:lineRule="auto"/>
        <w:rPr>
          <w:sz w:val="20"/>
          <w:szCs w:val="20"/>
          <w:color w:val="auto"/>
        </w:rPr>
      </w:pPr>
      <w:r>
        <w:rPr>
          <w:rFonts w:ascii="Arial" w:cs="Arial" w:eastAsia="Arial" w:hAnsi="Arial"/>
          <w:sz w:val="19"/>
          <w:szCs w:val="19"/>
          <w:color w:val="auto"/>
        </w:rPr>
        <w:t>By: Apollo Management International LLP, solely in its capacity as Portfolio Manager and not in its individual corporate capacity</w:t>
      </w:r>
    </w:p>
    <w:p>
      <w:pPr>
        <w:spacing w:after="0" w:line="15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AMI (Holdings), LLC, its member</w:t>
      </w:r>
    </w:p>
    <w:p>
      <w:pPr>
        <w:spacing w:after="0" w:line="47" w:lineRule="exact"/>
        <w:rPr>
          <w:sz w:val="20"/>
          <w:szCs w:val="20"/>
          <w:color w:val="auto"/>
        </w:rPr>
      </w:pPr>
    </w:p>
    <w:p>
      <w:pPr>
        <w:ind w:left="1920"/>
        <w:spacing w:after="0"/>
        <w:tabs>
          <w:tab w:leader="none" w:pos="2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27305</wp:posOffset>
            </wp:positionV>
            <wp:extent cx="1622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ATHORA LUX INVEST,</w:t>
      </w:r>
    </w:p>
    <w:p>
      <w:pPr>
        <w:spacing w:after="0" w:line="227" w:lineRule="exact"/>
        <w:rPr>
          <w:sz w:val="20"/>
          <w:szCs w:val="20"/>
          <w:color w:val="auto"/>
        </w:rPr>
      </w:pPr>
    </w:p>
    <w:p>
      <w:pPr>
        <w:jc w:val="both"/>
        <w:ind w:left="1920" w:right="1639"/>
        <w:spacing w:after="0" w:line="242" w:lineRule="auto"/>
        <w:rPr>
          <w:sz w:val="20"/>
          <w:szCs w:val="20"/>
          <w:color w:val="auto"/>
        </w:rPr>
      </w:pPr>
      <w:r>
        <w:rPr>
          <w:rFonts w:ascii="Arial" w:cs="Arial" w:eastAsia="Arial" w:hAnsi="Arial"/>
          <w:sz w:val="20"/>
          <w:szCs w:val="20"/>
          <w:color w:val="auto"/>
        </w:rPr>
        <w:t>a reserved alternative investment fund in the form of a Luxembourg special limited partnership (société en commandite spéciale), acting in respect of its</w:t>
      </w:r>
    </w:p>
    <w:p>
      <w:pPr>
        <w:spacing w:after="0" w:line="2" w:lineRule="exact"/>
        <w:rPr>
          <w:sz w:val="20"/>
          <w:szCs w:val="20"/>
          <w:color w:val="auto"/>
        </w:rPr>
      </w:pPr>
    </w:p>
    <w:p>
      <w:pPr>
        <w:ind w:left="1920" w:right="2399"/>
        <w:spacing w:after="0" w:line="275" w:lineRule="auto"/>
        <w:rPr>
          <w:sz w:val="20"/>
          <w:szCs w:val="20"/>
          <w:color w:val="auto"/>
        </w:rPr>
      </w:pPr>
      <w:r>
        <w:rPr>
          <w:rFonts w:ascii="Arial" w:cs="Arial" w:eastAsia="Arial" w:hAnsi="Arial"/>
          <w:sz w:val="18"/>
          <w:szCs w:val="18"/>
          <w:color w:val="auto"/>
        </w:rPr>
        <w:t>compartment, Athora Lux Invest – Loan Origination, acting through its managing general partner Athora Lux Invest Management and represented by its delegate portfolio manager, Apollo Management International LLP</w:t>
      </w:r>
    </w:p>
    <w:p>
      <w:pPr>
        <w:spacing w:after="0" w:line="166"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Management LLP, its portfolio</w:t>
      </w:r>
    </w:p>
    <w:p>
      <w:pPr>
        <w:spacing w:after="0" w:line="1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manager</w:t>
      </w:r>
    </w:p>
    <w:p>
      <w:pPr>
        <w:ind w:left="1920"/>
        <w:spacing w:after="0"/>
        <w:rPr>
          <w:sz w:val="20"/>
          <w:szCs w:val="20"/>
          <w:color w:val="auto"/>
        </w:rPr>
      </w:pPr>
      <w:r>
        <w:rPr>
          <w:rFonts w:ascii="Arial" w:cs="Arial" w:eastAsia="Arial" w:hAnsi="Arial"/>
          <w:sz w:val="20"/>
          <w:szCs w:val="20"/>
          <w:color w:val="auto"/>
        </w:rPr>
        <w:t>By: AMI (Holdings), LLC its member</w:t>
      </w:r>
    </w:p>
    <w:p>
      <w:pPr>
        <w:spacing w:after="0" w:line="255" w:lineRule="exact"/>
        <w:rPr>
          <w:sz w:val="20"/>
          <w:szCs w:val="20"/>
          <w:color w:val="auto"/>
        </w:rPr>
      </w:pPr>
    </w:p>
    <w:p>
      <w:pPr>
        <w:ind w:left="1920"/>
        <w:spacing w:after="0"/>
        <w:tabs>
          <w:tab w:leader="none" w:pos="2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27305</wp:posOffset>
            </wp:positionV>
            <wp:extent cx="16224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20"/>
        <w:spacing w:after="0"/>
        <w:rPr>
          <w:sz w:val="20"/>
          <w:szCs w:val="20"/>
          <w:color w:val="auto"/>
        </w:rPr>
      </w:pPr>
      <w:r>
        <w:rPr>
          <w:rFonts w:ascii="Arial" w:cs="Arial" w:eastAsia="Arial" w:hAnsi="Arial"/>
          <w:sz w:val="19"/>
          <w:szCs w:val="19"/>
          <w:b w:val="1"/>
          <w:bCs w:val="1"/>
          <w:color w:val="auto"/>
        </w:rPr>
        <w:t>San Bernardino County Employees’ Retirement Association</w:t>
      </w:r>
    </w:p>
    <w:p>
      <w:pPr>
        <w:spacing w:after="0" w:line="239" w:lineRule="exact"/>
        <w:rPr>
          <w:sz w:val="20"/>
          <w:szCs w:val="20"/>
          <w:color w:val="auto"/>
        </w:rPr>
      </w:pPr>
    </w:p>
    <w:p>
      <w:pPr>
        <w:ind w:left="1920" w:right="2439"/>
        <w:spacing w:after="0" w:line="262" w:lineRule="auto"/>
        <w:rPr>
          <w:sz w:val="20"/>
          <w:szCs w:val="20"/>
          <w:color w:val="auto"/>
        </w:rPr>
      </w:pPr>
      <w:r>
        <w:rPr>
          <w:rFonts w:ascii="Arial" w:cs="Arial" w:eastAsia="Arial" w:hAnsi="Arial"/>
          <w:sz w:val="20"/>
          <w:szCs w:val="20"/>
          <w:color w:val="auto"/>
        </w:rPr>
        <w:t>By: Apollo Arrowhead Management, LLC, its investment manager</w:t>
      </w:r>
    </w:p>
    <w:p>
      <w:pPr>
        <w:spacing w:after="0" w:line="1"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38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APOLLO CREDIT FUNDS ICAV</w:t>
      </w:r>
    </w:p>
    <w:p>
      <w:pPr>
        <w:spacing w:after="0" w:line="227" w:lineRule="exact"/>
        <w:rPr>
          <w:sz w:val="20"/>
          <w:szCs w:val="20"/>
          <w:color w:val="auto"/>
        </w:rPr>
      </w:pPr>
    </w:p>
    <w:p>
      <w:pPr>
        <w:ind w:left="1940" w:right="1919"/>
        <w:spacing w:after="0" w:line="250" w:lineRule="auto"/>
        <w:rPr>
          <w:sz w:val="20"/>
          <w:szCs w:val="20"/>
          <w:color w:val="auto"/>
        </w:rPr>
      </w:pPr>
      <w:r>
        <w:rPr>
          <w:rFonts w:ascii="Arial" w:cs="Arial" w:eastAsia="Arial" w:hAnsi="Arial"/>
          <w:sz w:val="20"/>
          <w:szCs w:val="20"/>
          <w:color w:val="auto"/>
        </w:rPr>
        <w:t>an Umbrella Irish Collective Asset Management Vehicle with Segregated Liability between its Sub-Funds, acting in respect of its Sub-Fund Apollo Helius Loan Fund</w:t>
      </w:r>
    </w:p>
    <w:p>
      <w:pPr>
        <w:spacing w:after="0" w:line="18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ACF Europe Management, LLC, it portfolio</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manager</w:t>
      </w:r>
    </w:p>
    <w:p>
      <w:pPr>
        <w:spacing w:after="0" w:line="20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Capital Management, L.P.,</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its sole member</w:t>
      </w:r>
    </w:p>
    <w:p>
      <w:pPr>
        <w:spacing w:after="0" w:line="20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Apollo Capital Management GP, LLC,</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its general partner</w:t>
      </w:r>
    </w:p>
    <w:p>
      <w:pPr>
        <w:spacing w:after="0" w:line="255"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27305</wp:posOffset>
            </wp:positionV>
            <wp:extent cx="1638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w:t>
      </w:r>
    </w:p>
    <w:p>
      <w:pPr>
        <w:spacing w:after="0" w:line="3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ACE GLOBAL MULTI-CREDIT LLC</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By: ACE Credit Fund, L.P., its sole member</w:t>
      </w:r>
    </w:p>
    <w:p>
      <w:pPr>
        <w:sectPr>
          <w:pgSz w:w="11900" w:h="16838" w:orient="portrait"/>
          <w:cols w:equalWidth="0" w:num="1">
            <w:col w:w="9019"/>
          </w:cols>
          <w:pgMar w:left="1440" w:top="120" w:right="1440" w:bottom="0" w:gutter="0" w:footer="0" w:header="0"/>
        </w:sectPr>
      </w:pPr>
    </w:p>
    <w:bookmarkStart w:id="132" w:name="page133"/>
    <w:bookmarkEnd w:id="132"/>
    <w:p>
      <w:pPr>
        <w:ind w:left="3120"/>
        <w:spacing w:after="0"/>
        <w:rPr>
          <w:sz w:val="20"/>
          <w:szCs w:val="20"/>
          <w:color w:val="auto"/>
        </w:rPr>
      </w:pPr>
      <w:r>
        <w:rPr>
          <w:rFonts w:ascii="Arial" w:cs="Arial" w:eastAsia="Arial" w:hAnsi="Arial"/>
          <w:sz w:val="20"/>
          <w:szCs w:val="20"/>
          <w:color w:val="auto"/>
        </w:rPr>
        <w:t>By: ACE Credit Advisors, L.P. its general partner</w:t>
      </w:r>
    </w:p>
    <w:p>
      <w:pPr>
        <w:spacing w:after="0" w:line="222"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By: ACE Credit Advisors GP, LLC, its general partner</w:t>
      </w:r>
    </w:p>
    <w:p>
      <w:pPr>
        <w:spacing w:after="0" w:line="47" w:lineRule="exact"/>
        <w:rPr>
          <w:sz w:val="20"/>
          <w:szCs w:val="20"/>
          <w:color w:val="auto"/>
        </w:rPr>
      </w:pPr>
    </w:p>
    <w:p>
      <w:pPr>
        <w:ind w:left="312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27305</wp:posOffset>
            </wp:positionV>
            <wp:extent cx="1638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APOLLO CREDIT MASTER FUND LTD.</w:t>
      </w:r>
    </w:p>
    <w:p>
      <w:pPr>
        <w:spacing w:after="0" w:line="2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By: Apollo ST Fund Management LLC, its investment</w:t>
      </w:r>
    </w:p>
    <w:p>
      <w:pPr>
        <w:spacing w:after="0" w:line="15"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manager</w:t>
      </w:r>
    </w:p>
    <w:p>
      <w:pPr>
        <w:spacing w:after="0" w:line="29" w:lineRule="exact"/>
        <w:rPr>
          <w:sz w:val="20"/>
          <w:szCs w:val="20"/>
          <w:color w:val="auto"/>
        </w:rPr>
      </w:pPr>
    </w:p>
    <w:p>
      <w:pPr>
        <w:ind w:left="3120"/>
        <w:spacing w:after="0"/>
        <w:tabs>
          <w:tab w:leader="none" w:pos="3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2477770</wp:posOffset>
            </wp:positionH>
            <wp:positionV relativeFrom="paragraph">
              <wp:posOffset>27305</wp:posOffset>
            </wp:positionV>
            <wp:extent cx="16224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Apollo Lincoln Fixed Income Fund, L.P.</w:t>
      </w:r>
    </w:p>
    <w:p>
      <w:pPr>
        <w:spacing w:after="0" w:line="2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By: Apollo Lincoln Fixed Income Management, LLC, its</w:t>
      </w:r>
    </w:p>
    <w:p>
      <w:pPr>
        <w:spacing w:after="0" w:line="15"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investment manager</w:t>
      </w:r>
    </w:p>
    <w:p>
      <w:pPr>
        <w:spacing w:after="0" w:line="29" w:lineRule="exact"/>
        <w:rPr>
          <w:sz w:val="20"/>
          <w:szCs w:val="20"/>
          <w:color w:val="auto"/>
        </w:rPr>
      </w:pPr>
    </w:p>
    <w:p>
      <w:pPr>
        <w:ind w:left="312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27305</wp:posOffset>
            </wp:positionV>
            <wp:extent cx="16224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 Joseph D. Glatt</w:t>
      </w:r>
    </w:p>
    <w:p>
      <w:pPr>
        <w:spacing w:after="0" w:line="4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Aspen American Insurance Company</w:t>
      </w:r>
    </w:p>
    <w:p>
      <w:pPr>
        <w:spacing w:after="0" w:line="22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By: Apollo Asset Management Europe PC LLP, its investment</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manager</w:t>
      </w:r>
    </w:p>
    <w:p>
      <w:pPr>
        <w:spacing w:after="0" w:line="29" w:lineRule="exact"/>
        <w:rPr>
          <w:sz w:val="20"/>
          <w:szCs w:val="20"/>
          <w:color w:val="auto"/>
        </w:rPr>
      </w:pPr>
    </w:p>
    <w:p>
      <w:pPr>
        <w:ind w:left="312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Nathan Hagerman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27305</wp:posOffset>
            </wp:positionV>
            <wp:extent cx="16224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 Nathan Hagerman</w:t>
      </w:r>
    </w:p>
    <w:p>
      <w:pPr>
        <w:spacing w:after="0" w:line="4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4812-6237-5586v13</w:t>
      </w:r>
    </w:p>
    <w:p>
      <w:pPr>
        <w:spacing w:after="0" w:line="21" w:lineRule="exact"/>
        <w:rPr>
          <w:sz w:val="20"/>
          <w:szCs w:val="20"/>
          <w:color w:val="auto"/>
        </w:rPr>
      </w:pPr>
    </w:p>
    <w:p>
      <w:pPr>
        <w:spacing w:after="0"/>
        <w:rPr>
          <w:sz w:val="20"/>
          <w:szCs w:val="20"/>
          <w:color w:val="auto"/>
        </w:rPr>
      </w:pPr>
      <w:r>
        <w:rPr>
          <w:rFonts w:ascii="Arial" w:cs="Arial" w:eastAsia="Arial" w:hAnsi="Arial"/>
          <w:sz w:val="8"/>
          <w:szCs w:val="8"/>
          <w:color w:val="FFFFFF"/>
        </w:rPr>
        <w:t>41112.00012</w:t>
      </w:r>
    </w:p>
    <w:p>
      <w:pPr>
        <w:sectPr>
          <w:pgSz w:w="11900" w:h="16838" w:orient="portrait"/>
          <w:cols w:equalWidth="0" w:num="1">
            <w:col w:w="10219"/>
          </w:cols>
          <w:pgMar w:left="240" w:top="12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11,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8" w:lineRule="exact"/>
        <w:rPr>
          <w:sz w:val="20"/>
          <w:szCs w:val="20"/>
          <w:color w:val="auto"/>
        </w:rPr>
      </w:pPr>
    </w:p>
    <w:p>
      <w:pPr>
        <w:jc w:val="both"/>
        <w:ind w:firstLine="1208"/>
        <w:spacing w:after="0" w:line="252" w:lineRule="auto"/>
        <w:rPr>
          <w:sz w:val="20"/>
          <w:szCs w:val="20"/>
          <w:color w:val="auto"/>
        </w:rPr>
      </w:pPr>
      <w:r>
        <w:rPr>
          <w:rFonts w:ascii="Arial" w:cs="Arial" w:eastAsia="Arial" w:hAnsi="Arial"/>
          <w:sz w:val="18"/>
          <w:szCs w:val="18"/>
          <w:color w:val="auto"/>
        </w:rPr>
        <w:t>THIS AMENDMENT NO. 5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September 11, 2019, by and among YRC WORLDWIDE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YRC INC., a Delaware Corporation (“</w:t>
      </w:r>
      <w:r>
        <w:rPr>
          <w:rFonts w:ascii="Arial" w:cs="Arial" w:eastAsia="Arial" w:hAnsi="Arial"/>
          <w:sz w:val="18"/>
          <w:szCs w:val="18"/>
          <w:u w:val="single" w:color="auto"/>
          <w:color w:val="auto"/>
        </w:rPr>
        <w:t>YRC</w:t>
      </w:r>
      <w:r>
        <w:rPr>
          <w:rFonts w:ascii="Arial" w:cs="Arial" w:eastAsia="Arial" w:hAnsi="Arial"/>
          <w:sz w:val="18"/>
          <w:szCs w:val="18"/>
          <w:color w:val="auto"/>
        </w:rPr>
        <w:t>”), USF REDDAWAY INC., an Oregon Corporation (“</w:t>
      </w:r>
      <w:r>
        <w:rPr>
          <w:rFonts w:ascii="Arial" w:cs="Arial" w:eastAsia="Arial" w:hAnsi="Arial"/>
          <w:sz w:val="18"/>
          <w:szCs w:val="18"/>
          <w:u w:val="single" w:color="auto"/>
          <w:color w:val="auto"/>
        </w:rPr>
        <w:t>Reddaway</w:t>
      </w:r>
      <w:r>
        <w:rPr>
          <w:rFonts w:ascii="Arial" w:cs="Arial" w:eastAsia="Arial" w:hAnsi="Arial"/>
          <w:sz w:val="18"/>
          <w:szCs w:val="18"/>
          <w:color w:val="auto"/>
        </w:rPr>
        <w:t>”), USF HOLLAND LLC, a Delaware limited liability company (“</w:t>
      </w:r>
      <w:r>
        <w:rPr>
          <w:rFonts w:ascii="Arial" w:cs="Arial" w:eastAsia="Arial" w:hAnsi="Arial"/>
          <w:sz w:val="18"/>
          <w:szCs w:val="18"/>
          <w:u w:val="single" w:color="auto"/>
          <w:color w:val="auto"/>
        </w:rPr>
        <w:t>Holland</w:t>
      </w:r>
      <w:r>
        <w:rPr>
          <w:rFonts w:ascii="Arial" w:cs="Arial" w:eastAsia="Arial" w:hAnsi="Arial"/>
          <w:sz w:val="18"/>
          <w:szCs w:val="18"/>
          <w:color w:val="auto"/>
        </w:rPr>
        <w:t>”), and NEW PENN MOTOR EXPRESS LLC, a Delaware limited liability company (“</w:t>
      </w:r>
      <w:r>
        <w:rPr>
          <w:rFonts w:ascii="Arial" w:cs="Arial" w:eastAsia="Arial" w:hAnsi="Arial"/>
          <w:sz w:val="18"/>
          <w:szCs w:val="18"/>
          <w:u w:val="single" w:color="auto"/>
          <w:color w:val="auto"/>
        </w:rPr>
        <w:t>New Penn</w:t>
      </w:r>
      <w:r>
        <w:rPr>
          <w:rFonts w:ascii="Arial" w:cs="Arial" w:eastAsia="Arial" w:hAnsi="Arial"/>
          <w:sz w:val="18"/>
          <w:szCs w:val="18"/>
          <w:color w:val="auto"/>
        </w:rPr>
        <w:t>”, and together with Parent, YRC, Holland and Reddaway,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each Guarantor party hereto, the Lenders party hereto and CITIZENS BUSINESS CAPITAL, a division of Citizens Asset Finance, Inc. (a subsidiary of Citizens Bank, N.A.) as agent for the Lenders and Issuing Banks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under that certain Loan and Security Agreement dated as of February 13, 2014 by and among Borrowers, Guarantors party thereto from time to time, the Lenders and Agent (as amended, amended and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Capitalized terms used herein and not otherwise defined herein shall have the respective meanings given to them in the Loan Agreement.</w:t>
      </w:r>
    </w:p>
    <w:p>
      <w:pPr>
        <w:spacing w:after="0" w:line="171" w:lineRule="exact"/>
        <w:rPr>
          <w:sz w:val="20"/>
          <w:szCs w:val="20"/>
          <w:color w:val="auto"/>
        </w:rPr>
      </w:pPr>
    </w:p>
    <w:p>
      <w:pPr>
        <w:jc w:val="both"/>
        <w:ind w:firstLine="1208"/>
        <w:spacing w:after="0" w:line="300" w:lineRule="auto"/>
        <w:rPr>
          <w:sz w:val="20"/>
          <w:szCs w:val="20"/>
          <w:color w:val="auto"/>
        </w:rPr>
      </w:pPr>
      <w:r>
        <w:rPr>
          <w:rFonts w:ascii="Arial" w:cs="Arial" w:eastAsia="Arial" w:hAnsi="Arial"/>
          <w:sz w:val="16"/>
          <w:szCs w:val="16"/>
          <w:color w:val="auto"/>
        </w:rPr>
        <w:t>WHEREAS, Borrowers and Guarantors have requested that the Lenders and Agent agree to an amendment to the Loan Agreement and to consent to the refinancing of the Term Debt (the “</w:t>
      </w:r>
      <w:r>
        <w:rPr>
          <w:rFonts w:ascii="Arial" w:cs="Arial" w:eastAsia="Arial" w:hAnsi="Arial"/>
          <w:sz w:val="16"/>
          <w:szCs w:val="16"/>
          <w:u w:val="single" w:color="auto"/>
          <w:color w:val="auto"/>
        </w:rPr>
        <w:t>Term Debt Refinancing</w:t>
      </w:r>
      <w:r>
        <w:rPr>
          <w:rFonts w:ascii="Arial" w:cs="Arial" w:eastAsia="Arial" w:hAnsi="Arial"/>
          <w:sz w:val="16"/>
          <w:szCs w:val="16"/>
          <w:color w:val="auto"/>
        </w:rPr>
        <w:t>”) pursuant to that certain Amendment No. 5 and Refinancing Amendment, dated as of September 11, 2019, by and among the Borrowers and Guarantors party thereto, the financial institutions party thereto as lenders, and the Term Agent party thereto (the “</w:t>
      </w:r>
      <w:r>
        <w:rPr>
          <w:rFonts w:ascii="Arial" w:cs="Arial" w:eastAsia="Arial" w:hAnsi="Arial"/>
          <w:sz w:val="16"/>
          <w:szCs w:val="16"/>
          <w:u w:val="single" w:color="auto"/>
          <w:color w:val="auto"/>
        </w:rPr>
        <w:t>Term Debt Refinancing Amendment</w:t>
      </w:r>
      <w:r>
        <w:rPr>
          <w:rFonts w:ascii="Arial" w:cs="Arial" w:eastAsia="Arial" w:hAnsi="Arial"/>
          <w:sz w:val="16"/>
          <w:szCs w:val="16"/>
          <w:color w:val="auto"/>
        </w:rPr>
        <w:t>”), notwithstanding the restrictions set forth in the definition of Permitted Refinancing;</w:t>
      </w:r>
    </w:p>
    <w:p>
      <w:pPr>
        <w:spacing w:after="0" w:line="137" w:lineRule="exact"/>
        <w:rPr>
          <w:sz w:val="20"/>
          <w:szCs w:val="20"/>
          <w:color w:val="auto"/>
        </w:rPr>
      </w:pPr>
    </w:p>
    <w:p>
      <w:pPr>
        <w:jc w:val="both"/>
        <w:ind w:firstLine="1208"/>
        <w:spacing w:after="0" w:line="274" w:lineRule="auto"/>
        <w:rPr>
          <w:sz w:val="20"/>
          <w:szCs w:val="20"/>
          <w:color w:val="auto"/>
        </w:rPr>
      </w:pPr>
      <w:r>
        <w:rPr>
          <w:rFonts w:ascii="Arial" w:cs="Arial" w:eastAsia="Arial" w:hAnsi="Arial"/>
          <w:sz w:val="17"/>
          <w:szCs w:val="17"/>
          <w:color w:val="auto"/>
        </w:rPr>
        <w:t>WHEREAS, following the Term Debt Refinancing, the Borrowers and Guarantors seek to (i) enter into that certain Successor Agent Agreement, dated as of September 11, 2019 (the “</w:t>
      </w:r>
      <w:r>
        <w:rPr>
          <w:rFonts w:ascii="Arial" w:cs="Arial" w:eastAsia="Arial" w:hAnsi="Arial"/>
          <w:sz w:val="17"/>
          <w:szCs w:val="17"/>
          <w:u w:val="single" w:color="auto"/>
          <w:color w:val="auto"/>
        </w:rPr>
        <w:t>Successor Agent Agreement</w:t>
      </w:r>
      <w:r>
        <w:rPr>
          <w:rFonts w:ascii="Arial" w:cs="Arial" w:eastAsia="Arial" w:hAnsi="Arial"/>
          <w:sz w:val="17"/>
          <w:szCs w:val="17"/>
          <w:color w:val="auto"/>
        </w:rPr>
        <w:t>”) and (ii) thereafter, amend, restate, modify, supplement and replace the Term Debt Agreement and certain other Term Debt Documents as set forth in the Amended and Restated Credit Agreement, dated as of September 11, 2019 in the form attached as Exhibit A to the Term Debt Refinancing Amendment, by and among the Borrowers and Guarantors party thereto, the financial institutions party thereto as lenders, and the Term Agent party thereto (the “</w:t>
      </w:r>
      <w:r>
        <w:rPr>
          <w:rFonts w:ascii="Arial" w:cs="Arial" w:eastAsia="Arial" w:hAnsi="Arial"/>
          <w:sz w:val="17"/>
          <w:szCs w:val="17"/>
          <w:u w:val="single" w:color="auto"/>
          <w:color w:val="auto"/>
        </w:rPr>
        <w:t>Restated Term Debt Agreement</w:t>
      </w:r>
      <w:r>
        <w:rPr>
          <w:rFonts w:ascii="Arial" w:cs="Arial" w:eastAsia="Arial" w:hAnsi="Arial"/>
          <w:sz w:val="17"/>
          <w:szCs w:val="17"/>
          <w:color w:val="auto"/>
        </w:rPr>
        <w:t>”); and</w:t>
      </w:r>
    </w:p>
    <w:p>
      <w:pPr>
        <w:spacing w:after="0" w:line="155" w:lineRule="exact"/>
        <w:rPr>
          <w:sz w:val="20"/>
          <w:szCs w:val="20"/>
          <w:color w:val="auto"/>
        </w:rPr>
      </w:pPr>
    </w:p>
    <w:p>
      <w:pPr>
        <w:jc w:val="both"/>
        <w:ind w:firstLine="1208"/>
        <w:spacing w:after="0" w:line="263" w:lineRule="auto"/>
        <w:rPr>
          <w:sz w:val="20"/>
          <w:szCs w:val="20"/>
          <w:color w:val="auto"/>
        </w:rPr>
      </w:pPr>
      <w:r>
        <w:rPr>
          <w:rFonts w:ascii="Arial" w:cs="Arial" w:eastAsia="Arial" w:hAnsi="Arial"/>
          <w:sz w:val="18"/>
          <w:szCs w:val="18"/>
          <w:color w:val="auto"/>
        </w:rPr>
        <w:t>WHEREAS, the Lenders party hereto and Agent have agreed to such amendment to the Loan Agreement in respect of the Term Debt Refinancing pursuant to the Term Debt Refinancing Amendment and the consummation of the transactions contemplated by the Restated Term Debt Agreement on the terms and conditions set forth herein;</w:t>
      </w:r>
    </w:p>
    <w:p>
      <w:pPr>
        <w:spacing w:after="0" w:line="163" w:lineRule="exact"/>
        <w:rPr>
          <w:sz w:val="20"/>
          <w:szCs w:val="20"/>
          <w:color w:val="auto"/>
        </w:rPr>
      </w:pPr>
    </w:p>
    <w:p>
      <w:pPr>
        <w:jc w:val="both"/>
        <w:ind w:firstLine="1208"/>
        <w:spacing w:after="0" w:line="263"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Borrowers, Guarantors, the Lenders party hereto and Agent have agreed to enter into this Amendment.</w:t>
      </w:r>
    </w:p>
    <w:p>
      <w:pPr>
        <w:spacing w:after="0" w:line="175" w:lineRule="exact"/>
        <w:rPr>
          <w:sz w:val="20"/>
          <w:szCs w:val="20"/>
          <w:color w:val="auto"/>
        </w:rPr>
      </w:pPr>
    </w:p>
    <w:p>
      <w:pPr>
        <w:ind w:firstLine="1209"/>
        <w:spacing w:after="0" w:line="309" w:lineRule="auto"/>
        <w:tabs>
          <w:tab w:leader="none" w:pos="255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Amendments to Loan Agreement</w:t>
      </w:r>
      <w:r>
        <w:rPr>
          <w:rFonts w:ascii="Arial" w:cs="Arial" w:eastAsia="Arial" w:hAnsi="Arial"/>
          <w:sz w:val="18"/>
          <w:szCs w:val="18"/>
          <w:color w:val="auto"/>
        </w:rPr>
        <w:t xml:space="preserve">. Effective as of the date of satisfaction or waiver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the Loan Agreement is hereby amended as follows:</w:t>
      </w:r>
    </w:p>
    <w:p>
      <w:pPr>
        <w:spacing w:after="0" w:line="134" w:lineRule="exact"/>
        <w:rPr>
          <w:sz w:val="20"/>
          <w:szCs w:val="20"/>
          <w:color w:val="auto"/>
        </w:rPr>
      </w:pPr>
    </w:p>
    <w:p>
      <w:pPr>
        <w:ind w:left="1640" w:hanging="431"/>
        <w:spacing w:after="0"/>
        <w:tabs>
          <w:tab w:leader="none" w:pos="16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Section 1.1 of the Loan Agreement is hereby amended by adding the following definitions to such section in proper alphabetical</w:t>
      </w:r>
    </w:p>
    <w:p>
      <w:pPr>
        <w:spacing w:after="0" w:line="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order:</w:t>
      </w:r>
    </w:p>
    <w:p>
      <w:pPr>
        <w:spacing w:after="0" w:line="192" w:lineRule="exact"/>
        <w:rPr>
          <w:sz w:val="20"/>
          <w:szCs w:val="20"/>
          <w:color w:val="auto"/>
        </w:rPr>
      </w:pPr>
    </w:p>
    <w:p>
      <w:pPr>
        <w:jc w:val="both"/>
        <w:ind w:left="600" w:firstLine="60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w:t>
      </w:r>
      <w:r>
        <w:rPr>
          <w:rFonts w:ascii="Arial" w:cs="Arial" w:eastAsia="Arial" w:hAnsi="Arial"/>
          <w:sz w:val="18"/>
          <w:szCs w:val="18"/>
          <w:color w:val="auto"/>
        </w:rPr>
        <w:t xml:space="preserve"> – that certain Amendment No. 5, dated as of September 11, 2019, by and among the Loan Parties party thereto, Agent and the Lenders party thereto.”</w:t>
      </w:r>
    </w:p>
    <w:p>
      <w:pPr>
        <w:spacing w:after="0" w:line="1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 Effective Date</w:t>
      </w:r>
      <w:r>
        <w:rPr>
          <w:rFonts w:ascii="Arial" w:cs="Arial" w:eastAsia="Arial" w:hAnsi="Arial"/>
          <w:sz w:val="18"/>
          <w:szCs w:val="18"/>
          <w:color w:val="auto"/>
        </w:rPr>
        <w:t xml:space="preserve"> – September 11, 2019.”</w:t>
      </w:r>
    </w:p>
    <w:p>
      <w:pPr>
        <w:spacing w:after="0" w:line="208" w:lineRule="exact"/>
        <w:rPr>
          <w:sz w:val="20"/>
          <w:szCs w:val="20"/>
          <w:color w:val="auto"/>
        </w:rPr>
      </w:pPr>
    </w:p>
    <w:p>
      <w:pPr>
        <w:jc w:val="both"/>
        <w:ind w:left="600" w:firstLine="60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Foreign Subsidiary</w:t>
      </w:r>
      <w:r>
        <w:rPr>
          <w:rFonts w:ascii="Arial" w:cs="Arial" w:eastAsia="Arial" w:hAnsi="Arial"/>
          <w:sz w:val="18"/>
          <w:szCs w:val="18"/>
          <w:color w:val="auto"/>
        </w:rPr>
        <w:t xml:space="preserve"> – shall mean any Foreign Subsidiary (other than any Canadian Subsidiary or Dutch Subsidiary) of the Parent that does not individually have total assets or revenues (for the period of four fiscal quarters most recently ended) that exceed 3.0% of the Parent’s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assets or revenues (for the period of four fiscal quarters most recently ended) of such Subsidiaries shall not at any time exceed 7.0% of the Parent’s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if, as of the date the financial statements for any fiscal quarter of the Parent are delivered or required to be delivered hereunder, the consolidated assets or revenues of all Excluded Foreign Subsidiaries shall have, as of the last day of such fiscal quarter, exceeded the limits set forth above, then within sixty (60) days (or such later date as agreed by the Agent in its reasonable discretion) after the date such financial statements are so delivered (or so required to be delivered), the Parent shall cause one or more Foreign Subsidiaries to comply with Section 10.1.11 such that, as a result thereof, the consolidated assets and revenues of all Excluded Foreign Subsidiaries do not exceed such limits. For the avoidance of doubt, no Canadian Subsidiary or Dutch Subsidiary shall constitute an Excluded Foreign Subsidiary.”</w:t>
      </w:r>
    </w:p>
    <w:p>
      <w:pPr>
        <w:spacing w:after="0" w:line="181" w:lineRule="exact"/>
        <w:rPr>
          <w:sz w:val="20"/>
          <w:szCs w:val="20"/>
          <w:color w:val="auto"/>
        </w:rPr>
      </w:pPr>
    </w:p>
    <w:p>
      <w:pPr>
        <w:jc w:val="both"/>
        <w:ind w:left="600" w:firstLine="60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Real Property</w:t>
      </w:r>
      <w:r>
        <w:rPr>
          <w:rFonts w:ascii="Arial" w:cs="Arial" w:eastAsia="Arial" w:hAnsi="Arial"/>
          <w:sz w:val="18"/>
          <w:szCs w:val="18"/>
          <w:color w:val="auto"/>
        </w:rPr>
        <w:t xml:space="preserve"> – shall mean any Real Property for so long as such Real Property secures the obligations of the Parent under the Contribution Deferral Agreement on a first lien basis on the Amendment No. 5 Effective Date, as set forth on Schedule 1.01(a) of the Term Debt Agreement as in effect on the Amendment No. 5 Effective Date.”</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Restated Term Debt Agreement</w:t>
      </w:r>
      <w:r>
        <w:rPr>
          <w:rFonts w:ascii="Arial" w:cs="Arial" w:eastAsia="Arial" w:hAnsi="Arial"/>
          <w:sz w:val="18"/>
          <w:szCs w:val="18"/>
          <w:color w:val="auto"/>
        </w:rPr>
        <w:t xml:space="preserve"> – as defined in Amendment No. 5.”</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Debt Refinancing Amendment</w:t>
      </w:r>
      <w:r>
        <w:rPr>
          <w:rFonts w:ascii="Arial" w:cs="Arial" w:eastAsia="Arial" w:hAnsi="Arial"/>
          <w:sz w:val="18"/>
          <w:szCs w:val="18"/>
          <w:color w:val="auto"/>
        </w:rPr>
        <w:t xml:space="preserve"> – as defined in Amendment No. 5.”</w:t>
      </w:r>
    </w:p>
    <w:p>
      <w:pPr>
        <w:spacing w:after="0" w:line="208" w:lineRule="exact"/>
        <w:rPr>
          <w:sz w:val="20"/>
          <w:szCs w:val="20"/>
          <w:color w:val="auto"/>
        </w:rPr>
      </w:pPr>
    </w:p>
    <w:p>
      <w:pPr>
        <w:ind w:left="600" w:firstLine="609"/>
        <w:spacing w:after="0" w:line="279" w:lineRule="auto"/>
        <w:tabs>
          <w:tab w:leader="none" w:pos="15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1.1 of the Loan Agreement is hereby amended by deleting the following definitions and replacing and restating them in their entirety as follows:</w:t>
      </w:r>
    </w:p>
    <w:p>
      <w:pPr>
        <w:spacing w:after="0" w:line="148" w:lineRule="exact"/>
        <w:rPr>
          <w:sz w:val="20"/>
          <w:szCs w:val="20"/>
          <w:color w:val="auto"/>
        </w:rPr>
      </w:pPr>
    </w:p>
    <w:p>
      <w:pPr>
        <w:ind w:left="600" w:firstLine="60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Real Property</w:t>
      </w:r>
      <w:r>
        <w:rPr>
          <w:rFonts w:ascii="Arial" w:cs="Arial" w:eastAsia="Arial" w:hAnsi="Arial"/>
          <w:sz w:val="18"/>
          <w:szCs w:val="18"/>
          <w:color w:val="auto"/>
        </w:rPr>
        <w:t xml:space="preserve"> – shall mean (a) any Real Property set forth on Schedule 1.01(a) of the Term Debt Agreement as in effect on the Amendment No. 5 Effective Date and (b) any Pension Real Property.”</w:t>
      </w:r>
    </w:p>
    <w:p>
      <w:pPr>
        <w:sectPr>
          <w:pgSz w:w="11900" w:h="16838" w:orient="portrait"/>
          <w:cols w:equalWidth="0" w:num="1">
            <w:col w:w="11420"/>
          </w:cols>
          <w:pgMar w:left="240" w:top="131" w:right="239" w:bottom="0" w:gutter="0" w:footer="0" w:header="0"/>
        </w:sectPr>
      </w:pPr>
    </w:p>
    <w:bookmarkStart w:id="134" w:name="page135"/>
    <w:bookmarkEnd w:id="134"/>
    <w:p>
      <w:pPr>
        <w:spacing w:after="0" w:line="88" w:lineRule="exact"/>
        <w:rPr>
          <w:sz w:val="20"/>
          <w:szCs w:val="20"/>
          <w:color w:val="auto"/>
        </w:rPr>
      </w:pPr>
    </w:p>
    <w:p>
      <w:pPr>
        <w:jc w:val="both"/>
        <w:ind w:firstLine="60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 shall mean (a) any bona fide joint venture formed after the Amendment No. 5 Effective Date with any Person that is not an Affiliate of any Loan Party, (b) any Immaterial Subsidiary, (c) any Subsidiary that is prohibited by Applicable Law whether or not existing on the Amendment No. 5 Effective Date or Contractual Obligations existing on the Amendment No. 5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contractual obligation is waived or otherwise removed or such consent, approval, license or authorization has been obtained), (d) any other Subsidiary with respect to which, in the reasonable judgment of Agent, in consultation with Administrative Borrower, the burden or cost or other consequences (other than adverse tax consequences) of providing a Guarantee of the Obligations shall be excessive in view of the benefits to be obtained by Secured Parties therefrom, (e) any other Subsidiary with respect to which, in the reasonable judgment of Administrative Borrower, the tax consequences of providing a Guarantee could be adverse in consultation with Agent, (f) any Excluded Foreign Subsidiary of the Parent, and (g) any captive insurance company or non-profit Subsidiary; provided that no Person shall be an Excluded Subsidiary to the extent it guarantees or pledges any of its assets to secure, directly or indirectly, any other Indebtedness of any Loan Party in excess of the Threshold Amount; provided, further, that in the event that any Excluded Subsidiary guarantees or otherwise becomes an obligor under any Indebtedness, the aggregate principal amount of which exceeds the Threshold Amount, then such Excluded Subsidiary shall, notwithstanding the foregoing, no longer constitute an Excluded Subsidiary, and shall become a Loan Party hereunder.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6"/>
          <w:szCs w:val="16"/>
          <w:u w:val="single" w:color="auto"/>
          <w:color w:val="auto"/>
        </w:rPr>
        <w:t>Section 10.2.2(c)(iii)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10.2.2(p)</w:t>
      </w:r>
      <w:r>
        <w:rPr>
          <w:rFonts w:ascii="Arial" w:cs="Arial" w:eastAsia="Arial" w:hAnsi="Arial"/>
          <w:sz w:val="16"/>
          <w:szCs w:val="16"/>
          <w:color w:val="auto"/>
        </w:rPr>
        <w:t xml:space="preserve"> at the time such Person becomes an Excluded Subsidiary pursuant to clause (a) of the definition of “Excluded Subsidiary”.”</w:t>
      </w:r>
    </w:p>
    <w:p>
      <w:pPr>
        <w:spacing w:after="0" w:line="160"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Debt</w:t>
      </w:r>
      <w:r>
        <w:rPr>
          <w:rFonts w:ascii="Arial" w:cs="Arial" w:eastAsia="Arial" w:hAnsi="Arial"/>
          <w:sz w:val="18"/>
          <w:szCs w:val="18"/>
          <w:color w:val="auto"/>
        </w:rPr>
        <w:t xml:space="preserve"> – Debt and all other obligations outstanding under or secured by the Term Debt Documents (including, for the avoidance of doubt, Term Refinancing Debt and Incremental Term Loans (as defined in the Term Debt Agreement)) and, in each case, all Permitted Refinancings thereof.”</w:t>
      </w:r>
    </w:p>
    <w:p>
      <w:pPr>
        <w:spacing w:after="0" w:line="163" w:lineRule="exact"/>
        <w:rPr>
          <w:sz w:val="20"/>
          <w:szCs w:val="20"/>
          <w:color w:val="auto"/>
        </w:rPr>
      </w:pPr>
    </w:p>
    <w:p>
      <w:pPr>
        <w:jc w:val="both"/>
        <w:ind w:firstLine="60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Refinancing Amendment</w:t>
      </w:r>
      <w:r>
        <w:rPr>
          <w:rFonts w:ascii="Arial" w:cs="Arial" w:eastAsia="Arial" w:hAnsi="Arial"/>
          <w:sz w:val="18"/>
          <w:szCs w:val="18"/>
          <w:color w:val="auto"/>
        </w:rPr>
        <w:t xml:space="preserve"> – an amendment to the Term Debt Agreement executed by each of (a) Parent, (b) Term Agent, (c) each additional lender under the Term Debt Agreement that will make an Other Term Loan (as defined in the Term Debt Agreement) pursuant to such Term Refinancing Amendment and (d) each existing lender under the Term Debt Agreement that agrees to provide any portion of the Credit Agreement Refinancing Indebtedness (as defined in the Term Debt Agreement) being incurred pursuant thereto, in accordance with Section 2.18 of the Term Debt Agreement. Notwithstanding anything in this Agreement or this definition to the contrary, the Term Debt Refinancing Amendment constitutes a Term Refinancing Amendment.”</w:t>
      </w:r>
    </w:p>
    <w:p>
      <w:pPr>
        <w:spacing w:after="0" w:line="171" w:lineRule="exact"/>
        <w:rPr>
          <w:sz w:val="20"/>
          <w:szCs w:val="20"/>
          <w:color w:val="auto"/>
        </w:rPr>
      </w:pPr>
    </w:p>
    <w:p>
      <w:pPr>
        <w:ind w:right="400" w:firstLine="609"/>
        <w:spacing w:after="0" w:line="279" w:lineRule="auto"/>
        <w:tabs>
          <w:tab w:leader="none" w:pos="97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definition of “Collateral and Guarantee Requirement” in Section 1.1 of the Loan Agreement is hereby amended by deleting clauses (b)(ii), (iii) and (iv) thereof and replacing and restating such each clause in its entirety as follows:</w:t>
      </w:r>
    </w:p>
    <w:p>
      <w:pPr>
        <w:spacing w:after="0" w:line="147" w:lineRule="exact"/>
        <w:rPr>
          <w:rFonts w:ascii="Arial" w:cs="Arial" w:eastAsia="Arial" w:hAnsi="Arial"/>
          <w:sz w:val="18"/>
          <w:szCs w:val="18"/>
          <w:color w:val="auto"/>
        </w:rPr>
      </w:pPr>
    </w:p>
    <w:p>
      <w:pPr>
        <w:spacing w:after="0" w:line="279" w:lineRule="auto"/>
        <w:rPr>
          <w:rFonts w:ascii="Arial" w:cs="Arial" w:eastAsia="Arial" w:hAnsi="Arial"/>
          <w:sz w:val="18"/>
          <w:szCs w:val="18"/>
          <w:color w:val="auto"/>
        </w:rPr>
      </w:pPr>
      <w:r>
        <w:rPr>
          <w:rFonts w:ascii="Arial" w:cs="Arial" w:eastAsia="Arial" w:hAnsi="Arial"/>
          <w:sz w:val="18"/>
          <w:szCs w:val="18"/>
          <w:color w:val="auto"/>
        </w:rPr>
        <w:t xml:space="preserve">“ (ii) a perfected second priority pledge (subject to Liens permitted by </w:t>
      </w:r>
      <w:r>
        <w:rPr>
          <w:rFonts w:ascii="Arial" w:cs="Arial" w:eastAsia="Arial" w:hAnsi="Arial"/>
          <w:sz w:val="18"/>
          <w:szCs w:val="18"/>
          <w:u w:val="single" w:color="auto"/>
          <w:color w:val="auto"/>
        </w:rPr>
        <w:t>Section 10.2.1</w:t>
      </w:r>
      <w:r>
        <w:rPr>
          <w:rFonts w:ascii="Arial" w:cs="Arial" w:eastAsia="Arial" w:hAnsi="Arial"/>
          <w:sz w:val="18"/>
          <w:szCs w:val="18"/>
          <w:color w:val="auto"/>
        </w:rPr>
        <w:t>) of all Equity Interests directly held by the Borrower or any Guarantor.</w:t>
      </w:r>
    </w:p>
    <w:p>
      <w:pPr>
        <w:spacing w:after="0" w:line="147" w:lineRule="exact"/>
        <w:rPr>
          <w:rFonts w:ascii="Arial" w:cs="Arial" w:eastAsia="Arial" w:hAnsi="Arial"/>
          <w:sz w:val="18"/>
          <w:szCs w:val="18"/>
          <w:color w:val="auto"/>
        </w:rPr>
      </w:pPr>
    </w:p>
    <w:p>
      <w:pPr>
        <w:jc w:val="both"/>
        <w:ind w:firstLine="609"/>
        <w:spacing w:after="0" w:line="274" w:lineRule="auto"/>
        <w:tabs>
          <w:tab w:leader="none" w:pos="1131" w:val="left"/>
        </w:tabs>
        <w:numPr>
          <w:ilvl w:val="1"/>
          <w:numId w:val="184"/>
        </w:numPr>
        <w:rPr>
          <w:rFonts w:ascii="Arial" w:cs="Arial" w:eastAsia="Arial" w:hAnsi="Arial"/>
          <w:sz w:val="17"/>
          <w:szCs w:val="17"/>
          <w:color w:val="auto"/>
        </w:rPr>
      </w:pPr>
      <w:r>
        <w:rPr>
          <w:rFonts w:ascii="Arial" w:cs="Arial" w:eastAsia="Arial" w:hAnsi="Arial"/>
          <w:sz w:val="17"/>
          <w:szCs w:val="17"/>
          <w:color w:val="auto"/>
        </w:rPr>
        <w:t xml:space="preserve">with respect to each Material Real Property, (1) a second priority mortgage, deed of trust or deed to secure debt (as applicable) (subject to Liens permitted by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on such Material Real Property pursuant to Mortgages that satisfy the requirements of clause (c)(i) below and (2) a perfected second priority security interest (subject to Liens permitted by </w:t>
      </w:r>
      <w:r>
        <w:rPr>
          <w:rFonts w:ascii="Arial" w:cs="Arial" w:eastAsia="Arial" w:hAnsi="Arial"/>
          <w:sz w:val="17"/>
          <w:szCs w:val="17"/>
          <w:u w:val="single" w:color="auto"/>
          <w:color w:val="auto"/>
        </w:rPr>
        <w:t>Section 10.2.1</w:t>
      </w:r>
      <w:r>
        <w:rPr>
          <w:rFonts w:ascii="Arial" w:cs="Arial" w:eastAsia="Arial" w:hAnsi="Arial"/>
          <w:sz w:val="17"/>
          <w:szCs w:val="17"/>
          <w:color w:val="auto"/>
        </w:rPr>
        <w:t>) in all personal property relating to such Material Real Property and all fixtures thereon, provided, that, to the extent the opinion delivered to Agent confirms that the filing of the applicable Mortgage itself perfects Agent’s second priority security interest in such fixtures, no separate fixture filing shall be required; and</w:t>
      </w:r>
    </w:p>
    <w:p>
      <w:pPr>
        <w:spacing w:after="0" w:line="155" w:lineRule="exact"/>
        <w:rPr>
          <w:sz w:val="20"/>
          <w:szCs w:val="20"/>
          <w:color w:val="auto"/>
        </w:rPr>
      </w:pPr>
    </w:p>
    <w:p>
      <w:pPr>
        <w:jc w:val="both"/>
        <w:ind w:firstLine="609"/>
        <w:spacing w:after="0" w:line="267" w:lineRule="auto"/>
        <w:tabs>
          <w:tab w:leader="none" w:pos="109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within one hundred twenty (120) days following the repayment in full of the CDA First Lien Obligations (as defined in the Term Debt Agreement) (or, if the proviso to this clause (iv) applies, the date the Requisite CDA Consent (as defined below) is obtained, as applicable), a second priority Pension Property Mortgage (as defined in the Term Debt Agreement) pursuant to Mortgages that satisfy the requirements of clause (c)(i) below (subject to Liens permitted by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and a perfected second priority security interest (subject to Liens permitted by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in all personal property relating to such Pension Real Property and all fixtures thereon;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Pension Property Mortgage is prohibited under the terms of the Contribution Deferral Agreement (as in effect as of the Amendment No. 5 Effective Date), the Loan Parties shall use commercially reasonable efforts to obtain the necessary consents under the Contribution Deferral Agreement to permit such Pension Property Mortgage (the “</w:t>
      </w:r>
      <w:r>
        <w:rPr>
          <w:rFonts w:ascii="Arial" w:cs="Arial" w:eastAsia="Arial" w:hAnsi="Arial"/>
          <w:sz w:val="17"/>
          <w:szCs w:val="17"/>
          <w:u w:val="single" w:color="auto"/>
          <w:color w:val="auto"/>
        </w:rPr>
        <w:t>Requisite CDA Consent</w:t>
      </w:r>
      <w:r>
        <w:rPr>
          <w:rFonts w:ascii="Arial" w:cs="Arial" w:eastAsia="Arial" w:hAnsi="Arial"/>
          <w:sz w:val="17"/>
          <w:szCs w:val="17"/>
          <w:color w:val="auto"/>
        </w:rPr>
        <w:t xml:space="preserve">”) and if after using such commercially reasonable efforts, such consent is not obtained, the Loan Parties shall not be required to deliver such Pension Property Mortgage until all obligations under the Contribution Deferral Agreement to the extent permitted under </w:t>
      </w:r>
      <w:r>
        <w:rPr>
          <w:rFonts w:ascii="Arial" w:cs="Arial" w:eastAsia="Arial" w:hAnsi="Arial"/>
          <w:sz w:val="17"/>
          <w:szCs w:val="17"/>
          <w:u w:val="single" w:color="auto"/>
          <w:color w:val="auto"/>
        </w:rPr>
        <w:t>Section 10.2.3(u)</w:t>
      </w:r>
      <w:r>
        <w:rPr>
          <w:rFonts w:ascii="Arial" w:cs="Arial" w:eastAsia="Arial" w:hAnsi="Arial"/>
          <w:sz w:val="17"/>
          <w:szCs w:val="17"/>
          <w:color w:val="auto"/>
        </w:rPr>
        <w:t xml:space="preserve"> shall have been paid in full; and”</w:t>
      </w:r>
    </w:p>
    <w:p>
      <w:pPr>
        <w:spacing w:after="0" w:line="166" w:lineRule="exact"/>
        <w:rPr>
          <w:sz w:val="20"/>
          <w:szCs w:val="20"/>
          <w:color w:val="auto"/>
        </w:rPr>
      </w:pPr>
    </w:p>
    <w:p>
      <w:pPr>
        <w:jc w:val="both"/>
        <w:ind w:right="100" w:firstLine="609"/>
        <w:spacing w:after="0" w:line="263" w:lineRule="auto"/>
        <w:tabs>
          <w:tab w:leader="none" w:pos="98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definition of “Collateral and Guarantee Requirement” in Section 1.1 of the Loan Agreement is hereby amended by deleting the reference to “100%” in clause (c)(i) thereof and replacing such reference with “120% (or, in the case of Real Property located in the state of New York, 100%)”.</w:t>
      </w:r>
    </w:p>
    <w:p>
      <w:pPr>
        <w:spacing w:after="0" w:line="162" w:lineRule="exact"/>
        <w:rPr>
          <w:rFonts w:ascii="Arial" w:cs="Arial" w:eastAsia="Arial" w:hAnsi="Arial"/>
          <w:sz w:val="18"/>
          <w:szCs w:val="18"/>
          <w:color w:val="auto"/>
        </w:rPr>
      </w:pPr>
    </w:p>
    <w:p>
      <w:pPr>
        <w:ind w:right="400" w:firstLine="609"/>
        <w:spacing w:after="0" w:line="279" w:lineRule="auto"/>
        <w:tabs>
          <w:tab w:leader="none" w:pos="97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definition of “Collateral and Guarantee Requirement” in Section 1.1 of the Loan Agreement is hereby amended by deleting clause (d) thereof and replacing and restating such clause in its entirety as follows:</w:t>
      </w:r>
    </w:p>
    <w:p>
      <w:pPr>
        <w:spacing w:after="0" w:line="147"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 (d) after the Closing Date, each Restricted Subsidiary of Parent that is not an Excluded Subsidiary shall become a Guarantor pursuant to a joinder agreement in accordance with Section 10.1.11 or 10.1.13, as applicable, and signatory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provisions, any Subsidiary of Parent that would otherwise constitute an Excluded Subsidiary that Guarantees any Term Debt, any Term Refinancing Debt, any Permitted Junior Debt or any Permitted Refinancing of any of the foregoing, or that is a borrower under the Term Debt Documents (or any Permitted Refinancing thereof) shall be a Guarantor hereunder for so long as it Guarantees such Debt (or is a borrower with respect thereto); and”</w:t>
      </w:r>
    </w:p>
    <w:p>
      <w:pPr>
        <w:spacing w:after="0" w:line="170" w:lineRule="exact"/>
        <w:rPr>
          <w:rFonts w:ascii="Arial" w:cs="Arial" w:eastAsia="Arial" w:hAnsi="Arial"/>
          <w:sz w:val="18"/>
          <w:szCs w:val="18"/>
          <w:color w:val="auto"/>
        </w:rPr>
      </w:pPr>
    </w:p>
    <w:p>
      <w:pPr>
        <w:ind w:right="440" w:firstLine="609"/>
        <w:spacing w:after="0" w:line="279" w:lineRule="auto"/>
        <w:tabs>
          <w:tab w:leader="none" w:pos="95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definition of “Collateral and Guarantee Requirement” in Section 1.1 of the Loan Agreement is hereby amended by deleting clauses (A) through (D) at the end of such section and replacing and restating such clauses in their entirety as follows:</w:t>
      </w:r>
    </w:p>
    <w:p>
      <w:pPr>
        <w:spacing w:after="0" w:line="147" w:lineRule="exact"/>
        <w:rPr>
          <w:rFonts w:ascii="Arial" w:cs="Arial" w:eastAsia="Arial" w:hAnsi="Arial"/>
          <w:sz w:val="18"/>
          <w:szCs w:val="18"/>
          <w:color w:val="auto"/>
        </w:rPr>
      </w:pPr>
    </w:p>
    <w:p>
      <w:pPr>
        <w:jc w:val="both"/>
        <w:spacing w:after="0" w:line="288" w:lineRule="auto"/>
        <w:rPr>
          <w:rFonts w:ascii="Arial" w:cs="Arial" w:eastAsia="Arial" w:hAnsi="Arial"/>
          <w:sz w:val="18"/>
          <w:szCs w:val="18"/>
          <w:color w:val="auto"/>
        </w:rPr>
      </w:pPr>
      <w:r>
        <w:rPr>
          <w:rFonts w:ascii="Arial" w:cs="Arial" w:eastAsia="Arial" w:hAnsi="Arial"/>
          <w:sz w:val="16"/>
          <w:szCs w:val="16"/>
          <w:color w:val="auto"/>
        </w:rPr>
        <w:t xml:space="preserve">“ (A) the foregoing definition shall not require, unless otherwise stated in this clause (A), the creation or perfection of pledges of, security interests in, Mortgages on, the obtaining of title insurance with respect to or the taking of any other actions with respect to: (i) any fee owned Real Property that is not Material Real Property (other than Pension Property Mortgages solely to the extent required to be delivered pursuant to clause (b)(iv) of this definition) and any Leasehold Property (it being understood there shall be no requirement to obtain any landlord waivers, estoppels or collateral access letters), (ii) motor vehicles (other than tractors, trucks, trailers and other Rolling Stock) consisting of an employee or light vehicle and other assets subject to certificates of title with an individual fair market value of less than $40,000,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fair market value of all assets excluded from the Collateral and Guarantee Requirement pursuant to this sub-clause (ii), together with the aggregate book value of all assets excluded from the Collateral and Guarantee Requirement pursuant to sub-clause (xiv) of this clause (A), shall not exceed</w:t>
      </w:r>
    </w:p>
    <w:p>
      <w:pPr>
        <w:sectPr>
          <w:pgSz w:w="11900" w:h="16927" w:orient="portrait"/>
          <w:cols w:equalWidth="0" w:num="1">
            <w:col w:w="10820"/>
          </w:cols>
          <w:pgMar w:left="840" w:top="124" w:right="239" w:bottom="0" w:gutter="0" w:footer="0" w:header="0"/>
        </w:sectPr>
      </w:pPr>
    </w:p>
    <w:bookmarkStart w:id="135" w:name="page136"/>
    <w:bookmarkEnd w:id="135"/>
    <w:p>
      <w:pPr>
        <w:jc w:val="both"/>
        <w:spacing w:after="0" w:line="280" w:lineRule="auto"/>
        <w:rPr>
          <w:sz w:val="20"/>
          <w:szCs w:val="20"/>
          <w:color w:val="auto"/>
        </w:rPr>
      </w:pPr>
      <w:r>
        <w:rPr>
          <w:rFonts w:ascii="Arial" w:cs="Arial" w:eastAsia="Arial" w:hAnsi="Arial"/>
          <w:sz w:val="16"/>
          <w:szCs w:val="16"/>
          <w:color w:val="auto"/>
        </w:rPr>
        <w:t>$5,000,000 in the aggregate at any time outstanding, (iii) letter of credit rights (other than to the extent consisting of supporting obligations that can be perfected solely by the filing of a UCC financing statement) of an amount less than $5,000,000 and commercial tort claims where the amount of damages claimed by the applicable Loan Party is less than $5,000,000, (iv) any governmental licenses or state or local franchises, charters and authorizations, to the extent security interests in such licenses, franchises, charters or authorizations are prohibited or restricted thereby (except to the extent such prohibition or restriction is rendered ineffective under the UCC or other Applicable Law), (v) Collateral in which pledges or security interests are prohibited or restricted by Applicable Law or require the consent of any governmental authority or third party, which consent has not been obtained, (vi) Margin Stock, (vii) Equity Interests in a bona fide joint venture formed after the Amendment No. 5 Effective Date with any Person that is not an Affiliate of any Loan Party (but only to the extent that the organizational documents of such Subsidiaries or agreements with other equity holders prohibit or restrict the pledge thereof without the consent of the other equity holders under restrictions that are enforceable under the UCC or other Applicable Law and such consent has not been obtained), (viii) Equity Interests of (or held as assets by) Immaterial Subsidiaries, or captive insurance Subsidiaries, (ix) any lease, license or agreement or any property to the extent a grant of a security interest therein would violate or invalidate such lease, license or agreement or similar arrangement or create a right of termination in favor of any other party thereto after giving effect to the applicable anti-assignment provisions of the UCC or other Applicable Law, other than proceeds and receivables thereof, the assignment of which is deemed effective under the UCC or other Applicable Law, notwithstanding such prohibition, (x) any assets or rights subject to a purchase money security interest, Capitalized Lease or similar arrangement,</w:t>
      </w:r>
    </w:p>
    <w:p>
      <w:pPr>
        <w:spacing w:after="0" w:line="4" w:lineRule="exact"/>
        <w:rPr>
          <w:sz w:val="20"/>
          <w:szCs w:val="20"/>
          <w:color w:val="auto"/>
        </w:rPr>
      </w:pPr>
    </w:p>
    <w:p>
      <w:pPr>
        <w:jc w:val="both"/>
        <w:ind w:firstLine="5"/>
        <w:spacing w:after="0" w:line="265" w:lineRule="auto"/>
        <w:tabs>
          <w:tab w:leader="none" w:pos="32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[reserved], (xii) any assets to the extent a security interest in such assets could result in adverse Tax consequences as reasonably determined by Parent, in consultation with Agent, (xiii)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(xiv) any equipment or other collateral with a net book value in an aggregate amount not to exceed $5,000,000 for all such equipment or other collateral (other than to the extent consisting of supporting obligations that can be perfected solely by the filing of a UCC financing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fair market value of all assets excluded from the Collateral and Guarantee Requirement pursuant to this sub-clause (xiv), together with the aggregate net book value of all assets excluded from the Collateral and Guarantee Requirement pursuant to sub-clause (ii) of this clause (A), shall not exceed $5,000,000 in the aggregate at any time outstanding, and (xv) other assets not specifically included in the Collateral in circumstances where the cost of obtaining a security interest in such assets exceeds the practical benefit to the Lenders afforded thereby as reasonably determined by the Administrative Agent in consultation with the Parent.</w:t>
      </w:r>
    </w:p>
    <w:p>
      <w:pPr>
        <w:spacing w:after="0" w:line="177" w:lineRule="exact"/>
        <w:rPr>
          <w:rFonts w:ascii="Arial" w:cs="Arial" w:eastAsia="Arial" w:hAnsi="Arial"/>
          <w:sz w:val="17"/>
          <w:szCs w:val="17"/>
          <w:color w:val="auto"/>
        </w:rPr>
      </w:pPr>
    </w:p>
    <w:p>
      <w:pPr>
        <w:jc w:val="both"/>
        <w:ind w:firstLine="609"/>
        <w:spacing w:after="0" w:line="289" w:lineRule="auto"/>
        <w:tabs>
          <w:tab w:leader="none" w:pos="1093"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 perfection by possession or control shall not be required with respect to (x) any intercompany notes in an aggregate principal amount not to exceed $5,000,000 and (y) any other notes or other evidence of Debt in an aggregate principal amount not to exceed $5,000,000;</w:t>
      </w:r>
    </w:p>
    <w:p>
      <w:pPr>
        <w:jc w:val="both"/>
        <w:ind w:firstLine="5"/>
        <w:spacing w:after="0" w:line="265" w:lineRule="auto"/>
        <w:tabs>
          <w:tab w:leader="none" w:pos="29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except in the case of (A) Canadian Subsidiaries, (B) Dutch Subsidiaries and (C) other Foreign Subsidiaries that are not Excluded Foreign Subsidiaries, no actions in any non-U.S. jurisdiction or required by the laws of any non-U.S. jurisdiction shall be required in order to create any security interests in assets located or titled outside of the United States (including the Equity Interests of any Foreign Subsidiary) or to perfect such security interests (it being understood that there shall be no security agreements or pledge agreements governed under the laws of any non-U.S. jurisdiction); and (iii) except to the extent that perfection and priority may be achieved (w) by the filing of a financing statement under the Uniform Commercial Code with respect to a Loan Party, (x) with respect to Real Property and the recordation of Mortgages in respect thereof, as contemplated by clauses (b)(iii) and (c) above, (y) with respect to Equity Interests or Debt, by the delivery of certificates or instruments representing or evidencing such Equity Interests or Debt along with appropriate undated instruments of transfer executed in blank, or (z) by notation of liens on certificate of title, the Loan Documents shall not contain any requirements as to perfection or priority with respect to any assets or property described in clause (A) above and this clause (B);</w:t>
      </w:r>
    </w:p>
    <w:p>
      <w:pPr>
        <w:spacing w:after="0" w:line="178" w:lineRule="exact"/>
        <w:rPr>
          <w:rFonts w:ascii="Arial" w:cs="Arial" w:eastAsia="Arial" w:hAnsi="Arial"/>
          <w:sz w:val="17"/>
          <w:szCs w:val="17"/>
          <w:color w:val="auto"/>
        </w:rPr>
      </w:pPr>
    </w:p>
    <w:p>
      <w:pPr>
        <w:jc w:val="both"/>
        <w:ind w:firstLine="609"/>
        <w:spacing w:after="0" w:line="267" w:lineRule="auto"/>
        <w:tabs>
          <w:tab w:leader="none" w:pos="1041"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Agent in its reasonable discretion may grant extensions of time for the creation or perfection of security interests in, and Mortgages on, or obtaining of title insurance or taking of other actions with respect to, particular assets (including extensions beyond the Amendment No. 5 Effective Date) or any other compliance with the requirements of this definition (or any similar requirements set forth herein or in any other Loan Documents) where it reasonably determines, in consultation with Parent, that such creation or perfection of security interests or Mortgages, or such obtaining of title insurance or taking of other actions, or any other compliance with the requirements of this definition cannot be accomplished without undue delay, burden or expense by the time or times at which such act would otherwise be required by this Agreement or any Security Documents; </w:t>
      </w:r>
      <w:r>
        <w:rPr>
          <w:rFonts w:ascii="Arial" w:cs="Arial" w:eastAsia="Arial" w:hAnsi="Arial"/>
          <w:sz w:val="17"/>
          <w:szCs w:val="17"/>
          <w:i w:val="1"/>
          <w:iCs w:val="1"/>
          <w:color w:val="auto"/>
        </w:rPr>
        <w:t>provided</w:t>
      </w:r>
      <w:r>
        <w:rPr>
          <w:rFonts w:ascii="Arial" w:cs="Arial" w:eastAsia="Arial" w:hAnsi="Arial"/>
          <w:sz w:val="17"/>
          <w:szCs w:val="17"/>
          <w:color w:val="auto"/>
        </w:rPr>
        <w:t>, that Agent shall have received on or prior to the Amendment No. 5 Effective Date, (i) UCC financing statements in appropriate form for filing under the UCC in the jurisdiction of incorporation or organization of each Loan Party, (ii) evidence that the Term Agent shall be in possession of any certificates or instruments representing or evidencing Equity Interests of Loan Parties and each directly wholly owned Subsidiary of Loan Parties, in each case accompanied by undated instruments of transfer and stock powers endorsed in blank and (iii) Mortgages and Mortgage Policies for each Material Real Property;</w:t>
      </w:r>
    </w:p>
    <w:p>
      <w:pPr>
        <w:spacing w:after="0" w:line="175" w:lineRule="exact"/>
        <w:rPr>
          <w:rFonts w:ascii="Arial" w:cs="Arial" w:eastAsia="Arial" w:hAnsi="Arial"/>
          <w:sz w:val="17"/>
          <w:szCs w:val="17"/>
          <w:color w:val="auto"/>
        </w:rPr>
      </w:pPr>
    </w:p>
    <w:p>
      <w:pPr>
        <w:ind w:firstLine="609"/>
        <w:spacing w:after="0" w:line="279" w:lineRule="auto"/>
        <w:tabs>
          <w:tab w:leader="none" w:pos="115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Liens required to be granted from time to time pursuant to the Collateral and Guarantee Requirement shall be subject to the exceptions and limitations set forth in this Agreement and the Security Documents; and”</w:t>
      </w:r>
    </w:p>
    <w:p>
      <w:pPr>
        <w:spacing w:after="0" w:line="161" w:lineRule="exact"/>
        <w:rPr>
          <w:sz w:val="20"/>
          <w:szCs w:val="20"/>
          <w:color w:val="auto"/>
        </w:rPr>
      </w:pPr>
    </w:p>
    <w:p>
      <w:pPr>
        <w:ind w:right="220" w:firstLine="609"/>
        <w:spacing w:after="0" w:line="279" w:lineRule="auto"/>
        <w:tabs>
          <w:tab w:leader="none" w:pos="98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definition of “Collateral and Guarantee Requirement” in Section 1.1 of the Loan Agreement is hereby amended by adding the following clause (E) thereto:</w:t>
      </w:r>
    </w:p>
    <w:p>
      <w:pPr>
        <w:spacing w:after="0" w:line="147" w:lineRule="exact"/>
        <w:rPr>
          <w:rFonts w:ascii="Arial" w:cs="Arial" w:eastAsia="Arial" w:hAnsi="Arial"/>
          <w:sz w:val="18"/>
          <w:szCs w:val="18"/>
          <w:color w:val="auto"/>
        </w:rPr>
      </w:pPr>
    </w:p>
    <w:p>
      <w:pPr>
        <w:jc w:val="both"/>
        <w:spacing w:after="0" w:line="286" w:lineRule="auto"/>
        <w:rPr>
          <w:rFonts w:ascii="Arial" w:cs="Arial" w:eastAsia="Arial" w:hAnsi="Arial"/>
          <w:sz w:val="18"/>
          <w:szCs w:val="18"/>
          <w:color w:val="auto"/>
        </w:rPr>
      </w:pPr>
      <w:r>
        <w:rPr>
          <w:rFonts w:ascii="Arial" w:cs="Arial" w:eastAsia="Arial" w:hAnsi="Arial"/>
          <w:sz w:val="17"/>
          <w:szCs w:val="17"/>
          <w:color w:val="auto"/>
        </w:rPr>
        <w:t>“ (E) notwithstanding the foregoing clauses (A) through (D) to the contrary, no Loan Party shall grant a Lien on any of its assets to secure the Term Debt unless it has granted (or, concurrently therewith, will grant) a Lien on such assets to secure the Obligations, which Lien securing the Obligations shall be perfected with the requisite relative priority in accordance with the Term Debt Intercreditor Agreement.”</w:t>
      </w:r>
    </w:p>
    <w:p>
      <w:pPr>
        <w:spacing w:after="0" w:line="156" w:lineRule="exact"/>
        <w:rPr>
          <w:rFonts w:ascii="Arial" w:cs="Arial" w:eastAsia="Arial" w:hAnsi="Arial"/>
          <w:sz w:val="18"/>
          <w:szCs w:val="18"/>
          <w:color w:val="auto"/>
        </w:rPr>
      </w:pPr>
    </w:p>
    <w:p>
      <w:pPr>
        <w:ind w:firstLine="609"/>
        <w:spacing w:after="0" w:line="279" w:lineRule="auto"/>
        <w:tabs>
          <w:tab w:leader="none" w:pos="106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Section 1.1 of the Loan Agreement is hereby amended by the addition of the following sentence to the end of the definition of “Permitted Refinancing”:</w:t>
      </w:r>
    </w:p>
    <w:p>
      <w:pPr>
        <w:spacing w:after="0" w:line="147"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Notwithstanding anything in this Agreement or this definition to the contrary, the modification, refinancing, refunding, renewal, replacement, extension and amendments contemplated by and consummated pursuant to the Term Debt Refinancing Amendment and the Restated Term Debt Agreement shall, in each case, constitute a Permitted Refinancing of the Term Debt.”</w:t>
      </w:r>
    </w:p>
    <w:p>
      <w:pPr>
        <w:spacing w:after="0" w:line="175" w:lineRule="exact"/>
        <w:rPr>
          <w:rFonts w:ascii="Arial" w:cs="Arial" w:eastAsia="Arial" w:hAnsi="Arial"/>
          <w:sz w:val="18"/>
          <w:szCs w:val="18"/>
          <w:color w:val="auto"/>
        </w:rPr>
      </w:pPr>
    </w:p>
    <w:p>
      <w:pPr>
        <w:ind w:left="1020" w:hanging="411"/>
        <w:spacing w:after="0"/>
        <w:tabs>
          <w:tab w:leader="none" w:pos="102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proviso in Section 7.1.1 following the definition of “Pledged Equity” is hereby deleted in its entirety and replaced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provided</w:t>
      </w:r>
      <w:r>
        <w:rPr>
          <w:rFonts w:ascii="Arial" w:cs="Arial" w:eastAsia="Arial" w:hAnsi="Arial"/>
          <w:sz w:val="17"/>
          <w:szCs w:val="17"/>
          <w:color w:val="auto"/>
        </w:rPr>
        <w:t>, that the Pledged Equity shall not include (A) Margin Stock, (B) Equity Interests in a bona fide joint venture formed after the Amendment No. 5 Effective Date with any Person that is not an Affiliate of any Loan Party, other than Proceeds thereof, and only to the extent that the creation of a security interest in such Equity Interests is prohibited or restricted by the Organization Documents of such entity or Subsidiary or by any contractual restriction contained in any agreement with third party holders (which holders are not Affiliates of the Borrower) of other Equity Interests in such entity or Subsidiary (except to the extent any such prohibition or restriction is unenforceable under the UCC or</w:t>
      </w:r>
    </w:p>
    <w:p>
      <w:pPr>
        <w:sectPr>
          <w:pgSz w:w="11900" w:h="16838" w:orient="portrait"/>
          <w:cols w:equalWidth="0" w:num="1">
            <w:col w:w="10820"/>
          </w:cols>
          <w:pgMar w:left="840" w:top="124" w:right="239" w:bottom="0" w:gutter="0" w:footer="0" w:header="0"/>
        </w:sectPr>
      </w:pPr>
    </w:p>
    <w:bookmarkStart w:id="136" w:name="page137"/>
    <w:bookmarkEnd w:id="136"/>
    <w:p>
      <w:pPr>
        <w:spacing w:after="0" w:line="120" w:lineRule="exact"/>
        <w:rPr>
          <w:sz w:val="20"/>
          <w:szCs w:val="20"/>
          <w:color w:val="auto"/>
        </w:rPr>
      </w:pPr>
    </w:p>
    <w:p>
      <w:pPr>
        <w:ind w:left="600"/>
        <w:spacing w:after="0" w:line="278" w:lineRule="auto"/>
        <w:rPr>
          <w:sz w:val="20"/>
          <w:szCs w:val="20"/>
          <w:color w:val="auto"/>
        </w:rPr>
      </w:pPr>
      <w:r>
        <w:rPr>
          <w:rFonts w:ascii="Arial" w:cs="Arial" w:eastAsia="Arial" w:hAnsi="Arial"/>
          <w:sz w:val="18"/>
          <w:szCs w:val="18"/>
          <w:color w:val="auto"/>
        </w:rPr>
        <w:t>other applicable Law and the consent of such third party holders (which holders are not Affiliates of the Borrower) has not been obtained) or (C) Equity Interests of (or held as assets by) Immaterial Subsidiaries or captive insurance Subsidiaries;”</w:t>
      </w:r>
    </w:p>
    <w:p>
      <w:pPr>
        <w:spacing w:after="0" w:line="149" w:lineRule="exact"/>
        <w:rPr>
          <w:sz w:val="20"/>
          <w:szCs w:val="20"/>
          <w:color w:val="auto"/>
        </w:rPr>
      </w:pPr>
    </w:p>
    <w:p>
      <w:pPr>
        <w:jc w:val="both"/>
        <w:ind w:left="600" w:firstLine="609"/>
        <w:spacing w:after="0" w:line="263" w:lineRule="auto"/>
        <w:tabs>
          <w:tab w:leader="none" w:pos="159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From and after September 11, 2019, notwithstanding any provision of the Loan Documents to the contrary, each Subsidiary of the Parent shall be deemed to be a Restricted Subsidiary, and the Parent may not designate any Restricted Subsidiary as an Unrestricted Subsidiary. Section 10.1.14 of the Loan Agreement is hereby deleted and replaced with “[Reserved]”.</w:t>
      </w:r>
    </w:p>
    <w:p>
      <w:pPr>
        <w:spacing w:after="0" w:line="163" w:lineRule="exact"/>
        <w:rPr>
          <w:sz w:val="20"/>
          <w:szCs w:val="20"/>
          <w:color w:val="auto"/>
        </w:rPr>
      </w:pPr>
    </w:p>
    <w:p>
      <w:pPr>
        <w:ind w:left="1520" w:hanging="311"/>
        <w:spacing w:after="0"/>
        <w:tabs>
          <w:tab w:leader="none" w:pos="152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Amendments to Loan Agreement</w:t>
      </w:r>
      <w:r>
        <w:rPr>
          <w:rFonts w:ascii="Arial" w:cs="Arial" w:eastAsia="Arial" w:hAnsi="Arial"/>
          <w:sz w:val="17"/>
          <w:szCs w:val="17"/>
          <w:color w:val="auto"/>
        </w:rPr>
        <w:t xml:space="preserve">. Effective as of the date of (i) satisfaction or waiver of the conditions precedent set forth in </w:t>
      </w:r>
      <w:r>
        <w:rPr>
          <w:rFonts w:ascii="Arial" w:cs="Arial" w:eastAsia="Arial" w:hAnsi="Arial"/>
          <w:sz w:val="17"/>
          <w:szCs w:val="17"/>
          <w:u w:val="single" w:color="auto"/>
          <w:color w:val="auto"/>
        </w:rPr>
        <w:t>Section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4</w:t>
      </w:r>
      <w:r>
        <w:rPr>
          <w:rFonts w:ascii="Arial" w:cs="Arial" w:eastAsia="Arial" w:hAnsi="Arial"/>
          <w:sz w:val="18"/>
          <w:szCs w:val="18"/>
          <w:color w:val="auto"/>
        </w:rPr>
        <w:t xml:space="preserve"> below and (ii) the effectiveness of the Successor Agent Agreement, the Loan Agreement is hereby amended as follows:</w:t>
      </w:r>
    </w:p>
    <w:p>
      <w:pPr>
        <w:spacing w:after="0" w:line="217" w:lineRule="exact"/>
        <w:rPr>
          <w:sz w:val="20"/>
          <w:szCs w:val="20"/>
          <w:color w:val="auto"/>
        </w:rPr>
      </w:pPr>
    </w:p>
    <w:p>
      <w:pPr>
        <w:ind w:left="600" w:firstLine="609"/>
        <w:spacing w:after="0" w:line="282" w:lineRule="auto"/>
        <w:tabs>
          <w:tab w:leader="none" w:pos="1595" w:val="left"/>
        </w:tabs>
        <w:numPr>
          <w:ilvl w:val="0"/>
          <w:numId w:val="192"/>
        </w:numPr>
        <w:rPr>
          <w:rFonts w:ascii="Arial" w:cs="Arial" w:eastAsia="Arial" w:hAnsi="Arial"/>
          <w:sz w:val="20"/>
          <w:szCs w:val="20"/>
          <w:color w:val="auto"/>
        </w:rPr>
      </w:pPr>
      <w:r>
        <w:rPr>
          <w:rFonts w:ascii="Arial" w:cs="Arial" w:eastAsia="Arial" w:hAnsi="Arial"/>
          <w:sz w:val="18"/>
          <w:szCs w:val="18"/>
          <w:color w:val="auto"/>
        </w:rPr>
        <w:t>Section 1.1 of the Loan Agreement is hereby amended by deleting the following definitions and replacing and restating them in their entirety as follows:</w:t>
      </w:r>
    </w:p>
    <w:p>
      <w:pPr>
        <w:spacing w:after="0" w:line="154" w:lineRule="exact"/>
        <w:rPr>
          <w:sz w:val="20"/>
          <w:szCs w:val="20"/>
          <w:color w:val="auto"/>
        </w:rPr>
      </w:pPr>
    </w:p>
    <w:p>
      <w:pPr>
        <w:jc w:val="both"/>
        <w:ind w:firstLine="60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Agent</w:t>
      </w:r>
      <w:r>
        <w:rPr>
          <w:rFonts w:ascii="Arial" w:cs="Arial" w:eastAsia="Arial" w:hAnsi="Arial"/>
          <w:sz w:val="18"/>
          <w:szCs w:val="18"/>
          <w:color w:val="auto"/>
        </w:rPr>
        <w:t xml:space="preserve"> – Cortland Products Corp., as Agent and Collateral Agent under the Term Debt Agreement, any affiliate thereof, or successor or replacement thereto (subject to the Term Debt Intercreditor Agreement).”</w:t>
      </w:r>
    </w:p>
    <w:p>
      <w:pPr>
        <w:spacing w:after="0" w:line="148" w:lineRule="exact"/>
        <w:rPr>
          <w:sz w:val="20"/>
          <w:szCs w:val="20"/>
          <w:color w:val="auto"/>
        </w:rPr>
      </w:pPr>
    </w:p>
    <w:p>
      <w:pPr>
        <w:jc w:val="both"/>
        <w:ind w:firstLine="60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Vehicle Collateral Agreement</w:t>
      </w:r>
      <w:r>
        <w:rPr>
          <w:rFonts w:ascii="Arial" w:cs="Arial" w:eastAsia="Arial" w:hAnsi="Arial"/>
          <w:sz w:val="17"/>
          <w:szCs w:val="17"/>
          <w:color w:val="auto"/>
        </w:rPr>
        <w:t xml:space="preserve"> – the security and collateral agency agreement, dated as of the date hereof, as amended, restated, amended and restated, supplemented, replaced, or otherwise modified from time to time, among Cortland Products Corp. (as successor to Credit Suisse AG, Cayman Islands Branch), as collateral agent, Term Agent, as term loan representative, Agent, as ABL representative, and Loan Parties.”</w:t>
      </w:r>
    </w:p>
    <w:p>
      <w:pPr>
        <w:spacing w:after="0" w:line="144" w:lineRule="exact"/>
        <w:rPr>
          <w:sz w:val="20"/>
          <w:szCs w:val="20"/>
          <w:color w:val="auto"/>
        </w:rPr>
      </w:pPr>
    </w:p>
    <w:p>
      <w:pPr>
        <w:jc w:val="both"/>
        <w:ind w:firstLine="60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 Custodial Administration Agreement</w:t>
      </w:r>
      <w:r>
        <w:rPr>
          <w:rFonts w:ascii="Arial" w:cs="Arial" w:eastAsia="Arial" w:hAnsi="Arial"/>
          <w:sz w:val="18"/>
          <w:szCs w:val="18"/>
          <w:color w:val="auto"/>
        </w:rPr>
        <w:t xml:space="preserve"> - the custodial administration agreement, dated as of the date hereof, as amended, restated, amended and restated, supplemented, replaced, or otherwise modified from time to time, among Parent, the Subsidiaries of Parent from time to time party thereto, Vintek, Inc., as custodial administrator (or any successor or replacement thereto, including in connection with a replacement of such agreement), Term Agent, Agent and Cortland Products Corp. (as successor to Credit Suisse AG, Cayman Islands Branch), as collateral agent under the Vehicle Collateral Agreement.”</w:t>
      </w:r>
    </w:p>
    <w:p>
      <w:pPr>
        <w:spacing w:after="0" w:line="192" w:lineRule="exact"/>
        <w:rPr>
          <w:sz w:val="20"/>
          <w:szCs w:val="20"/>
          <w:color w:val="auto"/>
        </w:rPr>
      </w:pPr>
    </w:p>
    <w:p>
      <w:pPr>
        <w:ind w:left="600" w:firstLine="609"/>
        <w:spacing w:after="0" w:line="282" w:lineRule="auto"/>
        <w:tabs>
          <w:tab w:leader="none" w:pos="1695" w:val="left"/>
        </w:tabs>
        <w:numPr>
          <w:ilvl w:val="0"/>
          <w:numId w:val="193"/>
        </w:numPr>
        <w:rPr>
          <w:rFonts w:ascii="Arial" w:cs="Arial" w:eastAsia="Arial" w:hAnsi="Arial"/>
          <w:sz w:val="20"/>
          <w:szCs w:val="20"/>
          <w:color w:val="auto"/>
        </w:rPr>
      </w:pPr>
      <w:r>
        <w:rPr>
          <w:rFonts w:ascii="Arial" w:cs="Arial" w:eastAsia="Arial" w:hAnsi="Arial"/>
          <w:sz w:val="18"/>
          <w:szCs w:val="18"/>
          <w:color w:val="auto"/>
        </w:rPr>
        <w:t>The reference to “Credit Suisse AG, Cayman Islands Branch” in Section 7.1(r) of the Loan Agreement is hereby deleted in its entirety and replaced with “Cortland Products Corp.”.</w:t>
      </w:r>
    </w:p>
    <w:p>
      <w:pPr>
        <w:spacing w:after="0" w:line="178" w:lineRule="exact"/>
        <w:rPr>
          <w:rFonts w:ascii="Arial" w:cs="Arial" w:eastAsia="Arial" w:hAnsi="Arial"/>
          <w:sz w:val="20"/>
          <w:szCs w:val="20"/>
          <w:color w:val="auto"/>
        </w:rPr>
      </w:pPr>
    </w:p>
    <w:p>
      <w:pPr>
        <w:ind w:left="600" w:firstLine="609"/>
        <w:spacing w:after="0" w:line="282" w:lineRule="auto"/>
        <w:tabs>
          <w:tab w:leader="none" w:pos="1608" w:val="left"/>
        </w:tabs>
        <w:numPr>
          <w:ilvl w:val="0"/>
          <w:numId w:val="193"/>
        </w:numPr>
        <w:rPr>
          <w:rFonts w:ascii="Arial" w:cs="Arial" w:eastAsia="Arial" w:hAnsi="Arial"/>
          <w:sz w:val="20"/>
          <w:szCs w:val="20"/>
          <w:color w:val="auto"/>
        </w:rPr>
      </w:pPr>
      <w:r>
        <w:rPr>
          <w:rFonts w:ascii="Arial" w:cs="Arial" w:eastAsia="Arial" w:hAnsi="Arial"/>
          <w:sz w:val="18"/>
          <w:szCs w:val="18"/>
          <w:color w:val="auto"/>
        </w:rPr>
        <w:t>The Loan Agreement is hereby amended by inserting the following to appear as a new Section 15.22 (Acknowledgement Regarding Any Supported QFCs) thereof:</w:t>
      </w:r>
    </w:p>
    <w:p>
      <w:pPr>
        <w:spacing w:after="0" w:line="154" w:lineRule="exact"/>
        <w:rPr>
          <w:sz w:val="20"/>
          <w:szCs w:val="20"/>
          <w:color w:val="auto"/>
        </w:rPr>
      </w:pPr>
    </w:p>
    <w:p>
      <w:pPr>
        <w:jc w:val="both"/>
        <w:ind w:firstLine="604"/>
        <w:spacing w:after="0" w:line="253" w:lineRule="auto"/>
        <w:rPr>
          <w:sz w:val="20"/>
          <w:szCs w:val="20"/>
          <w:color w:val="auto"/>
        </w:rPr>
      </w:pPr>
      <w:r>
        <w:rPr>
          <w:rFonts w:ascii="Arial" w:cs="Arial" w:eastAsia="Arial" w:hAnsi="Arial"/>
          <w:sz w:val="18"/>
          <w:szCs w:val="18"/>
          <w:color w:val="auto"/>
        </w:rPr>
        <w:t xml:space="preserve">Section 15.22.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any Swap Obligation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4" w:lineRule="exact"/>
        <w:rPr>
          <w:sz w:val="20"/>
          <w:szCs w:val="20"/>
          <w:color w:val="auto"/>
        </w:rPr>
      </w:pPr>
    </w:p>
    <w:p>
      <w:pPr>
        <w:jc w:val="both"/>
        <w:ind w:left="600" w:firstLine="609"/>
        <w:spacing w:after="0" w:line="267" w:lineRule="auto"/>
        <w:tabs>
          <w:tab w:leader="none" w:pos="162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7"/>
          <w:szCs w:val="17"/>
          <w:color w:val="auto"/>
        </w:rPr>
      </w:pPr>
    </w:p>
    <w:p>
      <w:pPr>
        <w:ind w:left="1600" w:hanging="391"/>
        <w:spacing w:after="0"/>
        <w:tabs>
          <w:tab w:leader="none" w:pos="16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used in this Section 15.22, the following terms have the following meanings:</w:t>
      </w:r>
    </w:p>
    <w:p>
      <w:pPr>
        <w:spacing w:after="0" w:line="22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of a party means an “affiliate” (as such term is defined under, and interpreted in accordance with, 12 U.S.C.</w:t>
      </w:r>
    </w:p>
    <w:p>
      <w:pPr>
        <w:spacing w:after="0" w:line="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1841(k)) of such party.</w:t>
      </w:r>
    </w:p>
    <w:p>
      <w:pPr>
        <w:spacing w:after="0" w:line="205" w:lineRule="exact"/>
        <w:rPr>
          <w:sz w:val="20"/>
          <w:szCs w:val="20"/>
          <w:color w:val="auto"/>
        </w:rPr>
      </w:pPr>
    </w:p>
    <w:p>
      <w:pPr>
        <w:jc w:val="both"/>
        <w:ind w:left="600" w:firstLine="120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sz w:val="20"/>
          <w:szCs w:val="20"/>
          <w:color w:val="auto"/>
        </w:rPr>
      </w:pPr>
    </w:p>
    <w:p>
      <w:pPr>
        <w:jc w:val="both"/>
        <w:ind w:left="600" w:firstLine="60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57"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5390(c)(8)(D).</w:t>
      </w:r>
    </w:p>
    <w:p>
      <w:pPr>
        <w:spacing w:after="0" w:line="205" w:lineRule="exact"/>
        <w:rPr>
          <w:sz w:val="20"/>
          <w:szCs w:val="20"/>
          <w:color w:val="auto"/>
        </w:rPr>
      </w:pPr>
    </w:p>
    <w:p>
      <w:pPr>
        <w:jc w:val="both"/>
        <w:ind w:firstLine="1209"/>
        <w:spacing w:after="0" w:line="254" w:lineRule="auto"/>
        <w:tabs>
          <w:tab w:leader="none" w:pos="153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Consent to Intercreditor Agreement Amendment</w:t>
      </w:r>
      <w:r>
        <w:rPr>
          <w:rFonts w:ascii="Arial" w:cs="Arial" w:eastAsia="Arial" w:hAnsi="Arial"/>
          <w:sz w:val="18"/>
          <w:szCs w:val="18"/>
          <w:color w:val="auto"/>
        </w:rPr>
        <w:t xml:space="preserve">. Effective as of the date of (i) satisfaction or waiver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and (ii) the effectiveness of the Successor Agent Agreement, the Required Lenders hereby confirm, acknowledge and agree that Amendment No. 1 and Limited Waiver to Intercreditor Agreement dated as of the date hereof (the “</w:t>
      </w:r>
      <w:r>
        <w:rPr>
          <w:rFonts w:ascii="Arial" w:cs="Arial" w:eastAsia="Arial" w:hAnsi="Arial"/>
          <w:sz w:val="18"/>
          <w:szCs w:val="18"/>
          <w:u w:val="single" w:color="auto"/>
          <w:color w:val="auto"/>
        </w:rPr>
        <w:t>Intercreditor Amendment</w:t>
      </w:r>
      <w:r>
        <w:rPr>
          <w:rFonts w:ascii="Arial" w:cs="Arial" w:eastAsia="Arial" w:hAnsi="Arial"/>
          <w:sz w:val="18"/>
          <w:szCs w:val="18"/>
          <w:color w:val="auto"/>
        </w:rPr>
        <w:t>”) is hereby approved in all respects and, by their signatures below, the Required Lenders hereby direct the Agent, on behalf of the Lenders, in its capacity as ABL Agent (under and as defined in the Intercreditor Agreement) to execute and deliver such Intercreditor Amendment to the Term Agent (under and as defined in the Intercreditor Agreement) and the Administrative Borrower.</w:t>
      </w:r>
    </w:p>
    <w:p>
      <w:pPr>
        <w:spacing w:after="0" w:line="170" w:lineRule="exact"/>
        <w:rPr>
          <w:rFonts w:ascii="Arial" w:cs="Arial" w:eastAsia="Arial" w:hAnsi="Arial"/>
          <w:sz w:val="18"/>
          <w:szCs w:val="18"/>
          <w:color w:val="auto"/>
        </w:rPr>
      </w:pPr>
    </w:p>
    <w:p>
      <w:pPr>
        <w:jc w:val="both"/>
        <w:ind w:firstLine="1209"/>
        <w:spacing w:after="0" w:line="344" w:lineRule="auto"/>
        <w:tabs>
          <w:tab w:leader="none" w:pos="1577"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conditions precedent that (a) Agent shall have received counterparts of this Amendment, duly executed by each Loan Party, the Lenders party hereto constituting Required Lenders and Agent, and (b)</w:t>
      </w:r>
    </w:p>
    <w:p>
      <w:pPr>
        <w:sectPr>
          <w:pgSz w:w="11900" w:h="16959" w:orient="portrait"/>
          <w:cols w:equalWidth="0" w:num="1">
            <w:col w:w="11420"/>
          </w:cols>
          <w:pgMar w:left="240" w:top="124" w:right="239" w:bottom="0" w:gutter="0" w:footer="0" w:header="0"/>
        </w:sectPr>
      </w:pPr>
    </w:p>
    <w:bookmarkStart w:id="137" w:name="page138"/>
    <w:bookmarkEnd w:id="137"/>
    <w:p>
      <w:pPr>
        <w:jc w:val="both"/>
        <w:spacing w:after="0" w:line="286" w:lineRule="auto"/>
        <w:rPr>
          <w:sz w:val="20"/>
          <w:szCs w:val="20"/>
          <w:color w:val="auto"/>
        </w:rPr>
      </w:pPr>
      <w:r>
        <w:rPr>
          <w:rFonts w:ascii="Arial" w:cs="Arial" w:eastAsia="Arial" w:hAnsi="Arial"/>
          <w:sz w:val="17"/>
          <w:szCs w:val="17"/>
          <w:color w:val="auto"/>
        </w:rPr>
        <w:t>the Administrative Borrower shall have paid all fees owed to and all invoiced, reasonable, out of pocket expenses of Agent (including, without limitation, all previously invoiced, reasonable, out of pocket expenses of Agent (including, to the extent invoiced, reasonable attorneys’ fees and expenses of one primary counsel), in each case to the extent reimbursable under the terms of the Loan Agreement) in connection with this Amendment.</w:t>
      </w:r>
    </w:p>
    <w:p>
      <w:pPr>
        <w:spacing w:after="0" w:line="144" w:lineRule="exact"/>
        <w:rPr>
          <w:sz w:val="20"/>
          <w:szCs w:val="20"/>
          <w:color w:val="auto"/>
        </w:rPr>
      </w:pPr>
    </w:p>
    <w:p>
      <w:pPr>
        <w:jc w:val="both"/>
        <w:ind w:firstLine="1209"/>
        <w:spacing w:after="0" w:line="258" w:lineRule="auto"/>
        <w:tabs>
          <w:tab w:leader="none" w:pos="1552"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Conditions Subsequent</w:t>
      </w:r>
      <w:r>
        <w:rPr>
          <w:rFonts w:ascii="Arial" w:cs="Arial" w:eastAsia="Arial" w:hAnsi="Arial"/>
          <w:sz w:val="18"/>
          <w:szCs w:val="18"/>
          <w:color w:val="auto"/>
        </w:rPr>
        <w:t>. The Loan Parties shall satisfy the items described below within sixty (60) days after the Amendment No. 5 Effective Date (or such longer periods as determined by the Agent in its reasonable discretion), for each Canadian Subsidiary, it being understood that as of the Amendment No. 5 Effective Date, the Canadian Subsidiaries consist of 1105481 Ontario, Inc., USF Holland International Sales Corporation, YRC Logistics Inc. and YRC Freight Canada Company:</w:t>
      </w:r>
    </w:p>
    <w:p>
      <w:pPr>
        <w:spacing w:after="0" w:line="192" w:lineRule="exact"/>
        <w:rPr>
          <w:sz w:val="20"/>
          <w:szCs w:val="20"/>
          <w:color w:val="auto"/>
        </w:rPr>
      </w:pPr>
    </w:p>
    <w:p>
      <w:pPr>
        <w:ind w:left="1600" w:hanging="391"/>
        <w:spacing w:after="0"/>
        <w:tabs>
          <w:tab w:leader="none" w:pos="1600" w:val="left"/>
        </w:tabs>
        <w:numPr>
          <w:ilvl w:val="0"/>
          <w:numId w:val="197"/>
        </w:numPr>
        <w:rPr>
          <w:rFonts w:ascii="Arial" w:cs="Arial" w:eastAsia="Arial" w:hAnsi="Arial"/>
          <w:sz w:val="20"/>
          <w:szCs w:val="20"/>
          <w:color w:val="auto"/>
        </w:rPr>
      </w:pPr>
      <w:r>
        <w:rPr>
          <w:rFonts w:ascii="Arial" w:cs="Arial" w:eastAsia="Arial" w:hAnsi="Arial"/>
          <w:sz w:val="18"/>
          <w:szCs w:val="18"/>
          <w:color w:val="auto"/>
        </w:rPr>
        <w:t>a joinder agreement to the Loan Agreement and authorizing resolutions;</w:t>
      </w:r>
    </w:p>
    <w:p>
      <w:pPr>
        <w:spacing w:after="0" w:line="223" w:lineRule="exact"/>
        <w:rPr>
          <w:rFonts w:ascii="Arial" w:cs="Arial" w:eastAsia="Arial" w:hAnsi="Arial"/>
          <w:sz w:val="20"/>
          <w:szCs w:val="20"/>
          <w:color w:val="auto"/>
        </w:rPr>
      </w:pPr>
    </w:p>
    <w:p>
      <w:pPr>
        <w:ind w:left="1620" w:hanging="411"/>
        <w:spacing w:after="0"/>
        <w:tabs>
          <w:tab w:leader="none" w:pos="1620" w:val="left"/>
        </w:tabs>
        <w:numPr>
          <w:ilvl w:val="0"/>
          <w:numId w:val="197"/>
        </w:numPr>
        <w:rPr>
          <w:rFonts w:ascii="Arial" w:cs="Arial" w:eastAsia="Arial" w:hAnsi="Arial"/>
          <w:sz w:val="20"/>
          <w:szCs w:val="20"/>
          <w:color w:val="auto"/>
        </w:rPr>
      </w:pPr>
      <w:r>
        <w:rPr>
          <w:rFonts w:ascii="Arial" w:cs="Arial" w:eastAsia="Arial" w:hAnsi="Arial"/>
          <w:sz w:val="18"/>
          <w:szCs w:val="18"/>
          <w:color w:val="auto"/>
        </w:rPr>
        <w:t>a Canadian law security agreement over substantially all of its assets;</w:t>
      </w:r>
    </w:p>
    <w:p>
      <w:pPr>
        <w:spacing w:after="0" w:line="223" w:lineRule="exact"/>
        <w:rPr>
          <w:rFonts w:ascii="Arial" w:cs="Arial" w:eastAsia="Arial" w:hAnsi="Arial"/>
          <w:sz w:val="20"/>
          <w:szCs w:val="20"/>
          <w:color w:val="auto"/>
        </w:rPr>
      </w:pPr>
    </w:p>
    <w:p>
      <w:pPr>
        <w:ind w:left="1620" w:hanging="411"/>
        <w:spacing w:after="0"/>
        <w:tabs>
          <w:tab w:leader="none" w:pos="1620" w:val="left"/>
        </w:tabs>
        <w:numPr>
          <w:ilvl w:val="0"/>
          <w:numId w:val="197"/>
        </w:numPr>
        <w:rPr>
          <w:rFonts w:ascii="Arial" w:cs="Arial" w:eastAsia="Arial" w:hAnsi="Arial"/>
          <w:sz w:val="17"/>
          <w:szCs w:val="17"/>
          <w:color w:val="auto"/>
        </w:rPr>
      </w:pPr>
      <w:r>
        <w:rPr>
          <w:rFonts w:ascii="Arial" w:cs="Arial" w:eastAsia="Arial" w:hAnsi="Arial"/>
          <w:sz w:val="16"/>
          <w:szCs w:val="16"/>
          <w:color w:val="auto"/>
        </w:rPr>
        <w:t>such perfection actions as are reasonably necessary under Canadian law to perfect the security interests contemplated by this clause;</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w:t>
      </w:r>
    </w:p>
    <w:p>
      <w:pPr>
        <w:spacing w:after="0" w:line="245" w:lineRule="exact"/>
        <w:rPr>
          <w:sz w:val="20"/>
          <w:szCs w:val="20"/>
          <w:color w:val="auto"/>
        </w:rPr>
      </w:pPr>
    </w:p>
    <w:p>
      <w:pPr>
        <w:ind w:left="600" w:firstLine="609"/>
        <w:spacing w:after="0" w:line="282" w:lineRule="auto"/>
        <w:tabs>
          <w:tab w:leader="none" w:pos="1732" w:val="left"/>
        </w:tabs>
        <w:numPr>
          <w:ilvl w:val="0"/>
          <w:numId w:val="198"/>
        </w:numPr>
        <w:rPr>
          <w:rFonts w:ascii="Arial" w:cs="Arial" w:eastAsia="Arial" w:hAnsi="Arial"/>
          <w:sz w:val="20"/>
          <w:szCs w:val="20"/>
          <w:color w:val="auto"/>
        </w:rPr>
      </w:pPr>
      <w:r>
        <w:rPr>
          <w:rFonts w:ascii="Arial" w:cs="Arial" w:eastAsia="Arial" w:hAnsi="Arial"/>
          <w:sz w:val="18"/>
          <w:szCs w:val="18"/>
          <w:color w:val="auto"/>
        </w:rPr>
        <w:t>such other documents, instruments and other actions as may be necessary for such entity to comply with the Collateral and Guarantee Requirement.</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For the avoidance of doubt, the failure of the Loan Parties to comply with this Section 5 shall constitute an immediate Event of Default for which there shall be no grace or cure period.</w:t>
      </w:r>
    </w:p>
    <w:p>
      <w:pPr>
        <w:spacing w:after="0" w:line="148" w:lineRule="exact"/>
        <w:rPr>
          <w:sz w:val="20"/>
          <w:szCs w:val="20"/>
          <w:color w:val="auto"/>
        </w:rPr>
      </w:pPr>
    </w:p>
    <w:p>
      <w:pPr>
        <w:ind w:left="1200"/>
        <w:spacing w:after="0"/>
        <w:tabs>
          <w:tab w:leader="none" w:pos="15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u w:val="single" w:color="auto"/>
          <w:color w:val="auto"/>
        </w:rPr>
        <w:t>Representations and Warranties of the Loan Parties</w:t>
      </w:r>
      <w:r>
        <w:rPr>
          <w:rFonts w:ascii="Arial" w:cs="Arial" w:eastAsia="Arial" w:hAnsi="Arial"/>
          <w:sz w:val="16"/>
          <w:szCs w:val="16"/>
          <w:color w:val="auto"/>
        </w:rPr>
        <w:t>. Each Loan Party party hereto hereby represents and warrants as follows as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217" w:lineRule="exact"/>
        <w:rPr>
          <w:sz w:val="20"/>
          <w:szCs w:val="20"/>
          <w:color w:val="auto"/>
        </w:rPr>
      </w:pPr>
    </w:p>
    <w:p>
      <w:pPr>
        <w:jc w:val="both"/>
        <w:ind w:left="600" w:firstLine="609"/>
        <w:spacing w:after="0" w:line="308" w:lineRule="auto"/>
        <w:tabs>
          <w:tab w:leader="none" w:pos="1734" w:val="left"/>
        </w:tabs>
        <w:numPr>
          <w:ilvl w:val="0"/>
          <w:numId w:val="199"/>
        </w:numPr>
        <w:rPr>
          <w:rFonts w:ascii="Arial" w:cs="Arial" w:eastAsia="Arial" w:hAnsi="Arial"/>
          <w:sz w:val="18"/>
          <w:szCs w:val="18"/>
          <w:color w:val="auto"/>
        </w:rPr>
      </w:pPr>
      <w:r>
        <w:rPr>
          <w:rFonts w:ascii="Arial" w:cs="Arial" w:eastAsia="Arial" w:hAnsi="Arial"/>
          <w:sz w:val="17"/>
          <w:szCs w:val="17"/>
          <w:color w:val="auto"/>
        </w:rPr>
        <w:t>This Amendment has been duly authorized, executed and delivered by each Loan Party, and this Amendment and the Loan Agreement, as amended hereby, constitute legal, valid and binding obligations of the Loan Parties and are enforceable against the Loan Parties in accordance with their terms, except as such enforceability may be limited by Debtor Relief Laws and by general principles of equity;</w:t>
      </w:r>
    </w:p>
    <w:p>
      <w:pPr>
        <w:spacing w:after="0" w:line="163" w:lineRule="exact"/>
        <w:rPr>
          <w:rFonts w:ascii="Arial" w:cs="Arial" w:eastAsia="Arial" w:hAnsi="Arial"/>
          <w:sz w:val="18"/>
          <w:szCs w:val="18"/>
          <w:color w:val="auto"/>
        </w:rPr>
      </w:pPr>
    </w:p>
    <w:p>
      <w:pPr>
        <w:jc w:val="both"/>
        <w:ind w:left="600" w:firstLine="609"/>
        <w:spacing w:after="0" w:line="277" w:lineRule="auto"/>
        <w:tabs>
          <w:tab w:leader="none" w:pos="1669" w:val="left"/>
        </w:tabs>
        <w:numPr>
          <w:ilvl w:val="0"/>
          <w:numId w:val="199"/>
        </w:numPr>
        <w:rPr>
          <w:rFonts w:ascii="Arial" w:cs="Arial" w:eastAsia="Arial" w:hAnsi="Arial"/>
          <w:sz w:val="20"/>
          <w:szCs w:val="20"/>
          <w:color w:val="auto"/>
        </w:rPr>
      </w:pPr>
      <w:r>
        <w:rPr>
          <w:rFonts w:ascii="Arial" w:cs="Arial" w:eastAsia="Arial" w:hAnsi="Arial"/>
          <w:sz w:val="18"/>
          <w:szCs w:val="18"/>
          <w:color w:val="auto"/>
        </w:rPr>
        <w:t>The execution and delivery by the Loan Parties and the performance by each Loan Party of this Amendment do not require any consent or approval of, or notice to, any Governmental Authority, except for (i) those approvals, consents, exemptions, authorizations, actions, notices and filings which have been duly obtained, taken, given or made and are in full force and effect (except to the extent not required to be obtained, taken, given or made or to be in full force), and (ii) those approvals, consents, exemptions, authorizations, actions, notices or filings, the failure of which to obtain, take, give or make, individually or in the aggregate, could not reasonably be expected to have a Material Adverse Effect;</w:t>
      </w:r>
    </w:p>
    <w:p>
      <w:pPr>
        <w:spacing w:after="0" w:line="188" w:lineRule="exact"/>
        <w:rPr>
          <w:rFonts w:ascii="Arial" w:cs="Arial" w:eastAsia="Arial" w:hAnsi="Arial"/>
          <w:sz w:val="20"/>
          <w:szCs w:val="20"/>
          <w:color w:val="auto"/>
        </w:rPr>
      </w:pPr>
    </w:p>
    <w:p>
      <w:pPr>
        <w:jc w:val="both"/>
        <w:ind w:left="600" w:firstLine="609"/>
        <w:spacing w:after="0" w:line="301" w:lineRule="auto"/>
        <w:tabs>
          <w:tab w:leader="none" w:pos="1645" w:val="left"/>
        </w:tabs>
        <w:numPr>
          <w:ilvl w:val="0"/>
          <w:numId w:val="199"/>
        </w:numPr>
        <w:rPr>
          <w:rFonts w:ascii="Arial" w:cs="Arial" w:eastAsia="Arial" w:hAnsi="Arial"/>
          <w:sz w:val="18"/>
          <w:szCs w:val="18"/>
          <w:color w:val="auto"/>
        </w:rPr>
      </w:pPr>
      <w:r>
        <w:rPr>
          <w:rFonts w:ascii="Arial" w:cs="Arial" w:eastAsia="Arial" w:hAnsi="Arial"/>
          <w:sz w:val="17"/>
          <w:szCs w:val="17"/>
          <w:color w:val="auto"/>
        </w:rPr>
        <w:t>The representations and warranties contained in the Loan Agreement and in the other Loan Documents are true and correct in all material respects (except for those representations and warranties that are conditioned by materiality, which are true and correct in all respects) to the same extent as though made on and as of the date hereof, except to the extent such representations and warranties specifically relate to an earlier date, in which case such representations and warranties are true and correct in all material respects (except for those representations and warranties that are conditioned by materiality, which are true and correct in all respects) on and as of such earlier date; and</w:t>
      </w:r>
    </w:p>
    <w:p>
      <w:pPr>
        <w:spacing w:after="0" w:line="169" w:lineRule="exact"/>
        <w:rPr>
          <w:rFonts w:ascii="Arial" w:cs="Arial" w:eastAsia="Arial" w:hAnsi="Arial"/>
          <w:sz w:val="18"/>
          <w:szCs w:val="18"/>
          <w:color w:val="auto"/>
        </w:rPr>
      </w:pPr>
    </w:p>
    <w:p>
      <w:pPr>
        <w:ind w:left="600" w:firstLine="609"/>
        <w:spacing w:after="0" w:line="282" w:lineRule="auto"/>
        <w:tabs>
          <w:tab w:leader="none" w:pos="1682" w:val="left"/>
        </w:tabs>
        <w:numPr>
          <w:ilvl w:val="0"/>
          <w:numId w:val="199"/>
        </w:numPr>
        <w:rPr>
          <w:rFonts w:ascii="Arial" w:cs="Arial" w:eastAsia="Arial" w:hAnsi="Arial"/>
          <w:sz w:val="20"/>
          <w:szCs w:val="20"/>
          <w:color w:val="auto"/>
        </w:rPr>
      </w:pPr>
      <w:r>
        <w:rPr>
          <w:rFonts w:ascii="Arial" w:cs="Arial" w:eastAsia="Arial" w:hAnsi="Arial"/>
          <w:sz w:val="18"/>
          <w:szCs w:val="18"/>
          <w:color w:val="auto"/>
        </w:rPr>
        <w:t>As of the date hereof (both before and immediately after giving effect to this Amendment), no Default or Event of Default has occurred and is continuing.</w:t>
      </w:r>
    </w:p>
    <w:p>
      <w:pPr>
        <w:spacing w:after="0" w:line="154" w:lineRule="exact"/>
        <w:rPr>
          <w:sz w:val="20"/>
          <w:szCs w:val="20"/>
          <w:color w:val="auto"/>
        </w:rPr>
      </w:pPr>
    </w:p>
    <w:p>
      <w:pPr>
        <w:ind w:left="1520" w:hanging="311"/>
        <w:spacing w:after="0"/>
        <w:tabs>
          <w:tab w:leader="none" w:pos="15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Loan Agreement</w:t>
      </w:r>
      <w:r>
        <w:rPr>
          <w:rFonts w:ascii="Arial" w:cs="Arial" w:eastAsia="Arial" w:hAnsi="Arial"/>
          <w:sz w:val="18"/>
          <w:szCs w:val="18"/>
          <w:color w:val="auto"/>
        </w:rPr>
        <w:t>.</w:t>
      </w:r>
    </w:p>
    <w:p>
      <w:pPr>
        <w:spacing w:after="0" w:line="233" w:lineRule="exact"/>
        <w:rPr>
          <w:sz w:val="20"/>
          <w:szCs w:val="20"/>
          <w:color w:val="auto"/>
        </w:rPr>
      </w:pPr>
    </w:p>
    <w:p>
      <w:pPr>
        <w:ind w:left="600" w:firstLine="609"/>
        <w:spacing w:after="0" w:line="327" w:lineRule="auto"/>
        <w:tabs>
          <w:tab w:leader="none" w:pos="1658" w:val="left"/>
        </w:tabs>
        <w:numPr>
          <w:ilvl w:val="0"/>
          <w:numId w:val="201"/>
        </w:numPr>
        <w:rPr>
          <w:rFonts w:ascii="Arial" w:cs="Arial" w:eastAsia="Arial" w:hAnsi="Arial"/>
          <w:sz w:val="18"/>
          <w:szCs w:val="18"/>
          <w:color w:val="auto"/>
        </w:rPr>
      </w:pPr>
      <w:r>
        <w:rPr>
          <w:rFonts w:ascii="Arial" w:cs="Arial" w:eastAsia="Arial" w:hAnsi="Arial"/>
          <w:sz w:val="17"/>
          <w:szCs w:val="17"/>
          <w:color w:val="auto"/>
        </w:rPr>
        <w:t>Upon the effectiveness hereof, each reference to the Loan Agreement in the Loan Agreement or any other Loan Document shall mean and be a reference to the Loan Agreement as amended hereby. This Amendment shall constitute a Loan Document.</w:t>
      </w:r>
    </w:p>
    <w:p>
      <w:pPr>
        <w:spacing w:after="0" w:line="143" w:lineRule="exact"/>
        <w:rPr>
          <w:rFonts w:ascii="Arial" w:cs="Arial" w:eastAsia="Arial" w:hAnsi="Arial"/>
          <w:sz w:val="18"/>
          <w:szCs w:val="18"/>
          <w:color w:val="auto"/>
        </w:rPr>
      </w:pPr>
    </w:p>
    <w:p>
      <w:pPr>
        <w:ind w:left="600" w:firstLine="609"/>
        <w:spacing w:after="0" w:line="282" w:lineRule="auto"/>
        <w:tabs>
          <w:tab w:leader="none" w:pos="1644" w:val="left"/>
        </w:tabs>
        <w:numPr>
          <w:ilvl w:val="0"/>
          <w:numId w:val="201"/>
        </w:numPr>
        <w:rPr>
          <w:rFonts w:ascii="Arial" w:cs="Arial" w:eastAsia="Arial" w:hAnsi="Arial"/>
          <w:sz w:val="20"/>
          <w:szCs w:val="20"/>
          <w:color w:val="auto"/>
        </w:rPr>
      </w:pPr>
      <w:r>
        <w:rPr>
          <w:rFonts w:ascii="Arial" w:cs="Arial" w:eastAsia="Arial" w:hAnsi="Arial"/>
          <w:sz w:val="18"/>
          <w:szCs w:val="18"/>
          <w:color w:val="auto"/>
        </w:rPr>
        <w:t>Except as specifically amended above, the Loan Agreement and all other documents, instruments and agreements executed and/or delivered in connection therewith shall remain in full force and effect and are hereby ratified and confirmed.</w:t>
      </w:r>
    </w:p>
    <w:p>
      <w:pPr>
        <w:spacing w:after="0" w:line="178" w:lineRule="exact"/>
        <w:rPr>
          <w:rFonts w:ascii="Arial" w:cs="Arial" w:eastAsia="Arial" w:hAnsi="Arial"/>
          <w:sz w:val="20"/>
          <w:szCs w:val="20"/>
          <w:color w:val="auto"/>
        </w:rPr>
      </w:pPr>
    </w:p>
    <w:p>
      <w:pPr>
        <w:jc w:val="both"/>
        <w:ind w:left="600" w:firstLine="609"/>
        <w:spacing w:after="0" w:line="277" w:lineRule="auto"/>
        <w:tabs>
          <w:tab w:leader="none" w:pos="1620" w:val="left"/>
        </w:tabs>
        <w:numPr>
          <w:ilvl w:val="0"/>
          <w:numId w:val="201"/>
        </w:numPr>
        <w:rPr>
          <w:rFonts w:ascii="Arial" w:cs="Arial" w:eastAsia="Arial" w:hAnsi="Arial"/>
          <w:sz w:val="20"/>
          <w:szCs w:val="20"/>
          <w:color w:val="auto"/>
        </w:rPr>
      </w:pPr>
      <w:r>
        <w:rPr>
          <w:rFonts w:ascii="Arial" w:cs="Arial" w:eastAsia="Arial" w:hAnsi="Arial"/>
          <w:sz w:val="18"/>
          <w:szCs w:val="18"/>
          <w:color w:val="auto"/>
        </w:rPr>
        <w:t>The execution, delivery and effectiveness of this Amendment shall not operate as a waiver of any right, power or remedy of Agent or the Lenders, nor constitute a waiver of any provision of the Loan Agreement or any other documents, instruments and agreements executed and/or delivered in connection therewith.</w:t>
      </w:r>
    </w:p>
    <w:p>
      <w:pPr>
        <w:spacing w:after="0" w:line="163" w:lineRule="exact"/>
        <w:rPr>
          <w:sz w:val="20"/>
          <w:szCs w:val="20"/>
          <w:color w:val="auto"/>
        </w:rPr>
      </w:pPr>
    </w:p>
    <w:p>
      <w:pPr>
        <w:jc w:val="both"/>
        <w:ind w:firstLine="1209"/>
        <w:spacing w:after="0" w:line="267" w:lineRule="auto"/>
        <w:tabs>
          <w:tab w:leader="none" w:pos="1514"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t>Acknowledgements</w:t>
      </w:r>
      <w:r>
        <w:rPr>
          <w:rFonts w:ascii="Arial" w:cs="Arial" w:eastAsia="Arial" w:hAnsi="Arial"/>
          <w:sz w:val="17"/>
          <w:szCs w:val="17"/>
          <w:color w:val="auto"/>
        </w:rPr>
        <w:t>. By executing this Amendment, each of the Loan Parties (a) consents to this Amendment and the performance by Borrowers and each of the other Loan Parties of their obligations hereunder, (b) acknowledges that notwithstanding the execution and delivery of this Amendment, the obligations of each of the Loan Parties under each of the Security Documents and each of the other Loan Documents to which such Loan Party is a party, are not impaired or affected and each Security Document and each such other Loan Document continues in full force and effect,</w:t>
      </w:r>
    </w:p>
    <w:p>
      <w:pPr>
        <w:spacing w:after="0" w:line="1" w:lineRule="exact"/>
        <w:rPr>
          <w:rFonts w:ascii="Arial" w:cs="Arial" w:eastAsia="Arial" w:hAnsi="Arial"/>
          <w:sz w:val="17"/>
          <w:szCs w:val="17"/>
          <w:color w:val="auto"/>
        </w:rPr>
      </w:pPr>
    </w:p>
    <w:p>
      <w:pPr>
        <w:jc w:val="both"/>
        <w:ind w:firstLine="1"/>
        <w:spacing w:after="0" w:line="252" w:lineRule="auto"/>
        <w:tabs>
          <w:tab w:leader="none" w:pos="25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affirms and ratifies, to the extent it is a party thereto, each Security Document and each other Loan Document with respect to all of the Obligations as expanded or amended hereby, and (d) hereby represents and warrants that, as of the date hereof, the Loan Parties do not, to their Knowledge, have, nor claim, any offsets or defenses to their respective Obligations, and have no other claims or causes of action against, any of the Lenders or Agent in connection with the Loan Documents (as amended hereby).</w:t>
      </w:r>
    </w:p>
    <w:p>
      <w:pPr>
        <w:spacing w:after="0" w:line="171" w:lineRule="exact"/>
        <w:rPr>
          <w:rFonts w:ascii="Arial" w:cs="Arial" w:eastAsia="Arial" w:hAnsi="Arial"/>
          <w:sz w:val="18"/>
          <w:szCs w:val="18"/>
          <w:color w:val="auto"/>
        </w:rPr>
      </w:pPr>
    </w:p>
    <w:p>
      <w:pPr>
        <w:jc w:val="both"/>
        <w:ind w:firstLine="1209"/>
        <w:spacing w:after="0" w:line="263" w:lineRule="auto"/>
        <w:tabs>
          <w:tab w:leader="none" w:pos="1552"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 WITHOUT GIVING EFFECT TO THE CONFLICTS OF LAWS PRINCIPLES THEREOF, BUT INCLUDING SECTION 5-1401 OF THE NEW YORK GENERAL OBLIGATIONS LAW.</w:t>
      </w:r>
    </w:p>
    <w:p>
      <w:pPr>
        <w:spacing w:after="0" w:line="162" w:lineRule="exact"/>
        <w:rPr>
          <w:rFonts w:ascii="Arial" w:cs="Arial" w:eastAsia="Arial" w:hAnsi="Arial"/>
          <w:sz w:val="18"/>
          <w:szCs w:val="18"/>
          <w:color w:val="auto"/>
        </w:rPr>
      </w:pPr>
    </w:p>
    <w:p>
      <w:pPr>
        <w:ind w:firstLine="1209"/>
        <w:spacing w:after="0" w:line="279" w:lineRule="auto"/>
        <w:tabs>
          <w:tab w:leader="none" w:pos="1619"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ectPr>
          <w:pgSz w:w="11900" w:h="16838" w:orient="portrait"/>
          <w:cols w:equalWidth="0" w:num="1">
            <w:col w:w="11420"/>
          </w:cols>
          <w:pgMar w:left="240" w:top="124" w:right="239" w:bottom="52" w:gutter="0" w:footer="0" w:header="0"/>
        </w:sectPr>
      </w:pPr>
    </w:p>
    <w:bookmarkStart w:id="138" w:name="page139"/>
    <w:bookmarkEnd w:id="138"/>
    <w:p>
      <w:pPr>
        <w:jc w:val="both"/>
        <w:ind w:firstLine="1209"/>
        <w:spacing w:after="0" w:line="263" w:lineRule="auto"/>
        <w:tabs>
          <w:tab w:leader="none" w:pos="1625"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WITNESS WHEREOF, this Amendment has been duly executed as of the day and year first above written.</w:t>
      </w:r>
    </w:p>
    <w:p>
      <w:pPr>
        <w:spacing w:after="0" w:line="200" w:lineRule="exact"/>
        <w:rPr>
          <w:sz w:val="20"/>
          <w:szCs w:val="20"/>
          <w:color w:val="auto"/>
        </w:rPr>
      </w:pPr>
    </w:p>
    <w:p>
      <w:pPr>
        <w:spacing w:after="0" w:line="39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YRC WORLDWIDE INC.</w:t>
      </w:r>
    </w:p>
    <w:p>
      <w:pPr>
        <w:spacing w:after="0" w:line="273"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27305</wp:posOffset>
            </wp:positionV>
            <wp:extent cx="2133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33600" cy="8255"/>
                    </a:xfrm>
                    <a:prstGeom prst="rect">
                      <a:avLst/>
                    </a:prstGeom>
                    <a:noFill/>
                  </pic:spPr>
                </pic:pic>
              </a:graphicData>
            </a:graphic>
          </wp:anchor>
        </w:drawing>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YRC INC.</w:t>
      </w:r>
    </w:p>
    <w:p>
      <w:pPr>
        <w:spacing w:after="0" w:line="273"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27305</wp:posOffset>
            </wp:positionV>
            <wp:extent cx="2133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33600" cy="8255"/>
                    </a:xfrm>
                    <a:prstGeom prst="rect">
                      <a:avLst/>
                    </a:prstGeom>
                    <a:noFill/>
                  </pic:spPr>
                </pic:pic>
              </a:graphicData>
            </a:graphic>
          </wp:anchor>
        </w:drawing>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USF REDDAWAY INC.</w:t>
      </w:r>
    </w:p>
    <w:p>
      <w:pPr>
        <w:spacing w:after="0" w:line="273"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27305</wp:posOffset>
            </wp:positionV>
            <wp:extent cx="2133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33600" cy="8255"/>
                    </a:xfrm>
                    <a:prstGeom prst="rect">
                      <a:avLst/>
                    </a:prstGeom>
                    <a:noFill/>
                  </pic:spPr>
                </pic:pic>
              </a:graphicData>
            </a:graphic>
          </wp:anchor>
        </w:drawing>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USF HOLLAND LLC</w:t>
      </w:r>
    </w:p>
    <w:p>
      <w:pPr>
        <w:spacing w:after="0" w:line="273"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27305</wp:posOffset>
            </wp:positionV>
            <wp:extent cx="21336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33600" cy="8255"/>
                    </a:xfrm>
                    <a:prstGeom prst="rect">
                      <a:avLst/>
                    </a:prstGeom>
                    <a:noFill/>
                  </pic:spPr>
                </pic:pic>
              </a:graphicData>
            </a:graphic>
          </wp:anchor>
        </w:drawing>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NEW PENN MOTOR EXPRESS LLC</w:t>
      </w:r>
    </w:p>
    <w:p>
      <w:pPr>
        <w:spacing w:after="0" w:line="273"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27305</wp:posOffset>
            </wp:positionV>
            <wp:extent cx="21336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33600" cy="8255"/>
                    </a:xfrm>
                    <a:prstGeom prst="rect">
                      <a:avLst/>
                    </a:prstGeom>
                    <a:noFill/>
                  </pic:spPr>
                </pic:pic>
              </a:graphicData>
            </a:graphic>
          </wp:anchor>
        </w:drawing>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EXPRESS LANE SERVICE, INC.</w:t>
      </w:r>
    </w:p>
    <w:p>
      <w:pPr>
        <w:spacing w:after="0" w:line="273"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27305</wp:posOffset>
            </wp:positionV>
            <wp:extent cx="21336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33600" cy="8255"/>
                    </a:xfrm>
                    <a:prstGeom prst="rect">
                      <a:avLst/>
                    </a:prstGeom>
                    <a:noFill/>
                  </pic:spPr>
                </pic:pic>
              </a:graphicData>
            </a:graphic>
          </wp:anchor>
        </w:drawing>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ROADWAY LLC</w:t>
      </w:r>
    </w:p>
    <w:p>
      <w:pPr>
        <w:spacing w:after="0" w:line="273" w:lineRule="exact"/>
        <w:rPr>
          <w:sz w:val="20"/>
          <w:szCs w:val="20"/>
          <w:color w:val="auto"/>
        </w:rPr>
      </w:pPr>
    </w:p>
    <w:p>
      <w:pPr>
        <w:ind w:left="3120"/>
        <w:spacing w:after="0"/>
        <w:tabs>
          <w:tab w:leader="none" w:pos="368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27305</wp:posOffset>
            </wp:positionV>
            <wp:extent cx="24295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YRC ASSOCIATION SOLUTIONS, INC.</w:t>
      </w:r>
    </w:p>
    <w:p>
      <w:pPr>
        <w:spacing w:after="0" w:line="273" w:lineRule="exact"/>
        <w:rPr>
          <w:sz w:val="20"/>
          <w:szCs w:val="20"/>
          <w:color w:val="auto"/>
        </w:rPr>
      </w:pPr>
    </w:p>
    <w:p>
      <w:pPr>
        <w:ind w:left="3120"/>
        <w:spacing w:after="0"/>
        <w:tabs>
          <w:tab w:leader="none" w:pos="368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27305</wp:posOffset>
            </wp:positionV>
            <wp:extent cx="24295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YRC MORTGAGES, LLC</w:t>
      </w:r>
    </w:p>
    <w:p>
      <w:pPr>
        <w:sectPr>
          <w:pgSz w:w="11900" w:h="16838" w:orient="portrait"/>
          <w:cols w:equalWidth="0" w:num="1">
            <w:col w:w="11420"/>
          </w:cols>
          <w:pgMar w:left="240" w:top="124" w:right="239" w:bottom="0" w:gutter="0" w:footer="0" w:header="0"/>
        </w:sectPr>
      </w:pPr>
    </w:p>
    <w:bookmarkStart w:id="139" w:name="page140"/>
    <w:bookmarkEnd w:id="139"/>
    <w:p>
      <w:pPr>
        <w:ind w:left="1920"/>
        <w:spacing w:after="0"/>
        <w:tabs>
          <w:tab w:leader="none" w:pos="248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27305</wp:posOffset>
            </wp:positionV>
            <wp:extent cx="2429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YRC REGIONAL TRANSPORTATION, INC.</w:t>
      </w:r>
    </w:p>
    <w:p>
      <w:pPr>
        <w:spacing w:after="0" w:line="273" w:lineRule="exact"/>
        <w:rPr>
          <w:sz w:val="20"/>
          <w:szCs w:val="20"/>
          <w:color w:val="auto"/>
        </w:rPr>
      </w:pPr>
    </w:p>
    <w:p>
      <w:pPr>
        <w:ind w:left="1920"/>
        <w:spacing w:after="0"/>
        <w:tabs>
          <w:tab w:leader="none" w:pos="248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27305</wp:posOffset>
            </wp:positionV>
            <wp:extent cx="24295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YRC ENTERPRISE SERVICES, INC.</w:t>
      </w:r>
    </w:p>
    <w:p>
      <w:pPr>
        <w:spacing w:after="0" w:line="273" w:lineRule="exact"/>
        <w:rPr>
          <w:sz w:val="20"/>
          <w:szCs w:val="20"/>
          <w:color w:val="auto"/>
        </w:rPr>
      </w:pPr>
    </w:p>
    <w:p>
      <w:pPr>
        <w:ind w:left="1920"/>
        <w:spacing w:after="0"/>
        <w:tabs>
          <w:tab w:leader="none" w:pos="248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27305</wp:posOffset>
            </wp:positionV>
            <wp:extent cx="24295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ROADWAY EXPRESS INTERNATIONAL, INC.</w:t>
      </w:r>
    </w:p>
    <w:p>
      <w:pPr>
        <w:spacing w:after="0" w:line="285" w:lineRule="exact"/>
        <w:rPr>
          <w:sz w:val="20"/>
          <w:szCs w:val="20"/>
          <w:color w:val="auto"/>
        </w:rPr>
      </w:pPr>
    </w:p>
    <w:p>
      <w:pPr>
        <w:ind w:left="1920"/>
        <w:spacing w:after="0"/>
        <w:tabs>
          <w:tab w:leader="none" w:pos="248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27305</wp:posOffset>
            </wp:positionV>
            <wp:extent cx="24295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ROADWAY NEXT DAY CORPORATION</w:t>
      </w:r>
    </w:p>
    <w:p>
      <w:pPr>
        <w:spacing w:after="0" w:line="273" w:lineRule="exact"/>
        <w:rPr>
          <w:sz w:val="20"/>
          <w:szCs w:val="20"/>
          <w:color w:val="auto"/>
        </w:rPr>
      </w:pPr>
    </w:p>
    <w:p>
      <w:pPr>
        <w:ind w:left="1920"/>
        <w:spacing w:after="0"/>
        <w:tabs>
          <w:tab w:leader="none" w:pos="248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27305</wp:posOffset>
            </wp:positionV>
            <wp:extent cx="24295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YRC LOGISTICS SERVICES, INC.</w:t>
      </w:r>
    </w:p>
    <w:p>
      <w:pPr>
        <w:spacing w:after="0" w:line="273"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27305</wp:posOffset>
            </wp:positionV>
            <wp:extent cx="2349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USF BESTWAY INC.</w:t>
      </w:r>
    </w:p>
    <w:p>
      <w:pPr>
        <w:spacing w:after="0" w:line="273"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27305</wp:posOffset>
            </wp:positionV>
            <wp:extent cx="2349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USF DUGAN INC.</w:t>
      </w:r>
    </w:p>
    <w:p>
      <w:pPr>
        <w:spacing w:after="0" w:line="273"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27305</wp:posOffset>
            </wp:positionV>
            <wp:extent cx="2349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USF GLEN MOORE INC.</w:t>
      </w:r>
    </w:p>
    <w:p>
      <w:pPr>
        <w:spacing w:after="0" w:line="273"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27305</wp:posOffset>
            </wp:positionV>
            <wp:extent cx="2349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USF REDSTAR LLC</w:t>
      </w:r>
    </w:p>
    <w:p>
      <w:pPr>
        <w:spacing w:after="0" w:line="273"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20"/>
          <w:szCs w:val="20"/>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27305</wp:posOffset>
            </wp:positionV>
            <wp:extent cx="2349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Mark D. Boehmer</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9019"/>
          </w:cols>
          <w:pgMar w:left="1440" w:top="143" w:right="1440" w:bottom="0" w:gutter="0" w:footer="0" w:header="0"/>
        </w:sectPr>
      </w:pPr>
    </w:p>
    <w:bookmarkStart w:id="140" w:name="page141"/>
    <w:bookmarkEnd w:id="140"/>
    <w:p>
      <w:pPr>
        <w:ind w:left="1920"/>
        <w:spacing w:after="0"/>
        <w:rPr>
          <w:sz w:val="20"/>
          <w:szCs w:val="20"/>
          <w:color w:val="auto"/>
        </w:rPr>
      </w:pPr>
      <w:r>
        <w:rPr>
          <w:rFonts w:ascii="Arial" w:cs="Arial" w:eastAsia="Arial" w:hAnsi="Arial"/>
          <w:sz w:val="20"/>
          <w:szCs w:val="20"/>
          <w:color w:val="auto"/>
        </w:rPr>
        <w:t>HNRY LOGISTICS, INC.</w:t>
      </w:r>
    </w:p>
    <w:p>
      <w:pPr>
        <w:spacing w:after="0" w:line="273"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20"/>
          <w:szCs w:val="20"/>
          <w:color w:val="auto"/>
        </w:rPr>
        <w:t>By:</w:t>
        <w:tab/>
        <w:t>/s/ Larry R. Catlett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27305</wp:posOffset>
            </wp:positionV>
            <wp:extent cx="2349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Larry R. Catlett II</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REIMER HOLDING B.V.</w:t>
      </w:r>
    </w:p>
    <w:p>
      <w:pPr>
        <w:spacing w:after="0" w:line="273" w:lineRule="exact"/>
        <w:rPr>
          <w:sz w:val="20"/>
          <w:szCs w:val="20"/>
          <w:color w:val="auto"/>
        </w:rPr>
      </w:pPr>
    </w:p>
    <w:p>
      <w:pPr>
        <w:ind w:left="1920"/>
        <w:spacing w:after="0"/>
        <w:tabs>
          <w:tab w:leader="none" w:pos="2500" w:val="left"/>
        </w:tabs>
        <w:rPr>
          <w:sz w:val="20"/>
          <w:szCs w:val="20"/>
          <w:color w:val="auto"/>
        </w:rPr>
      </w:pPr>
      <w:r>
        <w:rPr>
          <w:rFonts w:ascii="Arial" w:cs="Arial" w:eastAsia="Arial" w:hAnsi="Arial"/>
          <w:sz w:val="20"/>
          <w:szCs w:val="20"/>
          <w:color w:val="auto"/>
        </w:rPr>
        <w:t>By:</w:t>
        <w:tab/>
        <w:t>/s/ M.F.A van Schijndel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27305</wp:posOffset>
            </wp:positionV>
            <wp:extent cx="22777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M.F.A van Schijndel</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Director 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20"/>
        <w:spacing w:after="0"/>
        <w:tabs>
          <w:tab w:leader="none" w:pos="2500" w:val="left"/>
        </w:tabs>
        <w:rPr>
          <w:sz w:val="20"/>
          <w:szCs w:val="20"/>
          <w:color w:val="auto"/>
        </w:rPr>
      </w:pPr>
      <w:r>
        <w:rPr>
          <w:rFonts w:ascii="Arial" w:cs="Arial" w:eastAsia="Arial" w:hAnsi="Arial"/>
          <w:sz w:val="20"/>
          <w:szCs w:val="20"/>
          <w:color w:val="auto"/>
        </w:rPr>
        <w:t>By:</w:t>
        <w:tab/>
        <w:t>/s/ Phil J. Gaines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27305</wp:posOffset>
            </wp:positionV>
            <wp:extent cx="22777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Name: Phil J. Gaines</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Title: Director B</w:t>
      </w:r>
    </w:p>
    <w:p>
      <w:pPr>
        <w:spacing w:after="0" w:line="32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Legal Name: Reimer Holding B.V.</w:t>
      </w:r>
    </w:p>
    <w:p>
      <w:pPr>
        <w:spacing w:after="0" w:line="1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Jurisdiction of Formation: Netherlands</w:t>
      </w:r>
    </w:p>
    <w:p>
      <w:pPr>
        <w:ind w:left="1920"/>
        <w:spacing w:after="0" w:line="236" w:lineRule="auto"/>
        <w:rPr>
          <w:sz w:val="20"/>
          <w:szCs w:val="20"/>
          <w:color w:val="auto"/>
        </w:rPr>
      </w:pPr>
      <w:r>
        <w:rPr>
          <w:rFonts w:ascii="Arial" w:cs="Arial" w:eastAsia="Arial" w:hAnsi="Arial"/>
          <w:sz w:val="20"/>
          <w:szCs w:val="20"/>
          <w:color w:val="auto"/>
        </w:rPr>
        <w:t>Location of Chief Executive office:</w:t>
      </w:r>
    </w:p>
    <w:p>
      <w:pPr>
        <w:ind w:left="1920"/>
        <w:spacing w:after="0" w:line="236" w:lineRule="auto"/>
        <w:rPr>
          <w:sz w:val="20"/>
          <w:szCs w:val="20"/>
          <w:color w:val="auto"/>
        </w:rPr>
      </w:pPr>
      <w:r>
        <w:rPr>
          <w:rFonts w:ascii="Arial" w:cs="Arial" w:eastAsia="Arial" w:hAnsi="Arial"/>
          <w:sz w:val="20"/>
          <w:szCs w:val="20"/>
          <w:color w:val="auto"/>
        </w:rPr>
        <w:t>Prins Bernhard plein 200</w:t>
      </w:r>
    </w:p>
    <w:p>
      <w:pPr>
        <w:ind w:left="1920"/>
        <w:spacing w:after="0" w:line="237" w:lineRule="auto"/>
        <w:rPr>
          <w:sz w:val="20"/>
          <w:szCs w:val="20"/>
          <w:color w:val="auto"/>
        </w:rPr>
      </w:pPr>
      <w:r>
        <w:rPr>
          <w:rFonts w:ascii="Arial" w:cs="Arial" w:eastAsia="Arial" w:hAnsi="Arial"/>
          <w:sz w:val="20"/>
          <w:szCs w:val="20"/>
          <w:color w:val="auto"/>
        </w:rPr>
        <w:t>1097 JB Amsterdam,</w:t>
      </w:r>
    </w:p>
    <w:p>
      <w:pPr>
        <w:ind w:left="1920"/>
        <w:spacing w:after="0"/>
        <w:rPr>
          <w:sz w:val="20"/>
          <w:szCs w:val="20"/>
          <w:color w:val="auto"/>
        </w:rPr>
      </w:pPr>
      <w:r>
        <w:rPr>
          <w:rFonts w:ascii="Arial" w:cs="Arial" w:eastAsia="Arial" w:hAnsi="Arial"/>
          <w:sz w:val="20"/>
          <w:szCs w:val="20"/>
          <w:color w:val="auto"/>
        </w:rPr>
        <w:t>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CITIZENS BUSINESS CAPITAL, a division of</w:t>
      </w:r>
    </w:p>
    <w:p>
      <w:pPr>
        <w:spacing w:after="0" w:line="19"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Citizens Asset Finance, Inc. (a subsidiary of Citizens</w:t>
      </w:r>
    </w:p>
    <w:p>
      <w:pPr>
        <w:spacing w:after="0" w:line="31"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Bank, N.A.)</w:t>
      </w:r>
      <w:r>
        <w:rPr>
          <w:rFonts w:ascii="Arial" w:cs="Arial" w:eastAsia="Arial" w:hAnsi="Arial"/>
          <w:sz w:val="20"/>
          <w:szCs w:val="20"/>
          <w:color w:val="auto"/>
        </w:rPr>
        <w:t>, as Agent and a Lender</w:t>
      </w:r>
    </w:p>
    <w:p>
      <w:pPr>
        <w:spacing w:after="0" w:line="255" w:lineRule="exact"/>
        <w:rPr>
          <w:sz w:val="20"/>
          <w:szCs w:val="20"/>
          <w:color w:val="auto"/>
        </w:rPr>
      </w:pPr>
    </w:p>
    <w:p>
      <w:pPr>
        <w:ind w:left="2460"/>
        <w:spacing w:after="0"/>
        <w:tabs>
          <w:tab w:leader="none" w:pos="3000" w:val="left"/>
        </w:tabs>
        <w:rPr>
          <w:sz w:val="20"/>
          <w:szCs w:val="20"/>
          <w:color w:val="auto"/>
        </w:rPr>
      </w:pPr>
      <w:r>
        <w:rPr>
          <w:rFonts w:ascii="Arial" w:cs="Arial" w:eastAsia="Arial" w:hAnsi="Arial"/>
          <w:sz w:val="20"/>
          <w:szCs w:val="20"/>
          <w:color w:val="auto"/>
        </w:rPr>
        <w:t>By:</w:t>
        <w:tab/>
        <w:t>/s/ David Slattery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1907540</wp:posOffset>
            </wp:positionH>
            <wp:positionV relativeFrom="paragraph">
              <wp:posOffset>27305</wp:posOffset>
            </wp:positionV>
            <wp:extent cx="16459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David Slattery</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Lender</w:t>
      </w:r>
    </w:p>
    <w:p>
      <w:pPr>
        <w:spacing w:after="0" w:line="277" w:lineRule="exact"/>
        <w:rPr>
          <w:sz w:val="20"/>
          <w:szCs w:val="20"/>
          <w:color w:val="auto"/>
        </w:rPr>
      </w:pPr>
    </w:p>
    <w:p>
      <w:pPr>
        <w:ind w:left="2460"/>
        <w:spacing w:after="0"/>
        <w:tabs>
          <w:tab w:leader="none" w:pos="2980" w:val="left"/>
        </w:tabs>
        <w:rPr>
          <w:sz w:val="20"/>
          <w:szCs w:val="20"/>
          <w:color w:val="auto"/>
        </w:rPr>
      </w:pPr>
      <w:r>
        <w:rPr>
          <w:rFonts w:ascii="Arial" w:cs="Arial" w:eastAsia="Arial" w:hAnsi="Arial"/>
          <w:sz w:val="20"/>
          <w:szCs w:val="20"/>
          <w:color w:val="auto"/>
        </w:rPr>
        <w:t>By:</w:t>
        <w:tab/>
        <w:t>/s/ Charles Fairchild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27305</wp:posOffset>
            </wp:positionV>
            <wp:extent cx="1662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Charles Fairchild</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PNC Bank, National Association as a Lender</w:t>
      </w:r>
    </w:p>
    <w:p>
      <w:pPr>
        <w:spacing w:after="0" w:line="273" w:lineRule="exact"/>
        <w:rPr>
          <w:sz w:val="20"/>
          <w:szCs w:val="20"/>
          <w:color w:val="auto"/>
        </w:rPr>
      </w:pPr>
    </w:p>
    <w:p>
      <w:pPr>
        <w:ind w:left="2460"/>
        <w:spacing w:after="0"/>
        <w:tabs>
          <w:tab w:leader="none" w:pos="2980" w:val="left"/>
        </w:tabs>
        <w:rPr>
          <w:sz w:val="20"/>
          <w:szCs w:val="20"/>
          <w:color w:val="auto"/>
        </w:rPr>
      </w:pPr>
      <w:r>
        <w:rPr>
          <w:rFonts w:ascii="Arial" w:cs="Arial" w:eastAsia="Arial" w:hAnsi="Arial"/>
          <w:sz w:val="20"/>
          <w:szCs w:val="20"/>
          <w:color w:val="auto"/>
        </w:rPr>
        <w:t>By:</w:t>
        <w:tab/>
        <w:t>/s/ Sherry Winick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27305</wp:posOffset>
            </wp:positionV>
            <wp:extent cx="1662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Sherry Winick</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ING CAPITAL LLC</w:t>
      </w:r>
      <w:r>
        <w:rPr>
          <w:rFonts w:ascii="Arial" w:cs="Arial" w:eastAsia="Arial" w:hAnsi="Arial"/>
          <w:sz w:val="20"/>
          <w:szCs w:val="20"/>
          <w:color w:val="auto"/>
        </w:rPr>
        <w:t>, as a Lender</w:t>
      </w:r>
    </w:p>
    <w:p>
      <w:pPr>
        <w:spacing w:after="0" w:line="277" w:lineRule="exact"/>
        <w:rPr>
          <w:sz w:val="20"/>
          <w:szCs w:val="20"/>
          <w:color w:val="auto"/>
        </w:rPr>
      </w:pPr>
    </w:p>
    <w:p>
      <w:pPr>
        <w:ind w:left="2460"/>
        <w:spacing w:after="0"/>
        <w:tabs>
          <w:tab w:leader="none" w:pos="3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Jean 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27305</wp:posOffset>
            </wp:positionV>
            <wp:extent cx="16300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Jean Grasso</w:t>
      </w:r>
    </w:p>
    <w:p>
      <w:pPr>
        <w:sectPr>
          <w:pgSz w:w="11900" w:h="16838" w:orient="portrait"/>
          <w:cols w:equalWidth="0" w:num="1">
            <w:col w:w="9019"/>
          </w:cols>
          <w:pgMar w:left="1440" w:top="395" w:right="1440" w:bottom="0" w:gutter="0" w:footer="0" w:header="0"/>
        </w:sectPr>
      </w:pPr>
    </w:p>
    <w:bookmarkStart w:id="141" w:name="page142"/>
    <w:bookmarkEnd w:id="141"/>
    <w:p>
      <w:pPr>
        <w:ind w:left="24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460"/>
        <w:spacing w:after="0"/>
        <w:tabs>
          <w:tab w:leader="none" w:pos="3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27305</wp:posOffset>
            </wp:positionV>
            <wp:extent cx="16300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Jeff Chu</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60"/>
        <w:spacing w:after="0"/>
        <w:rPr>
          <w:sz w:val="20"/>
          <w:szCs w:val="20"/>
          <w:color w:val="auto"/>
        </w:rPr>
      </w:pPr>
      <w:r>
        <w:rPr>
          <w:rFonts w:ascii="Arial" w:cs="Arial" w:eastAsia="Arial" w:hAnsi="Arial"/>
          <w:sz w:val="17"/>
          <w:szCs w:val="17"/>
          <w:b w:val="1"/>
          <w:bCs w:val="1"/>
          <w:u w:val="single" w:color="auto"/>
          <w:color w:val="auto"/>
        </w:rPr>
        <w:t>Siemens Financial Services, Inc.</w:t>
      </w:r>
      <w:r>
        <w:rPr>
          <w:rFonts w:ascii="Arial" w:cs="Arial" w:eastAsia="Arial" w:hAnsi="Arial"/>
          <w:sz w:val="17"/>
          <w:szCs w:val="17"/>
          <w:color w:val="auto"/>
        </w:rPr>
        <w:t>, as a Lender</w:t>
      </w:r>
    </w:p>
    <w:p>
      <w:pPr>
        <w:spacing w:after="0" w:line="312" w:lineRule="exact"/>
        <w:rPr>
          <w:sz w:val="20"/>
          <w:szCs w:val="20"/>
          <w:color w:val="auto"/>
        </w:rPr>
      </w:pPr>
    </w:p>
    <w:p>
      <w:pPr>
        <w:ind w:left="2460"/>
        <w:spacing w:after="0"/>
        <w:tabs>
          <w:tab w:leader="none" w:pos="3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John Finore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27305</wp:posOffset>
            </wp:positionV>
            <wp:extent cx="16300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John Finore</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60"/>
        <w:spacing w:after="0"/>
        <w:tabs>
          <w:tab w:leader="none" w:pos="3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L. Zion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27305</wp:posOffset>
            </wp:positionV>
            <wp:extent cx="16300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Michael L. Zion</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60"/>
        <w:spacing w:after="0"/>
        <w:rPr>
          <w:sz w:val="20"/>
          <w:szCs w:val="20"/>
          <w:color w:val="auto"/>
        </w:rPr>
      </w:pPr>
      <w:r>
        <w:rPr>
          <w:rFonts w:ascii="Arial" w:cs="Arial" w:eastAsia="Arial" w:hAnsi="Arial"/>
          <w:sz w:val="19"/>
          <w:szCs w:val="19"/>
          <w:color w:val="auto"/>
        </w:rPr>
        <w:t>KeyBank National Association, as a Lender</w:t>
      </w:r>
    </w:p>
    <w:p>
      <w:pPr>
        <w:spacing w:after="0" w:line="285" w:lineRule="exact"/>
        <w:rPr>
          <w:sz w:val="20"/>
          <w:szCs w:val="20"/>
          <w:color w:val="auto"/>
        </w:rPr>
      </w:pPr>
    </w:p>
    <w:p>
      <w:pPr>
        <w:ind w:left="2460"/>
        <w:spacing w:after="0"/>
        <w:tabs>
          <w:tab w:leader="none" w:pos="2980" w:val="left"/>
        </w:tabs>
        <w:rPr>
          <w:sz w:val="20"/>
          <w:szCs w:val="20"/>
          <w:color w:val="auto"/>
        </w:rPr>
      </w:pPr>
      <w:r>
        <w:rPr>
          <w:rFonts w:ascii="Arial" w:cs="Arial" w:eastAsia="Arial" w:hAnsi="Arial"/>
          <w:sz w:val="20"/>
          <w:szCs w:val="20"/>
          <w:color w:val="auto"/>
        </w:rPr>
        <w:t>By:</w:t>
        <w:tab/>
        <w:t>/s/ Matthew McLuckey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27305</wp:posOffset>
            </wp:positionV>
            <wp:extent cx="16624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Matthew McLuckey</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Signature Bank</w:t>
      </w:r>
      <w:r>
        <w:rPr>
          <w:rFonts w:ascii="Arial" w:cs="Arial" w:eastAsia="Arial" w:hAnsi="Arial"/>
          <w:sz w:val="20"/>
          <w:szCs w:val="20"/>
          <w:color w:val="auto"/>
        </w:rPr>
        <w:t>, as a Lender</w:t>
      </w:r>
    </w:p>
    <w:p>
      <w:pPr>
        <w:spacing w:after="0" w:line="277" w:lineRule="exact"/>
        <w:rPr>
          <w:sz w:val="20"/>
          <w:szCs w:val="20"/>
          <w:color w:val="auto"/>
        </w:rPr>
      </w:pPr>
    </w:p>
    <w:p>
      <w:pPr>
        <w:ind w:left="2460"/>
        <w:spacing w:after="0"/>
        <w:tabs>
          <w:tab w:leader="none" w:pos="2980" w:val="left"/>
        </w:tabs>
        <w:rPr>
          <w:sz w:val="20"/>
          <w:szCs w:val="20"/>
          <w:color w:val="auto"/>
        </w:rPr>
      </w:pPr>
      <w:r>
        <w:rPr>
          <w:rFonts w:ascii="Arial" w:cs="Arial" w:eastAsia="Arial" w:hAnsi="Arial"/>
          <w:sz w:val="20"/>
          <w:szCs w:val="20"/>
          <w:color w:val="auto"/>
        </w:rPr>
        <w:t>By:</w:t>
        <w:tab/>
        <w:t>/s/ Robert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27305</wp:posOffset>
            </wp:positionV>
            <wp:extent cx="16624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Name: Robert Love</w:t>
      </w:r>
    </w:p>
    <w:p>
      <w:pPr>
        <w:spacing w:after="0" w:line="47"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Title Group Director</w:t>
      </w:r>
    </w:p>
    <w:p>
      <w:pPr>
        <w:sectPr>
          <w:pgSz w:w="11900" w:h="16838" w:orient="portrait"/>
          <w:cols w:equalWidth="0" w:num="1">
            <w:col w:w="9019"/>
          </w:cols>
          <w:pgMar w:left="1440" w:top="120"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Darren D. Hawkins, certify that:</w:t>
      </w:r>
    </w:p>
    <w:p>
      <w:pPr>
        <w:spacing w:after="0" w:line="81" w:lineRule="exact"/>
        <w:rPr>
          <w:sz w:val="20"/>
          <w:szCs w:val="20"/>
          <w:color w:val="auto"/>
        </w:rPr>
      </w:pPr>
    </w:p>
    <w:p>
      <w:pPr>
        <w:ind w:left="600" w:hanging="599"/>
        <w:spacing w:after="0"/>
        <w:tabs>
          <w:tab w:leader="none" w:pos="6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31, 2019</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31, 2019</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2019,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31, 2019</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2019,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31, 2019</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o"/>
      <w:numFmt w:val="bullet"/>
      <w:start w:val="1"/>
    </w:lvl>
  </w:abstractNum>
  <w:abstractNum w:abstractNumId="2">
    <w:nsid w:val="53299938"/>
    <w:multiLevelType w:val="hybridMultilevel"/>
    <w:lvl w:ilvl="0">
      <w:lvlJc w:val="left"/>
      <w:lvlText w:val="2"/>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1)"/>
      <w:numFmt w:val="lowerLetter"/>
      <w:start w:val="1"/>
    </w:lvl>
  </w:abstractNum>
  <w:abstractNum w:abstractNumId="5">
    <w:nsid w:val="1D545C4D"/>
    <w:multiLevelType w:val="hybridMultilevel"/>
    <w:lvl w:ilvl="0">
      <w:lvlJc w:val="left"/>
      <w:lvlText w:val="(%1)"/>
      <w:numFmt w:val="lowerLetter"/>
      <w:start w:val="1"/>
    </w:lvl>
  </w:abstractNum>
  <w:abstractNum w:abstractNumId="6">
    <w:nsid w:val="59ADEA3D"/>
    <w:multiLevelType w:val="hybridMultilevel"/>
    <w:lvl w:ilvl="0">
      <w:lvlJc w:val="left"/>
      <w:lvlText w:val="(%1)"/>
      <w:numFmt w:val="lowerLetter"/>
      <w:start w:val="1"/>
    </w:lvl>
  </w:abstractNum>
  <w:abstractNum w:abstractNumId="7">
    <w:nsid w:val="288F1A34"/>
    <w:multiLevelType w:val="hybridMultilevel"/>
    <w:lvl w:ilvl="0">
      <w:lvlJc w:val="left"/>
      <w:lvlText w:val="(%1)"/>
      <w:numFmt w:val="lowerLetter"/>
      <w:start w:val="1"/>
    </w:lvl>
  </w:abstractNum>
  <w:abstractNum w:abstractNumId="8">
    <w:nsid w:val="2A155DBC"/>
    <w:multiLevelType w:val="hybridMultilevel"/>
    <w:lvl w:ilvl="0">
      <w:lvlJc w:val="left"/>
      <w:lvlText w:val="•"/>
      <w:numFmt w:val="bullet"/>
      <w:start w:val="1"/>
    </w:lvl>
  </w:abstractNum>
  <w:abstractNum w:abstractNumId="9">
    <w:nsid w:val="1D9F6E5F"/>
    <w:multiLevelType w:val="hybridMultilevel"/>
    <w:lvl w:ilvl="0">
      <w:lvlJc w:val="left"/>
      <w:lvlText w:val="•"/>
      <w:numFmt w:val="bullet"/>
      <w:start w:val="1"/>
    </w:lvl>
  </w:abstractNum>
  <w:abstractNum w:abstractNumId="10">
    <w:nsid w:val="97E1B4E"/>
    <w:multiLevelType w:val="hybridMultilevel"/>
    <w:lvl w:ilvl="0">
      <w:lvlJc w:val="left"/>
      <w:lvlText w:val="•"/>
      <w:numFmt w:val="bullet"/>
      <w:start w:val="1"/>
    </w:lvl>
    <w:lvl w:ilvl="1">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1."/>
      <w:numFmt w:val="decimal"/>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1)"/>
      <w:numFmt w:val="lowerLetter"/>
      <w:start w:val="1"/>
    </w:lvl>
  </w:abstractNum>
  <w:abstractNum w:abstractNumId="18">
    <w:nsid w:val="5C10FE21"/>
    <w:multiLevelType w:val="hybridMultilevel"/>
    <w:lvl w:ilvl="0">
      <w:lvlJc w:val="left"/>
      <w:lvlText w:val="(%1)"/>
      <w:numFmt w:val="lowerLetter"/>
      <w:start w:val="1"/>
    </w:lvl>
  </w:abstractNum>
  <w:abstractNum w:abstractNumId="19">
    <w:nsid w:val="E7FFA2B"/>
    <w:multiLevelType w:val="hybridMultilevel"/>
    <w:lvl w:ilvl="0">
      <w:lvlJc w:val="left"/>
      <w:lvlText w:val="(%1)"/>
      <w:numFmt w:val="lowerLetter"/>
      <w:start w:val="1"/>
    </w:lvl>
  </w:abstractNum>
  <w:abstractNum w:abstractNumId="20">
    <w:nsid w:val="3C5991AA"/>
    <w:multiLevelType w:val="hybridMultilevel"/>
    <w:lvl w:ilvl="0">
      <w:lvlJc w:val="left"/>
      <w:lvlText w:val="(%1)"/>
      <w:numFmt w:val="lowerLetter"/>
      <w:start w:val="1"/>
    </w:lvl>
  </w:abstractNum>
  <w:abstractNum w:abstractNumId="21">
    <w:nsid w:val="4BD8591A"/>
    <w:multiLevelType w:val="hybridMultilevel"/>
    <w:lvl w:ilvl="0">
      <w:lvlJc w:val="left"/>
      <w:lvlText w:val="(%1)"/>
      <w:numFmt w:val="lowerLetter"/>
      <w:start w:val="1"/>
    </w:lvl>
  </w:abstractNum>
  <w:abstractNum w:abstractNumId="22">
    <w:nsid w:val="78DF6A55"/>
    <w:multiLevelType w:val="hybridMultilevel"/>
    <w:lvl w:ilvl="0">
      <w:lvlJc w:val="left"/>
      <w:lvlText w:val="(%1)"/>
      <w:numFmt w:val="lowerLetter"/>
      <w:start w:val="1"/>
    </w:lvl>
  </w:abstractNum>
  <w:abstractNum w:abstractNumId="23">
    <w:nsid w:val="39B7AAA2"/>
    <w:multiLevelType w:val="hybridMultilevel"/>
    <w:lvl w:ilvl="0">
      <w:lvlJc w:val="left"/>
      <w:lvlText w:val="(%1)"/>
      <w:numFmt w:val="lowerLetter"/>
      <w:start w:val="1"/>
    </w:lvl>
  </w:abstractNum>
  <w:abstractNum w:abstractNumId="24">
    <w:nsid w:val="2B0D8DBE"/>
    <w:multiLevelType w:val="hybridMultilevel"/>
    <w:lvl w:ilvl="0">
      <w:lvlJc w:val="left"/>
      <w:lvlText w:val="(%1)"/>
      <w:numFmt w:val="lowerLetter"/>
      <w:start w:val="1"/>
    </w:lvl>
  </w:abstractNum>
  <w:abstractNum w:abstractNumId="25">
    <w:nsid w:val="6C80EC70"/>
    <w:multiLevelType w:val="hybridMultilevel"/>
    <w:lvl w:ilvl="0">
      <w:lvlJc w:val="left"/>
      <w:lvlText w:val="(%1)"/>
      <w:numFmt w:val="lowerLetter"/>
      <w:start w:val="1"/>
    </w:lvl>
  </w:abstractNum>
  <w:abstractNum w:abstractNumId="26">
    <w:nsid w:val="379E21B5"/>
    <w:multiLevelType w:val="hybridMultilevel"/>
    <w:lvl w:ilvl="0">
      <w:lvlJc w:val="left"/>
      <w:lvlText w:val="(%1)"/>
      <w:numFmt w:val="lowerLetter"/>
      <w:start w:val="1"/>
    </w:lvl>
  </w:abstractNum>
  <w:abstractNum w:abstractNumId="27">
    <w:nsid w:val="69E373"/>
    <w:multiLevelType w:val="hybridMultilevel"/>
    <w:lvl w:ilvl="0">
      <w:lvlJc w:val="left"/>
      <w:lvlText w:val="(%1)"/>
      <w:numFmt w:val="lowerLetter"/>
      <w:start w:val="3"/>
    </w:lvl>
  </w:abstractNum>
  <w:abstractNum w:abstractNumId="28">
    <w:nsid w:val="2C27173B"/>
    <w:multiLevelType w:val="hybridMultilevel"/>
    <w:lvl w:ilvl="0">
      <w:lvlJc w:val="left"/>
      <w:lvlText w:val="(%1)"/>
      <w:numFmt w:val="lowerLetter"/>
      <w:start w:val="1"/>
    </w:lvl>
  </w:abstractNum>
  <w:abstractNum w:abstractNumId="29">
    <w:nsid w:val="4C9B0904"/>
    <w:multiLevelType w:val="hybridMultilevel"/>
    <w:lvl w:ilvl="0">
      <w:lvlJc w:val="left"/>
      <w:lvlText w:val="(%1)"/>
      <w:numFmt w:val="lowerLetter"/>
      <w:start w:val="1"/>
    </w:lvl>
  </w:abstractNum>
  <w:abstractNum w:abstractNumId="30">
    <w:nsid w:val="6AA7B75C"/>
    <w:multiLevelType w:val="hybridMultilevel"/>
    <w:lvl w:ilvl="0">
      <w:lvlJc w:val="left"/>
      <w:lvlText w:val="(%1)"/>
      <w:numFmt w:val="lowerLetter"/>
      <w:start w:val="1"/>
    </w:lvl>
  </w:abstractNum>
  <w:abstractNum w:abstractNumId="31">
    <w:nsid w:val="1DF029D3"/>
    <w:multiLevelType w:val="hybridMultilevel"/>
    <w:lvl w:ilvl="0">
      <w:lvlJc w:val="left"/>
      <w:lvlText w:val="(%1)"/>
      <w:numFmt w:val="lowerRoman"/>
      <w:start w:val="4"/>
    </w:lvl>
  </w:abstractNum>
  <w:abstractNum w:abstractNumId="32">
    <w:nsid w:val="5675FF36"/>
    <w:multiLevelType w:val="hybridMultilevel"/>
    <w:lvl w:ilvl="0">
      <w:lvlJc w:val="left"/>
      <w:lvlText w:val="(%1)"/>
      <w:numFmt w:val="lowerLetter"/>
      <w:start w:val="1"/>
    </w:lvl>
  </w:abstractNum>
  <w:abstractNum w:abstractNumId="33">
    <w:nsid w:val="3DD15094"/>
    <w:multiLevelType w:val="hybridMultilevel"/>
    <w:lvl w:ilvl="0">
      <w:lvlJc w:val="left"/>
      <w:lvlText w:val="(%1)"/>
      <w:numFmt w:val="lowerLetter"/>
      <w:start w:val="2"/>
    </w:lvl>
  </w:abstractNum>
  <w:abstractNum w:abstractNumId="34">
    <w:nsid w:val="3DB012B3"/>
    <w:multiLevelType w:val="hybridMultilevel"/>
    <w:lvl w:ilvl="0">
      <w:lvlJc w:val="left"/>
      <w:lvlText w:val="(%1)"/>
      <w:numFmt w:val="lowerLetter"/>
      <w:start w:val="1"/>
    </w:lvl>
  </w:abstractNum>
  <w:abstractNum w:abstractNumId="35">
    <w:nsid w:val="2708C9AF"/>
    <w:multiLevelType w:val="hybridMultilevel"/>
    <w:lvl w:ilvl="0">
      <w:lvlJc w:val="left"/>
      <w:lvlText w:val="(%1)"/>
      <w:numFmt w:val="lowerLetter"/>
      <w:start w:val="1"/>
    </w:lvl>
  </w:abstractNum>
  <w:abstractNum w:abstractNumId="36">
    <w:nsid w:val="5B25ACE2"/>
    <w:multiLevelType w:val="hybridMultilevel"/>
    <w:lvl w:ilvl="0">
      <w:lvlJc w:val="left"/>
      <w:lvlText w:val="(%1)"/>
      <w:numFmt w:val="lowerRoman"/>
      <w:start w:val="1"/>
    </w:lvl>
  </w:abstractNum>
  <w:abstractNum w:abstractNumId="37">
    <w:nsid w:val="175DFCF0"/>
    <w:multiLevelType w:val="hybridMultilevel"/>
    <w:lvl w:ilvl="0">
      <w:lvlJc w:val="left"/>
      <w:lvlText w:val="(%1)"/>
      <w:numFmt w:val="lowerLetter"/>
      <w:start w:val="3"/>
    </w:lvl>
  </w:abstractNum>
  <w:abstractNum w:abstractNumId="38">
    <w:nsid w:val="4F97E3E4"/>
    <w:multiLevelType w:val="hybridMultilevel"/>
    <w:lvl w:ilvl="0">
      <w:lvlJc w:val="left"/>
      <w:lvlText w:val="(%1)"/>
      <w:numFmt w:val="lowerRoman"/>
      <w:start w:val="1"/>
    </w:lvl>
  </w:abstractNum>
  <w:abstractNum w:abstractNumId="39">
    <w:nsid w:val="53B0A9E"/>
    <w:multiLevelType w:val="hybridMultilevel"/>
    <w:lvl w:ilvl="0">
      <w:lvlJc w:val="left"/>
      <w:lvlText w:val="(%1)"/>
      <w:numFmt w:val="lowerRoman"/>
      <w:start w:val="4"/>
    </w:lvl>
  </w:abstractNum>
  <w:abstractNum w:abstractNumId="40">
    <w:nsid w:val="34FD6B4F"/>
    <w:multiLevelType w:val="hybridMultilevel"/>
    <w:lvl w:ilvl="0">
      <w:lvlJc w:val="left"/>
      <w:lvlText w:val="(%1)"/>
      <w:numFmt w:val="lowerLetter"/>
      <w:start w:val="4"/>
    </w:lvl>
  </w:abstractNum>
  <w:abstractNum w:abstractNumId="41">
    <w:nsid w:val="5915FF32"/>
    <w:multiLevelType w:val="hybridMultilevel"/>
    <w:lvl w:ilvl="0">
      <w:lvlJc w:val="left"/>
      <w:lvlText w:val="%1"/>
      <w:numFmt w:val="lowerRoman"/>
      <w:start w:val="1"/>
    </w:lvl>
    <w:lvl w:ilvl="1">
      <w:lvlJc w:val="left"/>
      <w:lvlText w:val="(%2)"/>
      <w:numFmt w:val="upperLetter"/>
      <w:start w:val="1"/>
    </w:lvl>
  </w:abstractNum>
  <w:abstractNum w:abstractNumId="42">
    <w:nsid w:val="56438D15"/>
    <w:multiLevelType w:val="hybridMultilevel"/>
    <w:lvl w:ilvl="0">
      <w:lvlJc w:val="left"/>
      <w:lvlText w:val="(%1)"/>
      <w:numFmt w:val="lowerRoman"/>
      <w:start w:val="10"/>
    </w:lvl>
    <w:lvl w:ilvl="1">
      <w:lvlJc w:val="left"/>
      <w:lvlText w:val="%2"/>
      <w:numFmt w:val="upperLetter"/>
      <w:start w:val="1"/>
    </w:lvl>
  </w:abstractNum>
  <w:abstractNum w:abstractNumId="43">
    <w:nsid w:val="519E3149"/>
    <w:multiLevelType w:val="hybridMultilevel"/>
    <w:lvl w:ilvl="0">
      <w:lvlJc w:val="left"/>
      <w:lvlText w:val="(%1)"/>
      <w:numFmt w:val="upperLetter"/>
      <w:start w:val="2"/>
    </w:lvl>
  </w:abstractNum>
  <w:abstractNum w:abstractNumId="44">
    <w:nsid w:val="2C6E4AFD"/>
    <w:multiLevelType w:val="hybridMultilevel"/>
    <w:lvl w:ilvl="0">
      <w:lvlJc w:val="left"/>
      <w:lvlText w:val="(%1)"/>
      <w:numFmt w:val="lowerLetter"/>
      <w:start w:val="1"/>
    </w:lvl>
    <w:lvl w:ilvl="1">
      <w:lvlJc w:val="left"/>
      <w:lvlText w:val="(%2)"/>
      <w:numFmt w:val="lowerRoman"/>
      <w:start w:val="1"/>
    </w:lvl>
  </w:abstractNum>
  <w:abstractNum w:abstractNumId="45">
    <w:nsid w:val="17A1B582"/>
    <w:multiLevelType w:val="hybridMultilevel"/>
    <w:lvl w:ilvl="0">
      <w:lvlJc w:val="left"/>
      <w:lvlText w:val="(%1)"/>
      <w:numFmt w:val="lowerRoman"/>
      <w:start w:val="5"/>
    </w:lvl>
  </w:abstractNum>
  <w:abstractNum w:abstractNumId="46">
    <w:nsid w:val="4DF72E4E"/>
    <w:multiLevelType w:val="hybridMultilevel"/>
    <w:lvl w:ilvl="0">
      <w:lvlJc w:val="left"/>
      <w:lvlText w:val="(%1)"/>
      <w:numFmt w:val="lowerRoman"/>
      <w:start w:val="18"/>
    </w:lvl>
  </w:abstractNum>
  <w:abstractNum w:abstractNumId="47">
    <w:nsid w:val="5046B5A9"/>
    <w:multiLevelType w:val="hybridMultilevel"/>
    <w:lvl w:ilvl="0">
      <w:lvlJc w:val="left"/>
      <w:lvlText w:val="(%1)"/>
      <w:numFmt w:val="lowerRoman"/>
      <w:start w:val="1"/>
    </w:lvl>
  </w:abstractNum>
  <w:abstractNum w:abstractNumId="48">
    <w:nsid w:val="5D888A08"/>
    <w:multiLevelType w:val="hybridMultilevel"/>
    <w:lvl w:ilvl="0">
      <w:lvlJc w:val="left"/>
      <w:lvlText w:val="(%1)"/>
      <w:numFmt w:val="lowerLetter"/>
      <w:start w:val="1"/>
    </w:lvl>
  </w:abstractNum>
  <w:abstractNum w:abstractNumId="49">
    <w:nsid w:val="2A082C70"/>
    <w:multiLevelType w:val="hybridMultilevel"/>
    <w:lvl w:ilvl="0">
      <w:lvlJc w:val="left"/>
      <w:lvlText w:val="(%1)"/>
      <w:numFmt w:val="decimal"/>
      <w:start w:val="91"/>
    </w:lvl>
  </w:abstractNum>
  <w:abstractNum w:abstractNumId="50">
    <w:nsid w:val="5EC6AFD4"/>
    <w:multiLevelType w:val="hybridMultilevel"/>
    <w:lvl w:ilvl="0">
      <w:lvlJc w:val="left"/>
      <w:lvlText w:val="(%1)"/>
      <w:numFmt w:val="lowerLetter"/>
      <w:start w:val="16"/>
    </w:lvl>
  </w:abstractNum>
  <w:abstractNum w:abstractNumId="51">
    <w:nsid w:val="19E21BB2"/>
    <w:multiLevelType w:val="hybridMultilevel"/>
    <w:lvl w:ilvl="0">
      <w:lvlJc w:val="left"/>
      <w:lvlText w:val="(%1)"/>
      <w:numFmt w:val="lowerRoman"/>
      <w:start w:val="1"/>
    </w:lvl>
  </w:abstractNum>
  <w:abstractNum w:abstractNumId="52">
    <w:nsid w:val="75E0858A"/>
    <w:multiLevelType w:val="hybridMultilevel"/>
    <w:lvl w:ilvl="0">
      <w:lvlJc w:val="left"/>
      <w:lvlText w:val="(%1)"/>
      <w:numFmt w:val="lowerRoman"/>
      <w:start w:val="6"/>
    </w:lvl>
  </w:abstractNum>
  <w:abstractNum w:abstractNumId="53">
    <w:nsid w:val="57A61A29"/>
    <w:multiLevelType w:val="hybridMultilevel"/>
    <w:lvl w:ilvl="0">
      <w:lvlJc w:val="left"/>
      <w:lvlText w:val="(%1)"/>
      <w:numFmt w:val="lowerRoman"/>
      <w:start w:val="1"/>
    </w:lvl>
  </w:abstractNum>
  <w:abstractNum w:abstractNumId="54">
    <w:nsid w:val="5399C654"/>
    <w:multiLevelType w:val="hybridMultilevel"/>
    <w:lvl w:ilvl="0">
      <w:lvlJc w:val="left"/>
      <w:lvlText w:val="(%1)"/>
      <w:numFmt w:val="lowerLetter"/>
      <w:start w:val="1"/>
    </w:lvl>
  </w:abstractNum>
  <w:abstractNum w:abstractNumId="55">
    <w:nsid w:val="20EE1348"/>
    <w:multiLevelType w:val="hybridMultilevel"/>
    <w:lvl w:ilvl="0">
      <w:lvlJc w:val="left"/>
      <w:lvlText w:val="(%1)"/>
      <w:numFmt w:val="lowerLetter"/>
      <w:start w:val="1"/>
    </w:lvl>
    <w:lvl w:ilvl="1">
      <w:lvlJc w:val="left"/>
      <w:lvlText w:val="(%2)"/>
      <w:numFmt w:val="lowerRoman"/>
      <w:start w:val="1"/>
    </w:lvl>
  </w:abstractNum>
  <w:abstractNum w:abstractNumId="56">
    <w:nsid w:val="4427069A"/>
    <w:multiLevelType w:val="hybridMultilevel"/>
    <w:lvl w:ilvl="0">
      <w:lvlJc w:val="left"/>
      <w:lvlText w:val="(%1)"/>
      <w:numFmt w:val="lowerLetter"/>
      <w:start w:val="25"/>
    </w:lvl>
    <w:lvl w:ilvl="1">
      <w:lvlJc w:val="left"/>
      <w:lvlText w:val="(%2)"/>
      <w:numFmt w:val="lowerRoman"/>
      <w:start w:val="7"/>
    </w:lvl>
  </w:abstractNum>
  <w:abstractNum w:abstractNumId="57">
    <w:nsid w:val="B37E80A"/>
    <w:multiLevelType w:val="hybridMultilevel"/>
    <w:lvl w:ilvl="0">
      <w:lvlJc w:val="left"/>
      <w:lvlText w:val="(%1)"/>
      <w:numFmt w:val="lowerLetter"/>
      <w:start w:val="2"/>
    </w:lvl>
  </w:abstractNum>
  <w:abstractNum w:abstractNumId="58">
    <w:nsid w:val="2157F6BC"/>
    <w:multiLevelType w:val="hybridMultilevel"/>
    <w:lvl w:ilvl="0">
      <w:lvlJc w:val="left"/>
      <w:lvlText w:val="(%1)"/>
      <w:numFmt w:val="lowerLetter"/>
      <w:start w:val="1"/>
    </w:lvl>
  </w:abstractNum>
  <w:abstractNum w:abstractNumId="59">
    <w:nsid w:val="704E1DD5"/>
    <w:multiLevelType w:val="hybridMultilevel"/>
    <w:lvl w:ilvl="0">
      <w:lvlJc w:val="left"/>
      <w:lvlText w:val="(%1)"/>
      <w:numFmt w:val="lowerLetter"/>
      <w:start w:val="1"/>
    </w:lvl>
  </w:abstractNum>
  <w:abstractNum w:abstractNumId="60">
    <w:nsid w:val="57D2F10E"/>
    <w:multiLevelType w:val="hybridMultilevel"/>
    <w:lvl w:ilvl="0">
      <w:lvlJc w:val="left"/>
      <w:lvlText w:val="(%1)"/>
      <w:numFmt w:val="lowerRoman"/>
      <w:start w:val="1"/>
    </w:lvl>
  </w:abstractNum>
  <w:abstractNum w:abstractNumId="61">
    <w:nsid w:val="BFFAE18"/>
    <w:multiLevelType w:val="hybridMultilevel"/>
    <w:lvl w:ilvl="0">
      <w:lvlJc w:val="left"/>
      <w:lvlText w:val="(%1)"/>
      <w:numFmt w:val="lowerLetter"/>
      <w:start w:val="3"/>
    </w:lvl>
  </w:abstractNum>
  <w:abstractNum w:abstractNumId="62">
    <w:nsid w:val="E3E47A8"/>
    <w:multiLevelType w:val="hybridMultilevel"/>
    <w:lvl w:ilvl="0">
      <w:lvlJc w:val="left"/>
      <w:lvlText w:val="(%1)"/>
      <w:numFmt w:val="lowerLetter"/>
      <w:start w:val="1"/>
    </w:lvl>
  </w:abstractNum>
  <w:abstractNum w:abstractNumId="63">
    <w:nsid w:val="2E48F044"/>
    <w:multiLevelType w:val="hybridMultilevel"/>
    <w:lvl w:ilvl="0">
      <w:lvlJc w:val="left"/>
      <w:lvlText w:val="(%1)"/>
      <w:numFmt w:val="lowerLetter"/>
      <w:start w:val="1"/>
    </w:lvl>
  </w:abstractNum>
  <w:abstractNum w:abstractNumId="64">
    <w:nsid w:val="49D0FEAC"/>
    <w:multiLevelType w:val="hybridMultilevel"/>
    <w:lvl w:ilvl="0">
      <w:lvlJc w:val="left"/>
      <w:lvlText w:val="(%1)"/>
      <w:numFmt w:val="lowerLetter"/>
      <w:start w:val="1"/>
    </w:lvl>
  </w:abstractNum>
  <w:abstractNum w:abstractNumId="65">
    <w:nsid w:val="4BEE5A5B"/>
    <w:multiLevelType w:val="hybridMultilevel"/>
    <w:lvl w:ilvl="0">
      <w:lvlJc w:val="left"/>
      <w:lvlText w:val="%1"/>
      <w:numFmt w:val="lowerLetter"/>
      <w:start w:val="1"/>
    </w:lvl>
    <w:lvl w:ilvl="1">
      <w:lvlJc w:val="left"/>
      <w:lvlText w:val="(%2)"/>
      <w:numFmt w:val="lowerLetter"/>
      <w:start w:val="1"/>
    </w:lvl>
  </w:abstractNum>
  <w:abstractNum w:abstractNumId="66">
    <w:nsid w:val="5551B9F3"/>
    <w:multiLevelType w:val="hybridMultilevel"/>
    <w:lvl w:ilvl="0">
      <w:lvlJc w:val="left"/>
      <w:lvlText w:val="(%1)"/>
      <w:numFmt w:val="lowerLetter"/>
      <w:start w:val="9"/>
    </w:lvl>
    <w:lvl w:ilvl="1">
      <w:lvlJc w:val="left"/>
      <w:lvlText w:val="(%2)"/>
      <w:numFmt w:val="lowerLetter"/>
      <w:start w:val="2"/>
    </w:lvl>
  </w:abstractNum>
  <w:abstractNum w:abstractNumId="67">
    <w:nsid w:val="24F6AB8E"/>
    <w:multiLevelType w:val="hybridMultilevel"/>
    <w:lvl w:ilvl="0">
      <w:lvlJc w:val="left"/>
      <w:lvlText w:val="(%1)"/>
      <w:numFmt w:val="lowerLetter"/>
      <w:start w:val="3"/>
    </w:lvl>
  </w:abstractNum>
  <w:abstractNum w:abstractNumId="68">
    <w:nsid w:val="634C574C"/>
    <w:multiLevelType w:val="hybridMultilevel"/>
    <w:lvl w:ilvl="0">
      <w:lvlJc w:val="left"/>
      <w:lvlText w:val="(%1)"/>
      <w:numFmt w:val="lowerLetter"/>
      <w:start w:val="1"/>
    </w:lvl>
  </w:abstractNum>
  <w:abstractNum w:abstractNumId="69">
    <w:nsid w:val="24E99DD7"/>
    <w:multiLevelType w:val="hybridMultilevel"/>
    <w:lvl w:ilvl="0">
      <w:lvlJc w:val="left"/>
      <w:lvlText w:val="(%1)"/>
      <w:numFmt w:val="lowerLetter"/>
      <w:start w:val="1"/>
    </w:lvl>
  </w:abstractNum>
  <w:abstractNum w:abstractNumId="70">
    <w:nsid w:val="2A31B62D"/>
    <w:multiLevelType w:val="hybridMultilevel"/>
    <w:lvl w:ilvl="0">
      <w:lvlJc w:val="left"/>
      <w:lvlText w:val="(%1)"/>
      <w:numFmt w:val="lowerLetter"/>
      <w:start w:val="2"/>
    </w:lvl>
  </w:abstractNum>
  <w:abstractNum w:abstractNumId="71">
    <w:nsid w:val="1849C29B"/>
    <w:multiLevelType w:val="hybridMultilevel"/>
    <w:lvl w:ilvl="0">
      <w:lvlJc w:val="left"/>
      <w:lvlText w:val="(%1)"/>
      <w:numFmt w:val="lowerLetter"/>
      <w:start w:val="1"/>
    </w:lvl>
  </w:abstractNum>
  <w:abstractNum w:abstractNumId="72">
    <w:nsid w:val="7DFF9D09"/>
    <w:multiLevelType w:val="hybridMultilevel"/>
    <w:lvl w:ilvl="0">
      <w:lvlJc w:val="left"/>
      <w:lvlText w:val="(%1)"/>
      <w:numFmt w:val="lowerLetter"/>
      <w:start w:val="1"/>
    </w:lvl>
    <w:lvl w:ilvl="1">
      <w:lvlJc w:val="left"/>
      <w:lvlText w:val="(%2)"/>
      <w:numFmt w:val="lowerLetter"/>
      <w:start w:val="3"/>
    </w:lvl>
  </w:abstractNum>
  <w:abstractNum w:abstractNumId="73">
    <w:nsid w:val="754342"/>
    <w:multiLevelType w:val="hybridMultilevel"/>
    <w:lvl w:ilvl="0">
      <w:lvlJc w:val="left"/>
      <w:lvlText w:val="(%1)"/>
      <w:numFmt w:val="lowerRoman"/>
      <w:start w:val="1"/>
    </w:lvl>
  </w:abstractNum>
  <w:abstractNum w:abstractNumId="74">
    <w:nsid w:val="69E7F3E5"/>
    <w:multiLevelType w:val="hybridMultilevel"/>
    <w:lvl w:ilvl="0">
      <w:lvlJc w:val="left"/>
      <w:lvlText w:val="(%1)"/>
      <w:numFmt w:val="lowerLetter"/>
      <w:start w:val="2"/>
    </w:lvl>
    <w:lvl w:ilvl="1">
      <w:lvlJc w:val="left"/>
      <w:lvlText w:val="(%2)"/>
      <w:numFmt w:val="lowerLetter"/>
      <w:start w:val="9"/>
    </w:lvl>
  </w:abstractNum>
  <w:abstractNum w:abstractNumId="75">
    <w:nsid w:val="2A6DE806"/>
    <w:multiLevelType w:val="hybridMultilevel"/>
    <w:lvl w:ilvl="0">
      <w:lvlJc w:val="left"/>
      <w:lvlText w:val="(%1)"/>
      <w:numFmt w:val="lowerRoman"/>
      <w:start w:val="1"/>
    </w:lvl>
  </w:abstractNum>
  <w:abstractNum w:abstractNumId="76">
    <w:nsid w:val="1816F8C4"/>
    <w:multiLevelType w:val="hybridMultilevel"/>
    <w:lvl w:ilvl="0">
      <w:lvlJc w:val="left"/>
      <w:lvlText w:val="(%1)"/>
      <w:numFmt w:val="lowerLetter"/>
      <w:start w:val="1"/>
    </w:lvl>
  </w:abstractNum>
  <w:abstractNum w:abstractNumId="77">
    <w:nsid w:val="37DF2233"/>
    <w:multiLevelType w:val="hybridMultilevel"/>
    <w:lvl w:ilvl="0">
      <w:lvlJc w:val="left"/>
      <w:lvlText w:val="(%1)"/>
      <w:numFmt w:val="lowerLetter"/>
      <w:start w:val="1"/>
    </w:lvl>
    <w:lvl w:ilvl="1">
      <w:lvlJc w:val="left"/>
      <w:lvlText w:val="(%2)"/>
      <w:numFmt w:val="lowerLetter"/>
      <w:start w:val="4"/>
    </w:lvl>
  </w:abstractNum>
  <w:abstractNum w:abstractNumId="78">
    <w:nsid w:val="7AB49DAF"/>
    <w:multiLevelType w:val="hybridMultilevel"/>
    <w:lvl w:ilvl="0">
      <w:lvlJc w:val="left"/>
      <w:lvlText w:val="(%1)"/>
      <w:numFmt w:val="upperLetter"/>
      <w:start w:val="2"/>
    </w:lvl>
  </w:abstractNum>
  <w:abstractNum w:abstractNumId="79">
    <w:nsid w:val="759F82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1">
    <w:nsid w:val="597B4D84"/>
    <w:multiLevelType w:val="hybridMultilevel"/>
    <w:lvl w:ilvl="0">
      <w:lvlJc w:val="left"/>
      <w:lvlText w:val="%1"/>
      <w:numFmt w:val="lowerLetter"/>
      <w:start w:val="1"/>
    </w:lvl>
    <w:lvl w:ilvl="1">
      <w:lvlJc w:val="left"/>
      <w:lvlText w:val="(%2)"/>
      <w:numFmt w:val="lowerLetter"/>
      <w:start w:val="22"/>
    </w:lvl>
  </w:abstractNum>
  <w:abstractNum w:abstractNumId="82">
    <w:nsid w:val="F819E7F"/>
    <w:multiLevelType w:val="hybridMultilevel"/>
    <w:lvl w:ilvl="0">
      <w:lvlJc w:val="left"/>
      <w:lvlText w:val="(%1)"/>
      <w:numFmt w:val="lowerLetter"/>
      <w:start w:val="2"/>
    </w:lvl>
    <w:lvl w:ilvl="1">
      <w:lvlJc w:val="left"/>
      <w:lvlText w:val="%2"/>
      <w:numFmt w:val="lowerLetter"/>
      <w:start w:val="1"/>
    </w:lvl>
  </w:abstractNum>
  <w:abstractNum w:abstractNumId="83">
    <w:nsid w:val="57C7D42D"/>
    <w:multiLevelType w:val="hybridMultilevel"/>
    <w:lvl w:ilvl="0">
      <w:lvlJc w:val="left"/>
      <w:lvlText w:val="(%1)"/>
      <w:numFmt w:val="lowerLetter"/>
      <w:start w:val="1"/>
    </w:lvl>
  </w:abstractNum>
  <w:abstractNum w:abstractNumId="84">
    <w:nsid w:val="312167AD"/>
    <w:multiLevelType w:val="hybridMultilevel"/>
    <w:lvl w:ilvl="0">
      <w:lvlJc w:val="left"/>
      <w:lvlText w:val="(%1)"/>
      <w:numFmt w:val="lowerLetter"/>
      <w:start w:val="1"/>
    </w:lvl>
  </w:abstractNum>
  <w:abstractNum w:abstractNumId="85">
    <w:nsid w:val="631B64D4"/>
    <w:multiLevelType w:val="hybridMultilevel"/>
    <w:lvl w:ilvl="0">
      <w:lvlJc w:val="left"/>
      <w:lvlText w:val="(%1)"/>
      <w:numFmt w:val="lowerLetter"/>
      <w:start w:val="2"/>
    </w:lvl>
  </w:abstractNum>
  <w:abstractNum w:abstractNumId="86">
    <w:nsid w:val="78B5E776"/>
    <w:multiLevelType w:val="hybridMultilevel"/>
    <w:lvl w:ilvl="0">
      <w:lvlJc w:val="left"/>
      <w:lvlText w:val="(%1)"/>
      <w:numFmt w:val="lowerLetter"/>
      <w:start w:val="1"/>
    </w:lvl>
  </w:abstractNum>
  <w:abstractNum w:abstractNumId="87">
    <w:nsid w:val="75486E47"/>
    <w:multiLevelType w:val="hybridMultilevel"/>
    <w:lvl w:ilvl="0">
      <w:lvlJc w:val="left"/>
      <w:lvlText w:val="(%1)"/>
      <w:numFmt w:val="lowerLetter"/>
      <w:start w:val="4"/>
    </w:lvl>
  </w:abstractNum>
  <w:abstractNum w:abstractNumId="88">
    <w:nsid w:val="6E534CDE"/>
    <w:multiLevelType w:val="hybridMultilevel"/>
    <w:lvl w:ilvl="0">
      <w:lvlJc w:val="left"/>
      <w:lvlText w:val="(%1)"/>
      <w:numFmt w:val="lowerLetter"/>
      <w:start w:val="1"/>
    </w:lvl>
  </w:abstractNum>
  <w:abstractNum w:abstractNumId="89">
    <w:nsid w:val="1A0DDE32"/>
    <w:multiLevelType w:val="hybridMultilevel"/>
    <w:lvl w:ilvl="0">
      <w:lvlJc w:val="left"/>
      <w:lvlText w:val="%1"/>
      <w:numFmt w:val="upperLetter"/>
      <w:start w:val="1"/>
    </w:lvl>
    <w:lvl w:ilvl="1">
      <w:lvlJc w:val="left"/>
      <w:lvlText w:val="(%2)"/>
      <w:numFmt w:val="lowerRoman"/>
      <w:start w:val="1"/>
    </w:lvl>
  </w:abstractNum>
  <w:abstractNum w:abstractNumId="90">
    <w:nsid w:val="65968C1C"/>
    <w:multiLevelType w:val="hybridMultilevel"/>
    <w:lvl w:ilvl="0">
      <w:lvlJc w:val="left"/>
      <w:lvlText w:val="(%1)"/>
      <w:numFmt w:val="upperLetter"/>
      <w:start w:val="1"/>
    </w:lvl>
    <w:lvl w:ilvl="1">
      <w:lvlJc w:val="left"/>
      <w:lvlText w:val="%2"/>
      <w:numFmt w:val="lowerRoman"/>
      <w:start w:val="1"/>
    </w:lvl>
  </w:abstractNum>
  <w:abstractNum w:abstractNumId="91">
    <w:nsid w:val="46263DEC"/>
    <w:multiLevelType w:val="hybridMultilevel"/>
    <w:lvl w:ilvl="0">
      <w:lvlJc w:val="left"/>
      <w:lvlText w:val="(%1)"/>
      <w:numFmt w:val="lowerLetter"/>
      <w:start w:val="5"/>
    </w:lvl>
  </w:abstractNum>
  <w:abstractNum w:abstractNumId="92">
    <w:nsid w:val="260D8C4A"/>
    <w:multiLevelType w:val="hybridMultilevel"/>
    <w:lvl w:ilvl="0">
      <w:lvlJc w:val="left"/>
      <w:lvlText w:val="%1"/>
      <w:numFmt w:val="decimal"/>
      <w:start w:val="1"/>
    </w:lvl>
    <w:lvl w:ilvl="1">
      <w:lvlJc w:val="left"/>
      <w:lvlText w:val="(%2)"/>
      <w:numFmt w:val="lowerLetter"/>
      <w:start w:val="1"/>
    </w:lvl>
  </w:abstractNum>
  <w:abstractNum w:abstractNumId="93">
    <w:nsid w:val="73D4D3C4"/>
    <w:multiLevelType w:val="hybridMultilevel"/>
    <w:lvl w:ilvl="0">
      <w:lvlJc w:val="left"/>
      <w:lvlText w:val="(%1)"/>
      <w:numFmt w:val="decimal"/>
      <w:start w:val="15"/>
    </w:lvl>
    <w:lvl w:ilvl="1">
      <w:lvlJc w:val="left"/>
      <w:lvlText w:val="(%2)"/>
      <w:numFmt w:val="lowerLetter"/>
      <w:start w:val="4"/>
    </w:lvl>
  </w:abstractNum>
  <w:abstractNum w:abstractNumId="94">
    <w:nsid w:val="746F2E30"/>
    <w:multiLevelType w:val="hybridMultilevel"/>
    <w:lvl w:ilvl="0">
      <w:lvlJc w:val="left"/>
      <w:lvlText w:val="(%1)"/>
      <w:numFmt w:val="lowerRoman"/>
      <w:start w:val="1"/>
    </w:lvl>
  </w:abstractNum>
  <w:abstractNum w:abstractNumId="95">
    <w:nsid w:val="6FDE8AF6"/>
    <w:multiLevelType w:val="hybridMultilevel"/>
    <w:lvl w:ilvl="0">
      <w:lvlJc w:val="left"/>
      <w:lvlText w:val="(%1)"/>
      <w:numFmt w:val="lowerLetter"/>
      <w:start w:val="1"/>
    </w:lvl>
    <w:lvl w:ilvl="1">
      <w:lvlJc w:val="left"/>
      <w:lvlText w:val="(%2)"/>
      <w:numFmt w:val="lowerRoman"/>
      <w:start w:val="1"/>
    </w:lvl>
  </w:abstractNum>
  <w:abstractNum w:abstractNumId="96">
    <w:nsid w:val="3FC32E20"/>
    <w:multiLevelType w:val="hybridMultilevel"/>
    <w:lvl w:ilvl="0">
      <w:lvlJc w:val="left"/>
      <w:lvlText w:val="(%1)"/>
      <w:numFmt w:val="lowerLetter"/>
      <w:start w:val="1"/>
    </w:lvl>
  </w:abstractNum>
  <w:abstractNum w:abstractNumId="97">
    <w:nsid w:val="49C0E823"/>
    <w:multiLevelType w:val="hybridMultilevel"/>
    <w:lvl w:ilvl="0">
      <w:lvlJc w:val="left"/>
      <w:lvlText w:val="(%1)"/>
      <w:numFmt w:val="lowerLetter"/>
      <w:start w:val="2"/>
    </w:lvl>
  </w:abstractNum>
  <w:abstractNum w:abstractNumId="98">
    <w:nsid w:val="14D53685"/>
    <w:multiLevelType w:val="hybridMultilevel"/>
    <w:lvl w:ilvl="0">
      <w:lvlJc w:val="left"/>
      <w:lvlText w:val="(%1)"/>
      <w:numFmt w:val="lowerLetter"/>
      <w:start w:val="1"/>
    </w:lvl>
  </w:abstractNum>
  <w:abstractNum w:abstractNumId="99">
    <w:nsid w:val="230F856C"/>
    <w:multiLevelType w:val="hybridMultilevel"/>
    <w:lvl w:ilvl="0">
      <w:lvlJc w:val="left"/>
      <w:lvlText w:val="(%1)"/>
      <w:numFmt w:val="lowerLetter"/>
      <w:start w:val="1"/>
    </w:lvl>
  </w:abstractNum>
  <w:abstractNum w:abstractNumId="100">
    <w:nsid w:val="6EAA85FB"/>
    <w:multiLevelType w:val="hybridMultilevel"/>
    <w:lvl w:ilvl="0">
      <w:lvlJc w:val="left"/>
      <w:lvlText w:val="%1"/>
      <w:numFmt w:val="lowerLetter"/>
      <w:start w:val="1"/>
    </w:lvl>
    <w:lvl w:ilvl="1">
      <w:lvlJc w:val="left"/>
      <w:lvlText w:val="(%2)"/>
      <w:numFmt w:val="lowerRoman"/>
      <w:start w:val="1"/>
    </w:lvl>
  </w:abstractNum>
  <w:abstractNum w:abstractNumId="101">
    <w:nsid w:val="3F06ECB2"/>
    <w:multiLevelType w:val="hybridMultilevel"/>
    <w:lvl w:ilvl="0">
      <w:lvlJc w:val="left"/>
      <w:lvlText w:val="(%1)"/>
      <w:numFmt w:val="lowerLetter"/>
      <w:start w:val="2"/>
    </w:lvl>
    <w:lvl w:ilvl="1">
      <w:lvlJc w:val="left"/>
      <w:lvlText w:val="%2"/>
      <w:numFmt w:val="lowerRoman"/>
      <w:start w:val="1"/>
    </w:lvl>
  </w:abstractNum>
  <w:abstractNum w:abstractNumId="102">
    <w:nsid w:val="3B594807"/>
    <w:multiLevelType w:val="hybridMultilevel"/>
    <w:lvl w:ilvl="0">
      <w:lvlJc w:val="left"/>
      <w:lvlText w:val="(%1)"/>
      <w:numFmt w:val="lowerLetter"/>
      <w:start w:val="12"/>
    </w:lvl>
  </w:abstractNum>
  <w:abstractNum w:abstractNumId="103">
    <w:nsid w:val="6CAA2304"/>
    <w:multiLevelType w:val="hybridMultilevel"/>
    <w:lvl w:ilvl="0">
      <w:lvlJc w:val="left"/>
      <w:lvlText w:val="(%1)"/>
      <w:numFmt w:val="lowerLetter"/>
      <w:start w:val="1"/>
    </w:lvl>
  </w:abstractNum>
  <w:abstractNum w:abstractNumId="104">
    <w:nsid w:val="3F7C2FF4"/>
    <w:multiLevelType w:val="hybridMultilevel"/>
    <w:lvl w:ilvl="0">
      <w:lvlJc w:val="left"/>
      <w:lvlText w:val="(%1)"/>
      <w:numFmt w:val="lowerRoman"/>
      <w:start w:val="2"/>
    </w:lvl>
  </w:abstractNum>
  <w:abstractNum w:abstractNumId="105">
    <w:nsid w:val="25413BEC"/>
    <w:multiLevelType w:val="hybridMultilevel"/>
    <w:lvl w:ilvl="0">
      <w:lvlJc w:val="left"/>
      <w:lvlText w:val="(%1)"/>
      <w:numFmt w:val="lowerLetter"/>
      <w:start w:val="1"/>
    </w:lvl>
    <w:lvl w:ilvl="1">
      <w:lvlJc w:val="left"/>
      <w:lvlText w:val="(%2)"/>
      <w:numFmt w:val="lowerLetter"/>
      <w:start w:val="9"/>
    </w:lvl>
  </w:abstractNum>
  <w:abstractNum w:abstractNumId="106">
    <w:nsid w:val="17180B0B"/>
    <w:multiLevelType w:val="hybridMultilevel"/>
    <w:lvl w:ilvl="0">
      <w:lvlJc w:val="left"/>
      <w:lvlText w:val="(%1)"/>
      <w:numFmt w:val="lowerLetter"/>
      <w:start w:val="2"/>
    </w:lvl>
  </w:abstractNum>
  <w:abstractNum w:abstractNumId="107">
    <w:nsid w:val="579328B9"/>
    <w:multiLevelType w:val="hybridMultilevel"/>
    <w:lvl w:ilvl="0">
      <w:lvlJc w:val="left"/>
      <w:lvlText w:val="(%1)"/>
      <w:numFmt w:val="lowerLetter"/>
      <w:start w:val="1"/>
    </w:lvl>
  </w:abstractNum>
  <w:abstractNum w:abstractNumId="108">
    <w:nsid w:val="5D205E20"/>
    <w:multiLevelType w:val="hybridMultilevel"/>
    <w:lvl w:ilvl="0">
      <w:lvlJc w:val="left"/>
      <w:lvlText w:val="(%1)"/>
      <w:numFmt w:val="lowerLetter"/>
      <w:start w:val="1"/>
    </w:lvl>
  </w:abstractNum>
  <w:abstractNum w:abstractNumId="109">
    <w:nsid w:val="11CCA8BA"/>
    <w:multiLevelType w:val="hybridMultilevel"/>
    <w:lvl w:ilvl="0">
      <w:lvlJc w:val="left"/>
      <w:lvlText w:val="(%1)"/>
      <w:numFmt w:val="lowerLetter"/>
      <w:start w:val="1"/>
    </w:lvl>
  </w:abstractNum>
  <w:abstractNum w:abstractNumId="110">
    <w:nsid w:val="4D32AB86"/>
    <w:multiLevelType w:val="hybridMultilevel"/>
    <w:lvl w:ilvl="0">
      <w:lvlJc w:val="left"/>
      <w:lvlText w:val="(%1)"/>
      <w:numFmt w:val="lowerLetter"/>
      <w:start w:val="1"/>
    </w:lvl>
  </w:abstractNum>
  <w:abstractNum w:abstractNumId="111">
    <w:nsid w:val="3F07ACC3"/>
    <w:multiLevelType w:val="hybridMultilevel"/>
    <w:lvl w:ilvl="0">
      <w:lvlJc w:val="left"/>
      <w:lvlText w:val="(%1)"/>
      <w:numFmt w:val="lowerLetter"/>
      <w:start w:val="2"/>
    </w:lvl>
  </w:abstractNum>
  <w:abstractNum w:abstractNumId="112">
    <w:nsid w:val="6B47F63E"/>
    <w:multiLevelType w:val="hybridMultilevel"/>
    <w:lvl w:ilvl="0">
      <w:lvlJc w:val="left"/>
      <w:lvlText w:val="%1"/>
      <w:numFmt w:val="lowerLetter"/>
      <w:start w:val="1"/>
    </w:lvl>
    <w:lvl w:ilvl="1">
      <w:lvlJc w:val="left"/>
      <w:lvlText w:val="(%2)"/>
      <w:numFmt w:val="lowerLetter"/>
      <w:start w:val="1"/>
    </w:lvl>
  </w:abstractNum>
  <w:abstractNum w:abstractNumId="113">
    <w:nsid w:val="5CB44A05"/>
    <w:multiLevelType w:val="hybridMultilevel"/>
    <w:lvl w:ilvl="0">
      <w:lvlJc w:val="left"/>
      <w:lvlText w:val="(%1)"/>
      <w:numFmt w:val="lowerLetter"/>
      <w:start w:val="35"/>
    </w:lvl>
    <w:lvl w:ilvl="1">
      <w:lvlJc w:val="left"/>
      <w:lvlText w:val="(%2)"/>
      <w:numFmt w:val="lowerLetter"/>
      <w:start w:val="2"/>
    </w:lvl>
  </w:abstractNum>
  <w:abstractNum w:abstractNumId="114">
    <w:nsid w:val="16CF80F1"/>
    <w:multiLevelType w:val="hybridMultilevel"/>
    <w:lvl w:ilvl="0">
      <w:lvlJc w:val="left"/>
      <w:lvlText w:val="(%1)"/>
      <w:numFmt w:val="lowerLetter"/>
      <w:start w:val="1"/>
    </w:lvl>
  </w:abstractNum>
  <w:abstractNum w:abstractNumId="115">
    <w:nsid w:val="1C695DEC"/>
    <w:multiLevelType w:val="hybridMultilevel"/>
    <w:lvl w:ilvl="0">
      <w:lvlJc w:val="left"/>
      <w:lvlText w:val="%1"/>
      <w:numFmt w:val="upperLetter"/>
      <w:start w:val="1"/>
    </w:lvl>
    <w:lvl w:ilvl="1">
      <w:lvlJc w:val="left"/>
      <w:lvlText w:val="(%2)"/>
      <w:numFmt w:val="lowerLetter"/>
      <w:start w:val="1"/>
    </w:lvl>
  </w:abstractNum>
  <w:abstractNum w:abstractNumId="116">
    <w:nsid w:val="3FCFAED9"/>
    <w:multiLevelType w:val="hybridMultilevel"/>
    <w:lvl w:ilvl="0">
      <w:lvlJc w:val="left"/>
      <w:lvlText w:val="(%1)"/>
      <w:numFmt w:val="upperLetter"/>
      <w:start w:val="1"/>
    </w:lvl>
    <w:lvl w:ilvl="1">
      <w:lvlJc w:val="left"/>
      <w:lvlText w:val="%2"/>
      <w:numFmt w:val="lowerLetter"/>
      <w:start w:val="1"/>
    </w:lvl>
  </w:abstractNum>
  <w:abstractNum w:abstractNumId="117">
    <w:nsid w:val="F856867"/>
    <w:multiLevelType w:val="hybridMultilevel"/>
    <w:lvl w:ilvl="0">
      <w:lvlJc w:val="left"/>
      <w:lvlText w:val="(%1)"/>
      <w:numFmt w:val="lowerLetter"/>
      <w:start w:val="1"/>
    </w:lvl>
  </w:abstractNum>
  <w:abstractNum w:abstractNumId="118">
    <w:nsid w:val="11B1CC33"/>
    <w:multiLevelType w:val="hybridMultilevel"/>
    <w:lvl w:ilvl="0">
      <w:lvlJc w:val="left"/>
      <w:lvlText w:val="(%1)"/>
      <w:numFmt w:val="lowerLetter"/>
      <w:start w:val="6"/>
    </w:lvl>
  </w:abstractNum>
  <w:abstractNum w:abstractNumId="119">
    <w:nsid w:val="2E22FBB7"/>
    <w:multiLevelType w:val="hybridMultilevel"/>
    <w:lvl w:ilvl="0">
      <w:lvlJc w:val="left"/>
      <w:lvlText w:val="(%1)"/>
      <w:numFmt w:val="lowerLetter"/>
      <w:start w:val="1"/>
    </w:lvl>
  </w:abstractNum>
  <w:abstractNum w:abstractNumId="120">
    <w:nsid w:val="29934699"/>
    <w:multiLevelType w:val="hybridMultilevel"/>
    <w:lvl w:ilvl="0">
      <w:lvlJc w:val="left"/>
      <w:lvlText w:val="(%1)"/>
      <w:numFmt w:val="lowerLetter"/>
      <w:start w:val="1"/>
    </w:lvl>
  </w:abstractNum>
  <w:abstractNum w:abstractNumId="121">
    <w:nsid w:val="77485850"/>
    <w:multiLevelType w:val="hybridMultilevel"/>
    <w:lvl w:ilvl="0">
      <w:lvlJc w:val="left"/>
      <w:lvlText w:val="(%1)"/>
      <w:numFmt w:val="lowerLetter"/>
      <w:start w:val="2"/>
    </w:lvl>
  </w:abstractNum>
  <w:abstractNum w:abstractNumId="122">
    <w:nsid w:val="744939A3"/>
    <w:multiLevelType w:val="hybridMultilevel"/>
    <w:lvl w:ilvl="0">
      <w:lvlJc w:val="left"/>
      <w:lvlText w:val="(%1)"/>
      <w:numFmt w:val="lowerLetter"/>
      <w:start w:val="1"/>
    </w:lvl>
    <w:lvl w:ilvl="1">
      <w:lvlJc w:val="left"/>
      <w:lvlText w:val="(%2)"/>
      <w:numFmt w:val="lowerLetter"/>
      <w:start w:val="9"/>
    </w:lvl>
  </w:abstractNum>
  <w:abstractNum w:abstractNumId="123">
    <w:nsid w:val="4FA0D2E3"/>
    <w:multiLevelType w:val="hybridMultilevel"/>
    <w:lvl w:ilvl="0">
      <w:lvlJc w:val="left"/>
      <w:lvlText w:val="(%1)"/>
      <w:numFmt w:val="upperLetter"/>
      <w:start w:val="1"/>
    </w:lvl>
  </w:abstractNum>
  <w:abstractNum w:abstractNumId="124">
    <w:nsid w:val="6B1D2C14"/>
    <w:multiLevelType w:val="hybridMultilevel"/>
    <w:lvl w:ilvl="0">
      <w:lvlJc w:val="left"/>
      <w:lvlText w:val="(%1)"/>
      <w:numFmt w:val="upperLetter"/>
      <w:start w:val="2"/>
    </w:lvl>
  </w:abstractNum>
  <w:abstractNum w:abstractNumId="125">
    <w:nsid w:val="68B867D3"/>
    <w:multiLevelType w:val="hybridMultilevel"/>
    <w:lvl w:ilvl="0">
      <w:lvlJc w:val="left"/>
      <w:lvlText w:val="%1"/>
      <w:numFmt w:val="lowerLetter"/>
      <w:start w:val="1"/>
    </w:lvl>
    <w:lvl w:ilvl="1">
      <w:lvlJc w:val="left"/>
      <w:lvlText w:val="(%2)"/>
      <w:numFmt w:val="lowerRoman"/>
      <w:start w:val="2"/>
    </w:lvl>
  </w:abstractNum>
  <w:abstractNum w:abstractNumId="126">
    <w:nsid w:val="3F7F5DD9"/>
    <w:multiLevelType w:val="hybridMultilevel"/>
    <w:lvl w:ilvl="0">
      <w:lvlJc w:val="left"/>
      <w:lvlText w:val="(%1)"/>
      <w:numFmt w:val="lowerLetter"/>
      <w:start w:val="2"/>
    </w:lvl>
    <w:lvl w:ilvl="1">
      <w:lvlJc w:val="left"/>
      <w:lvlText w:val="%2"/>
      <w:numFmt w:val="lowerRoman"/>
      <w:start w:val="1"/>
    </w:lvl>
  </w:abstractNum>
  <w:abstractNum w:abstractNumId="127">
    <w:nsid w:val="2AE05A34"/>
    <w:multiLevelType w:val="hybridMultilevel"/>
    <w:lvl w:ilvl="0">
      <w:lvlJc w:val="left"/>
      <w:lvlText w:val="(%1)"/>
      <w:numFmt w:val="lowerLetter"/>
      <w:start w:val="1"/>
    </w:lvl>
  </w:abstractNum>
  <w:abstractNum w:abstractNumId="128">
    <w:nsid w:val="32794FF7"/>
    <w:multiLevelType w:val="hybridMultilevel"/>
    <w:lvl w:ilvl="0">
      <w:lvlJc w:val="left"/>
      <w:lvlText w:val="%1"/>
      <w:numFmt w:val="decimal"/>
      <w:start w:val="1"/>
    </w:lvl>
    <w:lvl w:ilvl="1">
      <w:lvlJc w:val="left"/>
      <w:lvlText w:val="(%2)"/>
      <w:numFmt w:val="lowerLetter"/>
      <w:start w:val="1"/>
    </w:lvl>
  </w:abstractNum>
  <w:abstractNum w:abstractNumId="129">
    <w:nsid w:val="5454945E"/>
    <w:multiLevelType w:val="hybridMultilevel"/>
    <w:lvl w:ilvl="0">
      <w:lvlJc w:val="left"/>
      <w:lvlText w:val="(%1)"/>
      <w:numFmt w:val="decimal"/>
      <w:start w:val="30"/>
    </w:lvl>
    <w:lvl w:ilvl="1">
      <w:lvlJc w:val="left"/>
      <w:lvlText w:val="(%2)"/>
      <w:numFmt w:val="lowerLetter"/>
      <w:start w:val="4"/>
    </w:lvl>
  </w:abstractNum>
  <w:abstractNum w:abstractNumId="130">
    <w:nsid w:val="4DEFDFA0"/>
    <w:multiLevelType w:val="hybridMultilevel"/>
    <w:lvl w:ilvl="0">
      <w:lvlJc w:val="left"/>
      <w:lvlText w:val="(%1)"/>
      <w:numFmt w:val="lowerLetter"/>
      <w:start w:val="10"/>
    </w:lvl>
  </w:abstractNum>
  <w:abstractNum w:abstractNumId="131">
    <w:nsid w:val="2123D5F2"/>
    <w:multiLevelType w:val="hybridMultilevel"/>
    <w:lvl w:ilvl="0">
      <w:lvlJc w:val="left"/>
      <w:lvlText w:val="(%1)"/>
      <w:numFmt w:val="lowerLetter"/>
      <w:start w:val="26"/>
    </w:lvl>
  </w:abstractNum>
  <w:abstractNum w:abstractNumId="132">
    <w:nsid w:val="135B8110"/>
    <w:multiLevelType w:val="hybridMultilevel"/>
    <w:lvl w:ilvl="0">
      <w:lvlJc w:val="left"/>
      <w:lvlText w:val="(%1)"/>
      <w:numFmt w:val="lowerLetter"/>
      <w:start w:val="27"/>
    </w:lvl>
  </w:abstractNum>
  <w:abstractNum w:abstractNumId="133">
    <w:nsid w:val="94927A8"/>
    <w:multiLevelType w:val="hybridMultilevel"/>
    <w:lvl w:ilvl="0">
      <w:lvlJc w:val="left"/>
      <w:lvlText w:val="(%1)"/>
      <w:numFmt w:val="lowerLetter"/>
      <w:start w:val="1"/>
    </w:lvl>
  </w:abstractNum>
  <w:abstractNum w:abstractNumId="134">
    <w:nsid w:val="DCDF8F6"/>
    <w:multiLevelType w:val="hybridMultilevel"/>
    <w:lvl w:ilvl="0">
      <w:lvlJc w:val="left"/>
      <w:lvlText w:val="(%1)"/>
      <w:numFmt w:val="lowerLetter"/>
      <w:start w:val="9"/>
    </w:lvl>
  </w:abstractNum>
  <w:abstractNum w:abstractNumId="135">
    <w:nsid w:val="52D7B105"/>
    <w:multiLevelType w:val="hybridMultilevel"/>
    <w:lvl w:ilvl="0">
      <w:lvlJc w:val="left"/>
      <w:lvlText w:val="(%1)"/>
      <w:numFmt w:val="lowerLetter"/>
      <w:start w:val="24"/>
    </w:lvl>
  </w:abstractNum>
  <w:abstractNum w:abstractNumId="136">
    <w:nsid w:val="2E8A6394"/>
    <w:multiLevelType w:val="hybridMultilevel"/>
    <w:lvl w:ilvl="0">
      <w:lvlJc w:val="left"/>
      <w:lvlText w:val="(%1)"/>
      <w:numFmt w:val="lowerLetter"/>
      <w:start w:val="1"/>
    </w:lvl>
  </w:abstractNum>
  <w:abstractNum w:abstractNumId="137">
    <w:nsid w:val="24E60401"/>
    <w:multiLevelType w:val="hybridMultilevel"/>
    <w:lvl w:ilvl="0">
      <w:lvlJc w:val="left"/>
      <w:lvlText w:val="(%1)"/>
      <w:numFmt w:val="lowerLetter"/>
      <w:start w:val="13"/>
    </w:lvl>
  </w:abstractNum>
  <w:abstractNum w:abstractNumId="138">
    <w:nsid w:val="2A6AD9BE"/>
    <w:multiLevelType w:val="hybridMultilevel"/>
    <w:lvl w:ilvl="0">
      <w:lvlJc w:val="left"/>
      <w:lvlText w:val="(%1)"/>
      <w:numFmt w:val="lowerLetter"/>
      <w:start w:val="27"/>
    </w:lvl>
  </w:abstractNum>
  <w:abstractNum w:abstractNumId="139">
    <w:nsid w:val="BAAC1B4"/>
    <w:multiLevelType w:val="hybridMultilevel"/>
    <w:lvl w:ilvl="0">
      <w:lvlJc w:val="left"/>
      <w:lvlText w:val="(%1)"/>
      <w:numFmt w:val="lowerLetter"/>
      <w:start w:val="1"/>
    </w:lvl>
  </w:abstractNum>
  <w:abstractNum w:abstractNumId="140">
    <w:nsid w:val="36B2ACBC"/>
    <w:multiLevelType w:val="hybridMultilevel"/>
    <w:lvl w:ilvl="0">
      <w:lvlJc w:val="left"/>
      <w:lvlText w:val="(%1)"/>
      <w:numFmt w:val="lowerLetter"/>
      <w:start w:val="2"/>
    </w:lvl>
  </w:abstractNum>
  <w:abstractNum w:abstractNumId="141">
    <w:nsid w:val="779D8544"/>
    <w:multiLevelType w:val="hybridMultilevel"/>
    <w:lvl w:ilvl="0">
      <w:lvlJc w:val="left"/>
      <w:lvlText w:val="(%1)"/>
      <w:numFmt w:val="lowerLetter"/>
      <w:start w:val="1"/>
    </w:lvl>
  </w:abstractNum>
  <w:abstractNum w:abstractNumId="142">
    <w:nsid w:val="4AB26E78"/>
    <w:multiLevelType w:val="hybridMultilevel"/>
    <w:lvl w:ilvl="0">
      <w:lvlJc w:val="left"/>
      <w:lvlText w:val="(%1)"/>
      <w:numFmt w:val="lowerLetter"/>
      <w:start w:val="5"/>
    </w:lvl>
  </w:abstractNum>
  <w:abstractNum w:abstractNumId="143">
    <w:nsid w:val="21FAA2FA"/>
    <w:multiLevelType w:val="hybridMultilevel"/>
    <w:lvl w:ilvl="0">
      <w:lvlJc w:val="left"/>
      <w:lvlText w:val="(%1)"/>
      <w:numFmt w:val="lowerLetter"/>
      <w:start w:val="1"/>
    </w:lvl>
  </w:abstractNum>
  <w:abstractNum w:abstractNumId="144">
    <w:nsid w:val="5451CF49"/>
    <w:multiLevelType w:val="hybridMultilevel"/>
    <w:lvl w:ilvl="0">
      <w:lvlJc w:val="left"/>
      <w:lvlText w:val="(%1)"/>
      <w:numFmt w:val="lowerLetter"/>
      <w:start w:val="3"/>
    </w:lvl>
  </w:abstractNum>
  <w:abstractNum w:abstractNumId="145">
    <w:nsid w:val="6181EF69"/>
    <w:multiLevelType w:val="hybridMultilevel"/>
    <w:lvl w:ilvl="0">
      <w:lvlJc w:val="left"/>
      <w:lvlText w:val="(%1)"/>
      <w:numFmt w:val="lowerLetter"/>
      <w:start w:val="1"/>
    </w:lvl>
  </w:abstractNum>
  <w:abstractNum w:abstractNumId="146">
    <w:nsid w:val="3E6400E6"/>
    <w:multiLevelType w:val="hybridMultilevel"/>
    <w:lvl w:ilvl="0">
      <w:lvlJc w:val="left"/>
      <w:lvlText w:val="(%1)"/>
      <w:numFmt w:val="lowerLetter"/>
      <w:start w:val="11"/>
    </w:lvl>
  </w:abstractNum>
  <w:abstractNum w:abstractNumId="147">
    <w:nsid w:val="14217E23"/>
    <w:multiLevelType w:val="hybridMultilevel"/>
    <w:lvl w:ilvl="0">
      <w:lvlJc w:val="left"/>
      <w:lvlText w:val="(%1)"/>
      <w:numFmt w:val="lowerLetter"/>
      <w:start w:val="1"/>
    </w:lvl>
  </w:abstractNum>
  <w:abstractNum w:abstractNumId="148">
    <w:nsid w:val="710757D0"/>
    <w:multiLevelType w:val="hybridMultilevel"/>
    <w:lvl w:ilvl="0">
      <w:lvlJc w:val="left"/>
      <w:lvlText w:val="(%1)"/>
      <w:numFmt w:val="lowerLetter"/>
      <w:start w:val="2"/>
    </w:lvl>
  </w:abstractNum>
  <w:abstractNum w:abstractNumId="149">
    <w:nsid w:val="5015CD1A"/>
    <w:multiLevelType w:val="hybridMultilevel"/>
    <w:lvl w:ilvl="0">
      <w:lvlJc w:val="left"/>
      <w:lvlText w:val="%1"/>
      <w:numFmt w:val="decimal"/>
      <w:start w:val="1"/>
    </w:lvl>
    <w:lvl w:ilvl="1">
      <w:lvlJc w:val="left"/>
      <w:lvlText w:val="(%2)"/>
      <w:numFmt w:val="lowerLetter"/>
      <w:start w:val="1"/>
    </w:lvl>
  </w:abstractNum>
  <w:abstractNum w:abstractNumId="150">
    <w:nsid w:val="424479DA"/>
    <w:multiLevelType w:val="hybridMultilevel"/>
    <w:lvl w:ilvl="0">
      <w:lvlJc w:val="left"/>
      <w:lvlText w:val="(%1)"/>
      <w:numFmt w:val="decimal"/>
      <w:start w:val="10"/>
    </w:lvl>
    <w:lvl w:ilvl="1">
      <w:lvlJc w:val="left"/>
      <w:lvlText w:val="(%2)"/>
      <w:numFmt w:val="lowerLetter"/>
      <w:start w:val="2"/>
    </w:lvl>
  </w:abstractNum>
  <w:abstractNum w:abstractNumId="151">
    <w:nsid w:val="1A9A9E69"/>
    <w:multiLevelType w:val="hybridMultilevel"/>
    <w:lvl w:ilvl="0">
      <w:lvlJc w:val="left"/>
      <w:lvlText w:val="(%1)"/>
      <w:numFmt w:val="lowerLetter"/>
      <w:start w:val="7"/>
    </w:lvl>
  </w:abstractNum>
  <w:abstractNum w:abstractNumId="152">
    <w:nsid w:val="475E256A"/>
    <w:multiLevelType w:val="hybridMultilevel"/>
    <w:lvl w:ilvl="0">
      <w:lvlJc w:val="left"/>
      <w:lvlText w:val="(%1)"/>
      <w:numFmt w:val="lowerRoman"/>
      <w:start w:val="1"/>
    </w:lvl>
  </w:abstractNum>
  <w:abstractNum w:abstractNumId="153">
    <w:nsid w:val="368DB37E"/>
    <w:multiLevelType w:val="hybridMultilevel"/>
    <w:lvl w:ilvl="0">
      <w:lvlJc w:val="left"/>
      <w:lvlText w:val="(%1)"/>
      <w:numFmt w:val="lowerLetter"/>
      <w:start w:val="3"/>
    </w:lvl>
  </w:abstractNum>
  <w:abstractNum w:abstractNumId="154">
    <w:nsid w:val="6A3B714C"/>
    <w:multiLevelType w:val="hybridMultilevel"/>
    <w:lvl w:ilvl="0">
      <w:lvlJc w:val="left"/>
      <w:lvlText w:val="(%1)"/>
      <w:numFmt w:val="lowerRoman"/>
      <w:start w:val="1"/>
    </w:lvl>
  </w:abstractNum>
  <w:abstractNum w:abstractNumId="155">
    <w:nsid w:val="327B517E"/>
    <w:multiLevelType w:val="hybridMultilevel"/>
    <w:lvl w:ilvl="0">
      <w:lvlJc w:val="left"/>
      <w:lvlText w:val="(%1)"/>
      <w:numFmt w:val="lowerLetter"/>
      <w:start w:val="1"/>
    </w:lvl>
  </w:abstractNum>
  <w:abstractNum w:abstractNumId="156">
    <w:nsid w:val="1F461B51"/>
    <w:multiLevelType w:val="hybridMultilevel"/>
    <w:lvl w:ilvl="0">
      <w:lvlJc w:val="left"/>
      <w:lvlText w:val="(%1)"/>
      <w:numFmt w:val="lowerLetter"/>
      <w:start w:val="2"/>
    </w:lvl>
  </w:abstractNum>
  <w:abstractNum w:abstractNumId="157">
    <w:nsid w:val="29BACF25"/>
    <w:multiLevelType w:val="hybridMultilevel"/>
    <w:lvl w:ilvl="0">
      <w:lvlJc w:val="left"/>
      <w:lvlText w:val="(%1)"/>
      <w:numFmt w:val="lowerLetter"/>
      <w:start w:val="3"/>
    </w:lvl>
  </w:abstractNum>
  <w:abstractNum w:abstractNumId="158">
    <w:nsid w:val="5D5BABB3"/>
    <w:multiLevelType w:val="hybridMultilevel"/>
    <w:lvl w:ilvl="0">
      <w:lvlJc w:val="left"/>
      <w:lvlText w:val="%1"/>
      <w:numFmt w:val="upperLetter"/>
      <w:start w:val="1"/>
    </w:lvl>
    <w:lvl w:ilvl="1">
      <w:lvlJc w:val="left"/>
      <w:lvlText w:val="(%2)"/>
      <w:numFmt w:val="lowerLetter"/>
      <w:start w:val="1"/>
    </w:lvl>
  </w:abstractNum>
  <w:abstractNum w:abstractNumId="159">
    <w:nsid w:val="51BF6B48"/>
    <w:multiLevelType w:val="hybridMultilevel"/>
    <w:lvl w:ilvl="0">
      <w:lvlJc w:val="left"/>
      <w:lvlText w:val="(%1)"/>
      <w:numFmt w:val="upperLetter"/>
      <w:start w:val="1"/>
    </w:lvl>
    <w:lvl w:ilvl="1">
      <w:lvlJc w:val="left"/>
      <w:lvlText w:val="%2"/>
      <w:numFmt w:val="lowerLetter"/>
      <w:start w:val="1"/>
    </w:lvl>
  </w:abstractNum>
  <w:abstractNum w:abstractNumId="160">
    <w:nsid w:val="7E0F6384"/>
    <w:multiLevelType w:val="hybridMultilevel"/>
    <w:lvl w:ilvl="0">
      <w:lvlJc w:val="left"/>
      <w:lvlText w:val="(%1)"/>
      <w:numFmt w:val="lowerLetter"/>
      <w:start w:val="3"/>
    </w:lvl>
  </w:abstractNum>
  <w:abstractNum w:abstractNumId="161">
    <w:nsid w:val="2B4B8B53"/>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162">
    <w:nsid w:val="72E3413A"/>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abstractNum>
  <w:abstractNum w:abstractNumId="163">
    <w:nsid w:val="116AE494"/>
    <w:multiLevelType w:val="hybridMultilevel"/>
    <w:lvl w:ilvl="0">
      <w:lvlJc w:val="left"/>
      <w:lvlText w:val="(%1)"/>
      <w:numFmt w:val="lowerRoman"/>
      <w:start w:val="4"/>
    </w:lvl>
  </w:abstractNum>
  <w:abstractNum w:abstractNumId="164">
    <w:nsid w:val="3494B2FB"/>
    <w:multiLevelType w:val="hybridMultilevel"/>
    <w:lvl w:ilvl="0">
      <w:lvlJc w:val="left"/>
      <w:lvlText w:val="(%1)"/>
      <w:numFmt w:val="lowerLetter"/>
      <w:start w:val="1"/>
    </w:lvl>
  </w:abstractNum>
  <w:abstractNum w:abstractNumId="165">
    <w:nsid w:val="B13A31"/>
    <w:multiLevelType w:val="hybridMultilevel"/>
    <w:lvl w:ilvl="0">
      <w:lvlJc w:val="left"/>
      <w:lvlText w:val="(%1)"/>
      <w:numFmt w:val="lowerLetter"/>
      <w:start w:val="3"/>
    </w:lvl>
  </w:abstractNum>
  <w:abstractNum w:abstractNumId="166">
    <w:nsid w:val="64429599"/>
    <w:multiLevelType w:val="hybridMultilevel"/>
    <w:lvl w:ilvl="0">
      <w:lvlJc w:val="left"/>
      <w:lvlText w:val="%1"/>
      <w:numFmt w:val="lowerLetter"/>
      <w:start w:val="1"/>
    </w:lvl>
    <w:lvl w:ilvl="1">
      <w:lvlJc w:val="left"/>
      <w:lvlText w:val="(%2)"/>
      <w:numFmt w:val="lowerLetter"/>
      <w:start w:val="1"/>
    </w:lvl>
  </w:abstractNum>
  <w:abstractNum w:abstractNumId="167">
    <w:nsid w:val="631F1690"/>
    <w:multiLevelType w:val="hybridMultilevel"/>
    <w:lvl w:ilvl="0">
      <w:lvlJc w:val="left"/>
      <w:lvlText w:val="(%1)"/>
      <w:numFmt w:val="lowerLetter"/>
      <w:start w:val="2"/>
    </w:lvl>
    <w:lvl w:ilvl="1">
      <w:lvlJc w:val="left"/>
      <w:lvlText w:val="%2"/>
      <w:numFmt w:val="lowerLetter"/>
      <w:start w:val="1"/>
    </w:lvl>
  </w:abstractNum>
  <w:abstractNum w:abstractNumId="168">
    <w:nsid w:val="25973E32"/>
    <w:multiLevelType w:val="hybridMultilevel"/>
    <w:lvl w:ilvl="0">
      <w:lvlJc w:val="left"/>
      <w:lvlText w:val="(%1)"/>
      <w:numFmt w:val="lowerRoman"/>
      <w:start w:val="6"/>
    </w:lvl>
  </w:abstractNum>
  <w:abstractNum w:abstractNumId="169">
    <w:nsid w:val="EAD6F57"/>
    <w:multiLevelType w:val="hybridMultilevel"/>
    <w:lvl w:ilvl="0">
      <w:lvlJc w:val="left"/>
      <w:lvlText w:val="(%1)"/>
      <w:numFmt w:val="lowerLetter"/>
      <w:start w:val="3"/>
    </w:lvl>
  </w:abstractNum>
  <w:abstractNum w:abstractNumId="170">
    <w:nsid w:val="6EC9D844"/>
    <w:multiLevelType w:val="hybridMultilevel"/>
    <w:lvl w:ilvl="0">
      <w:lvlJc w:val="left"/>
      <w:lvlText w:val="(%1)"/>
      <w:numFmt w:val="lowerLetter"/>
      <w:start w:val="1"/>
    </w:lvl>
  </w:abstractNum>
  <w:abstractNum w:abstractNumId="171">
    <w:nsid w:val="5C49EAEE"/>
    <w:multiLevelType w:val="hybridMultilevel"/>
    <w:lvl w:ilvl="0">
      <w:lvlJc w:val="left"/>
      <w:lvlText w:val="(%1)"/>
      <w:numFmt w:val="lowerLetter"/>
      <w:start w:val="1"/>
    </w:lvl>
  </w:abstractNum>
  <w:abstractNum w:abstractNumId="172">
    <w:nsid w:val="64AF49B"/>
    <w:multiLevelType w:val="hybridMultilevel"/>
    <w:lvl w:ilvl="0">
      <w:lvlJc w:val="left"/>
      <w:lvlText w:val="(%1)"/>
      <w:numFmt w:val="lowerLetter"/>
      <w:start w:val="1"/>
    </w:lvl>
  </w:abstractNum>
  <w:abstractNum w:abstractNumId="173">
    <w:nsid w:val="397C46BC"/>
    <w:multiLevelType w:val="hybridMultilevel"/>
    <w:lvl w:ilvl="0">
      <w:lvlJc w:val="left"/>
      <w:lvlText w:val="(%1)"/>
      <w:numFmt w:val="lowerLetter"/>
      <w:start w:val="2"/>
    </w:lvl>
  </w:abstractNum>
  <w:abstractNum w:abstractNumId="174">
    <w:nsid w:val="7E448DE9"/>
    <w:multiLevelType w:val="hybridMultilevel"/>
    <w:lvl w:ilvl="0">
      <w:lvlJc w:val="left"/>
      <w:lvlText w:val="(%1)"/>
      <w:numFmt w:val="lowerLetter"/>
      <w:start w:val="1"/>
    </w:lvl>
  </w:abstractNum>
  <w:abstractNum w:abstractNumId="175">
    <w:nsid w:val="5A9CC3E5"/>
    <w:multiLevelType w:val="hybridMultilevel"/>
    <w:lvl w:ilvl="0">
      <w:lvlJc w:val="left"/>
      <w:lvlText w:val="%1"/>
      <w:numFmt w:val="lowerLetter"/>
      <w:start w:val="1"/>
    </w:lvl>
    <w:lvl w:ilvl="1">
      <w:lvlJc w:val="left"/>
      <w:lvlText w:val="(%2)"/>
      <w:numFmt w:val="lowerLetter"/>
      <w:start w:val="1"/>
    </w:lvl>
  </w:abstractNum>
  <w:abstractNum w:abstractNumId="176">
    <w:nsid w:val="1AFE3625"/>
    <w:multiLevelType w:val="hybridMultilevel"/>
    <w:lvl w:ilvl="0">
      <w:lvlJc w:val="left"/>
      <w:lvlText w:val="(%1)"/>
      <w:numFmt w:val="lowerLetter"/>
      <w:start w:val="9"/>
    </w:lvl>
    <w:lvl w:ilvl="1">
      <w:lvlJc w:val="left"/>
      <w:lvlText w:val="%2"/>
      <w:numFmt w:val="lowerLetter"/>
      <w:start w:val="1"/>
    </w:lvl>
  </w:abstractNum>
  <w:abstractNum w:abstractNumId="177">
    <w:nsid w:val="3CA88ECF"/>
    <w:multiLevelType w:val="hybridMultilevel"/>
    <w:lvl w:ilvl="0">
      <w:lvlJc w:val="left"/>
      <w:lvlText w:val="(%1)"/>
      <w:numFmt w:val="lowerLetter"/>
      <w:start w:val="1"/>
    </w:lvl>
  </w:abstractNum>
  <w:abstractNum w:abstractNumId="178">
    <w:nsid w:val="6EBE4208"/>
    <w:multiLevelType w:val="hybridMultilevel"/>
    <w:lvl w:ilvl="0">
      <w:lvlJc w:val="left"/>
      <w:lvlText w:val="(%1)"/>
      <w:numFmt w:val="lowerLetter"/>
      <w:start w:val="1"/>
    </w:lvl>
  </w:abstractNum>
  <w:abstractNum w:abstractNumId="179">
    <w:nsid w:val="C058DF5"/>
    <w:multiLevelType w:val="hybridMultilevel"/>
    <w:lvl w:ilvl="0">
      <w:lvlJc w:val="left"/>
      <w:lvlText w:val="%1."/>
      <w:numFmt w:val="decimal"/>
      <w:start w:val="1"/>
    </w:lvl>
  </w:abstractNum>
  <w:abstractNum w:abstractNumId="180">
    <w:nsid w:val="CBE5BE9"/>
    <w:multiLevelType w:val="hybridMultilevel"/>
    <w:lvl w:ilvl="0">
      <w:lvlJc w:val="left"/>
      <w:lvlText w:val="(%1)"/>
      <w:numFmt w:val="lowerLetter"/>
      <w:start w:val="1"/>
    </w:lvl>
  </w:abstractNum>
  <w:abstractNum w:abstractNumId="181">
    <w:nsid w:val="3102BBE2"/>
    <w:multiLevelType w:val="hybridMultilevel"/>
    <w:lvl w:ilvl="0">
      <w:lvlJc w:val="left"/>
      <w:lvlText w:val="(%1)"/>
      <w:numFmt w:val="lowerLetter"/>
      <w:start w:val="2"/>
    </w:lvl>
  </w:abstractNum>
  <w:abstractNum w:abstractNumId="182">
    <w:nsid w:val="26A02C5E"/>
    <w:multiLevelType w:val="hybridMultilevel"/>
    <w:lvl w:ilvl="0">
      <w:lvlJc w:val="left"/>
      <w:lvlText w:val="\ldblquote"/>
      <w:numFmt w:val="bullet"/>
      <w:start w:val="1"/>
    </w:lvl>
    <w:lvl w:ilvl="1">
      <w:lvlJc w:val="left"/>
      <w:lvlText w:val="(%2)"/>
      <w:numFmt w:val="lowerLetter"/>
      <w:start w:val="3"/>
    </w:lvl>
  </w:abstractNum>
  <w:abstractNum w:abstractNumId="183">
    <w:nsid w:val="541C8153"/>
    <w:multiLevelType w:val="hybridMultilevel"/>
    <w:lvl w:ilvl="0">
      <w:lvlJc w:val="left"/>
      <w:lvlText w:val="\ldblquote"/>
      <w:numFmt w:val="bullet"/>
      <w:start w:val="1"/>
    </w:lvl>
    <w:lvl w:ilvl="1">
      <w:lvlJc w:val="left"/>
      <w:lvlText w:val="(%2)"/>
      <w:numFmt w:val="lowerLetter"/>
      <w:start w:val="61"/>
    </w:lvl>
  </w:abstractNum>
  <w:abstractNum w:abstractNumId="184">
    <w:nsid w:val="67906F60"/>
    <w:multiLevelType w:val="hybridMultilevel"/>
    <w:lvl w:ilvl="0">
      <w:lvlJc w:val="left"/>
      <w:lvlText w:val="(%1)"/>
      <w:numFmt w:val="lowerRoman"/>
      <w:start w:val="4"/>
    </w:lvl>
  </w:abstractNum>
  <w:abstractNum w:abstractNumId="185">
    <w:nsid w:val="10DB9DAA"/>
    <w:multiLevelType w:val="hybridMultilevel"/>
    <w:lvl w:ilvl="0">
      <w:lvlJc w:val="left"/>
      <w:lvlText w:val="\ldblquote"/>
      <w:numFmt w:val="bullet"/>
      <w:start w:val="1"/>
    </w:lvl>
    <w:lvl w:ilvl="1">
      <w:lvlJc w:val="left"/>
      <w:lvlText w:val="(%2)"/>
      <w:numFmt w:val="lowerLetter"/>
      <w:start w:val="4"/>
    </w:lvl>
  </w:abstractNum>
  <w:abstractNum w:abstractNumId="186">
    <w:nsid w:val="697D2D2"/>
    <w:multiLevelType w:val="hybridMultilevel"/>
    <w:lvl w:ilvl="0">
      <w:lvlJc w:val="left"/>
      <w:lvlText w:val="(%1)"/>
      <w:numFmt w:val="lowerRoman"/>
      <w:start w:val="11"/>
    </w:lvl>
    <w:lvl w:ilvl="1">
      <w:lvlJc w:val="left"/>
      <w:lvlText w:val="(%2)"/>
      <w:numFmt w:val="upperLetter"/>
      <w:start w:val="2"/>
    </w:lvl>
  </w:abstractNum>
  <w:abstractNum w:abstractNumId="187">
    <w:nsid w:val="6D68AB2"/>
    <w:multiLevelType w:val="hybridMultilevel"/>
    <w:lvl w:ilvl="0">
      <w:lvlJc w:val="left"/>
      <w:lvlText w:val="(%1)"/>
      <w:numFmt w:val="lowerRoman"/>
      <w:start w:val="2"/>
    </w:lvl>
    <w:lvl w:ilvl="1">
      <w:lvlJc w:val="left"/>
      <w:lvlText w:val="(%2)"/>
      <w:numFmt w:val="upperLetter"/>
      <w:start w:val="3"/>
    </w:lvl>
  </w:abstractNum>
  <w:abstractNum w:abstractNumId="188">
    <w:nsid w:val="3A966CD0"/>
    <w:multiLevelType w:val="hybridMultilevel"/>
    <w:lvl w:ilvl="0">
      <w:lvlJc w:val="left"/>
      <w:lvlText w:val="\ldblquote"/>
      <w:numFmt w:val="bullet"/>
      <w:start w:val="1"/>
    </w:lvl>
    <w:lvl w:ilvl="1">
      <w:lvlJc w:val="left"/>
      <w:lvlText w:val="(%2)"/>
      <w:numFmt w:val="lowerLetter"/>
      <w:start w:val="7"/>
    </w:lvl>
  </w:abstractNum>
  <w:abstractNum w:abstractNumId="189">
    <w:nsid w:val="63F37E85"/>
    <w:multiLevelType w:val="hybridMultilevel"/>
    <w:lvl w:ilvl="0">
      <w:lvlJc w:val="left"/>
      <w:lvlText w:val="(%1)"/>
      <w:numFmt w:val="lowerLetter"/>
      <w:start w:val="10"/>
    </w:lvl>
  </w:abstractNum>
  <w:abstractNum w:abstractNumId="190">
    <w:nsid w:val="5895F5FA"/>
    <w:multiLevelType w:val="hybridMultilevel"/>
    <w:lvl w:ilvl="0">
      <w:lvlJc w:val="left"/>
      <w:lvlText w:val="%1."/>
      <w:numFmt w:val="decimal"/>
      <w:start w:val="2"/>
    </w:lvl>
  </w:abstractNum>
  <w:abstractNum w:abstractNumId="191">
    <w:nsid w:val="38A5D054"/>
    <w:multiLevelType w:val="hybridMultilevel"/>
    <w:lvl w:ilvl="0">
      <w:lvlJc w:val="left"/>
      <w:lvlText w:val="(%1)"/>
      <w:numFmt w:val="lowerLetter"/>
      <w:start w:val="1"/>
    </w:lvl>
  </w:abstractNum>
  <w:abstractNum w:abstractNumId="192">
    <w:nsid w:val="F3F09D8"/>
    <w:multiLevelType w:val="hybridMultilevel"/>
    <w:lvl w:ilvl="0">
      <w:lvlJc w:val="left"/>
      <w:lvlText w:val="(%1)"/>
      <w:numFmt w:val="lowerLetter"/>
      <w:start w:val="2"/>
    </w:lvl>
  </w:abstractNum>
  <w:abstractNum w:abstractNumId="193">
    <w:nsid w:val="4B793735"/>
    <w:multiLevelType w:val="hybridMultilevel"/>
    <w:lvl w:ilvl="0">
      <w:lvlJc w:val="left"/>
      <w:lvlText w:val="(%1)"/>
      <w:numFmt w:val="lowerLetter"/>
      <w:start w:val="1"/>
    </w:lvl>
  </w:abstractNum>
  <w:abstractNum w:abstractNumId="194">
    <w:nsid w:val="4A10B4E8"/>
    <w:multiLevelType w:val="hybridMultilevel"/>
    <w:lvl w:ilvl="0">
      <w:lvlJc w:val="left"/>
      <w:lvlText w:val="%1."/>
      <w:numFmt w:val="decimal"/>
      <w:start w:val="3"/>
    </w:lvl>
  </w:abstractNum>
  <w:abstractNum w:abstractNumId="195">
    <w:nsid w:val="43D3BCD4"/>
    <w:multiLevelType w:val="hybridMultilevel"/>
    <w:lvl w:ilvl="0">
      <w:lvlJc w:val="left"/>
      <w:lvlText w:val="%1."/>
      <w:numFmt w:val="decimal"/>
      <w:start w:val="5"/>
    </w:lvl>
  </w:abstractNum>
  <w:abstractNum w:abstractNumId="196">
    <w:nsid w:val="4C2A7166"/>
    <w:multiLevelType w:val="hybridMultilevel"/>
    <w:lvl w:ilvl="0">
      <w:lvlJc w:val="left"/>
      <w:lvlText w:val="(%1)"/>
      <w:numFmt w:val="lowerLetter"/>
      <w:start w:val="1"/>
    </w:lvl>
  </w:abstractNum>
  <w:abstractNum w:abstractNumId="197">
    <w:nsid w:val="2E534A82"/>
    <w:multiLevelType w:val="hybridMultilevel"/>
    <w:lvl w:ilvl="0">
      <w:lvlJc w:val="left"/>
      <w:lvlText w:val="(%1)"/>
      <w:numFmt w:val="lowerLetter"/>
      <w:start w:val="4"/>
    </w:lvl>
  </w:abstractNum>
  <w:abstractNum w:abstractNumId="198">
    <w:nsid w:val="26F2D364"/>
    <w:multiLevelType w:val="hybridMultilevel"/>
    <w:lvl w:ilvl="0">
      <w:lvlJc w:val="left"/>
      <w:lvlText w:val="(%1)"/>
      <w:numFmt w:val="lowerLetter"/>
      <w:start w:val="1"/>
    </w:lvl>
  </w:abstractNum>
  <w:abstractNum w:abstractNumId="199">
    <w:nsid w:val="71C1AF98"/>
    <w:multiLevelType w:val="hybridMultilevel"/>
    <w:lvl w:ilvl="0">
      <w:lvlJc w:val="left"/>
      <w:lvlText w:val="%1."/>
      <w:numFmt w:val="decimal"/>
      <w:start w:val="7"/>
    </w:lvl>
  </w:abstractNum>
  <w:abstractNum w:abstractNumId="200">
    <w:nsid w:val="3D00B9D9"/>
    <w:multiLevelType w:val="hybridMultilevel"/>
    <w:lvl w:ilvl="0">
      <w:lvlJc w:val="left"/>
      <w:lvlText w:val="(%1)"/>
      <w:numFmt w:val="lowerLetter"/>
      <w:start w:val="1"/>
    </w:lvl>
  </w:abstractNum>
  <w:abstractNum w:abstractNumId="201">
    <w:nsid w:val="15BCABA8"/>
    <w:multiLevelType w:val="hybridMultilevel"/>
    <w:lvl w:ilvl="0">
      <w:lvlJc w:val="left"/>
      <w:lvlText w:val="%1"/>
      <w:numFmt w:val="lowerLetter"/>
      <w:start w:val="1"/>
    </w:lvl>
    <w:lvl w:ilvl="1">
      <w:lvlJc w:val="left"/>
      <w:lvlText w:val="%2."/>
      <w:numFmt w:val="decimal"/>
      <w:start w:val="8"/>
    </w:lvl>
  </w:abstractNum>
  <w:abstractNum w:abstractNumId="202">
    <w:nsid w:val="4E0B9A87"/>
    <w:multiLevelType w:val="hybridMultilevel"/>
    <w:lvl w:ilvl="0">
      <w:lvlJc w:val="left"/>
      <w:lvlText w:val="(%1)"/>
      <w:numFmt w:val="lowerLetter"/>
      <w:start w:val="3"/>
    </w:lvl>
    <w:lvl w:ilvl="1">
      <w:lvlJc w:val="left"/>
      <w:lvlText w:val="%2."/>
      <w:numFmt w:val="decimal"/>
      <w:start w:val="9"/>
    </w:lvl>
  </w:abstractNum>
  <w:abstractNum w:abstractNumId="203">
    <w:nsid w:val="434BAE75"/>
    <w:multiLevelType w:val="hybridMultilevel"/>
    <w:lvl w:ilvl="0">
      <w:lvlJc w:val="left"/>
      <w:lvlText w:val="%1."/>
      <w:numFmt w:val="decimal"/>
      <w:start w:val="11"/>
    </w:lvl>
  </w:abstractNum>
  <w:abstractNum w:abstractNumId="204">
    <w:nsid w:val="4F38F265"/>
    <w:multiLevelType w:val="hybridMultilevel"/>
    <w:lvl w:ilvl="0">
      <w:lvlJc w:val="left"/>
      <w:lvlText w:val="(%1)"/>
      <w:numFmt w:val="decimal"/>
      <w:start w:val="1"/>
    </w:lvl>
    <w:lvl w:ilvl="1">
      <w:lvlJc w:val="left"/>
      <w:lvlText w:val="%2."/>
      <w:numFmt w:val="lowerLetter"/>
      <w:start w:val="1"/>
    </w:lvl>
  </w:abstractNum>
  <w:abstractNum w:abstractNumId="205">
    <w:nsid w:val="4C502870"/>
    <w:multiLevelType w:val="hybridMultilevel"/>
    <w:lvl w:ilvl="0">
      <w:lvlJc w:val="left"/>
      <w:lvlText w:val="(%1)"/>
      <w:numFmt w:val="decimal"/>
      <w:start w:val="1"/>
    </w:lvl>
    <w:lvl w:ilvl="1">
      <w:lvlJc w:val="left"/>
      <w:lvlText w:val="%2."/>
      <w:numFmt w:val="lowerLetter"/>
      <w:start w:val="1"/>
    </w:lvl>
  </w:abstractNum>
  <w:abstractNum w:abstractNumId="206">
    <w:nsid w:val="1DE8725A"/>
    <w:multiLevelType w:val="hybridMultilevel"/>
    <w:lvl w:ilvl="0">
      <w:lvlJc w:val="left"/>
      <w:lvlText w:val="(%1)"/>
      <w:numFmt w:val="decimal"/>
      <w:start w:val="1"/>
    </w:lvl>
  </w:abstractNum>
  <w:abstractNum w:abstractNumId="207">
    <w:nsid w:val="6A3728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2019-12-28T03:50:31Z</dcterms:created>
  <dcterms:modified xsi:type="dcterms:W3CDTF">2019-12-28T03:50:31Z</dcterms:modified>
</cp:coreProperties>
</file>