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right="540" w:hanging="345"/>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right="52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0-12255</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0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(I.R.S. Employer</w:t>
            </w:r>
          </w:p>
        </w:tc>
      </w:tr>
      <w:tr>
        <w:trPr>
          <w:trHeight w:val="270"/>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6500" w:type="dxa"/>
            <w:vAlign w:val="bottom"/>
          </w:tcPr>
          <w:p>
            <w:pPr>
              <w:jc w:val="center"/>
              <w:ind w:right="3119"/>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218"/>
        </w:trPr>
        <w:tc>
          <w:tcPr>
            <w:tcW w:w="6500" w:type="dxa"/>
            <w:vAlign w:val="bottom"/>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90"/>
              </w:rPr>
              <w:t>(913) 696-6100</w:t>
            </w:r>
          </w:p>
        </w:tc>
        <w:tc>
          <w:tcPr>
            <w:tcW w:w="1460" w:type="dxa"/>
            <w:vAlign w:val="bottom"/>
          </w:tcPr>
          <w:p>
            <w:pPr>
              <w:spacing w:after="0"/>
              <w:rPr>
                <w:sz w:val="23"/>
                <w:szCs w:val="23"/>
                <w:color w:val="auto"/>
              </w:rPr>
            </w:pPr>
          </w:p>
        </w:tc>
      </w:tr>
      <w:tr>
        <w:trPr>
          <w:trHeight w:val="186"/>
        </w:trPr>
        <w:tc>
          <w:tcPr>
            <w:tcW w:w="6500" w:type="dxa"/>
            <w:vAlign w:val="bottom"/>
          </w:tcPr>
          <w:p>
            <w:pPr>
              <w:jc w:val="center"/>
              <w:ind w:left="2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289"/>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88"/>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p>
      <w:pPr>
        <w:ind w:left="40"/>
        <w:spacing w:after="0" w:line="207" w:lineRule="exact"/>
        <w:tabs>
          <w:tab w:leader="none" w:pos="3220" w:val="left"/>
          <w:tab w:leader="none" w:pos="790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217" w:lineRule="exact"/>
        <w:rPr>
          <w:sz w:val="24"/>
          <w:szCs w:val="24"/>
          <w:color w:val="auto"/>
        </w:rPr>
      </w:pPr>
    </w:p>
    <w:p>
      <w:pPr>
        <w:ind w:left="40"/>
        <w:spacing w:after="0"/>
        <w:tabs>
          <w:tab w:leader="none" w:pos="3220" w:val="left"/>
          <w:tab w:leader="none" w:pos="790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660" w:val="left"/>
        </w:tabs>
        <w:rPr>
          <w:sz w:val="20"/>
          <w:szCs w:val="20"/>
          <w:color w:val="auto"/>
        </w:rPr>
      </w:pPr>
      <w:r>
        <w:rPr>
          <w:rFonts w:ascii="Arial" w:cs="Arial" w:eastAsia="Arial" w:hAnsi="Arial"/>
          <w:sz w:val="14"/>
          <w:szCs w:val="14"/>
          <w:u w:val="single" w:color="auto"/>
          <w:color w:val="auto"/>
        </w:rPr>
        <w:t>Class</w:t>
      </w:r>
      <w:r>
        <w:rPr>
          <w:sz w:val="20"/>
          <w:szCs w:val="20"/>
          <w:color w:val="auto"/>
        </w:rPr>
        <w:tab/>
      </w:r>
      <w:r>
        <w:rPr>
          <w:rFonts w:ascii="Arial" w:cs="Arial" w:eastAsia="Arial" w:hAnsi="Arial"/>
          <w:sz w:val="14"/>
          <w:szCs w:val="14"/>
          <w:u w:val="single" w:color="auto"/>
          <w:color w:val="auto"/>
        </w:rPr>
        <w:t>Outstanding at April 25, 2014</w:t>
      </w:r>
    </w:p>
    <w:p>
      <w:pPr>
        <w:sectPr>
          <w:pgSz w:w="11900" w:h="16838" w:orient="portrait"/>
          <w:cols w:equalWidth="0" w:num="1">
            <w:col w:w="11420"/>
          </w:cols>
          <w:pgMar w:left="240" w:top="229"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Arial" w:cs="Arial" w:eastAsia="Arial" w:hAnsi="Arial"/>
          <w:sz w:val="18"/>
          <w:szCs w:val="18"/>
          <w:color w:val="auto"/>
        </w:rPr>
        <w:t>Common Stock, $0.01 par value per share</w:t>
      </w:r>
      <w:r>
        <w:rPr>
          <w:sz w:val="20"/>
          <w:szCs w:val="20"/>
          <w:color w:val="auto"/>
        </w:rPr>
        <w:tab/>
      </w:r>
      <w:r>
        <w:rPr>
          <w:rFonts w:ascii="Arial" w:cs="Arial" w:eastAsia="Arial" w:hAnsi="Arial"/>
          <w:sz w:val="15"/>
          <w:szCs w:val="15"/>
          <w:color w:val="auto"/>
        </w:rPr>
        <w:t>31,265,736 shares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Arial" w:cs="Arial" w:eastAsia="Arial" w:hAnsi="Arial"/>
                <w:sz w:val="14"/>
                <w:szCs w:val="14"/>
                <w:color w:val="auto"/>
              </w:rPr>
              <w:t>Item</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189"/>
        </w:trPr>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80" w:type="dxa"/>
            <w:vAlign w:val="bottom"/>
            <w:gridSpan w:val="10"/>
          </w:tcPr>
          <w:p>
            <w:pPr>
              <w:jc w:val="center"/>
              <w:ind w:right="3720"/>
              <w:spacing w:after="0" w:line="189"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180" w:type="dxa"/>
            <w:vAlign w:val="bottom"/>
            <w:gridSpan w:val="3"/>
          </w:tcPr>
          <w:p>
            <w:pPr>
              <w:spacing w:after="0"/>
              <w:rPr>
                <w:sz w:val="22"/>
                <w:szCs w:val="22"/>
                <w:color w:val="auto"/>
              </w:rPr>
            </w:pPr>
          </w:p>
        </w:tc>
        <w:tc>
          <w:tcPr>
            <w:tcW w:w="2960" w:type="dxa"/>
            <w:vAlign w:val="bottom"/>
            <w:tcBorders>
              <w:top w:val="single" w:sz="8" w:color="0000FF"/>
            </w:tcBorders>
            <w:gridSpan w:val="7"/>
          </w:tcPr>
          <w:p>
            <w:pPr>
              <w:spacing w:after="0"/>
              <w:rPr>
                <w:sz w:val="22"/>
                <w:szCs w:val="22"/>
                <w:color w:val="auto"/>
              </w:rPr>
            </w:pPr>
          </w:p>
        </w:tc>
        <w:tc>
          <w:tcPr>
            <w:tcW w:w="3720" w:type="dxa"/>
            <w:vAlign w:val="bottom"/>
            <w:gridSpan w:val="3"/>
          </w:tcPr>
          <w:p>
            <w:pPr>
              <w:spacing w:after="0"/>
              <w:rPr>
                <w:sz w:val="22"/>
                <w:szCs w:val="22"/>
                <w:color w:val="auto"/>
              </w:rPr>
            </w:pPr>
          </w:p>
        </w:tc>
        <w:tc>
          <w:tcPr>
            <w:tcW w:w="4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2014 and December 31, 2013</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Statements of Consolidated Comprehensive Loss - Three Months ended March 31, 2014 and 2013</w:t>
              </w:r>
            </w:hyperlink>
          </w:p>
        </w:tc>
        <w:tc>
          <w:tcPr>
            <w:tcW w:w="30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Consolidated Cash Flows - Three Months Ended March 31, 2014 and 2013</w:t>
              </w:r>
            </w:hyperlink>
          </w:p>
        </w:tc>
        <w:tc>
          <w:tcPr>
            <w:tcW w:w="368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3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 of Consolidated Shareholders’ Deficit - Three Months Ended March 31, 2014</w:t>
              </w:r>
            </w:hyperlink>
          </w:p>
        </w:tc>
        <w:tc>
          <w:tcPr>
            <w:tcW w:w="3760" w:type="dxa"/>
            <w:vAlign w:val="bottom"/>
            <w:gridSpan w:val="4"/>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13"/>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gridSpan w:val="11"/>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1"/>
                <w:szCs w:val="21"/>
                <w:color w:val="auto"/>
              </w:rPr>
            </w:pPr>
          </w:p>
        </w:tc>
        <w:tc>
          <w:tcPr>
            <w:tcW w:w="39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gridSpan w:val="11"/>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60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50"/>
        </w:trPr>
        <w:tc>
          <w:tcPr>
            <w:tcW w:w="46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tcBorders>
              <w:bottom w:val="single" w:sz="8" w:color="0000FF"/>
            </w:tcBorders>
            <w:gridSpan w:val="4"/>
          </w:tcPr>
          <w:p>
            <w:pPr>
              <w:jc w:val="center"/>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PART II – OTHER INFORMATION</w:t>
              </w:r>
            </w:hyperlink>
          </w:p>
        </w:tc>
        <w:tc>
          <w:tcPr>
            <w:tcW w:w="3860" w:type="dxa"/>
            <w:vAlign w:val="bottom"/>
            <w:gridSpan w:val="5"/>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36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60" w:type="dxa"/>
            <w:vAlign w:val="bottom"/>
            <w:tcBorders>
              <w:left w:val="single" w:sz="8" w:color="0000FF"/>
            </w:tcBorders>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900" w:type="dxa"/>
            <w:vAlign w:val="bottom"/>
            <w:gridSpan w:val="4"/>
          </w:tcPr>
          <w:p>
            <w:pPr>
              <w:spacing w:after="0"/>
              <w:rPr>
                <w:rFonts w:ascii="Arial" w:cs="Arial" w:eastAsia="Arial" w:hAnsi="Arial"/>
                <w:sz w:val="18"/>
                <w:szCs w:val="18"/>
                <w:color w:val="0000FF"/>
                <w:w w:val="87"/>
              </w:rPr>
            </w:pPr>
            <w:hyperlink w:anchor="page32">
              <w:r>
                <w:rPr>
                  <w:rFonts w:ascii="Arial" w:cs="Arial" w:eastAsia="Arial" w:hAnsi="Arial"/>
                  <w:sz w:val="18"/>
                  <w:szCs w:val="18"/>
                  <w:color w:val="0000FF"/>
                  <w:w w:val="87"/>
                </w:rPr>
                <w:t>Risk Factors</w:t>
              </w:r>
            </w:hyperlink>
          </w:p>
        </w:tc>
        <w:tc>
          <w:tcPr>
            <w:tcW w:w="400" w:type="dxa"/>
            <w:vAlign w:val="bottom"/>
          </w:tcPr>
          <w:p>
            <w:pPr>
              <w:spacing w:after="0"/>
              <w:rPr>
                <w:sz w:val="21"/>
                <w:szCs w:val="21"/>
                <w:color w:val="auto"/>
              </w:rPr>
            </w:pPr>
          </w:p>
        </w:tc>
        <w:tc>
          <w:tcPr>
            <w:tcW w:w="906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1036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Other Information</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gridSpan w:val="2"/>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Exhibits</w:t>
              </w:r>
            </w:hyperlink>
          </w:p>
        </w:tc>
        <w:tc>
          <w:tcPr>
            <w:tcW w:w="700" w:type="dxa"/>
            <w:vAlign w:val="bottom"/>
            <w:gridSpan w:val="3"/>
          </w:tcPr>
          <w:p>
            <w:pPr>
              <w:spacing w:after="0"/>
              <w:rPr>
                <w:sz w:val="21"/>
                <w:szCs w:val="21"/>
                <w:color w:val="auto"/>
              </w:rPr>
            </w:pPr>
          </w:p>
        </w:tc>
        <w:tc>
          <w:tcPr>
            <w:tcW w:w="906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Signatures</w:t>
              </w:r>
            </w:hyperlink>
          </w:p>
        </w:tc>
        <w:tc>
          <w:tcPr>
            <w:tcW w:w="96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723"/>
        </w:trPr>
        <w:tc>
          <w:tcPr>
            <w:tcW w:w="4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20" w:type="dxa"/>
            <w:vAlign w:val="bottom"/>
            <w:gridSpan w:val="9"/>
          </w:tcPr>
          <w:p>
            <w:pPr>
              <w:jc w:val="right"/>
              <w:ind w:right="1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March 31,</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2,215.1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Wages, vacations and employees’ benefits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$1 par value per share</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$0.01 par value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1,964.4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380"/>
              <w:spacing w:after="0"/>
              <w:rPr>
                <w:sz w:val="20"/>
                <w:szCs w:val="20"/>
                <w:color w:val="auto"/>
              </w:rPr>
            </w:pPr>
            <w:r>
              <w:rPr>
                <w:rFonts w:ascii="Arial" w:cs="Arial" w:eastAsia="Arial" w:hAnsi="Arial"/>
                <w:sz w:val="18"/>
                <w:szCs w:val="18"/>
                <w:color w:val="auto"/>
                <w:w w:val="94"/>
              </w:rPr>
              <w:t>The accompanying notes are an integral part of these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STATEMENTS OF CONSOLIDATED COMPREHENSIVE LOSS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millions except per share data,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6"/>
                <w:szCs w:val="16"/>
                <w:color w:val="auto"/>
              </w:rPr>
            </w:pPr>
          </w:p>
        </w:tc>
      </w:tr>
      <w:tr>
        <w:trPr>
          <w:trHeight w:val="263"/>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Operating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1,210.9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1,162.5</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Salaries, wages and employees’ benefits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681.0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expenses and supplies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267.8</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Purchased transportation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114.9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1,243.3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1,152.6</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r>
      <w:tr>
        <w:trPr>
          <w:trHeight w:val="22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Nonoperating expenses,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38.9</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Amortization of beneficial conversion feature on preferred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 Attributable to Common Shareholders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318"/>
        </w:trPr>
        <w:tc>
          <w:tcPr>
            <w:tcW w:w="8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Comprehensive Loss Attributable to YRC Worldwide Inc.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22,344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8,380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8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Net Loss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Share –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loss: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debt costs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premiums and discounts on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based compensation expense</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assets and liabilities, net:</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(deposits) receipts, net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long-term debt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of long-term debt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(789.5)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issuance costs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proceeds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208.7</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refund, net</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CONSOLIDATED SHAREHOLDERS’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Preferred Stock: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Conversion of preferred shares to common shares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 upon conversion of Series B Notes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1,964.4</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equity, net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Conversion of preferred shares to common shares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Beneficial conversion feature on preferred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equity upon conversion and exchange of Series B Notes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Equity issuance costs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2,285.9</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(2,154.2)</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Amortization of beneficial conversion feature on preferred stock</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(2,242.5)</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(315.0)</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net pension actuarial losses to net loss, net of tax</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and 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r>
      <w:tr>
        <w:trPr>
          <w:trHeight w:val="27"/>
        </w:trPr>
        <w:tc>
          <w:tcPr>
            <w:tcW w:w="9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YRC Worldwide Inc. (also referred to as “YRC Worldwide,” the “Company,” “we,” “us” or “our”), one of the largest transportation service providers,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73"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in national, regional and international services. YRC Freight provides for the movement of industrial, commercial and retail goods, primarily through centralized management and customer facing organizations. This reporting segment includes our LTL subsidiary YRC Inc. (our YRC Freight operations in the United States) and Reimer Express, a subsidiary located in Canada that specializes in shipments into, across and out of Canada. In addition to the United States and Canada, YRC Freight also serves parts of Mexico, Puerto Rico and Guam.</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2014, approximately 78% of our labor force is subject to collective bargaining agreements, which predominantly expire in March 2019.</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Principles of Consolidation</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Investments in non-majority owned affiliates, or those in which we do not have control where the entity is either not a variable interest entity or we are not the primary beneficiary, are accounted for on the equity method.</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all normal recurring adjustments necessary for a fair statement of the financial position, results of operations and cash flows for the interim periods included in these financial statements herein have been made.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plan to dispose of property or equipment by sale, the asset is recorded in the financial statements at the lower of the carrying amount or estimated fair value, less cost to sell, and is reclassified to assets held for sale. Additionally, after such reclassification, there is no further depreciation taken on the asset. For an asset to be classified as held for sale, management must approve and commit to a formal plan, the sale should be anticipated during the ensuing year and the asset must be actively marketed,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 available for immediate sale, and meet certain other specified criteria. We use level 3 inputs to determine the fair value of each property considered held for sale.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2014 and December 31, 2013, the net book value of assets held for sale was $20.3 million and $17.2 million, respectively. This amount is included in “Property and Equipment” in the accompanying consolidated balance sheets. We recorded charges of $0.6 million for the three months ended March 31, 2014, and $0.6 million for the three months ended March 31, 2013, to reduce properties held for sale to estimated fair value, less cost to sell. These charges are included in “(Gains) losses on property disposals, net” in the accompanying statements of consolidated 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March 31, 2014:</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5"/>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2014 and 2013, we reclassified the amortization of our net pension loss totaling $2.0 million and $3.7 million, respectively, net of tax, from accumulated other comprehensive loss to net loss. This reclassification is a component of net periodic pension cost and is discussed in the “Employees’ Benefits” footnote.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2014 Financing Transactions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31, 2014, we issued 14,333,334 shares of our Common Stock and 583,334 shares of our Convertible Preferred Stock pursuant to certain stock purchase agreements, dated as of December 22, 2013 (the “Stock Purchase Agreements”), for an aggregate $250.0 million in cash. We used the proceeds from these transactions to, among other things, (i) deposit with the trustee funds sufficient to repay our 6% Convertible Senior Notes (“6% Notes”) at their maturity on February 15, 2014 and (ii) repurchase $90.9 million of our Series A Convertible Senior Secured Notes (“Series A Notes”). The Company will redeem the remaining Series A Notes on August 5, 2014. In February 2014, the Company deposited $89.6 million with the trustee in order to fund the redemption (including accrued interest), and thereby discharged the indenture governing the Series A Notes.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on January 31, 2014, certain holders of our 10% Series B Convertible Senior Secured Notes (“Series B Notes”) exchanged their outstanding balances at a conversion price of $15.00 per share, while another holder converted their Series B Notes in accordance with their terms. We also amended the indenture governing our Series B Notes to eliminate substantially all of the restrictive covenants, certain events of default and other related provisions contained in the indenture and to release and discharge the liens on the collateral securing the Series B Notes.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31, 2014, certain of our subsidiaries, various pension funds party thereto, and Wilmington Trust Company, as agent for such pension funds, entered into the Second Amended and Restated Contribution Deferral Agreement (“Second A&amp;R CDA”), which, among other things (i) amended and restated the Amended and Restated Contribution Deferral Agreement (“A&amp;R CDA”), (ii) released the agent’s security interest in third priority collateral on the Collateral Release Date, (iii) limited the value of obligations secured by the collateral to the Secured Obligations and (iv) extended the maturity of deferred pension payments and deferred interest from March 31, 2015 to December 31,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13, 2014, we replaced our existing credit facilities with a new $450 million asset-based loan (the “New ABL Facility”) and a new $700 million term loan facility (“New Term Loan”). The New ABL Facility supports our outstanding letters of credit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refer to transactions described above collectively as the “2014 Financing Transactions.” The table below summarizes the cash flow activity for the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Financing Transactions:</w:t>
      </w:r>
    </w:p>
    <w:p>
      <w:pPr>
        <w:spacing w:after="0" w:line="200" w:lineRule="exact"/>
        <w:rPr>
          <w:sz w:val="20"/>
          <w:szCs w:val="20"/>
          <w:color w:val="auto"/>
        </w:rPr>
      </w:pPr>
    </w:p>
    <w:p>
      <w:pPr>
        <w:spacing w:after="0" w:line="232"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4"/>
          <w:szCs w:val="14"/>
          <w:b w:val="1"/>
          <w:bCs w:val="1"/>
          <w:color w:val="auto"/>
        </w:rPr>
        <w:t>Cash Sources (in millions)</w:t>
      </w:r>
      <w:r>
        <w:rPr>
          <w:sz w:val="20"/>
          <w:szCs w:val="20"/>
          <w:color w:val="auto"/>
        </w:rPr>
        <w:tab/>
      </w:r>
      <w:r>
        <w:rPr>
          <w:rFonts w:ascii="Arial" w:cs="Arial" w:eastAsia="Arial" w:hAnsi="Arial"/>
          <w:sz w:val="12"/>
          <w:szCs w:val="12"/>
          <w:b w:val="1"/>
          <w:bCs w:val="1"/>
          <w:color w:val="auto"/>
        </w:rPr>
        <w:t>Cash Uses (in millions)</w:t>
      </w: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tbl>
      <w:tblPr>
        <w:tblLayout w:type="fixed"/>
        <w:tblInd w:w="440" w:type="dxa"/>
        <w:tblCellMar>
          <w:top w:w="0" w:type="dxa"/>
          <w:left w:w="0" w:type="dxa"/>
          <w:bottom w:w="0" w:type="dxa"/>
          <w:right w:w="0" w:type="dxa"/>
        </w:tblCellMar>
      </w:tblPr>
      <w:tr>
        <w:trPr>
          <w:trHeight w:val="256"/>
        </w:trPr>
        <w:tc>
          <w:tcPr>
            <w:tcW w:w="4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Term Loan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Proceeds from sale of common stock</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215.0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convertible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w w:val="93"/>
              </w:rPr>
              <w:t>Cash proceeds from restricted amounts held in escrow -</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existing ABL facility</w:t>
            </w:r>
          </w:p>
        </w:tc>
        <w:tc>
          <w:tcPr>
            <w:tcW w:w="3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6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ABL Facility</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4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-8255</wp:posOffset>
            </wp:positionV>
            <wp:extent cx="330200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00" cy="1803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sources</w:t>
            </w:r>
          </w:p>
        </w:tc>
        <w:tc>
          <w:tcPr>
            <w:tcW w:w="2460" w:type="dxa"/>
            <w:vAlign w:val="bottom"/>
          </w:tcPr>
          <w:p>
            <w:pPr>
              <w:jc w:val="right"/>
              <w:spacing w:after="0"/>
              <w:rPr>
                <w:sz w:val="20"/>
                <w:szCs w:val="20"/>
                <w:color w:val="auto"/>
              </w:rPr>
            </w:pPr>
            <w:r>
              <w:rPr>
                <w:rFonts w:ascii="Arial" w:cs="Arial" w:eastAsia="Arial" w:hAnsi="Arial"/>
                <w:sz w:val="18"/>
                <w:szCs w:val="18"/>
                <w:color w:val="auto"/>
              </w:rPr>
              <w:t>$   1,040.0</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Extinguish Prior ABL Facility (includes accrued interest)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w w:val="95"/>
              </w:rPr>
              <w:t>Extinguish Prior Term Loan (includes accrued interest)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299.7</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 6% Notes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459"/>
        </w:trPr>
        <w:tc>
          <w:tcPr>
            <w:tcW w:w="4200" w:type="dxa"/>
            <w:vAlign w:val="bottom"/>
          </w:tcPr>
          <w:p>
            <w:pPr>
              <w:ind w:left="20"/>
              <w:spacing w:after="0"/>
              <w:rPr>
                <w:sz w:val="20"/>
                <w:szCs w:val="20"/>
                <w:color w:val="auto"/>
              </w:rPr>
            </w:pPr>
            <w:r>
              <w:rPr>
                <w:rFonts w:ascii="Arial" w:cs="Arial" w:eastAsia="Arial" w:hAnsi="Arial"/>
                <w:sz w:val="18"/>
                <w:szCs w:val="18"/>
                <w:color w:val="auto"/>
                <w:w w:val="94"/>
              </w:rPr>
              <w:t>Repurchase Series A Notes (includes accrued interest)</w:t>
            </w:r>
          </w:p>
        </w:tc>
        <w:tc>
          <w:tcPr>
            <w:tcW w:w="2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Redeem Series A Notes (on August 5, 2014 and includes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Fees, Expenses and Original Issuance Discount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Restricted Cash to Balance Sheet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Cash to Balance Sheet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4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 uses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327596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5965" cy="18034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5640" w:space="200"/>
            <w:col w:w="5580"/>
          </w:cols>
          <w:pgMar w:left="240" w:top="121" w:right="239" w:bottom="1440" w:gutter="0" w:footer="0" w:header="0"/>
          <w:type w:val="continuous"/>
        </w:sectPr>
      </w:pPr>
    </w:p>
    <w:p>
      <w:pPr>
        <w:ind w:left="660" w:hanging="328"/>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Under the terms of the New ABL facility, this amount was classified as “restricted cash” in the consolidated balance sheet at the closing date of the New ABL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non-cash activity for the 2014 Financing Transactions:</w:t>
      </w:r>
    </w:p>
    <w:p>
      <w:pPr>
        <w:spacing w:after="0" w:line="200" w:lineRule="exact"/>
        <w:rPr>
          <w:sz w:val="20"/>
          <w:szCs w:val="20"/>
          <w:color w:val="auto"/>
        </w:rPr>
      </w:pPr>
    </w:p>
    <w:p>
      <w:pPr>
        <w:spacing w:after="0" w:line="246" w:lineRule="exact"/>
        <w:rPr>
          <w:sz w:val="20"/>
          <w:szCs w:val="20"/>
          <w:color w:val="auto"/>
        </w:rPr>
      </w:pPr>
    </w:p>
    <w:p>
      <w:pPr>
        <w:ind w:left="1660"/>
        <w:spacing w:after="0"/>
        <w:tabs>
          <w:tab w:leader="none" w:pos="5980" w:val="left"/>
        </w:tabs>
        <w:rPr>
          <w:sz w:val="20"/>
          <w:szCs w:val="20"/>
          <w:color w:val="auto"/>
        </w:rPr>
      </w:pPr>
      <w:r>
        <w:rPr>
          <w:rFonts w:ascii="Arial" w:cs="Arial" w:eastAsia="Arial" w:hAnsi="Arial"/>
          <w:sz w:val="14"/>
          <w:szCs w:val="14"/>
          <w:b w:val="1"/>
          <w:bCs w:val="1"/>
          <w:color w:val="auto"/>
        </w:rPr>
        <w:t>Non-Cash Sources (in millions)</w:t>
      </w:r>
      <w:r>
        <w:rPr>
          <w:sz w:val="20"/>
          <w:szCs w:val="20"/>
          <w:color w:val="auto"/>
        </w:rPr>
        <w:tab/>
      </w:r>
      <w:r>
        <w:rPr>
          <w:rFonts w:ascii="Arial" w:cs="Arial" w:eastAsia="Arial" w:hAnsi="Arial"/>
          <w:sz w:val="12"/>
          <w:szCs w:val="12"/>
          <w:b w:val="1"/>
          <w:bCs w:val="1"/>
          <w:color w:val="auto"/>
        </w:rPr>
        <w:t>Non-Cash Uses (in millions)</w:t>
      </w:r>
    </w:p>
    <w:p>
      <w:pPr>
        <w:sectPr>
          <w:pgSz w:w="11900" w:h="16838" w:orient="portrait"/>
          <w:cols w:equalWidth="0" w:num="1">
            <w:col w:w="11420"/>
          </w:cols>
          <w:pgMar w:left="240" w:top="121" w:right="239" w:bottom="1440" w:gutter="0" w:footer="0" w:header="0"/>
          <w:type w:val="continuous"/>
        </w:sectPr>
      </w:pPr>
    </w:p>
    <w:p>
      <w:pPr>
        <w:spacing w:after="0" w:line="25"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3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459"/>
        </w:trPr>
        <w:tc>
          <w:tcPr>
            <w:tcW w:w="34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Exchange/conversion of Series B Notes to</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62"/>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7"/>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sources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4"/>
              </w:rPr>
              <w:t>Exchange/conversion of Series B Notes to</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86"/>
        </w:trPr>
        <w:tc>
          <w:tcPr>
            <w:tcW w:w="32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Total uses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174.8</w:t>
            </w:r>
          </w:p>
        </w:tc>
      </w:tr>
    </w:tbl>
    <w:p>
      <w:pPr>
        <w:spacing w:after="0" w:line="200" w:lineRule="exact"/>
        <w:rPr>
          <w:sz w:val="20"/>
          <w:szCs w:val="20"/>
          <w:color w:val="auto"/>
        </w:rPr>
      </w:pPr>
    </w:p>
    <w:p>
      <w:pPr>
        <w:sectPr>
          <w:pgSz w:w="11900" w:h="16838" w:orient="portrait"/>
          <w:cols w:equalWidth="0" w:num="2">
            <w:col w:w="5780" w:space="180"/>
            <w:col w:w="5460"/>
          </w:cols>
          <w:pgMar w:left="240" w:top="121" w:right="239" w:bottom="1440" w:gutter="0" w:footer="0" w:header="0"/>
          <w:type w:val="continuous"/>
        </w:sectPr>
      </w:pPr>
    </w:p>
    <w:p>
      <w:pPr>
        <w:spacing w:after="0" w:line="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accounted for the A&amp;R CDA maturity extension as a debt modification and the remaining transactions as extinguishment of debt and issuance of new debt. We recorded a gain on extinguishment of debt of $11.2 million associated with this transaction in the first quarter of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 We recorded, in “interest expense” on the statement of consolidated comprehensive loss, $8.0 million of make-whole interest related to the Series B Notes exchanged in the first quarter of 2014. We paid $43.8 million of fees associated with these transactions of which $26.7 million was recorded as unamortized deferred debt costs in “other assets” in the consolidated balance sheet in the first quarter of 2014 and will be recognized as interest expense over the term of the New Term Loan and New ABL Facility and $17.1 million offset the equity proceeds of our stock purchase agreements.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2014, the Company held a special meeting of stockholders at which our stockholders approved amending our Certificate of Incorporation to increase the number of authorized shares of Common Stock and to allow an individual investor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 of Consolidated Comprehensive Loss.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$700 Million First Lien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2014, we borrowed in full $700 million, less a 1% discount, from a syndicate of banks and other financial institutions arranged by Credit Suisse Securities (USA) and RBS Citizens, N.A. No amounts under this New Term Loan, once repaid, may be reborrowed. Certain material provisions of the New Term Loan are summarized below:</w:t>
      </w:r>
    </w:p>
    <w:p>
      <w:pPr>
        <w:spacing w:after="0" w:line="181" w:lineRule="exact"/>
        <w:rPr>
          <w:sz w:val="20"/>
          <w:szCs w:val="20"/>
          <w:color w:val="auto"/>
        </w:rPr>
      </w:pPr>
    </w:p>
    <w:p>
      <w:pPr>
        <w:ind w:right="20" w:firstLine="8"/>
        <w:spacing w:after="0" w:line="277" w:lineRule="auto"/>
        <w:tabs>
          <w:tab w:leader="none" w:pos="11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Maturity and Amortization</w:t>
      </w:r>
      <w:r>
        <w:rPr>
          <w:rFonts w:ascii="Arial" w:cs="Arial" w:eastAsia="Arial" w:hAnsi="Arial"/>
          <w:sz w:val="18"/>
          <w:szCs w:val="18"/>
          <w:color w:val="auto"/>
        </w:rPr>
        <w:t>: The New Term Loan matures on February 13, 2019. The New Term Loan will amortize in equal quarterly installments in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annual amount equal to 1% of the original principal amount of the New Term Loan.</w:t>
      </w:r>
    </w:p>
    <w:p>
      <w:pPr>
        <w:spacing w:after="0" w:line="170" w:lineRule="exact"/>
        <w:rPr>
          <w:rFonts w:ascii="Arial" w:cs="Arial" w:eastAsia="Arial" w:hAnsi="Arial"/>
          <w:sz w:val="18"/>
          <w:szCs w:val="18"/>
          <w:color w:val="auto"/>
        </w:rPr>
      </w:pPr>
    </w:p>
    <w:p>
      <w:pPr>
        <w:jc w:val="both"/>
        <w:ind w:firstLine="8"/>
        <w:spacing w:after="0" w:line="259"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Incremental</w:t>
      </w:r>
      <w:r>
        <w:rPr>
          <w:rFonts w:ascii="Arial" w:cs="Arial" w:eastAsia="Arial" w:hAnsi="Arial"/>
          <w:sz w:val="18"/>
          <w:szCs w:val="18"/>
          <w:color w:val="auto"/>
        </w:rPr>
        <w:t>: Subject to finding current or new lenders willing to provide such commitments, the Company has the right to incur one or more increases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Term Loan and/or one or more new tranches of term loans (which may be unsecured or secured on a junior basis) to be made available under the New Term Loan credit agreement which shall not exceed (i) $250 million so long as the senior secured leverage ratio on a pro forma basis does not exceed 3.25 to 1.0, plus (ii) all voluntary prepayments of the New Term Loan.</w:t>
      </w:r>
    </w:p>
    <w:p>
      <w:pPr>
        <w:spacing w:after="0" w:line="186" w:lineRule="exact"/>
        <w:rPr>
          <w:rFonts w:ascii="Arial" w:cs="Arial" w:eastAsia="Arial" w:hAnsi="Arial"/>
          <w:sz w:val="18"/>
          <w:szCs w:val="18"/>
          <w:color w:val="auto"/>
        </w:rPr>
      </w:pPr>
    </w:p>
    <w:p>
      <w:pPr>
        <w:jc w:val="both"/>
        <w:ind w:firstLine="8"/>
        <w:spacing w:after="0" w:line="286" w:lineRule="auto"/>
        <w:tabs>
          <w:tab w:leader="none" w:pos="118"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Interest and Fees</w:t>
      </w:r>
      <w:r>
        <w:rPr>
          <w:rFonts w:ascii="Arial" w:cs="Arial" w:eastAsia="Arial" w:hAnsi="Arial"/>
          <w:sz w:val="17"/>
          <w:szCs w:val="17"/>
          <w:color w:val="auto"/>
        </w:rPr>
        <w:t>: The New Term Loan bears interest, at the election of the borrower, at either the applicable London interbank offer rate (“LIBOR”)</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floor of 1.00%) plus a margin of 7.00% per annum, or a rate determined by reference to the alternate base rate (the greater of the prime rate established by the administrative agent, the federal fund rate plus 0.50% and one month, LIBOR plus 1.00%) plus a margin of 6.00%.</w:t>
      </w:r>
    </w:p>
    <w:p>
      <w:pPr>
        <w:spacing w:after="0" w:line="165" w:lineRule="exact"/>
        <w:rPr>
          <w:rFonts w:ascii="Arial" w:cs="Arial" w:eastAsia="Arial" w:hAnsi="Arial"/>
          <w:sz w:val="17"/>
          <w:szCs w:val="17"/>
          <w:color w:val="auto"/>
        </w:rPr>
      </w:pPr>
    </w:p>
    <w:p>
      <w:pPr>
        <w:ind w:firstLine="8"/>
        <w:spacing w:after="0" w:line="277" w:lineRule="auto"/>
        <w:tabs>
          <w:tab w:leader="none" w:pos="13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Guarantors</w:t>
      </w:r>
      <w:r>
        <w:rPr>
          <w:rFonts w:ascii="Arial" w:cs="Arial" w:eastAsia="Arial" w:hAnsi="Arial"/>
          <w:sz w:val="18"/>
          <w:szCs w:val="18"/>
          <w:color w:val="auto"/>
        </w:rPr>
        <w:t>: The obligations of the borrower under the New Term Loan are unconditionally guaranteed by certain wholly owned domestic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of the Company (the “Term Guarantors”).</w:t>
      </w:r>
    </w:p>
    <w:p>
      <w:pPr>
        <w:spacing w:after="0" w:line="170" w:lineRule="exact"/>
        <w:rPr>
          <w:rFonts w:ascii="Arial" w:cs="Arial" w:eastAsia="Arial" w:hAnsi="Arial"/>
          <w:sz w:val="18"/>
          <w:szCs w:val="18"/>
          <w:color w:val="auto"/>
        </w:rPr>
      </w:pPr>
    </w:p>
    <w:p>
      <w:pPr>
        <w:jc w:val="both"/>
        <w:ind w:firstLine="8"/>
        <w:spacing w:after="0" w:line="302" w:lineRule="auto"/>
        <w:tabs>
          <w:tab w:leader="none" w:pos="10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Collateral</w:t>
      </w:r>
      <w:r>
        <w:rPr>
          <w:rFonts w:ascii="Arial" w:cs="Arial" w:eastAsia="Arial" w:hAnsi="Arial"/>
          <w:sz w:val="16"/>
          <w:szCs w:val="16"/>
          <w:color w:val="auto"/>
        </w:rPr>
        <w:t>: The New Term Loan is secured by a perfected first priority security interest in (subject to permitted liens) substantially all assets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guarantors under the New Term Loan (the “Term Guarantors”), except that accounts receivable, cash, deposit accounts and other assets related to accounts receivable are subject to a second priority interest (subject to permitted liens) and certain owned real property securing the obligations under the Second A&amp;R CDA filed January 31, 2014, do not secure the obligations under the New Term Loan credit agreement (the “CDA Collateral”).</w:t>
      </w:r>
    </w:p>
    <w:p>
      <w:pPr>
        <w:spacing w:after="0" w:line="154" w:lineRule="exact"/>
        <w:rPr>
          <w:rFonts w:ascii="Arial" w:cs="Arial" w:eastAsia="Arial" w:hAnsi="Arial"/>
          <w:sz w:val="16"/>
          <w:szCs w:val="16"/>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Mandatory Prepayments</w:t>
      </w:r>
      <w:r>
        <w:rPr>
          <w:rFonts w:ascii="Arial" w:cs="Arial" w:eastAsia="Arial" w:hAnsi="Arial"/>
          <w:sz w:val="18"/>
          <w:szCs w:val="18"/>
          <w:color w:val="auto"/>
        </w:rPr>
        <w:t>: The New Term Loan includes the following mandatory prepayments: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50% of excess cash flow (paid if permitted under the New ABL Facility), subject to step downs to (x) 25% if the total leverage ratio is less than or equal to 3.50 to 1.00 but greater than 3.00 to 1.00 and (y) 0% if the total leverage ratio is less than or equal to 3.00 to 1.00.</w:t>
      </w:r>
    </w:p>
    <w:p>
      <w:pPr>
        <w:ind w:left="660" w:hanging="328"/>
        <w:spacing w:after="0" w:line="250"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100% of the net cash proceeds of all asset sales or similar dispositions outside of the ordinary course of business and casualty events (subject to materiality thresholds and customary reinvestment rights).</w:t>
      </w: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100% of cash proceeds from debt issuances that are not permitted by the New Term Loan documentation.</w:t>
      </w:r>
    </w:p>
    <w:p>
      <w:pPr>
        <w:spacing w:after="0" w:line="210" w:lineRule="exact"/>
        <w:rPr>
          <w:rFonts w:ascii="Arial" w:cs="Arial" w:eastAsia="Arial" w:hAnsi="Arial"/>
          <w:sz w:val="18"/>
          <w:szCs w:val="18"/>
          <w:color w:val="auto"/>
        </w:rPr>
      </w:pPr>
    </w:p>
    <w:p>
      <w:pPr>
        <w:jc w:val="both"/>
        <w:ind w:firstLine="8"/>
        <w:spacing w:after="0" w:line="257" w:lineRule="auto"/>
        <w:tabs>
          <w:tab w:leader="none" w:pos="13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 The New Term Loan documentation contains certain customary events of default, including but not limited to the failure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due under the New Term Loan, breach of and failure to cure the breach of certain covenants, the entry of a final unpaid judgment against any of the Term Guarantors in excess of $30 million, the commencement of certain insolvency proceedings, liquidations or dissolutions, a cross-default to certain other indebtedness with an outstanding aggregate principal balance of at least $30 million (other than the New ABL Facility), and cross-acceleration to the New ABL Facility.</w:t>
      </w:r>
    </w:p>
    <w:p>
      <w:pPr>
        <w:spacing w:after="0" w:line="188" w:lineRule="exact"/>
        <w:rPr>
          <w:rFonts w:ascii="Arial" w:cs="Arial" w:eastAsia="Arial" w:hAnsi="Arial"/>
          <w:sz w:val="18"/>
          <w:szCs w:val="18"/>
          <w:color w:val="auto"/>
        </w:rPr>
      </w:pPr>
    </w:p>
    <w:p>
      <w:pPr>
        <w:jc w:val="both"/>
        <w:ind w:firstLine="8"/>
        <w:spacing w:after="0" w:line="286" w:lineRule="auto"/>
        <w:tabs>
          <w:tab w:leader="none" w:pos="132"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Covenants</w:t>
      </w:r>
      <w:r>
        <w:rPr>
          <w:rFonts w:ascii="Arial" w:cs="Arial" w:eastAsia="Arial" w:hAnsi="Arial"/>
          <w:sz w:val="17"/>
          <w:szCs w:val="17"/>
          <w:color w:val="auto"/>
        </w:rPr>
        <w:t>: The New Term Loan contains certain customary affirmative and negative covenants, including, among others, covenants restricting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incurrences of debt, liens, the making of investments and repurchases, transactions with affiliates, fundamental changes and asset sales, and prepayments of junior debt. In addition, refer to the “Liquidity” footnote for financial covenants for each of the remaining test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$450 Million ABL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13, 2014, we entered into the New ABL Facility which is an asset-based $450 million loan facility from a syndicate of banks arranged by RBS Citizens, N.A., Merrill Lynch, Pierce, Fenner &amp; Smith and CIT Finance LLC. The New ABL Facility terminates on February 13, 2019. The Company, YRC Inc., USF Reddaway Inc., USF Holland Inc. and New Penn Motor Express, Inc. are borrowers under the New ABL Facility, and certain of the Company’s domestic subsidiaries are guarantors thereunder. Certain material provisions of the New ABL Facility are summarized below and are qualified in their entirety by reference to the definitive documentation:</w:t>
      </w:r>
    </w:p>
    <w:p>
      <w:pPr>
        <w:spacing w:after="0" w:line="188" w:lineRule="exact"/>
        <w:rPr>
          <w:sz w:val="20"/>
          <w:szCs w:val="20"/>
          <w:color w:val="auto"/>
        </w:rPr>
      </w:pPr>
    </w:p>
    <w:p>
      <w:pPr>
        <w:ind w:firstLine="8"/>
        <w:spacing w:after="0" w:line="277"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Availability</w:t>
      </w:r>
      <w:r>
        <w:rPr>
          <w:rFonts w:ascii="Arial" w:cs="Arial" w:eastAsia="Arial" w:hAnsi="Arial"/>
          <w:sz w:val="18"/>
          <w:szCs w:val="18"/>
          <w:color w:val="auto"/>
        </w:rPr>
        <w:t>: The aggregate amount available under the New ABL Facility cannot be more than the (a) collateral line cap minus (b) the facility exposure.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exposure refers to the aggregate amount of loans and letter of credit outstanding (with 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exclusion for certain fees and other amounts owing for letters of credit). The collateral line cap refers to a limit equal to the greater of (a) the commitments by lenders under the facility and (b) the borrowing base. The borrowing base equals the sum of (a) 85% of the sum of (i) Eligible Accounts (as defined in the New ABL Facility) minus without duplication (ii) the Dilution Reserve (as defined in the New ABL Facility relating to reserves for eligible accounts experiencing bad debt write-downs, discounts, allowances and similar dilutive items), plus (b) 100% of Eligible Borrowing Base Cash (as defined in the New ABL Facility and described further below), minus (c) the Deferred Revenue Reserve (as defined in the New ABL Facility which constitutes 85% of the “deferred revenue liability” as reflected on the balance sheet of the Company and its restricted subsidiaries as of the last day of the most recently completed fiscal month), minus (d) the Availability Reserve (as defined in the New ABL Facility) imposed by the agent in its permitted discretion (made in good-faith and using reasonable business judgment) to reduce the amount of the borrowing base in light of pre-determined criteria set forth in the New ABL Facility.</w:t>
      </w:r>
    </w:p>
    <w:p>
      <w:pPr>
        <w:spacing w:after="0" w:line="166" w:lineRule="exact"/>
        <w:rPr>
          <w:sz w:val="20"/>
          <w:szCs w:val="20"/>
          <w:color w:val="auto"/>
        </w:rPr>
      </w:pPr>
    </w:p>
    <w:p>
      <w:pPr>
        <w:jc w:val="both"/>
        <w:ind w:firstLine="8"/>
        <w:spacing w:after="0" w:line="257" w:lineRule="auto"/>
        <w:tabs>
          <w:tab w:leader="none" w:pos="10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Eligible Borrowing Base Cash</w:t>
      </w:r>
      <w:r>
        <w:rPr>
          <w:rFonts w:ascii="Arial" w:cs="Arial" w:eastAsia="Arial" w:hAnsi="Arial"/>
          <w:sz w:val="18"/>
          <w:szCs w:val="18"/>
          <w:color w:val="auto"/>
        </w:rPr>
        <w:t>: The eligible borrowing base cash is cash that is deposited from time to time into a segregated restricted account maintained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agent over which the agent has dominion. Such cash can only be withdrawn by us from the account if (i) no event of default exists or would arise as a result of the borrowing base cash release and (ii) availability as of the proposed date of such borrowing base cash release is not less than 15% of the collateral line cap. Eligible borrowing base cash of $82.0 million is included in ‘Restricted amounts held in escrow’ in the accompanying Consolidated Balance Sheet as of March 31, 2014.</w:t>
      </w:r>
    </w:p>
    <w:p>
      <w:pPr>
        <w:spacing w:after="0" w:line="188" w:lineRule="exact"/>
        <w:rPr>
          <w:rFonts w:ascii="Arial" w:cs="Arial" w:eastAsia="Arial" w:hAnsi="Arial"/>
          <w:sz w:val="18"/>
          <w:szCs w:val="18"/>
          <w:color w:val="auto"/>
        </w:rPr>
      </w:pPr>
    </w:p>
    <w:p>
      <w:pPr>
        <w:jc w:val="both"/>
        <w:ind w:firstLine="8"/>
        <w:spacing w:after="0" w:line="259" w:lineRule="auto"/>
        <w:tabs>
          <w:tab w:leader="none" w:pos="10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Revolving loans made under the New ABL Facility bear interest, at the Company’s election, of either the applicable LIBOR rate plus 2.5% or the</w:t>
      </w:r>
      <w:r>
        <w:rPr>
          <w:rFonts w:ascii="Arial" w:cs="Arial" w:eastAsia="Arial" w:hAnsi="Arial"/>
          <w:sz w:val="18"/>
          <w:szCs w:val="18"/>
          <w:i w:val="1"/>
          <w:iCs w:val="1"/>
          <w:color w:val="auto"/>
        </w:rPr>
        <w:t xml:space="preserve"> </w:t>
      </w:r>
      <w:r>
        <w:rPr>
          <w:rFonts w:ascii="Arial" w:cs="Arial" w:eastAsia="Arial" w:hAnsi="Arial"/>
          <w:sz w:val="18"/>
          <w:szCs w:val="18"/>
          <w:color w:val="auto"/>
        </w:rPr>
        <w:t>base rate (the greater of the prime rate established by the agent, the federal funds effective rate plus 0.50% and one month LIBOR plus 1.00%) plus 1.5% from the closing date through March 31, 2014. Thereafter, the interest rates will be subject to the following price grid based on the average quarterly excess availability under the revolver:</w:t>
      </w:r>
    </w:p>
    <w:p>
      <w:pPr>
        <w:spacing w:after="0" w:line="34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Average Quarterly</w:t>
            </w: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Base Rate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rPr>
              <w:t>LIBOR</w:t>
            </w:r>
          </w:p>
        </w:tc>
        <w:tc>
          <w:tcPr>
            <w:tcW w:w="0" w:type="dxa"/>
            <w:vAlign w:val="bottom"/>
          </w:tcPr>
          <w:p>
            <w:pPr>
              <w:spacing w:after="0"/>
              <w:rPr>
                <w:sz w:val="1"/>
                <w:szCs w:val="1"/>
                <w:color w:val="auto"/>
              </w:rPr>
            </w:pPr>
          </w:p>
        </w:tc>
      </w:tr>
      <w:tr>
        <w:trPr>
          <w:trHeight w:val="270"/>
        </w:trPr>
        <w:tc>
          <w:tcPr>
            <w:tcW w:w="198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Level</w:t>
            </w: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Excess Capacity</w:t>
            </w: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Plus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4"/>
              </w:rPr>
              <w:t>Plus</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jc w:val="center"/>
              <w:ind w:left="150"/>
              <w:spacing w:after="0" w:line="196" w:lineRule="exact"/>
              <w:rPr>
                <w:sz w:val="20"/>
                <w:szCs w:val="20"/>
                <w:color w:val="auto"/>
              </w:rPr>
            </w:pPr>
            <w:r>
              <w:rPr>
                <w:rFonts w:ascii="Arial" w:cs="Arial" w:eastAsia="Arial" w:hAnsi="Arial"/>
                <w:sz w:val="18"/>
                <w:szCs w:val="18"/>
                <w:color w:val="auto"/>
              </w:rPr>
              <w:t>I</w:t>
            </w:r>
          </w:p>
        </w:tc>
        <w:tc>
          <w:tcPr>
            <w:tcW w:w="2640" w:type="dxa"/>
            <w:vAlign w:val="bottom"/>
            <w:gridSpan w:val="4"/>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&gt; $140,000,000</w:t>
            </w:r>
          </w:p>
        </w:tc>
        <w:tc>
          <w:tcPr>
            <w:tcW w:w="210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0"/>
              </w:rPr>
              <w:t>1.00%</w:t>
            </w:r>
          </w:p>
        </w:tc>
        <w:tc>
          <w:tcPr>
            <w:tcW w:w="22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2.00%</w:t>
            </w:r>
          </w:p>
        </w:tc>
        <w:tc>
          <w:tcPr>
            <w:tcW w:w="0" w:type="dxa"/>
            <w:vAlign w:val="bottom"/>
          </w:tcPr>
          <w:p>
            <w:pPr>
              <w:spacing w:after="0"/>
              <w:rPr>
                <w:sz w:val="1"/>
                <w:szCs w:val="1"/>
                <w:color w:val="auto"/>
              </w:rPr>
            </w:pPr>
          </w:p>
        </w:tc>
      </w:tr>
      <w:tr>
        <w:trPr>
          <w:trHeight w:val="48"/>
        </w:trPr>
        <w:tc>
          <w:tcPr>
            <w:tcW w:w="19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80" w:type="dxa"/>
            <w:vAlign w:val="bottom"/>
            <w:vMerge w:val="restart"/>
          </w:tcPr>
          <w:p>
            <w:pPr>
              <w:jc w:val="center"/>
              <w:ind w:left="170"/>
              <w:spacing w:after="0"/>
              <w:rPr>
                <w:sz w:val="20"/>
                <w:szCs w:val="20"/>
                <w:color w:val="auto"/>
              </w:rPr>
            </w:pPr>
            <w:r>
              <w:rPr>
                <w:rFonts w:ascii="Arial" w:cs="Arial" w:eastAsia="Arial" w:hAnsi="Arial"/>
                <w:sz w:val="18"/>
                <w:szCs w:val="18"/>
                <w:color w:val="auto"/>
              </w:rPr>
              <w:t>II</w:t>
            </w:r>
          </w:p>
        </w:tc>
        <w:tc>
          <w:tcPr>
            <w:tcW w:w="800" w:type="dxa"/>
            <w:vAlign w:val="bottom"/>
          </w:tcPr>
          <w:p>
            <w:pPr>
              <w:spacing w:after="0"/>
              <w:rPr>
                <w:sz w:val="17"/>
                <w:szCs w:val="17"/>
                <w:color w:val="auto"/>
              </w:rPr>
            </w:pPr>
          </w:p>
        </w:tc>
        <w:tc>
          <w:tcPr>
            <w:tcW w:w="1840" w:type="dxa"/>
            <w:vAlign w:val="bottom"/>
            <w:gridSpan w:val="3"/>
          </w:tcPr>
          <w:p>
            <w:pPr>
              <w:jc w:val="center"/>
              <w:ind w:right="720"/>
              <w:spacing w:after="0" w:line="202" w:lineRule="exact"/>
              <w:rPr>
                <w:sz w:val="20"/>
                <w:szCs w:val="20"/>
                <w:color w:val="auto"/>
              </w:rPr>
            </w:pPr>
            <w:r>
              <w:rPr>
                <w:rFonts w:ascii="Arial" w:cs="Arial" w:eastAsia="Arial" w:hAnsi="Arial"/>
                <w:sz w:val="18"/>
                <w:szCs w:val="18"/>
                <w:color w:val="auto"/>
                <w:w w:val="93"/>
              </w:rPr>
              <w:t>&gt; $70,000,000</w:t>
            </w:r>
          </w:p>
        </w:tc>
        <w:tc>
          <w:tcPr>
            <w:tcW w:w="210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1.25%</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0"/>
              </w:rPr>
              <w:t>2.25%</w:t>
            </w: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80" w:type="dxa"/>
            <w:vAlign w:val="bottom"/>
            <w:vMerge w:val="continue"/>
          </w:tcPr>
          <w:p>
            <w:pPr>
              <w:spacing w:after="0"/>
              <w:rPr>
                <w:sz w:val="13"/>
                <w:szCs w:val="13"/>
                <w:color w:val="auto"/>
              </w:rPr>
            </w:pPr>
          </w:p>
        </w:tc>
        <w:tc>
          <w:tcPr>
            <w:tcW w:w="2640" w:type="dxa"/>
            <w:vAlign w:val="bottom"/>
            <w:gridSpan w:val="4"/>
            <w:vMerge w:val="restart"/>
          </w:tcPr>
          <w:p>
            <w:pPr>
              <w:jc w:val="center"/>
              <w:spacing w:after="0"/>
              <w:rPr>
                <w:sz w:val="20"/>
                <w:szCs w:val="20"/>
                <w:color w:val="auto"/>
              </w:rPr>
            </w:pPr>
            <w:r>
              <w:rPr>
                <w:rFonts w:ascii="Arial" w:cs="Arial" w:eastAsia="Arial" w:hAnsi="Arial"/>
                <w:sz w:val="18"/>
                <w:szCs w:val="18"/>
                <w:color w:val="auto"/>
                <w:w w:val="89"/>
              </w:rPr>
              <w:t>&lt; $140,000,000</w:t>
            </w:r>
          </w:p>
        </w:tc>
        <w:tc>
          <w:tcPr>
            <w:tcW w:w="210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2640" w:type="dxa"/>
            <w:vAlign w:val="bottom"/>
            <w:gridSpan w:val="4"/>
            <w:vMerge w:val="continue"/>
          </w:tcPr>
          <w:p>
            <w:pPr>
              <w:spacing w:after="0"/>
              <w:rPr>
                <w:sz w:val="11"/>
                <w:szCs w:val="11"/>
                <w:color w:val="auto"/>
              </w:rPr>
            </w:pPr>
          </w:p>
        </w:tc>
        <w:tc>
          <w:tcPr>
            <w:tcW w:w="2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III</w:t>
            </w:r>
          </w:p>
        </w:tc>
        <w:tc>
          <w:tcPr>
            <w:tcW w:w="26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&lt; $70,000,000</w:t>
            </w:r>
          </w:p>
        </w:tc>
        <w:tc>
          <w:tcPr>
            <w:tcW w:w="21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1.50%</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7"/>
        </w:trPr>
        <w:tc>
          <w:tcPr>
            <w:tcW w:w="19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rates set forth above are subject to a 0.25% reduction during any fiscal quarter for which the Company has a total leverage ratio of less than 2.50 to 1.00.</w:t>
      </w:r>
    </w:p>
    <w:p>
      <w:pPr>
        <w:spacing w:after="0" w:line="248" w:lineRule="exact"/>
        <w:rPr>
          <w:sz w:val="20"/>
          <w:szCs w:val="20"/>
          <w:color w:val="auto"/>
        </w:rPr>
      </w:pPr>
    </w:p>
    <w:p>
      <w:pPr>
        <w:jc w:val="both"/>
        <w:ind w:firstLine="8"/>
        <w:spacing w:after="0" w:line="279" w:lineRule="auto"/>
        <w:tabs>
          <w:tab w:leader="none" w:pos="10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Letter of Credit Fees</w:t>
      </w:r>
      <w:r>
        <w:rPr>
          <w:rFonts w:ascii="Arial" w:cs="Arial" w:eastAsia="Arial" w:hAnsi="Arial"/>
          <w:sz w:val="17"/>
          <w:szCs w:val="17"/>
          <w:color w:val="auto"/>
        </w:rPr>
        <w:t>: The New ABL Facility has certain specific fees relating to letters of credit which include: (i) fees payable quarterly in arrears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margin in effect for LIBOR loans (which is listed in the “Interest” description immediately above) multiplied by the average daily stated amount of letters of credit; (ii) fronting fees for letters of credit payable quarterly in arrears equal to 0.125% of the stated amount of the letters of credit; and (iii) fees to issuing banks to compensate for customary charges related to the issuance and administration of letters of credit.</w:t>
      </w:r>
    </w:p>
    <w:p>
      <w:pPr>
        <w:spacing w:after="0" w:line="171" w:lineRule="exact"/>
        <w:rPr>
          <w:rFonts w:ascii="Arial" w:cs="Arial" w:eastAsia="Arial" w:hAnsi="Arial"/>
          <w:sz w:val="17"/>
          <w:szCs w:val="17"/>
          <w:color w:val="auto"/>
        </w:rPr>
      </w:pPr>
    </w:p>
    <w:p>
      <w:pPr>
        <w:jc w:val="both"/>
        <w:ind w:firstLine="8"/>
        <w:spacing w:after="0" w:line="257" w:lineRule="auto"/>
        <w:tabs>
          <w:tab w:leader="none" w:pos="10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Other Fees</w:t>
      </w:r>
      <w:r>
        <w:rPr>
          <w:rFonts w:ascii="Arial" w:cs="Arial" w:eastAsia="Arial" w:hAnsi="Arial"/>
          <w:sz w:val="18"/>
          <w:szCs w:val="18"/>
          <w:color w:val="auto"/>
        </w:rPr>
        <w:t>: Other fees in respect of the New ABL Facility include: (i) an unused line fee payable quarterly in arrears calculated by multiplying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by which the commitments exceed the loans and letters of credit for any calendar quarter by the unused line fee percentage (such unused line fee percentage initially to 0.25% per annum through March 31, 2014, and thereafter 0.375% per annum if the average revolver usage is less than 50% or 0.25% per annum if the average revolver usage is greater than 50%); and (ii) such fees as set forth in the fee letter arrangement dated as of February 13, 2014 by and between the agent and the Company.</w:t>
      </w:r>
    </w:p>
    <w:p>
      <w:pPr>
        <w:spacing w:after="0" w:line="188" w:lineRule="exact"/>
        <w:rPr>
          <w:rFonts w:ascii="Arial" w:cs="Arial" w:eastAsia="Arial" w:hAnsi="Arial"/>
          <w:sz w:val="18"/>
          <w:szCs w:val="18"/>
          <w:color w:val="auto"/>
        </w:rPr>
      </w:pPr>
    </w:p>
    <w:p>
      <w:pPr>
        <w:jc w:val="both"/>
        <w:ind w:firstLine="8"/>
        <w:spacing w:after="0" w:line="312" w:lineRule="auto"/>
        <w:tabs>
          <w:tab w:leader="none" w:pos="10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Collateral</w:t>
      </w:r>
      <w:r>
        <w:rPr>
          <w:rFonts w:ascii="Arial" w:cs="Arial" w:eastAsia="Arial" w:hAnsi="Arial"/>
          <w:sz w:val="16"/>
          <w:szCs w:val="16"/>
          <w:color w:val="auto"/>
        </w:rPr>
        <w:t>: The obligations under the New ABL Facility are secured by a perfected first priority security interest in (subject to permitted liens) all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cash, deposit accounts and other assets related to accounts receivable of the Company and the other loan parties and an additional second priority security interest in (subject to permitted liens) substantially all remaining assets of the borrowers and the guarantors other than CDA Collateral.</w:t>
      </w:r>
    </w:p>
    <w:p>
      <w:pPr>
        <w:spacing w:after="0" w:line="146" w:lineRule="exact"/>
        <w:rPr>
          <w:rFonts w:ascii="Arial" w:cs="Arial" w:eastAsia="Arial" w:hAnsi="Arial"/>
          <w:sz w:val="16"/>
          <w:szCs w:val="16"/>
          <w:color w:val="auto"/>
        </w:rPr>
      </w:pPr>
    </w:p>
    <w:p>
      <w:pPr>
        <w:ind w:firstLine="8"/>
        <w:spacing w:after="0" w:line="277" w:lineRule="auto"/>
        <w:tabs>
          <w:tab w:leader="none" w:pos="118"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Incremental</w:t>
      </w:r>
      <w:r>
        <w:rPr>
          <w:rFonts w:ascii="Arial" w:cs="Arial" w:eastAsia="Arial" w:hAnsi="Arial"/>
          <w:sz w:val="18"/>
          <w:szCs w:val="18"/>
          <w:color w:val="auto"/>
        </w:rPr>
        <w:t>: The New ABL Facility provides for a $100 million uncommitted accordion to increase the revolving commitment in the future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base growth.</w:t>
      </w:r>
    </w:p>
    <w:p>
      <w:pPr>
        <w:spacing w:after="0" w:line="170" w:lineRule="exact"/>
        <w:rPr>
          <w:rFonts w:ascii="Arial" w:cs="Arial" w:eastAsia="Arial" w:hAnsi="Arial"/>
          <w:sz w:val="18"/>
          <w:szCs w:val="18"/>
          <w:color w:val="auto"/>
        </w:rPr>
      </w:pPr>
    </w:p>
    <w:p>
      <w:pPr>
        <w:jc w:val="both"/>
        <w:ind w:firstLine="8"/>
        <w:spacing w:after="0" w:line="264" w:lineRule="auto"/>
        <w:tabs>
          <w:tab w:leader="none" w:pos="10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 The New ABL Facility contains certain customary events of default, including but not limited to the failure to make payments due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New ABL Facility, breach of and failure to cure the breach of certain covenants, the entry of a final unpaid judgment against any of the New ABL Facility loan parties in excess of $30 million, the commencement of 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insolvency proceeding, liquidation or dissolution, and a cross-default to certain other indebtedness with an outstanding aggregate principal balance of at least $30 million (including the New Term Loan).</w:t>
      </w:r>
    </w:p>
    <w:p>
      <w:pPr>
        <w:spacing w:after="0" w:line="170" w:lineRule="exact"/>
        <w:rPr>
          <w:sz w:val="20"/>
          <w:szCs w:val="20"/>
          <w:color w:val="auto"/>
        </w:rPr>
      </w:pPr>
    </w:p>
    <w:p>
      <w:pPr>
        <w:jc w:val="both"/>
        <w:ind w:firstLine="8"/>
        <w:spacing w:after="0" w:line="268" w:lineRule="auto"/>
        <w:tabs>
          <w:tab w:leader="none" w:pos="13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Covenants</w:t>
      </w:r>
      <w:r>
        <w:rPr>
          <w:rFonts w:ascii="Arial" w:cs="Arial" w:eastAsia="Arial" w:hAnsi="Arial"/>
          <w:sz w:val="17"/>
          <w:szCs w:val="17"/>
          <w:color w:val="auto"/>
        </w:rPr>
        <w:t>: The New ABL Facility contains certain customary affirmative and negative covenants (including certain customary provisions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 base reporting, and including, among others, covenants restricting the incurrences of debt, liens, the making of investments and repurchases, transactions with affiliates, fundamental changes and asset sales, and prepayments of junior debt). Certain of the covenants relating to investments, restricted payments and capital expenditures are relaxed upon meeting specified payment conditions or debt repayment conditions, as applicable. Payment conditions include (i) the absence of an event of default arising from such transaction, (ii) liquidity of at least $100 million or availability of at least $67.5 million and (iii) the Consolidated Fixed Charge Coverage Ratio (as defined below) for the most recent term period on a pro forma basis is equal to or greater than 1.10 to 1.00. Debt repayment conditions include (i) the absence of an event of default from repaying such debt and (ii) availability on the date of repayment is not less than $67.5 million. During any period commencing when the New ABL Facility borrowers fail to maintain availability in an amount at least equal to 10% of the collateral line cap and until the borrowers have maintained availability of at least 10% of the collateral line cap for 30 consecutive calendar days, the New ABL Facility loan parties are required to maintain a Consolidated Fixed Charge Coverage Ratio (as defined below) of at least 1.10 to 1.00. The “Consolidated Fixed Charge Coverage Ratio” is defined as (a) (i) Consolidated EBITDA (as defined in the New ABL Facility) calculated on a pro forma basis for such period, minus (ii) Capital Expenditures (as defined in the New ABL Facility) made during such period, minus (iii) the aggregate amount of net cash taxes paid in cash during such period, minus (iv) the amount, if any, by which the cash pension contribution for such period exceeds the pension expense for such period, and plus (v) the amount, if any, by which the pension expense for such period exceeds the cash pension contribution for such period, divided by (b) the Consolidated Fixed Charges (as defined in the New ABL Facility) for such period. In addition, refer to the “Liquidity” footnote for covenants for each of the remaining test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March 31, 2014 and December 31, 2013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2014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14"/>
                <w:szCs w:val="14"/>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0"/>
        </w:trPr>
        <w:tc>
          <w:tcPr>
            <w:tcW w:w="4040" w:type="dxa"/>
            <w:vAlign w:val="bottom"/>
          </w:tcPr>
          <w:p>
            <w:pPr>
              <w:ind w:left="40"/>
              <w:spacing w:after="0" w:line="270" w:lineRule="exact"/>
              <w:rPr>
                <w:sz w:val="20"/>
                <w:szCs w:val="20"/>
                <w:color w:val="auto"/>
              </w:rPr>
            </w:pPr>
            <w:r>
              <w:rPr>
                <w:rFonts w:ascii="Arial" w:cs="Arial" w:eastAsia="Arial" w:hAnsi="Arial"/>
                <w:sz w:val="18"/>
                <w:szCs w:val="18"/>
                <w:color w:val="auto"/>
              </w:rPr>
              <w:t>New ABL Facility</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73.2</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295.2</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New Term Loan</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Series A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Series B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80" w:right="520" w:hanging="172"/>
        <w:spacing w:after="0" w:line="216" w:lineRule="auto"/>
        <w:tabs>
          <w:tab w:leader="none" w:pos="18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As of March 31, 2014, the borrowing base on our New ABL Facility was $450.0 million. The availability of $82.5 million is derived by reducing the borrowing base by our $367.5 million of outstanding letters of credit as of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-281305</wp:posOffset>
            </wp:positionV>
            <wp:extent cx="2735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2013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14"/>
                <w:szCs w:val="14"/>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$156.5, availability $51.5)</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B Facility (capacity $219.9,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$219.9,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6%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3.25-18.3%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297.5</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Series A Notes were convertible into our common stock beginning July 22, 2013 at the conversion price per share of $34.0059 and a conversion rate of 29.4067 common shares per $1,000 of Series A Notes. As discussed in the “2014 Financing Transactions” footnote, in February 2014, the Company deposited $89.6 million with the trustee in order to fund the redemption of our outstanding Series A Notes on August 5, 2014.</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Series B Notes are convertible into our common stock, at any time at the conversion price per share of approximately $18.5334 and a conversion rate of 53.9567 common shares per $1,000 of the Series B Notes (such conversion price and conversion rate</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applying also to the Series B Notes make whole premium). As of March 31, 2014, the effective conversion price and conversion rate for our Series B Notes (after taking into account the make whole premium) was $16.8103 and 59.4873 common shares per $1,000 of Series B Notes, respectively.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2014, there was $16.5 million in aggregate principal amount of Series B Notes outstanding that are convertible into approximately 981,000 shares of our common stock (after taking into account the make whole premium). As discussed in the “2014 Financing Transactions” footnote, on January 31, 2014, certain holders of our Series B Notes exchanged their outstanding notes as part of an exchange agreement. Outside of these exchange agreements, during the three months ended March 31, 2014 and 2013, $1.2 million and $5.8 million of aggregate principal amount of Series B Notes were converted into 75,900 and 398,000 shares of our common stock, which includes the make whole premium. Upon conversion, during the three months ended March 31, 2014, we recorded $0.4 million of additional interest expense representing the $0.2 million make whole premium and $0.2 million of accelerated amortization of the discount on converted Series B Notes. During the three months ended March 31, 2013, we recorded $3.4 million of additional interest expense representing the $1.6 million make whole premium and $1.8 million of accelerated amortization of the discount on converted Series B Notes. There were no Series B Note conversions from March 31, 2014 through April 25,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and estimated fair values of our long-term debt, including current maturities and other financial instruments, are summarized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2013</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Carrying amount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w w:val="90"/>
              </w:rPr>
              <w:t>Fair Value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Carrying amount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Restructured Term Loan</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289.2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ABL Facility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Series A Notes and Series B Notes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225.8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1,204.9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New Term Loan, New ABL Facility, Restructured Term Loan, ABL Facility, Series A Notes, Series B Notes, 6% Notes (included in “Other” above) Secured and Unsecured A&amp;R CDA (included in “Other” above) and A&amp;R CDA (included in “Other” above) were estimated based on observable prices (level two inputs for fair value measurements). The carrying amount of the lease financing obligations approximates fair value (level two input for fair value measurement).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Liquidity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our outstanding debt as of March 31, 2014, please refer to the “Debt and Financing” footnote in our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13, 2014, we completed our 2014 Financing Transactions and refinanced the debt associated with our prior credit facilities. We entered into a New Term Loan credit agreement with new financial covenants that, among other things, restricts certain capital expenditures and requires us to maintain a maximum total leverage ratio (defined as Consolidated Total Debt divided by Consolidated Adjusted EBITDA as defined below) for future test periods as follows:</w:t>
      </w:r>
    </w:p>
    <w:p>
      <w:pPr>
        <w:spacing w:after="0" w:line="32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2014</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Consolidated Adjusted EBITDA, as defined in our New Term Loan credit agreement,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 discontinued operations. Consolidated Total Debt, as defined in our New Term Loan credit agreement, is the aggregate principal amount of indebtedness outstanding excluding our fully discharged Series A Notes and our outstanding letters of credit.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2014, we also entered into the New ABL Facility credit agreement which, among other things, restricts certain capital expenditures and requires that the Company, in effect, maintain availability of at least 10% of the lesser of the aggregate amount of commitments from all lenders or the borrowing base.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results of operations will be sufficient to allow us to comply with the covenants in our new credit agreement, fund our operations, increase working capital as necessary to support our planned revenue growth and fund capital expenditures for the foreseeable future, including the next twelve months.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satisfy our liquidity needs and meet future stepped-up covenants beyond the next twelve months is dependent on a number of factors, some of which are outside of our control. These factors include:</w:t>
      </w:r>
    </w:p>
    <w:p>
      <w:pPr>
        <w:spacing w:after="0" w:line="170"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must achieve improvements in our operating results, primarily at our YRC Freight operating segment, which rely upon pricing and shipping volumes and network efficiencies;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must continue to implement and realize cost saving measures, including those identified in the new MOU, to match our costs with business levels and in a manner that does not harm operations and our productivity and efficiency initiatives must be successful; and</w:t>
      </w: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must be able to generate operating cash flows that are sufficient to meet the cash requirements for pension contributions to our single and multi-employer pension funds, cash interest and principal payments on our funded debt, payments on our equipment leases, and for capital expenditures or additional lease payments for new revenue equipment.</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our operating results indicate we will not meet our maximum total leverage ratio, we will take action to improve our maximum total leverage ratio which will include paying down our outstanding indebtedness with either cash on hand or from cash proceeds from equity issuances. The issuance of equity is outside of our control and there can be no assurance that we will be able to issue additional equity at terms that are agreeable to us.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that we fail to comply with any New Term Loan covenant or any New ABL Facility covenant, we would be considered in default, which would enable applicable lenders to accelerate the repayment of amounts outstanding, require the cash collateralization of letters of credit (in the case of the New ABL Facility) and exercise remedies with respect to collateral and we would need to seek an amendment or waiver from the applicable lender groups. In the event that our lenders under our New Term Loan or New ABL Facility demand payment or cash collateralization (in the case of the New ABL Facility), we will not have sufficient cash to repay such indebtedness. In addition, a default under our New Term Loan or New ABL Facility or the applicable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line="46" w:lineRule="exact"/>
        <w:rPr>
          <w:sz w:val="20"/>
          <w:szCs w:val="20"/>
          <w:color w:val="auto"/>
        </w:rPr>
      </w:pPr>
    </w:p>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lenders exercising their remedies thereunder would trigger cross-default provisions in our other indebtedness and certain other operating agreements. Our ability to amend our New Term Loan or our New ABL Facility or otherwise obtain waivers from the applicable lenders depends on matters that are outside of our control and there can be no assurance that we will be successful in that regard.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Regarding Future Liquidity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and cash equivalents, available borrowings under our New ABL facility and any prospective net operating cash flows from operations. As of March 31, 2014, we had cash and cash equivalents and availability under our New ABL facility totaling $223.0 million. For the three months ended March 31, 2014, our cash flow from operating activities used net cash of $56.2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uses of cash are to fund our operations, including making contributions to our single-employer pension plans and various multi-employer pension funds, and to meet our other cash obligations including, but not limited to, paying cash interest and principal on our funded debt, payments on our equipment leases, letter of credit fees under our credit facilities and funding capital expenditures.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considerable amount of indebtedness. As of March 31, 2014, we had $1,221.0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2014 for our single-employer pension plans and multi-employer pension funds will be $66.1 million and $63.7 million, respectively. In addition, we have, and will continue to have, substantial operating lease obligations. As of March 31, 2014, our minimum rental expense under operating leases for the remainder of the year is $40.9 million. As of March 31, 2014, our operating lease obligations through 2025 totaled $149.3 million and is expected to increase as we lease additional revenue equipment.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capital expenditures for the three months ended March 31, 2014 and 2013 were $11.7 million and $17.2 million, respectively. These amounts were principally used to fund replacement engines and trailer refurbishments for our revenue fleet and capitalized costs for our network facilities and technology infrastructure. Additionally, for the three months ended March 31, 2014, we entered into new operating leases for revenue equipment for $6.4 million, payable over the average lease term of three years. In light of our recent operating results and liquidity needs, we have deferred certain capital expenditures and expect to continue to do so for the foreseeable future, including the remainder of 2014. As a result, the average age of our fleet is increasing, which may affect our maintenance costs and operational efficiency unless we are able to obtain suitable lease financing to meet our replacement equipment needs.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Employees’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costs for the three months ended March 31:</w:t>
      </w:r>
    </w:p>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w:t>
            </w:r>
          </w:p>
        </w:tc>
        <w:tc>
          <w:tcPr>
            <w:tcW w:w="70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w w:val="89"/>
              </w:rPr>
              <w:t>2013</w:t>
            </w: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14.0</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Amortization of net loss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periodic pension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$79.9 million to our company-sponsored pension plans in 2014 of which we have contributed $13.8 million through March 31, 2014.</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Income Taxes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for the three months ended March 31, 2014 was 5.5%, compared to 15.5%, for the three months ended March 31, 2013. The significant items impacting the 2014 rate include a net state and foreign tax provision, certain permanent items, an intraperiod tax allocation required by ASC 740 and a change in the valuation allowance established for the net deferred tax asset balance projected for December 31, 2014. We recognize valuation allowances on deferred tax assets if, based on the weight of the evidence, we determine it is more likely than not such assets will not be realized. Changes in valuation allowances are included</w:t>
      </w:r>
    </w:p>
    <w:p>
      <w:pPr>
        <w:spacing w:after="0" w:line="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2014 and December 31, 2013, substantially all of our net deferred tax assets were subject to a valuation allowance.</w:t>
      </w:r>
    </w:p>
    <w:p>
      <w:pPr>
        <w:spacing w:after="0" w:line="1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Concurrent with the financing transactions of January 31, 2014 described in the "2014 Financing Transactions" footnote, the Company experienced a change of ownership as described in Section 382 of the Internal Revenue Code. The impact of the 2014 ownership change on the Company’s ability to utilize its Net Operating Loss carryforwards and other tax attributes is not expected to be material as the carryforwards to which this ownership change applies already have been significantly limited by previous ownership changes occurring in 2011 and 2013. .</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Shareholders’ Deficit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three months ended March 31, 2014: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(shares in thousands)</w:t>
            </w: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2014</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Conversion of preferred stock to common stock</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2,333</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14,333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equity awards</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294</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upon conversion or exchange of Series B Notes</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w:t>
            </w:r>
          </w:p>
        </w:tc>
      </w:tr>
      <w:tr>
        <w:trPr>
          <w:trHeight w:val="20"/>
        </w:trPr>
        <w:tc>
          <w:tcPr>
            <w:tcW w:w="99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ectPr>
          <w:pgSz w:w="11900" w:h="16884" w:orient="portrait"/>
          <w:cols w:equalWidth="0" w:num="1">
            <w:col w:w="11420"/>
          </w:cols>
          <w:pgMar w:left="240" w:top="122" w:right="239" w:bottom="0" w:gutter="0" w:footer="0" w:header="0"/>
        </w:sectPr>
      </w:pPr>
    </w:p>
    <w:bookmarkStart w:id="16" w:name="page17"/>
    <w:bookmarkEnd w:id="1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Ending balance</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30,603</w:t>
            </w:r>
          </w:p>
        </w:tc>
      </w:tr>
      <w:tr>
        <w:trPr>
          <w:trHeight w:val="27"/>
        </w:trPr>
        <w:tc>
          <w:tcPr>
            <w:tcW w:w="99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Loss Per Share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three months ended March 31, 2014 and March 31, 2013, there were no dilutive securities for these periods.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Anti-dilutive options and share units were 713,600 and 857,600 at March 31, 2014 and 2013, respectively. Anti-dilutive 6% Note conversion shares, including the make whole premium, were 17,600 at March 31, 2013. There were no such anti-dilutive 6% Note conversion shares at March 31, 2014. Anti-dilutive Series A Note conversion shares were 2,675,000 and 4,857,000 at March 31, 2014 and 2013, respectively. Anti-dilutive Series B Note conversion shares, including the make whole premiums, were 981,500 and 5,751,000 at March 31, 2014 and 2013,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Business Segments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financial and descriptive information about our reporting segments on a basis consistent with that used internally for evaluating segment performance and allocating resources to segments. We evaluate segment performance primarily on revenue and operating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reportable segments, which are strategic business units that offer complementary transportation services to our customers:</w:t>
      </w:r>
    </w:p>
    <w:p>
      <w:pPr>
        <w:spacing w:after="0" w:line="233" w:lineRule="exact"/>
        <w:rPr>
          <w:sz w:val="20"/>
          <w:szCs w:val="20"/>
          <w:color w:val="auto"/>
        </w:rPr>
      </w:pPr>
    </w:p>
    <w:p>
      <w:pPr>
        <w:jc w:val="both"/>
        <w:ind w:left="66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Inc. (our YRC Freight operations in the United States)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charge management fees and other corporate service fees to our reportable segments based on the direct benefits received or an overhead allocation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operating losses represent residual operating expenses of the holding company.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Corporate identifiable assets primarily consist of cash, cash equivalents, an investment in an equity method affiliate and deferred debt issuance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Intersegment revenue primarily relates to transportation services between our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Regional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Corporate/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3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YRC Freight</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Eliminations</w:t>
            </w:r>
          </w:p>
        </w:tc>
        <w:tc>
          <w:tcPr>
            <w:tcW w:w="200" w:type="dxa"/>
            <w:vAlign w:val="bottom"/>
          </w:tcPr>
          <w:p>
            <w:pPr>
              <w:spacing w:after="0"/>
              <w:rPr>
                <w:sz w:val="16"/>
                <w:szCs w:val="16"/>
                <w:color w:val="auto"/>
              </w:rPr>
            </w:pPr>
          </w:p>
        </w:tc>
        <w:tc>
          <w:tcPr>
            <w:tcW w:w="1140" w:type="dxa"/>
            <w:vAlign w:val="bottom"/>
          </w:tcPr>
          <w:p>
            <w:pPr>
              <w:jc w:val="right"/>
              <w:ind w:right="213"/>
              <w:spacing w:after="0"/>
              <w:rPr>
                <w:sz w:val="20"/>
                <w:szCs w:val="20"/>
                <w:color w:val="auto"/>
              </w:rPr>
            </w:pPr>
            <w:r>
              <w:rPr>
                <w:rFonts w:ascii="Arial" w:cs="Arial" w:eastAsia="Arial" w:hAnsi="Arial"/>
                <w:sz w:val="14"/>
                <w:szCs w:val="14"/>
                <w:color w:val="auto"/>
              </w:rPr>
              <w:t>Consolidated</w:t>
            </w:r>
          </w:p>
        </w:tc>
      </w:tr>
      <w:tr>
        <w:trPr>
          <w:trHeight w:val="250"/>
        </w:trPr>
        <w:tc>
          <w:tcPr>
            <w:tcW w:w="3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March 31, 2014</w:t>
            </w: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2,215.1</w:t>
            </w: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2013</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2,064.9</w:t>
            </w: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2014</w:t>
            </w: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1,210.9</w:t>
            </w: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Three Months Ended March 31, 2013</w:t>
            </w:r>
          </w:p>
        </w:tc>
        <w:tc>
          <w:tcPr>
            <w:tcW w:w="1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External revenue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1,162.5</w:t>
            </w:r>
          </w:p>
        </w:tc>
      </w:tr>
      <w:tr>
        <w:trPr>
          <w:trHeight w:val="243"/>
        </w:trPr>
        <w:tc>
          <w:tcPr>
            <w:tcW w:w="372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Bryant Holdings Securities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7, 2011, a putative class action was filed by Bryant Holdings LLC (“Bryant”)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individual defendants are former officers of our Company. No current officers or directors were named in the lawsuit. The parties participated in voluntary mediation between March 11, 2013 and April 15, 2013. The mediation resulted in the execution of a mutually acceptable settlement agreement by the parties, which agreement remains subject to approval by the court. Court approval cannot be assured. Substantially all of the payments contemplated by the settlement will be covered by our liability insurance. The self-insured retention on this matter has been accrued as of March 31, 2014.</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settlement agreement requires court approval. On August 19, 2013, the Court entered an Order denying plaintiffs’ Motion for Preliminary Approval of the Settlement. Plaintiffs filed an Amended Motion for Preliminary Approval and, on November 18, 2013, the Court denied that Motion. Each denial was based primarily on deficiencies that the Court perceived in the plan that plaintiffs proposed for allocation of the settlement proceeds among class members. Plaintiffs have revised the plan of allocation and, on February 18, 2014, filed a Second Amended Motion for Preliminary Approval.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other litigation or proceedings that arise in ordinary business activities.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“project,” “forecast,” “propose,” “plan,” “designed,” “estimate,” “enable” and similar expressions. Forward-looking statements are inherently uncertain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0" w:lineRule="exact"/>
        <w:rPr>
          <w:sz w:val="20"/>
          <w:szCs w:val="20"/>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pace of recovery in the overall economy, including (without limitation) customer demand in the retail and manufacturing sectors;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management team in implementing its strategic plan and operational and productivity improvements, including (without limitation) our continued ability to meet high on-time and quality delivery performance standards and our ability to increase volume and yield, and the impact of those improvements on our future liquidity and profitability;</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scheduled increases in financial performance-related debt covenants;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finance the maintenance, acquisition and replacement of revenue equipment and other necessary capital expenditures;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our network operations and the production of accurate information, and the risk of system failure, inadequacy or security breach;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equity and debt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of fuel;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sudden 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and competitive pressure on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 volatility, including (without limitation) volatility due to changes in rail service or pricing for rail service;</w:t>
      </w:r>
    </w:p>
    <w:p>
      <w:pPr>
        <w:spacing w:after="0" w:line="63" w:lineRule="exact"/>
        <w:rPr>
          <w:rFonts w:ascii="Arial" w:cs="Arial" w:eastAsia="Arial" w:hAnsi="Arial"/>
          <w:sz w:val="18"/>
          <w:szCs w:val="18"/>
          <w:color w:val="auto"/>
        </w:rPr>
      </w:pPr>
    </w:p>
    <w:p>
      <w:pPr>
        <w:ind w:left="660" w:right="20" w:hanging="328"/>
        <w:spacing w:after="0" w:line="29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federal, state, local and foreign laws and regulations, including (without limitation) laws and regulations for the protection of employee safety and health (including new hours-of-service regulations) and the environment;</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terrorist attack;</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relations, including (without limitation)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claims and litigation to which we are or may become exposed; and</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185"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months ended March 31, 2014</w:t>
      </w:r>
      <w:r>
        <w:rPr>
          <w:rFonts w:ascii="Arial" w:cs="Arial" w:eastAsia="Arial" w:hAnsi="Arial"/>
          <w:sz w:val="18"/>
          <w:szCs w:val="18"/>
          <w:b w:val="1"/>
          <w:bCs w:val="1"/>
          <w:color w:val="auto"/>
        </w:rPr>
        <w:t xml:space="preserve"> </w:t>
      </w:r>
      <w:r>
        <w:rPr>
          <w:rFonts w:ascii="Arial" w:cs="Arial" w:eastAsia="Arial" w:hAnsi="Arial"/>
          <w:sz w:val="18"/>
          <w:szCs w:val="18"/>
          <w:color w:val="auto"/>
        </w:rPr>
        <w:t>and 2013.</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Reporting Segment Results of Operations </w:t>
      </w:r>
      <w:r>
        <w:rPr>
          <w:rFonts w:ascii="Arial" w:cs="Arial" w:eastAsia="Arial" w:hAnsi="Arial"/>
          <w:sz w:val="18"/>
          <w:szCs w:val="18"/>
          <w:color w:val="auto"/>
        </w:rPr>
        <w:t>— an analysis of our results of operations for the three months ended March 31, 2014 and 2013</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YRC Freight and Regional Transportation reporting segments.</w:t>
      </w:r>
    </w:p>
    <w:p>
      <w:pPr>
        <w:spacing w:after="0" w:line="121" w:lineRule="exact"/>
        <w:rPr>
          <w:sz w:val="20"/>
          <w:szCs w:val="20"/>
          <w:color w:val="auto"/>
        </w:rPr>
      </w:pPr>
    </w:p>
    <w:p>
      <w:pPr>
        <w:ind w:left="660" w:right="20" w:firstLine="648"/>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an analysis of selected Non-GAAP financial measures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2014 and 2013.</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the years discussed below refers to the three months ended March 31.</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holding company that, through wholly owned operating subsidiaries and our interest in a Chinese joint venture, offers our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LTL shipments and flexible supply chain solutions, ensuring customers can ship industrial, commercial and retail goods with confidence.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number of shipments and weight per</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 and yield or price (commonly evaluated on a dollar per hundredweight basis and a dollar per 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61" w:lineRule="exact"/>
        <w:rPr>
          <w:rFonts w:ascii="Arial" w:cs="Arial" w:eastAsia="Arial" w:hAnsi="Arial"/>
          <w:sz w:val="16"/>
          <w:szCs w:val="16"/>
          <w:color w:val="auto"/>
        </w:rPr>
      </w:pPr>
    </w:p>
    <w:p>
      <w:pPr>
        <w:ind w:left="660" w:hanging="328"/>
        <w:spacing w:after="0" w:line="31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certain corporate charges that are not allocated to our YRC Freight and Regional Transportation reporting segments.</w:t>
      </w:r>
    </w:p>
    <w:p>
      <w:pPr>
        <w:spacing w:after="0" w:line="138"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metric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certain non-GAAP financial measures to assess our performance. These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EBITDA and adjusted free cash flow (deficit):</w:t>
      </w:r>
    </w:p>
    <w:p>
      <w:pPr>
        <w:spacing w:after="0" w:line="165"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 non-GAAP measure that reflects our earnings before interest, taxes, depreciation, and amortization expense,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adjusted for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1300" w:right="20"/>
        <w:spacing w:after="0" w:line="298" w:lineRule="auto"/>
        <w:rPr>
          <w:sz w:val="20"/>
          <w:szCs w:val="20"/>
          <w:color w:val="auto"/>
        </w:rPr>
      </w:pPr>
      <w:r>
        <w:rPr>
          <w:rFonts w:ascii="Arial" w:cs="Arial" w:eastAsia="Arial" w:hAnsi="Arial"/>
          <w:sz w:val="17"/>
          <w:szCs w:val="17"/>
          <w:color w:val="auto"/>
        </w:rPr>
        <w:t>discontinued operations as defined in our credit facilities. Adjusted EBITDA is used for internal management purposes as a financial measure that reflects our core operating performance and to measure compliance with financial covenants in our credit facilities.</w:t>
      </w:r>
    </w:p>
    <w:p>
      <w:pPr>
        <w:spacing w:after="0" w:line="2" w:lineRule="exact"/>
        <w:rPr>
          <w:sz w:val="20"/>
          <w:szCs w:val="20"/>
          <w:color w:val="auto"/>
        </w:rPr>
      </w:pPr>
    </w:p>
    <w:p>
      <w:pPr>
        <w:ind w:left="1300" w:hanging="320"/>
        <w:spacing w:after="0" w:line="27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Adjusted Free Cash Flow (Deficit): </w:t>
      </w:r>
      <w:r>
        <w:rPr>
          <w:rFonts w:ascii="Arial" w:cs="Arial" w:eastAsia="Arial" w:hAnsi="Arial"/>
          <w:sz w:val="18"/>
          <w:szCs w:val="18"/>
          <w:color w:val="auto"/>
        </w:rPr>
        <w:t>a non-GAAP measure that reflects our net cash provided by (used in) operating activities minus gross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excludes restructuring professional fees included in operating cash flow.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185" w:lineRule="exact"/>
        <w:rPr>
          <w:sz w:val="20"/>
          <w:szCs w:val="20"/>
          <w:color w:val="auto"/>
        </w:rPr>
      </w:pPr>
    </w:p>
    <w:p>
      <w:pPr>
        <w:jc w:val="both"/>
        <w:ind w:left="1300" w:hanging="320"/>
        <w:spacing w:after="0" w:line="25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letter of credit fees, service interest, principal payments on our outstanding debt or lump sum payments to our IBT employees required under the ratified MOU;</w:t>
      </w:r>
    </w:p>
    <w:p>
      <w:pPr>
        <w:ind w:left="130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ind w:left="1300" w:hanging="320"/>
        <w:spacing w:after="0" w:line="265"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Equity based compensation is an element of our long-term incentive compensation package, although adjusted EBITDA excludes employee equity-based compensation expense when presenting our ongoing operating performance for a particular period;</w:t>
      </w:r>
    </w:p>
    <w:p>
      <w:pPr>
        <w:ind w:left="1300" w:hanging="320"/>
        <w:spacing w:after="0" w:line="265"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free cash flow (deficit) excludes the cash usage by our restructuring professional fees, debt issuance costs, equity issuance costs and principal payments on our outstanding debt and the resulting reduction in our liquidity position from those cash outflows; and</w:t>
      </w:r>
    </w:p>
    <w:p>
      <w:pPr>
        <w:ind w:left="1300" w:hanging="320"/>
        <w:spacing w:after="0" w:line="26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and adjusted free cash flow (deficit) differently than we do, potentially limiting their usefulness as comparative measures.</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first quarter of 2014 and 2013: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First Quarter</w:t>
            </w:r>
          </w:p>
        </w:tc>
        <w:tc>
          <w:tcPr>
            <w:tcW w:w="14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Percent Change</w:t>
            </w:r>
          </w:p>
        </w:tc>
      </w:tr>
      <w:tr>
        <w:trPr>
          <w:trHeight w:val="243"/>
        </w:trPr>
        <w:tc>
          <w:tcPr>
            <w:tcW w:w="20" w:type="dxa"/>
            <w:vAlign w:val="bottom"/>
          </w:tcPr>
          <w:p>
            <w:pPr>
              <w:spacing w:after="0"/>
              <w:rPr>
                <w:sz w:val="21"/>
                <w:szCs w:val="21"/>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1,210.9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1,162.5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Nonoperating expenses,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r>
      <w:tr>
        <w:trPr>
          <w:trHeight w:val="182"/>
        </w:trPr>
        <w:tc>
          <w:tcPr>
            <w:tcW w:w="20" w:type="dxa"/>
            <w:vAlign w:val="bottom"/>
          </w:tcPr>
          <w:p>
            <w:pPr>
              <w:spacing w:after="0"/>
              <w:rPr>
                <w:sz w:val="15"/>
                <w:szCs w:val="15"/>
                <w:color w:val="auto"/>
              </w:rPr>
            </w:pPr>
          </w:p>
        </w:tc>
        <w:tc>
          <w:tcPr>
            <w:tcW w:w="7220" w:type="dxa"/>
            <w:vAlign w:val="bottom"/>
            <w:gridSpan w:val="2"/>
          </w:tcPr>
          <w:p>
            <w:pPr>
              <w:spacing w:after="0"/>
              <w:rPr>
                <w:sz w:val="20"/>
                <w:szCs w:val="20"/>
                <w:color w:val="auto"/>
              </w:rPr>
            </w:pPr>
            <w:r>
              <w:rPr>
                <w:rFonts w:ascii="Arial" w:cs="Arial" w:eastAsia="Arial" w:hAnsi="Arial"/>
                <w:sz w:val="14"/>
                <w:szCs w:val="14"/>
                <w:color w:val="auto"/>
              </w:rPr>
              <w:t>*Not meaningful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2014 Compared to the First Quarter of 2013</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consolidated operating revenue increased 4.2% during the first quarter of 2014 compared to the same period in 2013. The increase in revenue is primarily attributable to higher shipment volumes over the comparable prior year period partially due to 4.5 additional workdays at our regional reporting segment.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first quarter of 2014 increased $90.7 million or 7.9% compared to the same period in 2013 primarily related to a $44.7 million increase in salaries, wages and employees’ benefits, a $17.0 million increase in purchased transportation, a $15.9 million increase in operating expenses and supplies and an $11.0 million increase in other operating expenses.</w:t>
      </w:r>
    </w:p>
    <w:p>
      <w:pPr>
        <w:spacing w:after="0" w:line="181"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$44.7 million increase in salaries, wages and employees’ benefits was primarily due to a $36.1 million increase in wages and benefits in the first quarter of 2014 compared to the first quarter of 2013. This increase was largely driven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by higher shipping volumes and by the negative impact the severe winter weather had on the productivity of our workforce which, among other things, increased our overtime and linehaul delay pay.</w:t>
      </w:r>
    </w:p>
    <w:p>
      <w:pPr>
        <w:spacing w:after="0" w:line="1" w:lineRule="exact"/>
        <w:rPr>
          <w:sz w:val="20"/>
          <w:szCs w:val="20"/>
          <w:color w:val="auto"/>
        </w:rPr>
      </w:pPr>
    </w:p>
    <w:p>
      <w:pPr>
        <w:jc w:val="both"/>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$17.0 million increase in purchased transportation was primarily driven by increased shipping volumes and increased purchased rail miles used to balance our network load in response to the service disruptions related to the severe winter weather experienced during the first quarter. We also experienced an increase in purchased road miles in part due to the same service delays previously noted as well as changes in our purchased transportation options as permitted in our modified labor agreement that went into effect in February of 2014. Finally, we had higher vehicle rent expense as our percentage of leased units has increased since last year due to our current strategy of using operating leases to acquire new revenue equipment.</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$15.9 million increase in operating expenses and supplies was primarily driven by higher fuel expense of $8.4 million and an increase in vehicle maintenance of $4.2 million. The increase in fuel expense is primarily a result of increased miles driven due to higher shipping volumes and freight diversions caused by weather. The increase in vehicle maintenance is primarily driven by higher costs needed to support our aging fleet and an increase in miles driven.</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$11.0 million increase in other operating expenses was primarily driven by a $8.0 million increase in our bodily injury and property damage claims expense and a $3.2 million increase in cargo claims expense. The increase in both our bodily injury and property damage claims and our cargo claims expense was driven by an increase in the number of claims driven largely by adverse weather conditions as well as favorable development experienced in the first quarter of 2013.</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Nonoperating expenses increased $3.0 million in the first quarter of 2014 compared to the first quarter of 2013. The increase in nonoperating expenses was largely driven by a $19.0 million increase in interest expense which was driven by the acceleration of the amortization of the deferred debt costs on our Prior Term Loan and Prior ABL Facility when they were extinguished in the first quarter of 2014. The increase in interest expense was partially offset by the gain we recorded on the extinguishment of debt of $11.2 million in the first quarter of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tax rate for the first quarter of 2014 and 2013 was 5.5% and 15.5%, respectively. Significant items impacting the first quarter of 2014 rate include a net state and foreign tax provision, certain permanent items, an intraperiod tax allocation required by ASC 740 and a change in the valuation allowance established for the net deferred tax asset balance projected for December 31, 2014.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2014 and December 31, 2013, substantially all of our net deferred tax assets are subject to a valuation allowance.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operating performance using our YRC Freight and Regional Transportation reporting segments:</w:t>
      </w:r>
    </w:p>
    <w:p>
      <w:pPr>
        <w:spacing w:after="0" w:line="221" w:lineRule="exact"/>
        <w:rPr>
          <w:sz w:val="20"/>
          <w:szCs w:val="20"/>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Freight represented 62% of our consolidated operating revenue for the first quarter of 2014 and 65% for the first quarter of 2013. The table below provides summary financial information for YRC Freight for first quarter of 2014 and 2013: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First Quarter</w:t>
            </w:r>
          </w:p>
        </w:tc>
        <w:tc>
          <w:tcPr>
            <w:tcW w:w="1240" w:type="dxa"/>
            <w:vAlign w:val="bottom"/>
            <w:tcBorders>
              <w:bottom w:val="single" w:sz="8" w:color="auto"/>
            </w:tcBorders>
          </w:tcPr>
          <w:p>
            <w:pPr>
              <w:spacing w:after="0"/>
              <w:rPr>
                <w:sz w:val="16"/>
                <w:szCs w:val="16"/>
                <w:color w:val="auto"/>
              </w:rPr>
            </w:pPr>
          </w:p>
        </w:tc>
      </w:tr>
      <w:tr>
        <w:trPr>
          <w:trHeight w:val="156"/>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ind w:left="400"/>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12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Change</w:t>
            </w: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756.8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NM*</w:t>
            </w:r>
          </w:p>
        </w:tc>
      </w:tr>
      <w:tr>
        <w:trPr>
          <w:trHeight w:val="229"/>
        </w:trPr>
        <w:tc>
          <w:tcPr>
            <w:tcW w:w="7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51"/>
        </w:trPr>
        <w:tc>
          <w:tcPr>
            <w:tcW w:w="7400" w:type="dxa"/>
            <w:vAlign w:val="bottom"/>
            <w:gridSpan w:val="2"/>
          </w:tcPr>
          <w:p>
            <w:pPr>
              <w:ind w:left="40"/>
              <w:spacing w:after="0" w:line="251"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(4.6pp</w:t>
            </w:r>
          </w:p>
        </w:tc>
      </w:tr>
    </w:tbl>
    <w:p>
      <w:pPr>
        <w:ind w:right="8480" w:firstLine="8"/>
        <w:spacing w:after="0" w:line="255" w:lineRule="auto"/>
        <w:tabs>
          <w:tab w:leader="none" w:pos="324" w:val="left"/>
        </w:tabs>
        <w:numPr>
          <w:ilvl w:val="0"/>
          <w:numId w:val="20"/>
        </w:numPr>
        <w:rPr>
          <w:rFonts w:ascii="Arial" w:cs="Arial" w:eastAsia="Arial" w:hAnsi="Arial"/>
          <w:sz w:val="14"/>
          <w:szCs w:val="14"/>
          <w:color w:val="auto"/>
        </w:rPr>
      </w:pPr>
      <w:r>
        <w:rPr>
          <w:rFonts w:ascii="Arial" w:cs="Arial" w:eastAsia="Arial" w:hAnsi="Arial"/>
          <w:sz w:val="14"/>
          <w:szCs w:val="14"/>
          <w:color w:val="auto"/>
        </w:rPr>
        <w:t>pp represents the change in percentage points *Not meaningful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2014 Compared to the First Quarter of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$756.8 million in the first quarter of 2014, a increase of $3.0 million or 0.4% compared to the same period in 2013. The table below summarizes the key revenue metrics for the YRC Freight reporting segment for the first quarter of 2014 compared to the first quarter of 2013:</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First Quarter</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Workdays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1"/>
              </w:rPr>
              <w:t>62.5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24"/>
        </w:trPr>
        <w:tc>
          <w:tcPr>
            <w:tcW w:w="48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44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755.9</w:t>
            </w:r>
          </w:p>
        </w:tc>
        <w:tc>
          <w:tcPr>
            <w:tcW w:w="120" w:type="dxa"/>
            <w:vAlign w:val="bottom"/>
          </w:tcPr>
          <w:p>
            <w:pPr>
              <w:spacing w:after="0"/>
              <w:rPr>
                <w:sz w:val="23"/>
                <w:szCs w:val="23"/>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756.9</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1,646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tonnage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26.13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2,772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shipments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44.00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22.96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2.3 %</w:t>
            </w:r>
          </w:p>
        </w:tc>
      </w:tr>
      <w:tr>
        <w:trPr>
          <w:trHeight w:val="615"/>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First Quarter</w:t>
            </w:r>
          </w:p>
        </w:tc>
        <w:tc>
          <w:tcPr>
            <w:tcW w:w="8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4720" w:type="dxa"/>
            <w:vAlign w:val="bottom"/>
            <w:gridSpan w:val="2"/>
          </w:tcPr>
          <w:p>
            <w:pPr>
              <w:jc w:val="right"/>
              <w:spacing w:after="0" w:line="270" w:lineRule="exact"/>
              <w:rPr>
                <w:sz w:val="20"/>
                <w:szCs w:val="20"/>
                <w:color w:val="auto"/>
              </w:rPr>
            </w:pPr>
            <w:r>
              <w:rPr>
                <w:rFonts w:ascii="Arial" w:cs="Arial" w:eastAsia="Arial" w:hAnsi="Arial"/>
                <w:sz w:val="25"/>
                <w:szCs w:val="25"/>
                <w:color w:val="auto"/>
                <w:w w:val="90"/>
                <w:vertAlign w:val="superscript"/>
              </w:rPr>
              <w:t>(a)</w:t>
            </w:r>
            <w:r>
              <w:rPr>
                <w:rFonts w:ascii="Arial" w:cs="Arial" w:eastAsia="Arial" w:hAnsi="Arial"/>
                <w:sz w:val="18"/>
                <w:szCs w:val="18"/>
                <w:color w:val="auto"/>
                <w:w w:val="90"/>
              </w:rPr>
              <w:t>Reconciliation of operating revenue to total picked up revenue:</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756.8</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755.9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-208915</wp:posOffset>
            </wp:positionV>
            <wp:extent cx="1672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for YRC Freight was $32.5 million in the first quarter of 2014 compared to $2.4 million of operating income in the same period in 2013. Operating revenue in the first quarter of 2014 was higher by $3.0 million while total costs increased by $37.9 million. The cost increases consisted primarily of a $15.0 million increase in salary, wages and employees’ benefits, an $11.0 million increase in purchased transportation and a $7.0 million increase in other operating expenses.</w:t>
      </w:r>
    </w:p>
    <w:p>
      <w:pPr>
        <w:spacing w:after="0" w:line="187" w:lineRule="exact"/>
        <w:rPr>
          <w:sz w:val="20"/>
          <w:szCs w:val="20"/>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$15.0 million increase in salary, wages and employees’ benefits in the first quarter of 2014 was primarily the result of an $11.8 million increase in wages and benefits in the first quarter of 2014 compared to the first quarter of 2013. This increase was largely driven by the negative impact the severe winter weather had on the productivity of our workforce which, among other things, increased our overtime and linehaul delay pay and, to a lesser extent, by higher shipping volumes.</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hanging="328"/>
        <w:spacing w:after="0" w:line="26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$11.0 million increase in purchased transportation was primarily driven by increased purchased rail miles used to balance our network load in response to the service disruptions related to the severe winter weather experienced during the first quarter as well as increased shipping volumes. We also experienced an increase in purchased road miles in part due to the same service delays previously noted as well as a slight increase in purchased miles driven as we began to utilize our new over the road purchased transportation option as permitted in our modified labor agreement that went into effect in February of 2014. Finally, we had higher vehicle rent expense as our percentage of leased units has increased since last year due to our current strategy of using operating leases to acquire new revenue equipment.</w:t>
      </w:r>
    </w:p>
    <w:p>
      <w:pPr>
        <w:spacing w:after="0" w:line="1"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$7.0 million increase in other operating expenses in the first quarter of 2014 was primarily driven by a $6.3 million increase in our bodily injury and property damage expense due to more claims compared to the first quarter of 2013 as well as favorable development experienced in the first quarter of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Regional Transportation represented 38% of consolidated revenue in the first quarter of 2014 compared to 35% in the first quarter of 2013. The table below provides summary financial information for Regional Transportation for the first quarter of 2014 and 2013: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First Quarter</w:t>
            </w:r>
          </w:p>
        </w:tc>
        <w:tc>
          <w:tcPr>
            <w:tcW w:w="1460" w:type="dxa"/>
            <w:vAlign w:val="bottom"/>
            <w:tcBorders>
              <w:bottom w:val="single" w:sz="8" w:color="auto"/>
            </w:tcBorders>
          </w:tcPr>
          <w:p>
            <w:pPr>
              <w:spacing w:after="0"/>
              <w:rPr>
                <w:sz w:val="16"/>
                <w:szCs w:val="16"/>
                <w:color w:val="auto"/>
              </w:rPr>
            </w:pPr>
          </w:p>
        </w:tc>
      </w:tr>
      <w:tr>
        <w:trPr>
          <w:trHeight w:val="156"/>
        </w:trPr>
        <w:tc>
          <w:tcPr>
            <w:tcW w:w="7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ind w:left="520"/>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Change</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7"/>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1"/>
                <w:szCs w:val="21"/>
                <w:color w:val="auto"/>
              </w:rPr>
            </w:pPr>
          </w:p>
        </w:tc>
        <w:tc>
          <w:tcPr>
            <w:tcW w:w="1460" w:type="dxa"/>
            <w:vAlign w:val="bottom"/>
          </w:tcPr>
          <w:p>
            <w:pPr>
              <w:ind w:left="380"/>
              <w:spacing w:after="0"/>
              <w:rPr>
                <w:sz w:val="20"/>
                <w:szCs w:val="20"/>
                <w:color w:val="auto"/>
              </w:rPr>
            </w:pPr>
            <w:r>
              <w:rPr>
                <w:rFonts w:ascii="Arial" w:cs="Arial" w:eastAsia="Arial" w:hAnsi="Arial"/>
                <w:sz w:val="18"/>
                <w:szCs w:val="18"/>
                <w:color w:val="auto"/>
              </w:rPr>
              <w:t>11.1%</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(34.2)%</w:t>
            </w:r>
          </w:p>
        </w:tc>
      </w:tr>
      <w:tr>
        <w:trPr>
          <w:trHeight w:val="229"/>
        </w:trPr>
        <w:tc>
          <w:tcPr>
            <w:tcW w:w="7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ind w:left="1240"/>
              <w:spacing w:after="0"/>
              <w:rPr>
                <w:sz w:val="20"/>
                <w:szCs w:val="20"/>
                <w:color w:val="auto"/>
              </w:rPr>
            </w:pPr>
            <w:r>
              <w:rPr>
                <w:rFonts w:ascii="Arial" w:cs="Arial" w:eastAsia="Arial" w:hAnsi="Arial"/>
                <w:sz w:val="18"/>
                <w:szCs w:val="18"/>
                <w:color w:val="auto"/>
              </w:rPr>
              <w:t>)</w:t>
            </w:r>
          </w:p>
        </w:tc>
      </w:tr>
      <w:tr>
        <w:trPr>
          <w:trHeight w:val="251"/>
        </w:trPr>
        <w:tc>
          <w:tcPr>
            <w:tcW w:w="7200" w:type="dxa"/>
            <w:vAlign w:val="bottom"/>
            <w:gridSpan w:val="2"/>
          </w:tcPr>
          <w:p>
            <w:pPr>
              <w:ind w:left="40"/>
              <w:spacing w:after="0" w:line="251" w:lineRule="exact"/>
              <w:rPr>
                <w:sz w:val="20"/>
                <w:szCs w:val="20"/>
                <w:color w:val="auto"/>
              </w:rPr>
            </w:pPr>
            <w:r>
              <w:rPr>
                <w:rFonts w:ascii="Arial" w:cs="Arial" w:eastAsia="Arial" w:hAnsi="Arial"/>
                <w:sz w:val="18"/>
                <w:szCs w:val="18"/>
                <w:color w:val="auto"/>
              </w:rPr>
              <w:t xml:space="preserve">Operating ratio </w:t>
            </w:r>
            <w:r>
              <w:rPr>
                <w:rFonts w:ascii="Arial" w:cs="Arial" w:eastAsia="Arial" w:hAnsi="Arial"/>
                <w:sz w:val="25"/>
                <w:szCs w:val="25"/>
                <w:color w:val="auto"/>
                <w:vertAlign w:val="superscript"/>
              </w:rPr>
              <w:t>(a)</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460" w:type="dxa"/>
            <w:vAlign w:val="bottom"/>
          </w:tcPr>
          <w:p>
            <w:pPr>
              <w:ind w:left="960"/>
              <w:spacing w:after="0"/>
              <w:rPr>
                <w:sz w:val="20"/>
                <w:szCs w:val="20"/>
                <w:color w:val="auto"/>
              </w:rPr>
            </w:pPr>
            <w:r>
              <w:rPr>
                <w:rFonts w:ascii="Arial" w:cs="Arial" w:eastAsia="Arial" w:hAnsi="Arial"/>
                <w:sz w:val="18"/>
                <w:szCs w:val="18"/>
                <w:color w:val="auto"/>
                <w:w w:val="93"/>
              </w:rPr>
              <w:t>(1.2pp</w:t>
            </w:r>
          </w:p>
        </w:tc>
      </w:tr>
    </w:tbl>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of 2014 Compared to the First Quarter of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$454.1 million for the first quarter of 2014, an increase of $45.4 million, or 11.1%, from the first quarter of 2013. The table below summarizes the key revenue metrics for the Regional Transportation reporting segment for the first quarter of 2014 compared to the first quarter of 2013:</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36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Workdays</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324"/>
        </w:trPr>
        <w:tc>
          <w:tcPr>
            <w:tcW w:w="36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70"/>
        </w:trPr>
        <w:tc>
          <w:tcPr>
            <w:tcW w:w="3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454.4</w:t>
            </w:r>
          </w:p>
        </w:tc>
        <w:tc>
          <w:tcPr>
            <w:tcW w:w="100" w:type="dxa"/>
            <w:vAlign w:val="bottom"/>
          </w:tcPr>
          <w:p>
            <w:pPr>
              <w:spacing w:after="0"/>
              <w:rPr>
                <w:sz w:val="23"/>
                <w:szCs w:val="23"/>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409.0</w:t>
            </w:r>
          </w:p>
        </w:tc>
        <w:tc>
          <w:tcPr>
            <w:tcW w:w="12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11.1%</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Total tonnage per day (in thousands)</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30.08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29.30</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2.6%</w:t>
            </w: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2,706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2,480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Total shipments per day (in thousands)</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40.38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39.68</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1.8%</w:t>
            </w: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150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1.9%</w:t>
            </w:r>
          </w:p>
        </w:tc>
      </w:tr>
      <w:tr>
        <w:trPr>
          <w:trHeight w:val="27"/>
        </w:trPr>
        <w:tc>
          <w:tcPr>
            <w:tcW w:w="3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r>
      <w:tr>
        <w:trPr>
          <w:trHeight w:val="675"/>
        </w:trPr>
        <w:tc>
          <w:tcPr>
            <w:tcW w:w="3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23495</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3" w:lineRule="exact"/>
        <w:rPr>
          <w:sz w:val="20"/>
          <w:szCs w:val="20"/>
          <w:color w:val="auto"/>
        </w:rPr>
      </w:pPr>
    </w:p>
    <w:tbl>
      <w:tblPr>
        <w:tblLayout w:type="fixed"/>
        <w:tblInd w:w="194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70"/>
        </w:trPr>
        <w:tc>
          <w:tcPr>
            <w:tcW w:w="4960" w:type="dxa"/>
            <w:vAlign w:val="bottom"/>
          </w:tcPr>
          <w:p>
            <w:pPr>
              <w:ind w:left="20"/>
              <w:spacing w:after="0" w:line="270" w:lineRule="exact"/>
              <w:rPr>
                <w:sz w:val="20"/>
                <w:szCs w:val="20"/>
                <w:color w:val="auto"/>
              </w:rPr>
            </w:pPr>
            <w:r>
              <w:rPr>
                <w:rFonts w:ascii="Arial" w:cs="Arial" w:eastAsia="Arial" w:hAnsi="Arial"/>
                <w:sz w:val="25"/>
                <w:szCs w:val="25"/>
                <w:color w:val="auto"/>
                <w:w w:val="94"/>
                <w:vertAlign w:val="superscript"/>
              </w:rPr>
              <w:t>(a)</w:t>
            </w:r>
            <w:r>
              <w:rPr>
                <w:rFonts w:ascii="Arial" w:cs="Arial" w:eastAsia="Arial" w:hAnsi="Arial"/>
                <w:sz w:val="18"/>
                <w:szCs w:val="18"/>
                <w:color w:val="auto"/>
                <w:w w:val="94"/>
              </w:rPr>
              <w:t>Reconciliation of operating revenue to total picked up revenue:</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r>
    </w:tbl>
    <w:p>
      <w:pPr>
        <w:spacing w:after="0" w:line="8" w:lineRule="exact"/>
        <w:rPr>
          <w:sz w:val="20"/>
          <w:szCs w:val="20"/>
          <w:color w:val="auto"/>
        </w:rPr>
      </w:pPr>
    </w:p>
    <w:p>
      <w:pPr>
        <w:ind w:left="1020" w:hanging="202"/>
        <w:spacing w:after="0"/>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 change is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increases in the metrics above were primarily driven by volume growth at each of the regional carriers and the additional 4.5 workdays in the first quarter of 2014 compared to the first quarter of 2013.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Regional Transportation was $7.9 million for the first quarter of 2014, a decrease of $4.1 million from the same period in 2013, consisting of the $45.4 million increase in revenue offset by a $49.5 million increase in total costs. The increase in total costs was primarily driven by a $25.8 million increase in salary, wages and employees’ benefits, a $10.8 million increase in operating expenses and supplies, and a $6.1 million increase in purchased transportation.</w:t>
      </w:r>
    </w:p>
    <w:p>
      <w:pPr>
        <w:spacing w:after="0" w:line="187" w:lineRule="exact"/>
        <w:rPr>
          <w:sz w:val="20"/>
          <w:szCs w:val="20"/>
          <w:color w:val="auto"/>
        </w:rPr>
      </w:pPr>
    </w:p>
    <w:p>
      <w:pPr>
        <w:jc w:val="both"/>
        <w:ind w:left="660" w:hanging="328"/>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$25.8 million increase in salary, wages and employees’ benefits in the first quarter of 2014 was primarily the result of a $24.4 million increase in wages and benefits in the first quarter of 2014 compared to the first quarter of 2013. This increase was largely driven higher shipping volumes and by the negative impact the severe winter weather had on the productivity of our workforce which, among other things, increased our overtime and linehaul delay pay.</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$10.8 million increase in operating expenses and supplies in the first quarter of 2014 was primarily driven by a $6.3 million increase in fuel costs and a $1.2 million increase in vehicle maintenance primarily due to an increase in miles driven.</w:t>
      </w:r>
    </w:p>
    <w:p>
      <w:pPr>
        <w:jc w:val="both"/>
        <w:ind w:left="66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$6.1 million increase in purchased transportation was primarily driven by an increase in purchased road miles in part due to the same service disruptions previously noted. Finally, we had higher vehicle rent expense as our percentage of leased units has increased since last year due to our strategy of using operating leases to acquire new revenue equipment.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operating income (loss) to adjusted EBITDA for the first quarter of 2014 and 2013 is as follows:</w:t>
      </w:r>
    </w:p>
    <w:p>
      <w:pPr>
        <w:spacing w:after="0" w:line="200" w:lineRule="exact"/>
        <w:rPr>
          <w:sz w:val="20"/>
          <w:szCs w:val="20"/>
          <w:color w:val="auto"/>
        </w:rPr>
      </w:pPr>
    </w:p>
    <w:p>
      <w:pPr>
        <w:spacing w:after="0" w:line="223" w:lineRule="exact"/>
        <w:rPr>
          <w:sz w:val="20"/>
          <w:szCs w:val="20"/>
          <w:color w:val="auto"/>
        </w:rPr>
      </w:pPr>
    </w:p>
    <w:p>
      <w:pPr>
        <w:ind w:left="9420"/>
        <w:spacing w:after="0"/>
        <w:rPr>
          <w:sz w:val="20"/>
          <w:szCs w:val="20"/>
          <w:color w:val="auto"/>
        </w:rPr>
      </w:pPr>
      <w:r>
        <w:rPr>
          <w:rFonts w:ascii="Arial" w:cs="Arial" w:eastAsia="Arial" w:hAnsi="Arial"/>
          <w:sz w:val="14"/>
          <w:szCs w:val="14"/>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20955</wp:posOffset>
            </wp:positionV>
            <wp:extent cx="1457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Reconciliation of operating income (loss) to adjusted EBITDA:</w:t>
            </w: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Other nonoperating, net</w:t>
            </w: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Free Cash Flow (Deficit)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adjusted EBITDA to adjusted free cash flow (deficit) for the first quarter of 2014 and 2013 including the reconciliation to adjusted free cash flow (deficit) is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First Quarter</w:t>
            </w: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2014</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21"/>
                <w:szCs w:val="21"/>
                <w:color w:val="auto"/>
              </w:rPr>
            </w:pPr>
          </w:p>
        </w:tc>
        <w:tc>
          <w:tcPr>
            <w:tcW w:w="4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Cash paid for interest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paid for letter of credit fees</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Working Capital cash flows excluding income tax, net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Cash received for income taxes, net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Acquisition of property and equipment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Adjusted Free Cash Flow (Deficit)</w:t>
            </w:r>
          </w:p>
        </w:tc>
        <w:tc>
          <w:tcPr>
            <w:tcW w:w="10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(66.8)</w:t>
            </w:r>
          </w:p>
        </w:tc>
        <w:tc>
          <w:tcPr>
            <w:tcW w:w="100" w:type="dxa"/>
            <w:vAlign w:val="bottom"/>
            <w:gridSpan w:val="2"/>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Segment Adjusted EBITDA</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color w:val="auto"/>
              </w:rPr>
              <w:t>The following represents adjusted EBITDA by segment for the first quarter of 2014 and 2013: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8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First Quarter</w:t>
            </w: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96"/>
              </w:rPr>
              <w:t>2013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Adjusted EBITDA by segment: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YRC Freight</w:t>
            </w:r>
          </w:p>
        </w:tc>
        <w:tc>
          <w:tcPr>
            <w:tcW w:w="3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gridSpan w:val="2"/>
          </w:tcPr>
          <w:p>
            <w:pPr>
              <w:ind w:left="380"/>
              <w:spacing w:after="0"/>
              <w:rPr>
                <w:sz w:val="20"/>
                <w:szCs w:val="20"/>
                <w:color w:val="auto"/>
              </w:rPr>
            </w:pPr>
            <w:r>
              <w:rPr>
                <w:rFonts w:ascii="Arial" w:cs="Arial" w:eastAsia="Arial" w:hAnsi="Arial"/>
                <w:sz w:val="18"/>
                <w:szCs w:val="18"/>
                <w:color w:val="auto"/>
              </w:rPr>
              <w:t>Regional Transportation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operating income (loss), by segment, to adjusted EBITDA for the first quarter of 2014 and 2013 is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First Quarter</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YRC Freight segment (in millions)</w:t>
            </w:r>
          </w:p>
        </w:tc>
        <w:tc>
          <w:tcPr>
            <w:tcW w:w="2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Reconciliation of operating income (loss) to adjusted EBITDA:</w:t>
            </w: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3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property disposals, net</w:t>
            </w:r>
          </w:p>
        </w:tc>
        <w:tc>
          <w:tcPr>
            <w:tcW w:w="2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expenses, net</w:t>
            </w:r>
          </w:p>
        </w:tc>
        <w:tc>
          <w:tcPr>
            <w:tcW w:w="2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02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920" w:type="dxa"/>
            <w:vAlign w:val="bottom"/>
            <w:vMerge w:val="restart"/>
          </w:tcPr>
          <w:p>
            <w:pPr>
              <w:jc w:val="right"/>
              <w:ind w:right="2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First Quarter</w:t>
            </w:r>
          </w:p>
        </w:tc>
        <w:tc>
          <w:tcPr>
            <w:tcW w:w="700" w:type="dxa"/>
            <w:vAlign w:val="bottom"/>
            <w:tcBorders>
              <w:bottom w:val="single" w:sz="8" w:color="auto"/>
            </w:tcBorders>
          </w:tcPr>
          <w:p>
            <w:pPr>
              <w:spacing w:after="0"/>
              <w:rPr>
                <w:sz w:val="24"/>
                <w:szCs w:val="24"/>
                <w:color w:val="auto"/>
              </w:rPr>
            </w:pPr>
          </w:p>
        </w:tc>
      </w:tr>
      <w:tr>
        <w:trPr>
          <w:trHeight w:val="264"/>
        </w:trPr>
        <w:tc>
          <w:tcPr>
            <w:tcW w:w="8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Regional Transportation segment (in millions)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6"/>
              </w:rPr>
              <w:t>2013</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r>
      <w:tr>
        <w:trPr>
          <w:trHeight w:val="243"/>
        </w:trPr>
        <w:tc>
          <w:tcPr>
            <w:tcW w:w="8460" w:type="dxa"/>
            <w:vAlign w:val="bottom"/>
            <w:gridSpan w:val="3"/>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15.5</w:t>
            </w:r>
          </w:p>
        </w:tc>
      </w:tr>
      <w:tr>
        <w:trPr>
          <w:trHeight w:val="27"/>
        </w:trPr>
        <w:tc>
          <w:tcPr>
            <w:tcW w:w="10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Losses on property disposals, net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gridSpan w:val="3"/>
          </w:tcPr>
          <w:p>
            <w:pPr>
              <w:ind w:left="380"/>
              <w:spacing w:after="0"/>
              <w:rPr>
                <w:sz w:val="20"/>
                <w:szCs w:val="20"/>
                <w:color w:val="auto"/>
              </w:rPr>
            </w:pPr>
            <w:r>
              <w:rPr>
                <w:rFonts w:ascii="Arial" w:cs="Arial" w:eastAsia="Arial" w:hAnsi="Arial"/>
                <w:sz w:val="18"/>
                <w:szCs w:val="18"/>
                <w:color w:val="auto"/>
              </w:rPr>
              <w:t>Letter of credit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10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Other nonoperating expenses,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w:t>
            </w:r>
          </w:p>
        </w:tc>
      </w:tr>
      <w:tr>
        <w:trPr>
          <w:trHeight w:val="27"/>
        </w:trPr>
        <w:tc>
          <w:tcPr>
            <w:tcW w:w="10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69"/>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First Quarter</w:t>
            </w:r>
          </w:p>
        </w:tc>
        <w:tc>
          <w:tcPr>
            <w:tcW w:w="700" w:type="dxa"/>
            <w:vAlign w:val="bottom"/>
            <w:tcBorders>
              <w:bottom w:val="single" w:sz="8" w:color="auto"/>
            </w:tcBorders>
          </w:tcPr>
          <w:p>
            <w:pPr>
              <w:spacing w:after="0"/>
              <w:rPr>
                <w:sz w:val="24"/>
                <w:szCs w:val="24"/>
                <w:color w:val="auto"/>
              </w:rPr>
            </w:pPr>
          </w:p>
        </w:tc>
      </w:tr>
      <w:tr>
        <w:trPr>
          <w:trHeight w:val="264"/>
        </w:trPr>
        <w:tc>
          <w:tcPr>
            <w:tcW w:w="8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Corporate and other segment (in millions)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6"/>
              </w:rPr>
              <w:t>2013</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8460" w:type="dxa"/>
            <w:vAlign w:val="bottom"/>
            <w:gridSpan w:val="3"/>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10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8460" w:type="dxa"/>
            <w:vAlign w:val="bottom"/>
            <w:gridSpan w:val="3"/>
          </w:tcPr>
          <w:p>
            <w:pPr>
              <w:ind w:left="380"/>
              <w:spacing w:after="0"/>
              <w:rPr>
                <w:sz w:val="20"/>
                <w:szCs w:val="20"/>
                <w:color w:val="auto"/>
              </w:rPr>
            </w:pPr>
            <w:r>
              <w:rPr>
                <w:rFonts w:ascii="Arial" w:cs="Arial" w:eastAsia="Arial" w:hAnsi="Arial"/>
                <w:sz w:val="18"/>
                <w:szCs w:val="18"/>
                <w:color w:val="auto"/>
              </w:rPr>
              <w:t>Restructuring professional fees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10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Permitted dispositions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8460" w:type="dxa"/>
            <w:vAlign w:val="bottom"/>
            <w:gridSpan w:val="3"/>
          </w:tcPr>
          <w:p>
            <w:pPr>
              <w:ind w:left="380"/>
              <w:spacing w:after="0"/>
              <w:rPr>
                <w:sz w:val="20"/>
                <w:szCs w:val="20"/>
                <w:color w:val="auto"/>
              </w:rPr>
            </w:pPr>
            <w:r>
              <w:rPr>
                <w:rFonts w:ascii="Arial" w:cs="Arial" w:eastAsia="Arial" w:hAnsi="Arial"/>
                <w:sz w:val="18"/>
                <w:szCs w:val="18"/>
                <w:color w:val="auto"/>
              </w:rPr>
              <w:t>Equity based compensation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10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Other nonoperating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0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Condition/Liquidity and Capital Resources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and cash equivalents, available borrowings under our $450.0 million New ABL facility and any prospective net operating cash flows from our operations. As of March 31, 2014, we had cash and cash equivalents and availability under the New ABL facility totaling $223.0 million.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uses of cash are to fund our operations, including making contributions to our single-employer pension plans and various multi-employer pension funds, and to meet our other cash obligations, including paying cash interest and principal on our funded debt, letter of credit fees under our credit facilities and funding capital expenditures. For the first quarter of 2014, our cash flow from operating activities used net cash of $56.2 million.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considerable amount of indebtedness. As of March 31, 2014, we had $1,221.0 million in aggregate par value of outstanding indebtedness, the majority of which matures in 2019. We also have considerable future funding obligations for our single-employer pension plans and various multi-employer pension funds. We expect our funding obligations for the remainder of 2014 for our single-employer pension plans and multi-employer pension funds will be $66.1 million and $63.7 million, respectively. In addition, we have, and will continue to have, substantial operating lease obligations. As of March 31, 2014, our minimum rental expense under operating leases for the remainder of the year is $40.9 million. As of March 31, 2014, our operating lease obligations through 2025 totaled $149.3 million and is expected to increase as we lease additional revenue equipment. As of March 31, 2014, our Standard &amp; Poor’s Corporate Family Rating was “CCC+” and Moody’s Investor Service Corporate Family Rating was “B3”.</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capital expenditures for the first quarter of 2014 and 2013 were $11.7 million and $17.2 million, respectively. These amounts were principally used to fund replacement engines and trailer refurbishments for our revenue fleet, capitalized costs for our network facilities and technology infrastructure. Additionally, for the first quarter of 2014, we entered into new operating leases for revenue equipment for $6.4 million, payable over the average lease term of three years. In light of our liquidity needs, we have deferred certain capital expenditures and expect to continue to do so for the foreseeable future. We plan to procure substantially all of our new revenue equipment using operating leases for the remainder of 2014. As a result, the average age of our fleet is increasing, which may affect our maintenance costs and operational efficiency unless we are able to obtain suitable lease financing to meet our replacement equipment needs.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13, 2014, we completed our 2014 Financing Transactions and refinanced the debt associated with our prior credit facilities. We entered into a New Term Loan credit agreement with new financial covenants that, among other things, restricts certain capital expenditures and requires us to maintain a maximum total leverage ratio (defined as Consolidated Total Debt divided by Consolidated Adjusted EBITDA as defined below) for future test periods as follows:</w:t>
      </w:r>
    </w:p>
    <w:p>
      <w:pPr>
        <w:spacing w:after="0" w:line="32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2014</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Consolidated Adjusted EBITDA, as defined in our New Term Loan credit agreement,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 discontinued operations. Consolidated Total Debt, as defined in our New Term Loan credit agreement, is the aggregate principal amount of indebtedness outstanding excluding our fully discharged Series A Notes and our outstanding letters of credit.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2014, we also entered into the New ABL Facility credit agreement which, among other things, restricts certain capital expenditures and requires that the Company, in effect, maintain availability of at least 10% of the lesser of the aggregate amount of commitments from all lenders or the borrowing base.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results of operations will be sufficient to allow us to comply with the covenants in our new credit agreement, fund our operations, increase working capital as necessary to support our planned revenue growth and fund capital expenditures for the foreseeable future, including the next twelve months.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satisfy our liquidity needs and meet future stepped-up covenants beyond the next twelve months is dependent on a number of factors, some of which are outside of our control. These factors include:</w:t>
      </w:r>
    </w:p>
    <w:p>
      <w:pPr>
        <w:spacing w:after="0" w:line="170"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must achieve improvements in our operating results, primarily at our YRC Freight operating segment, which rely upon pricing and shipping volumes and network efficiencies;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must continue to implement and realize cost saving measures, including those identified in the new MOU, to match our costs with business levels and in a manner that does not harm operations and our productivity and efficiency initiatives must be successful; and</w:t>
      </w:r>
    </w:p>
    <w:p>
      <w:pPr>
        <w:jc w:val="both"/>
        <w:ind w:left="660" w:hanging="328"/>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must be able to generate operating cash flows that are sufficient to meet the cash requirements for pension contributions to our single and multi-employer pension funds, cash interest and principal payments on our funded debt, payments on our equipment leases, and for capital expenditures or additional lease payments for new revenue equipment</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our operating results indicate we will not meet our maximum total leverage ratio, we will take action to improve our maximum total leverage ratio which will include paying down our outstanding indebtedness with either cash on hand or from cash proceeds from equity issuances. The issuance of equity is outside of our control and there can be no assurance that we will be able to issue additional equity at terms that are agreeable to us.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that we fail to comply with any New Term Loan covenant or any New ABL Facility covenant, we would be considered in default, which would enable applicable lenders to accelerate the repayment of amounts outstanding, require the cash collateralization of letters of credit (in the case of the New ABL Facility) and exercise remedies with respect to collateral and we would need to seek an amendment or waiver from the applicable lender groups. In the event that our lenders under our New Term Loan or New ABL Facility demand payment or cash collateralization (in the case of the New ABL Facility), we will not have sufficient cash to repay such indebtedness. In addition, a default under our New Term Loan or New ABL Facility or the applicable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lenders exercising their remedies thereunder would trigger cross-default provisions in our other indebtedness and certain other operating agreements. Our ability to amend our New Term Loan or our New ABL Facility or otherwise obtain waivers from the applicable lenders depends on matters that are outside of our control and there can be no assurance that we will be successful in that regard.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operating activities was $56.2 million in the first quarter of 2014 compared to $13.9 million in the first quarter of 2013. This increase in cash utilization is primarily attributable to a $45.7 million year-over-year increase in net losses driven by an increase in operating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cash flows decreased by $78.3 million during the first quarter of 2014 compared to the same period in 2013, largely driven by a net $80.9 million in restricted escrow deposits made in 2014, compared to $4.5 million in receipts in 2013. The 2014 restricted escrow deposits consist mostly of $82.0 million for the New ABL Facility and $89.6 million for the Series A Notes defeasance, offset by the receipt of $90.0 million for the Prior ABL Facility. The net escrow deposits are offset by a $5.5 million decrease in the acquisition of property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financing activities for the first quarter of 2014 was $109.0 million compared to net cash used in financing activities of $2.1 million in the first quarter of 2013. The cash provided during the first quarter of 2014 was driven by the issuance of $693.0 million in long-term debt for the New Term Loan and $250.0 million equity issuance proceeds. These were offset by $789.5 million of repayments on our long-term debt. The repayments primarily consisted of $298.1 million for the Prior Term Loan, $324.9 million for the Prior ABL Facility, $93.9 million repurchase of Series A Notes and $69.4 million for the 6% Notes. We also had $26.7 million in debt issuance costs and $17.1 million in equity issuance costs related to our new debt and equity. During the first quarter of 2013, the use of cash was driven by $2.4 million of repayments on other long-term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March 31, 2014.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March 31, 2014: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Payments Due by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4"/>
        </w:trPr>
        <w:tc>
          <w:tcPr>
            <w:tcW w:w="37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3-5 years</w:t>
            </w: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After 5 years</w:t>
            </w:r>
          </w:p>
        </w:tc>
        <w:tc>
          <w:tcPr>
            <w:tcW w:w="320" w:type="dxa"/>
            <w:vAlign w:val="bottom"/>
          </w:tcPr>
          <w:p>
            <w:pPr>
              <w:spacing w:after="0"/>
              <w:rPr>
                <w:sz w:val="22"/>
                <w:szCs w:val="22"/>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22"/>
                <w:szCs w:val="22"/>
                <w:color w:val="auto"/>
              </w:rPr>
            </w:pPr>
          </w:p>
        </w:tc>
      </w:tr>
      <w:tr>
        <w:trPr>
          <w:trHeight w:val="270"/>
        </w:trPr>
        <w:tc>
          <w:tcPr>
            <w:tcW w:w="37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Balance sheet obligations:</w:t>
            </w:r>
            <w:r>
              <w:rPr>
                <w:rFonts w:ascii="Arial" w:cs="Arial" w:eastAsia="Arial" w:hAnsi="Arial"/>
                <w:sz w:val="25"/>
                <w:szCs w:val="25"/>
                <w:color w:val="auto"/>
                <w:vertAlign w:val="superscript"/>
              </w:rPr>
              <w:t>(a)</w:t>
            </w: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r>
      <w:tr>
        <w:trPr>
          <w:trHeight w:val="229"/>
        </w:trPr>
        <w:tc>
          <w:tcPr>
            <w:tcW w:w="3740" w:type="dxa"/>
            <w:vAlign w:val="bottom"/>
          </w:tcPr>
          <w:p>
            <w:pPr>
              <w:ind w:left="380"/>
              <w:spacing w:after="0"/>
              <w:rPr>
                <w:sz w:val="20"/>
                <w:szCs w:val="20"/>
                <w:color w:val="auto"/>
              </w:rPr>
            </w:pPr>
            <w:r>
              <w:rPr>
                <w:rFonts w:ascii="Arial" w:cs="Arial" w:eastAsia="Arial" w:hAnsi="Arial"/>
                <w:sz w:val="18"/>
                <w:szCs w:val="18"/>
                <w:color w:val="auto"/>
              </w:rPr>
              <w:t>ABL borrowings, including interest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unused line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including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Lease financing obligations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249.0</w:t>
            </w:r>
          </w:p>
        </w:tc>
        <w:tc>
          <w:tcPr>
            <w:tcW w:w="380" w:type="dxa"/>
            <w:vAlign w:val="bottom"/>
          </w:tcPr>
          <w:p>
            <w:pPr>
              <w:ind w:left="80"/>
              <w:spacing w:after="0"/>
              <w:rPr>
                <w:sz w:val="20"/>
                <w:szCs w:val="20"/>
                <w:color w:val="auto"/>
              </w:rPr>
            </w:pPr>
            <w:r>
              <w:rPr>
                <w:rFonts w:ascii="Arial" w:cs="Arial" w:eastAsia="Arial" w:hAnsi="Arial"/>
                <w:sz w:val="13"/>
                <w:szCs w:val="13"/>
                <w:color w:val="auto"/>
              </w:rPr>
              <w:t>(b)</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9"/>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Multi-employer pension deferral obligations,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29"/>
        </w:trPr>
        <w:tc>
          <w:tcPr>
            <w:tcW w:w="3740" w:type="dxa"/>
            <w:vAlign w:val="bottom"/>
          </w:tcPr>
          <w:p>
            <w:pPr>
              <w:ind w:left="380"/>
              <w:spacing w:after="0"/>
              <w:rPr>
                <w:sz w:val="20"/>
                <w:szCs w:val="20"/>
                <w:color w:val="auto"/>
              </w:rPr>
            </w:pPr>
            <w:r>
              <w:rPr>
                <w:rFonts w:ascii="Arial" w:cs="Arial" w:eastAsia="Arial" w:hAnsi="Arial"/>
                <w:sz w:val="18"/>
                <w:szCs w:val="18"/>
                <w:color w:val="auto"/>
                <w:w w:val="90"/>
              </w:rPr>
              <w:t>Workers’ compensation, property damage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liability claims obligations</w:t>
            </w: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388.8</w:t>
            </w:r>
          </w:p>
        </w:tc>
        <w:tc>
          <w:tcPr>
            <w:tcW w:w="380" w:type="dxa"/>
            <w:vAlign w:val="bottom"/>
          </w:tcPr>
          <w:p>
            <w:pPr>
              <w:ind w:left="80"/>
              <w:spacing w:after="0"/>
              <w:rPr>
                <w:sz w:val="20"/>
                <w:szCs w:val="20"/>
                <w:color w:val="auto"/>
              </w:rPr>
            </w:pPr>
            <w:r>
              <w:rPr>
                <w:rFonts w:ascii="Arial" w:cs="Arial" w:eastAsia="Arial" w:hAnsi="Arial"/>
                <w:sz w:val="13"/>
                <w:szCs w:val="13"/>
                <w:color w:val="auto"/>
              </w:rPr>
              <w:t>(c)</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 balance sheet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149.3</w:t>
            </w:r>
          </w:p>
        </w:tc>
        <w:tc>
          <w:tcPr>
            <w:tcW w:w="3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fees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1"/>
                <w:szCs w:val="2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2,082.2</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right="20" w:hanging="332"/>
        <w:spacing w:after="0" w:line="250"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Total liabilities for unrecognized tax benefits as of March 31, 2014 were $27.4 million and are classified on our consolidated balance sheet within “Claims and Other Liabilities” and are excluded from the table above.</w:t>
      </w:r>
    </w:p>
    <w:p>
      <w:pPr>
        <w:ind w:left="34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$249.0 million of lease financing obligation payments represent interest payments of $183.8 million and principal payments of $65.2 million. The remaining principle obligation is offset by the estimated book value of leased property at the expiration date of each lease agreement.</w:t>
      </w:r>
    </w:p>
    <w:p>
      <w:pPr>
        <w:ind w:left="340" w:hanging="332"/>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2014, we entered into new operating leases for revenue equipment of $6.4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95"/>
              </w:rPr>
              <w:t>Amount of Commitment Expiration Per Period</w:t>
            </w: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2"/>
                <w:szCs w:val="22"/>
                <w:color w:val="auto"/>
              </w:rPr>
            </w:pPr>
          </w:p>
        </w:tc>
        <w:tc>
          <w:tcPr>
            <w:tcW w:w="1200" w:type="dxa"/>
            <w:vAlign w:val="bottom"/>
          </w:tcPr>
          <w:p>
            <w:pPr>
              <w:jc w:val="right"/>
              <w:ind w:right="134"/>
              <w:spacing w:after="0"/>
              <w:rPr>
                <w:sz w:val="20"/>
                <w:szCs w:val="20"/>
                <w:color w:val="auto"/>
              </w:rPr>
            </w:pPr>
            <w:r>
              <w:rPr>
                <w:rFonts w:ascii="Arial" w:cs="Arial" w:eastAsia="Arial" w:hAnsi="Arial"/>
                <w:sz w:val="14"/>
                <w:szCs w:val="14"/>
                <w:color w:val="auto"/>
                <w:w w:val="92"/>
              </w:rPr>
              <w:t>Less than 1 year</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1-3 years</w:t>
            </w:r>
          </w:p>
        </w:tc>
        <w:tc>
          <w:tcPr>
            <w:tcW w:w="2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3-5 years</w:t>
            </w:r>
          </w:p>
        </w:tc>
        <w:tc>
          <w:tcPr>
            <w:tcW w:w="1040" w:type="dxa"/>
            <w:vAlign w:val="bottom"/>
          </w:tcPr>
          <w:p>
            <w:pPr>
              <w:jc w:val="right"/>
              <w:spacing w:after="0"/>
              <w:rPr>
                <w:sz w:val="20"/>
                <w:szCs w:val="20"/>
                <w:color w:val="auto"/>
              </w:rPr>
            </w:pPr>
            <w:r>
              <w:rPr>
                <w:rFonts w:ascii="Arial" w:cs="Arial" w:eastAsia="Arial" w:hAnsi="Arial"/>
                <w:sz w:val="14"/>
                <w:szCs w:val="14"/>
                <w:color w:val="auto"/>
              </w:rPr>
              <w:t>After 5 years</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color w:val="auto"/>
              </w:rPr>
              <w:t>Total</w:t>
            </w:r>
          </w:p>
        </w:tc>
      </w:tr>
      <w:tr>
        <w:trPr>
          <w:trHeight w:val="250"/>
        </w:trPr>
        <w:tc>
          <w:tcPr>
            <w:tcW w:w="4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4140" w:type="dxa"/>
            <w:vAlign w:val="bottom"/>
          </w:tcPr>
          <w:p>
            <w:pPr>
              <w:ind w:left="360"/>
              <w:spacing w:after="0" w:line="270" w:lineRule="exact"/>
              <w:rPr>
                <w:sz w:val="20"/>
                <w:szCs w:val="20"/>
                <w:color w:val="auto"/>
              </w:rPr>
            </w:pPr>
            <w:r>
              <w:rPr>
                <w:rFonts w:ascii="Arial" w:cs="Arial" w:eastAsia="Arial" w:hAnsi="Arial"/>
                <w:sz w:val="18"/>
                <w:szCs w:val="18"/>
                <w:color w:val="auto"/>
              </w:rPr>
              <w:t>New ABL Facility</w:t>
            </w:r>
            <w:r>
              <w:rPr>
                <w:rFonts w:ascii="Arial" w:cs="Arial" w:eastAsia="Arial" w:hAnsi="Arial"/>
                <w:sz w:val="25"/>
                <w:szCs w:val="25"/>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3"/>
                <w:szCs w:val="23"/>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82.5</w:t>
            </w: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367.5</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122.2</w:t>
            </w:r>
          </w:p>
        </w:tc>
      </w:tr>
      <w:tr>
        <w:trPr>
          <w:trHeight w:val="27"/>
        </w:trPr>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At March 31, 2014 we held $82.0 million in restricted escrow, which represents cash collateral on our New ABL Facility.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March 31, 2014 and have concluded that our disclosure controls and procedures were effective as of March 31, 2014.</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March 31, 2014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during the quarter to the Risk Factors disclosed in Part I, Item 1A — “Risk Factors” in our annual report on Form 10-K for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the YRC Worldwide Inc. Amended and Restated 2011 Incentive and Equity Award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providing the following disclosure in lieu of providing this information in a current report on Form 8-K pursuant to Item 5.02, “Departure of Directors or Certain Officers; Election of Directors; Appointment of Certain Officers; Compensatory Arrangements of Certain Officers.”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held our annual meeting of stockholders on April 29, 2014 (“Annual Meeting”). At the Annual Meeting, the holders of our outstanding common stock, Series A Voting Preferred Stock, Class A Convertible Preferred Stock (“Convertible Preferred Stock”), 10% Series A Convertible Senior Secured Notes due 2015 (“Series A Notes”), and 10% Series B Convertible Senior Secured Notes due 2015 (“Series B Notes,” and together with the Series A Notes, the “Convertible Notes”) approved the YRC Worldwide Inc. Amended and Restated 2011 Incentive and Equity Award Plan (the “Plan”), including the material terms of the performance goals under which compensation may be paid, which is intended to meet the performance-based compensation exception under Section 162(m) of the Internal Revenue Code, as amended.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description of the material terms of the Plan is set forth under the heading “Proposal 3 Approval of the YRC Worldwide Inc. Amended and Restated 2011 Incentive and Equity Award Plan” in the Company’s proxy statement filed with the Securities and Exchange Commission on March 18, 2014, which description is hereby incorporated by reference into this Item 5. Additionally, a copy of the Plan is included with this Form 10-Q as Exhibit 10.7 and is incorporated herein by reference, and the foregoing summary is qualified in its entirety by reference to the terms and provisions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providing the following disclosure in lieu of providing this information in a current report on Form 8-K pursuant to Item 5.07, “Submission of Matters to a Vote of Security 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our outstanding common stock, Series A Voting Preferred Stock, Convertible Preferred Stock, and Convertible Notes voted together as a single class on all proposals at the Annual Meeting.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share of common stock and Series A Voting Preferred Stock was entitled to one vote. Pursuant to the certificate of designations for the Convertible Preferred Stock, holders of Convertible Preferred Stock were entitled to vote together as a single class with the common stock holders on an as-converted-to-common stock basis on all matters on which our common stockholders were entitled to vote, except that if the conversion of the of the Convertible Preferred Stock resulted in the holder owning more than 19.99% of our issued and outstanding common stock, then the holder did not have voting rights with respect to that portion of the Convertible Preferred Stock owned in excess of that percentage. On the record date, the holder of our Convertible Preferred Stock was entitled to 85,300 votes.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our Amended and Restated Certificate of Incorporation, as amended (“Certificate”) and the indentures governing the Convertible Notes, holders of Convertible Notes were entitled to vote on an as-converted-to-common stock basis on all matters on which holders of common stock were entitled to vote, subject to certain limitations discussed below. Each holder of Series A Notes was entitled, on an as-converted-to-common stock basis, to 29.4067 shares of common stock for each $1,000 principal amount of Series A Notes held on the record date. Each holder of Series B Notes was entitled, on an as-converted-to-common stock basis, to 62.4781 shares of Common Stock per $1,000 principal amount of Series B Notes held on the record date, which includes shares issuable as a Make Whole Premium (as defined in the Series B Notes indenture). However, as described in our Certificate and the Convertible Notes indentures, in order to comply with NASDAQ Listing Rule 5640, each holder of Series A Notes was limited to 0.1089 votes for each share of Common Stock on an as-converted-to-common stock basis and each holder of Series B Notes was limited to 0.0594 votes for each share of Common Stock on an as-converted-to-common stock basis. 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the holders of Series A Notes collectively held 264,210 votes and the holders of Series B Notes collectively held 58,299 votes.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Annual Meeting, holders of our common stock, Series A Voting Preferred Stock, Convertible Preferred Stock and Convertible Notes voted on the following proposals: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nominee was elected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84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Nominees</w:t>
            </w:r>
          </w:p>
        </w:tc>
        <w:tc>
          <w:tcPr>
            <w:tcW w:w="1860" w:type="dxa"/>
            <w:vAlign w:val="bottom"/>
            <w:gridSpan w:val="3"/>
          </w:tcPr>
          <w:p>
            <w:pPr>
              <w:ind w:left="780"/>
              <w:spacing w:after="0"/>
              <w:rPr>
                <w:sz w:val="20"/>
                <w:szCs w:val="20"/>
                <w:color w:val="auto"/>
              </w:rPr>
            </w:pPr>
            <w:r>
              <w:rPr>
                <w:rFonts w:ascii="Arial" w:cs="Arial" w:eastAsia="Arial" w:hAnsi="Arial"/>
                <w:sz w:val="18"/>
                <w:szCs w:val="18"/>
                <w:color w:val="auto"/>
              </w:rPr>
              <w:t>Votes For</w:t>
            </w: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w w:val="89"/>
              </w:rPr>
              <w:t>Votes Withheld</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91"/>
        </w:trPr>
        <w:tc>
          <w:tcPr>
            <w:tcW w:w="2040" w:type="dxa"/>
            <w:vAlign w:val="bottom"/>
            <w:gridSpan w:val="3"/>
          </w:tcPr>
          <w:p>
            <w:pPr>
              <w:spacing w:after="0"/>
              <w:rPr>
                <w:sz w:val="20"/>
                <w:szCs w:val="20"/>
                <w:color w:val="auto"/>
              </w:rPr>
            </w:pPr>
            <w:r>
              <w:rPr>
                <w:rFonts w:ascii="Arial" w:cs="Arial" w:eastAsia="Arial" w:hAnsi="Arial"/>
                <w:sz w:val="18"/>
                <w:szCs w:val="18"/>
                <w:color w:val="auto"/>
              </w:rPr>
              <w:t>Raymond J. Bromark</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14,840,101</w:t>
            </w:r>
          </w:p>
        </w:tc>
        <w:tc>
          <w:tcPr>
            <w:tcW w:w="380" w:type="dxa"/>
            <w:vAlign w:val="bottom"/>
          </w:tcPr>
          <w:p>
            <w:pPr>
              <w:spacing w:after="0"/>
              <w:rPr>
                <w:sz w:val="24"/>
                <w:szCs w:val="24"/>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105,863</w:t>
            </w:r>
          </w:p>
        </w:tc>
      </w:tr>
      <w:tr>
        <w:trPr>
          <w:trHeight w:val="270"/>
        </w:trPr>
        <w:tc>
          <w:tcPr>
            <w:tcW w:w="2040" w:type="dxa"/>
            <w:vAlign w:val="bottom"/>
            <w:gridSpan w:val="3"/>
          </w:tcPr>
          <w:p>
            <w:pPr>
              <w:spacing w:after="0"/>
              <w:rPr>
                <w:sz w:val="20"/>
                <w:szCs w:val="20"/>
                <w:color w:val="auto"/>
              </w:rPr>
            </w:pPr>
            <w:r>
              <w:rPr>
                <w:rFonts w:ascii="Arial" w:cs="Arial" w:eastAsia="Arial" w:hAnsi="Arial"/>
                <w:sz w:val="18"/>
                <w:szCs w:val="18"/>
                <w:color w:val="auto"/>
              </w:rPr>
              <w:t>Matthew A. Doheny</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14,620,494</w:t>
            </w:r>
          </w:p>
        </w:tc>
        <w:tc>
          <w:tcPr>
            <w:tcW w:w="380" w:type="dxa"/>
            <w:vAlign w:val="bottom"/>
          </w:tcPr>
          <w:p>
            <w:pPr>
              <w:spacing w:after="0"/>
              <w:rPr>
                <w:sz w:val="23"/>
                <w:szCs w:val="23"/>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325,470</w:t>
            </w:r>
          </w:p>
        </w:tc>
      </w:tr>
      <w:tr>
        <w:trPr>
          <w:trHeight w:val="270"/>
        </w:trPr>
        <w:tc>
          <w:tcPr>
            <w:tcW w:w="2040" w:type="dxa"/>
            <w:vAlign w:val="bottom"/>
            <w:gridSpan w:val="3"/>
          </w:tcPr>
          <w:p>
            <w:pPr>
              <w:spacing w:after="0"/>
              <w:rPr>
                <w:sz w:val="20"/>
                <w:szCs w:val="20"/>
                <w:color w:val="auto"/>
              </w:rPr>
            </w:pPr>
            <w:r>
              <w:rPr>
                <w:rFonts w:ascii="Arial" w:cs="Arial" w:eastAsia="Arial" w:hAnsi="Arial"/>
                <w:sz w:val="18"/>
                <w:szCs w:val="18"/>
                <w:color w:val="auto"/>
              </w:rPr>
              <w:t>Robert L. Friedman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14,897,297</w:t>
            </w:r>
          </w:p>
        </w:tc>
        <w:tc>
          <w:tcPr>
            <w:tcW w:w="380" w:type="dxa"/>
            <w:vAlign w:val="bottom"/>
          </w:tcPr>
          <w:p>
            <w:pPr>
              <w:spacing w:after="0"/>
              <w:rPr>
                <w:sz w:val="23"/>
                <w:szCs w:val="23"/>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48,667</w:t>
            </w:r>
          </w:p>
        </w:tc>
      </w:tr>
      <w:tr>
        <w:trPr>
          <w:trHeight w:val="270"/>
        </w:trPr>
        <w:tc>
          <w:tcPr>
            <w:tcW w:w="2040" w:type="dxa"/>
            <w:vAlign w:val="bottom"/>
            <w:gridSpan w:val="3"/>
          </w:tcPr>
          <w:p>
            <w:pPr>
              <w:spacing w:after="0"/>
              <w:rPr>
                <w:sz w:val="20"/>
                <w:szCs w:val="20"/>
                <w:color w:val="auto"/>
              </w:rPr>
            </w:pPr>
            <w:r>
              <w:rPr>
                <w:rFonts w:ascii="Arial" w:cs="Arial" w:eastAsia="Arial" w:hAnsi="Arial"/>
                <w:sz w:val="18"/>
                <w:szCs w:val="18"/>
                <w:color w:val="auto"/>
              </w:rPr>
              <w:t>James E. Hoffman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14,668,394</w:t>
            </w:r>
          </w:p>
        </w:tc>
        <w:tc>
          <w:tcPr>
            <w:tcW w:w="380" w:type="dxa"/>
            <w:vAlign w:val="bottom"/>
          </w:tcPr>
          <w:p>
            <w:pPr>
              <w:spacing w:after="0"/>
              <w:rPr>
                <w:sz w:val="23"/>
                <w:szCs w:val="23"/>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277,570</w:t>
            </w:r>
          </w:p>
        </w:tc>
      </w:tr>
      <w:tr>
        <w:trPr>
          <w:trHeight w:val="270"/>
        </w:trPr>
        <w:tc>
          <w:tcPr>
            <w:tcW w:w="2040" w:type="dxa"/>
            <w:vAlign w:val="bottom"/>
            <w:gridSpan w:val="3"/>
          </w:tcPr>
          <w:p>
            <w:pPr>
              <w:spacing w:after="0"/>
              <w:rPr>
                <w:sz w:val="20"/>
                <w:szCs w:val="20"/>
                <w:color w:val="auto"/>
              </w:rPr>
            </w:pPr>
            <w:r>
              <w:rPr>
                <w:rFonts w:ascii="Arial" w:cs="Arial" w:eastAsia="Arial" w:hAnsi="Arial"/>
                <w:sz w:val="18"/>
                <w:szCs w:val="18"/>
                <w:color w:val="auto"/>
              </w:rPr>
              <w:t>Michael J. Kneeland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14,653,831</w:t>
            </w:r>
          </w:p>
        </w:tc>
        <w:tc>
          <w:tcPr>
            <w:tcW w:w="380" w:type="dxa"/>
            <w:vAlign w:val="bottom"/>
          </w:tcPr>
          <w:p>
            <w:pPr>
              <w:spacing w:after="0"/>
              <w:rPr>
                <w:sz w:val="23"/>
                <w:szCs w:val="23"/>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292,133</w:t>
            </w:r>
          </w:p>
        </w:tc>
      </w:tr>
      <w:tr>
        <w:trPr>
          <w:trHeight w:val="270"/>
        </w:trPr>
        <w:tc>
          <w:tcPr>
            <w:tcW w:w="2040" w:type="dxa"/>
            <w:vAlign w:val="bottom"/>
            <w:gridSpan w:val="3"/>
          </w:tcPr>
          <w:p>
            <w:pPr>
              <w:spacing w:after="0"/>
              <w:rPr>
                <w:sz w:val="20"/>
                <w:szCs w:val="20"/>
                <w:color w:val="auto"/>
              </w:rPr>
            </w:pPr>
            <w:r>
              <w:rPr>
                <w:rFonts w:ascii="Arial" w:cs="Arial" w:eastAsia="Arial" w:hAnsi="Arial"/>
                <w:sz w:val="18"/>
                <w:szCs w:val="18"/>
                <w:color w:val="auto"/>
              </w:rPr>
              <w:t>James L. Welch</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14,875,926</w:t>
            </w:r>
          </w:p>
        </w:tc>
        <w:tc>
          <w:tcPr>
            <w:tcW w:w="380" w:type="dxa"/>
            <w:vAlign w:val="bottom"/>
          </w:tcPr>
          <w:p>
            <w:pPr>
              <w:spacing w:after="0"/>
              <w:rPr>
                <w:sz w:val="23"/>
                <w:szCs w:val="23"/>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70,038</w:t>
            </w:r>
          </w:p>
        </w:tc>
      </w:tr>
      <w:tr>
        <w:trPr>
          <w:trHeight w:val="270"/>
        </w:trPr>
        <w:tc>
          <w:tcPr>
            <w:tcW w:w="2040" w:type="dxa"/>
            <w:vAlign w:val="bottom"/>
            <w:gridSpan w:val="3"/>
          </w:tcPr>
          <w:p>
            <w:pPr>
              <w:spacing w:after="0"/>
              <w:rPr>
                <w:sz w:val="20"/>
                <w:szCs w:val="20"/>
                <w:color w:val="auto"/>
              </w:rPr>
            </w:pPr>
            <w:r>
              <w:rPr>
                <w:rFonts w:ascii="Arial" w:cs="Arial" w:eastAsia="Arial" w:hAnsi="Arial"/>
                <w:sz w:val="18"/>
                <w:szCs w:val="18"/>
                <w:color w:val="auto"/>
              </w:rPr>
              <w:t>James F. Winestock</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14,896,637</w:t>
            </w:r>
          </w:p>
        </w:tc>
        <w:tc>
          <w:tcPr>
            <w:tcW w:w="380" w:type="dxa"/>
            <w:vAlign w:val="bottom"/>
          </w:tcPr>
          <w:p>
            <w:pPr>
              <w:spacing w:after="0"/>
              <w:rPr>
                <w:sz w:val="23"/>
                <w:szCs w:val="23"/>
                <w:color w:val="auto"/>
              </w:rPr>
            </w:pPr>
          </w:p>
        </w:tc>
        <w:tc>
          <w:tcPr>
            <w:tcW w:w="14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49,327</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advisory vote on named executive officer compensation was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Votes For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Votes Against</w:t>
            </w:r>
          </w:p>
        </w:tc>
        <w:tc>
          <w:tcPr>
            <w:tcW w:w="2760" w:type="dxa"/>
            <w:vAlign w:val="bottom"/>
            <w:gridSpan w:val="3"/>
          </w:tcPr>
          <w:p>
            <w:pPr>
              <w:jc w:val="center"/>
              <w:ind w:right="600"/>
              <w:spacing w:after="0"/>
              <w:rPr>
                <w:sz w:val="20"/>
                <w:szCs w:val="20"/>
                <w:color w:val="auto"/>
              </w:rPr>
            </w:pPr>
            <w:r>
              <w:rPr>
                <w:rFonts w:ascii="Arial" w:cs="Arial" w:eastAsia="Arial" w:hAnsi="Arial"/>
                <w:sz w:val="18"/>
                <w:szCs w:val="18"/>
                <w:color w:val="auto"/>
                <w:w w:val="91"/>
              </w:rPr>
              <w:t>Votes Abstaining</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0"/>
        </w:trPr>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91"/>
        </w:trPr>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12,688,455</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2,233,080</w:t>
            </w:r>
          </w:p>
        </w:tc>
        <w:tc>
          <w:tcPr>
            <w:tcW w:w="480" w:type="dxa"/>
            <w:vAlign w:val="bottom"/>
          </w:tcPr>
          <w:p>
            <w:pPr>
              <w:spacing w:after="0"/>
              <w:rPr>
                <w:sz w:val="24"/>
                <w:szCs w:val="24"/>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24,429</w:t>
            </w:r>
          </w:p>
        </w:tc>
        <w:tc>
          <w:tcPr>
            <w:tcW w:w="1060" w:type="dxa"/>
            <w:vAlign w:val="bottom"/>
          </w:tcPr>
          <w:p>
            <w:pPr>
              <w:spacing w:after="0"/>
              <w:rPr>
                <w:sz w:val="24"/>
                <w:szCs w:val="24"/>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3,210,685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YRC Worldwide Inc. Amended and Restated 2011 Incentive and Equity Award Plan was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Votes For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Votes Against</w:t>
            </w:r>
          </w:p>
        </w:tc>
        <w:tc>
          <w:tcPr>
            <w:tcW w:w="2760" w:type="dxa"/>
            <w:vAlign w:val="bottom"/>
            <w:gridSpan w:val="3"/>
          </w:tcPr>
          <w:p>
            <w:pPr>
              <w:jc w:val="center"/>
              <w:ind w:right="600"/>
              <w:spacing w:after="0"/>
              <w:rPr>
                <w:sz w:val="20"/>
                <w:szCs w:val="20"/>
                <w:color w:val="auto"/>
              </w:rPr>
            </w:pPr>
            <w:r>
              <w:rPr>
                <w:rFonts w:ascii="Arial" w:cs="Arial" w:eastAsia="Arial" w:hAnsi="Arial"/>
                <w:sz w:val="18"/>
                <w:szCs w:val="18"/>
                <w:color w:val="auto"/>
                <w:w w:val="91"/>
              </w:rPr>
              <w:t>Votes Abstaining</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0"/>
        </w:trPr>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91"/>
        </w:trPr>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13,290,377</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1,633,110</w:t>
            </w:r>
          </w:p>
        </w:tc>
        <w:tc>
          <w:tcPr>
            <w:tcW w:w="480" w:type="dxa"/>
            <w:vAlign w:val="bottom"/>
          </w:tcPr>
          <w:p>
            <w:pPr>
              <w:spacing w:after="0"/>
              <w:rPr>
                <w:sz w:val="24"/>
                <w:szCs w:val="24"/>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22,477</w:t>
            </w:r>
          </w:p>
        </w:tc>
        <w:tc>
          <w:tcPr>
            <w:tcW w:w="1060" w:type="dxa"/>
            <w:vAlign w:val="bottom"/>
          </w:tcPr>
          <w:p>
            <w:pPr>
              <w:spacing w:after="0"/>
              <w:rPr>
                <w:sz w:val="24"/>
                <w:szCs w:val="24"/>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3,210,685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KPMG LLP as our independent registered public accounting firm for 2014 was ratified.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Votes For</w:t>
            </w: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Votes Against</w:t>
            </w:r>
          </w:p>
        </w:tc>
        <w:tc>
          <w:tcPr>
            <w:tcW w:w="5080" w:type="dxa"/>
            <w:vAlign w:val="bottom"/>
            <w:gridSpan w:val="3"/>
          </w:tcPr>
          <w:p>
            <w:pPr>
              <w:jc w:val="center"/>
              <w:ind w:right="2920"/>
              <w:spacing w:after="0"/>
              <w:rPr>
                <w:sz w:val="20"/>
                <w:szCs w:val="20"/>
                <w:color w:val="auto"/>
              </w:rPr>
            </w:pPr>
            <w:r>
              <w:rPr>
                <w:rFonts w:ascii="Arial" w:cs="Arial" w:eastAsia="Arial" w:hAnsi="Arial"/>
                <w:sz w:val="18"/>
                <w:szCs w:val="18"/>
                <w:color w:val="auto"/>
                <w:w w:val="91"/>
              </w:rPr>
              <w:t>Votes Abstaining</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91"/>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3"/>
          </w:tcPr>
          <w:p>
            <w:pPr>
              <w:ind w:left="1980"/>
              <w:spacing w:after="0"/>
              <w:rPr>
                <w:sz w:val="20"/>
                <w:szCs w:val="20"/>
                <w:color w:val="auto"/>
              </w:rPr>
            </w:pPr>
            <w:r>
              <w:rPr>
                <w:rFonts w:ascii="Arial" w:cs="Arial" w:eastAsia="Arial" w:hAnsi="Arial"/>
                <w:sz w:val="18"/>
                <w:szCs w:val="18"/>
                <w:color w:val="auto"/>
              </w:rPr>
              <w:t>17,954,193</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100,138</w:t>
            </w:r>
          </w:p>
        </w:tc>
        <w:tc>
          <w:tcPr>
            <w:tcW w:w="460" w:type="dxa"/>
            <w:vAlign w:val="bottom"/>
          </w:tcPr>
          <w:p>
            <w:pPr>
              <w:spacing w:after="0"/>
              <w:rPr>
                <w:sz w:val="24"/>
                <w:szCs w:val="24"/>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102,318</w:t>
            </w:r>
          </w:p>
        </w:tc>
        <w:tc>
          <w:tcPr>
            <w:tcW w:w="3380" w:type="dxa"/>
            <w:vAlign w:val="bottom"/>
          </w:tcPr>
          <w:p>
            <w:pPr>
              <w:spacing w:after="0"/>
              <w:rPr>
                <w:sz w:val="24"/>
                <w:szCs w:val="24"/>
                <w:color w:val="auto"/>
              </w:rPr>
            </w:pPr>
          </w:p>
        </w:tc>
      </w:tr>
      <w:tr>
        <w:trPr>
          <w:trHeight w:val="419"/>
        </w:trPr>
        <w:tc>
          <w:tcPr>
            <w:tcW w:w="128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2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73"/>
        </w:trPr>
        <w:tc>
          <w:tcPr>
            <w:tcW w:w="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gridSpan w:val="8"/>
          </w:tcPr>
          <w:p>
            <w:pPr>
              <w:ind w:left="140"/>
              <w:spacing w:after="0"/>
              <w:rPr>
                <w:sz w:val="20"/>
                <w:szCs w:val="20"/>
                <w:color w:val="auto"/>
              </w:rPr>
            </w:pPr>
            <w:r>
              <w:rPr>
                <w:rFonts w:ascii="Arial" w:cs="Arial" w:eastAsia="Arial" w:hAnsi="Arial"/>
                <w:sz w:val="18"/>
                <w:szCs w:val="18"/>
                <w:color w:val="auto"/>
                <w:w w:val="92"/>
              </w:rPr>
              <w:t>Amended and Restated Certificate of Incorporation of the Company (incorporated by reference to Exhibit 3.1 to Current Report on Form</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gridSpan w:val="5"/>
          </w:tcPr>
          <w:p>
            <w:pPr>
              <w:ind w:left="140"/>
              <w:spacing w:after="0"/>
              <w:rPr>
                <w:sz w:val="20"/>
                <w:szCs w:val="20"/>
                <w:color w:val="auto"/>
              </w:rPr>
            </w:pPr>
            <w:r>
              <w:rPr>
                <w:rFonts w:ascii="Arial" w:cs="Arial" w:eastAsia="Arial" w:hAnsi="Arial"/>
                <w:sz w:val="18"/>
                <w:szCs w:val="18"/>
                <w:color w:val="auto"/>
              </w:rPr>
              <w:t>8-K, filed on September 16, 2011, File No. 000-12255).</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20" w:type="dxa"/>
            <w:vAlign w:val="bottom"/>
            <w:gridSpan w:val="8"/>
          </w:tcPr>
          <w:p>
            <w:pPr>
              <w:ind w:left="140"/>
              <w:spacing w:after="0"/>
              <w:rPr>
                <w:sz w:val="20"/>
                <w:szCs w:val="20"/>
                <w:color w:val="auto"/>
              </w:rPr>
            </w:pPr>
            <w:r>
              <w:rPr>
                <w:rFonts w:ascii="Arial" w:cs="Arial" w:eastAsia="Arial" w:hAnsi="Arial"/>
                <w:sz w:val="18"/>
                <w:szCs w:val="18"/>
                <w:color w:val="auto"/>
                <w:w w:val="92"/>
              </w:rPr>
              <w:t>Certificate of Elimination of Series B Convertible Preferred Stock (incorporated by reference to Exhibit 3.2 to Current Report on Form 8-</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gridSpan w:val="5"/>
          </w:tcPr>
          <w:p>
            <w:pPr>
              <w:ind w:left="140"/>
              <w:spacing w:after="0"/>
              <w:rPr>
                <w:sz w:val="20"/>
                <w:szCs w:val="20"/>
                <w:color w:val="auto"/>
              </w:rPr>
            </w:pPr>
            <w:r>
              <w:rPr>
                <w:rFonts w:ascii="Arial" w:cs="Arial" w:eastAsia="Arial" w:hAnsi="Arial"/>
                <w:sz w:val="18"/>
                <w:szCs w:val="18"/>
                <w:color w:val="auto"/>
              </w:rPr>
              <w:t>K, filed on December 1, 2011, File No. 000-12255).</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20" w:type="dxa"/>
            <w:vAlign w:val="bottom"/>
            <w:gridSpan w:val="8"/>
          </w:tcPr>
          <w:p>
            <w:pPr>
              <w:ind w:left="140"/>
              <w:spacing w:after="0"/>
              <w:rPr>
                <w:sz w:val="20"/>
                <w:szCs w:val="20"/>
                <w:color w:val="auto"/>
              </w:rPr>
            </w:pPr>
            <w:r>
              <w:rPr>
                <w:rFonts w:ascii="Arial" w:cs="Arial" w:eastAsia="Arial" w:hAnsi="Arial"/>
                <w:sz w:val="18"/>
                <w:szCs w:val="18"/>
                <w:color w:val="auto"/>
                <w:w w:val="93"/>
              </w:rPr>
              <w:t>Certificate of Designations of Series A Voting Preferred Stock (incorporated by reference to Exhibit 3.1 to Current Report on Form 8-K,</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3"/>
          </w:tcPr>
          <w:p>
            <w:pPr>
              <w:ind w:left="140"/>
              <w:spacing w:after="0"/>
              <w:rPr>
                <w:sz w:val="20"/>
                <w:szCs w:val="20"/>
                <w:color w:val="auto"/>
              </w:rPr>
            </w:pPr>
            <w:r>
              <w:rPr>
                <w:rFonts w:ascii="Arial" w:cs="Arial" w:eastAsia="Arial" w:hAnsi="Arial"/>
                <w:sz w:val="18"/>
                <w:szCs w:val="18"/>
                <w:color w:val="auto"/>
                <w:w w:val="99"/>
              </w:rPr>
              <w:t>filed on July 25, 2011, File No. 000-12255).</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3.1.4</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20" w:type="dxa"/>
            <w:vAlign w:val="bottom"/>
            <w:gridSpan w:val="8"/>
          </w:tcPr>
          <w:p>
            <w:pPr>
              <w:ind w:left="140"/>
              <w:spacing w:after="0"/>
              <w:rPr>
                <w:sz w:val="20"/>
                <w:szCs w:val="20"/>
                <w:color w:val="auto"/>
              </w:rPr>
            </w:pPr>
            <w:r>
              <w:rPr>
                <w:rFonts w:ascii="Arial" w:cs="Arial" w:eastAsia="Arial" w:hAnsi="Arial"/>
                <w:sz w:val="18"/>
                <w:szCs w:val="18"/>
                <w:color w:val="auto"/>
                <w:w w:val="93"/>
              </w:rPr>
              <w:t>Certificate of Designations of Series A Convertible Preferred Stock (incorporated by reference to Exhibit 3.1 to Current Report on Form</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gridSpan w:val="5"/>
          </w:tcPr>
          <w:p>
            <w:pPr>
              <w:ind w:left="140"/>
              <w:spacing w:after="0"/>
              <w:rPr>
                <w:sz w:val="20"/>
                <w:szCs w:val="20"/>
                <w:color w:val="auto"/>
              </w:rPr>
            </w:pPr>
            <w:r>
              <w:rPr>
                <w:rFonts w:ascii="Arial" w:cs="Arial" w:eastAsia="Arial" w:hAnsi="Arial"/>
                <w:sz w:val="18"/>
                <w:szCs w:val="18"/>
                <w:color w:val="auto"/>
              </w:rPr>
              <w:t>8-K, filed on January 31, 2014, File No. 000-12255).</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56"/>
        </w:trPr>
        <w:tc>
          <w:tcPr>
            <w:tcW w:w="520" w:type="dxa"/>
            <w:vAlign w:val="bottom"/>
          </w:tcPr>
          <w:p>
            <w:pPr>
              <w:ind w:left="4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20" w:type="dxa"/>
            <w:vAlign w:val="bottom"/>
            <w:gridSpan w:val="8"/>
          </w:tcPr>
          <w:p>
            <w:pPr>
              <w:ind w:left="140"/>
              <w:spacing w:after="0"/>
              <w:rPr>
                <w:sz w:val="20"/>
                <w:szCs w:val="20"/>
                <w:color w:val="auto"/>
              </w:rPr>
            </w:pPr>
            <w:r>
              <w:rPr>
                <w:rFonts w:ascii="Arial" w:cs="Arial" w:eastAsia="Arial" w:hAnsi="Arial"/>
                <w:sz w:val="18"/>
                <w:szCs w:val="18"/>
                <w:color w:val="auto"/>
                <w:w w:val="91"/>
              </w:rPr>
              <w:t>Certificate of Amendment to the Certificate of Incorporation of the Company increasing the number of authorized shares (incorporated by</w:t>
            </w:r>
          </w:p>
        </w:tc>
      </w:tr>
      <w:tr>
        <w:trPr>
          <w:trHeight w:val="230"/>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gridSpan w:val="8"/>
          </w:tcPr>
          <w:p>
            <w:pPr>
              <w:ind w:left="140"/>
              <w:spacing w:after="0"/>
              <w:rPr>
                <w:sz w:val="20"/>
                <w:szCs w:val="20"/>
                <w:color w:val="auto"/>
              </w:rPr>
            </w:pPr>
            <w:r>
              <w:rPr>
                <w:rFonts w:ascii="Arial" w:cs="Arial" w:eastAsia="Arial" w:hAnsi="Arial"/>
                <w:sz w:val="18"/>
                <w:szCs w:val="18"/>
                <w:color w:val="auto"/>
              </w:rPr>
              <w:t>reference to Exhibit 3.1 to Current Report on Form 8-K, filed on March 17, 2014, File No. 000-12255).</w:t>
            </w:r>
          </w:p>
        </w:tc>
      </w:tr>
      <w:tr>
        <w:trPr>
          <w:trHeight w:val="500"/>
        </w:trPr>
        <w:tc>
          <w:tcPr>
            <w:tcW w:w="520" w:type="dxa"/>
            <w:vAlign w:val="bottom"/>
          </w:tcPr>
          <w:p>
            <w:pPr>
              <w:ind w:left="4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gridSpan w:val="8"/>
          </w:tcPr>
          <w:p>
            <w:pPr>
              <w:ind w:left="140"/>
              <w:spacing w:after="0"/>
              <w:rPr>
                <w:sz w:val="20"/>
                <w:szCs w:val="20"/>
                <w:color w:val="auto"/>
              </w:rPr>
            </w:pPr>
            <w:r>
              <w:rPr>
                <w:rFonts w:ascii="Arial" w:cs="Arial" w:eastAsia="Arial" w:hAnsi="Arial"/>
                <w:sz w:val="18"/>
                <w:szCs w:val="18"/>
                <w:color w:val="auto"/>
                <w:w w:val="90"/>
              </w:rPr>
              <w:t>Third Supplemental Indenture, dated as of January 31, 2014, among the Company, as issuer, the subsidiaries party thereto as guarantors</w:t>
            </w:r>
          </w:p>
        </w:tc>
      </w:tr>
    </w:tbl>
    <w:p>
      <w:pPr>
        <w:sectPr>
          <w:pgSz w:w="11900" w:h="16838" w:orient="portrait"/>
          <w:cols w:equalWidth="0" w:num="1">
            <w:col w:w="11400"/>
          </w:cols>
          <w:pgMar w:left="240" w:top="121" w:right="259" w:bottom="0" w:gutter="0" w:footer="0" w:header="0"/>
        </w:sectPr>
      </w:pPr>
    </w:p>
    <w:bookmarkStart w:id="33" w:name="page34"/>
    <w:bookmarkEnd w:id="3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0"/>
              </w:rPr>
              <w:t>and U.S. Bank National Association, as trustee, supplementing the Indenture, dated as of July 22, 2011 (as supplemented and in effect as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7"/>
              </w:rPr>
              <w:t>of the date of the Supplemental Indenture), relating to the Company’s 10% Series B Convertible Senior Secured Notes due 2015</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Current Report on Form 8-K, filed on January 31, 2014, File No. 000-12255).</w:t>
            </w:r>
          </w:p>
        </w:tc>
        <w:tc>
          <w:tcPr>
            <w:tcW w:w="0" w:type="dxa"/>
            <w:vAlign w:val="bottom"/>
          </w:tcPr>
          <w:p>
            <w:pPr>
              <w:spacing w:after="0"/>
              <w:rPr>
                <w:sz w:val="1"/>
                <w:szCs w:val="1"/>
                <w:color w:val="auto"/>
              </w:rPr>
            </w:pPr>
          </w:p>
        </w:tc>
      </w:tr>
      <w:tr>
        <w:trPr>
          <w:trHeight w:val="485"/>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10240" w:type="dxa"/>
            <w:vAlign w:val="bottom"/>
          </w:tcPr>
          <w:p>
            <w:pPr>
              <w:ind w:left="260"/>
              <w:spacing w:after="0"/>
              <w:rPr>
                <w:sz w:val="20"/>
                <w:szCs w:val="20"/>
                <w:color w:val="auto"/>
              </w:rPr>
            </w:pPr>
            <w:r>
              <w:rPr>
                <w:rFonts w:ascii="Arial" w:cs="Arial" w:eastAsia="Arial" w:hAnsi="Arial"/>
                <w:sz w:val="18"/>
                <w:szCs w:val="18"/>
                <w:color w:val="auto"/>
                <w:w w:val="95"/>
              </w:rPr>
              <w:t>Amendment No. 5 to Credit Agreement dated as of January 30, 2014 by and among YRCW Receivables LLC, as borrower, and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lenders party thereto (incorporated by reference to Exhibit 10.1 to current report on Form 8-K, filed on February 5, 2014, File No. 000-</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12255).</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10240" w:type="dxa"/>
            <w:vAlign w:val="bottom"/>
          </w:tcPr>
          <w:p>
            <w:pPr>
              <w:ind w:left="260"/>
              <w:spacing w:after="0"/>
              <w:rPr>
                <w:sz w:val="20"/>
                <w:szCs w:val="20"/>
                <w:color w:val="auto"/>
              </w:rPr>
            </w:pPr>
            <w:r>
              <w:rPr>
                <w:rFonts w:ascii="Arial" w:cs="Arial" w:eastAsia="Arial" w:hAnsi="Arial"/>
                <w:sz w:val="18"/>
                <w:szCs w:val="18"/>
                <w:color w:val="auto"/>
                <w:w w:val="95"/>
              </w:rPr>
              <w:t>Extension of the Agreement for the Restructuring of the YRC Worldwide Inc. Operating Companies, dated February 7, 2014, by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1"/>
              </w:rPr>
              <w:t>among YRC Inc. (d/b/a YRC Freight), USF Holland Inc., New Penn Motor Express, Inc., USF Reddaway Inc. and the Teamsters National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6"/>
              </w:rPr>
              <w:t>Freight Industry Negotiating Committee of the International Brotherhood of Teamsters (incorporated by reference to Exhibit 10.1 to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Current Report on Form 8-K, filed on February 7, 2014, File No. 000-12255).</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10240" w:type="dxa"/>
            <w:vAlign w:val="bottom"/>
          </w:tcPr>
          <w:p>
            <w:pPr>
              <w:ind w:left="260"/>
              <w:spacing w:after="0"/>
              <w:rPr>
                <w:sz w:val="20"/>
                <w:szCs w:val="20"/>
                <w:color w:val="auto"/>
              </w:rPr>
            </w:pPr>
            <w:r>
              <w:rPr>
                <w:rFonts w:ascii="Arial" w:cs="Arial" w:eastAsia="Arial" w:hAnsi="Arial"/>
                <w:sz w:val="18"/>
                <w:szCs w:val="18"/>
                <w:color w:val="auto"/>
                <w:w w:val="91"/>
              </w:rPr>
              <w:t>Consent and Second Amendment to the Amended and Restated Contribution Deferral Agreement, dated as of January 31, 2014, among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YRC Inc., USF Holland Inc., New Penn Motor Express, Inc. and USF Reddaway Inc., collectively as primary obligors, the Trustees for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2"/>
              </w:rPr>
              <w:t>the Central States, Southeast and Southwest Areas Pension Fund, the Wilmington Trust Company, as agent, and the other funds party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4"/>
              </w:rPr>
              <w:t>thereto (incorporated by reference to Exhibit 10.1 to the Current Report on Form 8-K, filed on January 31, 2014, File No. 000-12255).</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10240" w:type="dxa"/>
            <w:vAlign w:val="bottom"/>
          </w:tcPr>
          <w:p>
            <w:pPr>
              <w:ind w:left="260"/>
              <w:spacing w:after="0"/>
              <w:rPr>
                <w:sz w:val="20"/>
                <w:szCs w:val="20"/>
                <w:color w:val="auto"/>
              </w:rPr>
            </w:pPr>
            <w:r>
              <w:rPr>
                <w:rFonts w:ascii="Arial" w:cs="Arial" w:eastAsia="Arial" w:hAnsi="Arial"/>
                <w:sz w:val="18"/>
                <w:szCs w:val="18"/>
                <w:color w:val="auto"/>
                <w:w w:val="92"/>
              </w:rPr>
              <w:t>Letter Agreement, dated as of January 29, 2014 and effective as of January 31, 2014, among Central States, Southeast and Southwest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6"/>
              </w:rPr>
              <w:t>Areas Pension Fund, YRC, Inc., USF Holland Inc., New Penn Motor Express, Inc., USF Reddaway Inc., as primary obligors, YRC</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Worldwide Inc., as primary guarantor, and certain additional guarantors (incorporated by reference to Exhibit 10.2 to Current Report on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Form 8-K, filed on January 31, 2014, File No. 000-12255).</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10240" w:type="dxa"/>
            <w:vAlign w:val="bottom"/>
          </w:tcPr>
          <w:p>
            <w:pPr>
              <w:ind w:left="260"/>
              <w:spacing w:after="0"/>
              <w:rPr>
                <w:sz w:val="20"/>
                <w:szCs w:val="20"/>
                <w:color w:val="auto"/>
              </w:rPr>
            </w:pPr>
            <w:r>
              <w:rPr>
                <w:rFonts w:ascii="Arial" w:cs="Arial" w:eastAsia="Arial" w:hAnsi="Arial"/>
                <w:sz w:val="18"/>
                <w:szCs w:val="18"/>
                <w:color w:val="auto"/>
                <w:w w:val="90"/>
              </w:rPr>
              <w:t>Credit Agreement dated as of February 13, 2014, by and among the Company, as borrower, the subsidiaries of the borrower party thereto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1"/>
              </w:rPr>
              <w:t>from time to time, the lenders from time to time party thereto, and Credit Suisse AG, Cayman Islands Branch, as administrative agent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2"/>
              </w:rPr>
              <w:t>collateral agent for the lenders (incorporated by reference to Exhibit 10.10 to Annual Report on Form 10-K for the year ended December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31, 2013, File No. 000-12255).</w:t>
            </w: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10240" w:type="dxa"/>
            <w:vAlign w:val="bottom"/>
          </w:tcPr>
          <w:p>
            <w:pPr>
              <w:ind w:left="260"/>
              <w:spacing w:after="0"/>
              <w:rPr>
                <w:sz w:val="20"/>
                <w:szCs w:val="20"/>
                <w:color w:val="auto"/>
              </w:rPr>
            </w:pPr>
            <w:r>
              <w:rPr>
                <w:rFonts w:ascii="Arial" w:cs="Arial" w:eastAsia="Arial" w:hAnsi="Arial"/>
                <w:sz w:val="18"/>
                <w:szCs w:val="18"/>
                <w:color w:val="auto"/>
                <w:w w:val="94"/>
              </w:rPr>
              <w:t>Loan and Security Agreement, dated as of February 13, 2014, among the Company, as administrative borrower, the other borrowers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named therein, the guarantors named therein, certain financial institutions, as lenders, and RBS Citizens Business Capital a division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RBS Asset Finance, Inc., a subsidiary of RBS Citizens, N.A., as agent, and RBS Citizens, N.A., Merrill Lynch, Pierce, Fenner &amp; Smith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w w:val="95"/>
              </w:rPr>
              <w:t>and CIT Finance LLC, as joint lead arrangers and joint bookrunners (incorporated by reference to Exhibit 10.11 to Annual Report on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Form 10-K for the year ended December 31, 2013, File No. 000-12255).</w:t>
            </w:r>
          </w:p>
        </w:tc>
        <w:tc>
          <w:tcPr>
            <w:tcW w:w="0" w:type="dxa"/>
            <w:vAlign w:val="bottom"/>
          </w:tcPr>
          <w:p>
            <w:pPr>
              <w:spacing w:after="0"/>
              <w:rPr>
                <w:sz w:val="1"/>
                <w:szCs w:val="1"/>
                <w:color w:val="auto"/>
              </w:rPr>
            </w:pPr>
          </w:p>
        </w:tc>
      </w:tr>
      <w:tr>
        <w:trPr>
          <w:trHeight w:val="270"/>
        </w:trPr>
        <w:tc>
          <w:tcPr>
            <w:tcW w:w="1120" w:type="dxa"/>
            <w:vAlign w:val="bottom"/>
            <w:vMerge w:val="restart"/>
          </w:tcPr>
          <w:p>
            <w:pPr>
              <w:spacing w:after="0"/>
              <w:rPr>
                <w:sz w:val="20"/>
                <w:szCs w:val="20"/>
                <w:color w:val="auto"/>
              </w:rPr>
            </w:pPr>
            <w:r>
              <w:rPr>
                <w:rFonts w:ascii="Arial" w:cs="Arial" w:eastAsia="Arial" w:hAnsi="Arial"/>
                <w:sz w:val="18"/>
                <w:szCs w:val="18"/>
                <w:color w:val="auto"/>
              </w:rPr>
              <w:t>10.7*</w:t>
            </w:r>
          </w:p>
        </w:tc>
        <w:tc>
          <w:tcPr>
            <w:tcW w:w="10240" w:type="dxa"/>
            <w:vAlign w:val="bottom"/>
          </w:tcPr>
          <w:p>
            <w:pPr>
              <w:ind w:left="260"/>
              <w:spacing w:after="0"/>
              <w:rPr>
                <w:sz w:val="20"/>
                <w:szCs w:val="20"/>
                <w:color w:val="auto"/>
              </w:rPr>
            </w:pPr>
            <w:r>
              <w:rPr>
                <w:rFonts w:ascii="Arial" w:cs="Arial" w:eastAsia="Arial" w:hAnsi="Arial"/>
                <w:sz w:val="18"/>
                <w:szCs w:val="18"/>
                <w:color w:val="auto"/>
              </w:rPr>
              <w:t>YRC Worldwide Inc. Amended and Restated 2011 Incentive and Equity Award Plan</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tcPr>
          <w:p>
            <w:pPr>
              <w:ind w:left="260"/>
              <w:spacing w:after="0"/>
              <w:rPr>
                <w:sz w:val="20"/>
                <w:szCs w:val="20"/>
                <w:color w:val="auto"/>
              </w:rPr>
            </w:pPr>
            <w:r>
              <w:rPr>
                <w:rFonts w:ascii="Arial" w:cs="Arial" w:eastAsia="Arial" w:hAnsi="Arial"/>
                <w:sz w:val="18"/>
                <w:szCs w:val="18"/>
                <w:color w:val="auto"/>
                <w:w w:val="94"/>
              </w:rPr>
              <w:t>Certification of James L. Welch filed pursuant to Exchange Act Rules 13a-14 and 15d-14, as adopted pursuant to Section 302 of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tcPr>
          <w:p>
            <w:pPr>
              <w:ind w:left="260"/>
              <w:spacing w:after="0"/>
              <w:rPr>
                <w:sz w:val="20"/>
                <w:szCs w:val="20"/>
                <w:color w:val="auto"/>
              </w:rPr>
            </w:pPr>
            <w:r>
              <w:rPr>
                <w:rFonts w:ascii="Arial" w:cs="Arial" w:eastAsia="Arial" w:hAnsi="Arial"/>
                <w:sz w:val="18"/>
                <w:szCs w:val="18"/>
                <w:color w:val="auto"/>
                <w:w w:val="93"/>
              </w:rPr>
              <w:t>Certification of Jamie G. Pierson filed pursuant to Exchange Act Rules 13a-14 and 15d-14, as adopted pursuant to Section 302 of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tcPr>
          <w:p>
            <w:pPr>
              <w:ind w:left="260"/>
              <w:spacing w:after="0"/>
              <w:rPr>
                <w:sz w:val="20"/>
                <w:szCs w:val="20"/>
                <w:color w:val="auto"/>
              </w:rPr>
            </w:pPr>
            <w:r>
              <w:rPr>
                <w:rFonts w:ascii="Arial" w:cs="Arial" w:eastAsia="Arial" w:hAnsi="Arial"/>
                <w:sz w:val="18"/>
                <w:szCs w:val="18"/>
                <w:color w:val="auto"/>
                <w:w w:val="91"/>
              </w:rPr>
              <w:t>Certification of James L. Welch furnished pursuant to 18 U.S.C. Section 1350, as adopted pursuant to Section 906 of the Sarbanes-Oxley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tcPr>
          <w:p>
            <w:pPr>
              <w:ind w:left="260"/>
              <w:spacing w:after="0"/>
              <w:rPr>
                <w:sz w:val="20"/>
                <w:szCs w:val="20"/>
                <w:color w:val="auto"/>
              </w:rPr>
            </w:pPr>
            <w:r>
              <w:rPr>
                <w:rFonts w:ascii="Arial" w:cs="Arial" w:eastAsia="Arial" w:hAnsi="Arial"/>
                <w:sz w:val="18"/>
                <w:szCs w:val="18"/>
                <w:color w:val="auto"/>
                <w:w w:val="90"/>
              </w:rPr>
              <w:t>Certification of Jamie G. Pierson furnished pursuant to 18 U.S.C. Section 1350, as adopted pursuant to Section 906 of the Sarbanes-Oxley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500"/>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right="2120" w:firstLine="8"/>
        <w:spacing w:after="0" w:line="250" w:lineRule="auto"/>
        <w:tabs>
          <w:tab w:leader="none" w:pos="3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Confidential portions of this exhibit have been filed separately with the SEC pursuant to a request for confidential treatment. * Indicates documents filed herewith</w:t>
      </w:r>
    </w:p>
    <w:p>
      <w:pPr>
        <w:ind w:left="340" w:hanging="324"/>
        <w:spacing w:after="0" w:line="255" w:lineRule="auto"/>
        <w:rPr>
          <w:rFonts w:ascii="Arial" w:cs="Arial" w:eastAsia="Arial" w:hAnsi="Arial"/>
          <w:sz w:val="18"/>
          <w:szCs w:val="18"/>
          <w:color w:val="auto"/>
        </w:rPr>
      </w:pPr>
      <w:r>
        <w:rPr>
          <w:rFonts w:ascii="Arial" w:cs="Arial" w:eastAsia="Arial" w:hAnsi="Arial"/>
          <w:sz w:val="18"/>
          <w:szCs w:val="18"/>
          <w:color w:val="auto"/>
        </w:rPr>
        <w:t>** XBRL (Extensible Business Reporting Language) information is furnished and not filed or a part of a registration statement or prospectus for purposes of Section 11 or 12 of the Securities Act of 1933, is deemed not filed for purposes of section 18 of the Securities Exchange Act of 1934, and otherwise is not subject to liability under these sections.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YRC WORLDWIDE INC.</w:t>
            </w:r>
          </w:p>
        </w:tc>
      </w:tr>
      <w:tr>
        <w:trPr>
          <w:trHeight w:val="918"/>
        </w:trPr>
        <w:tc>
          <w:tcPr>
            <w:tcW w:w="5580" w:type="dxa"/>
            <w:vAlign w:val="bottom"/>
          </w:tcPr>
          <w:p>
            <w:pPr>
              <w:spacing w:after="0"/>
              <w:rPr>
                <w:sz w:val="20"/>
                <w:szCs w:val="20"/>
                <w:color w:val="auto"/>
              </w:rPr>
            </w:pPr>
            <w:r>
              <w:rPr>
                <w:rFonts w:ascii="Arial" w:cs="Arial" w:eastAsia="Arial" w:hAnsi="Arial"/>
                <w:sz w:val="18"/>
                <w:szCs w:val="18"/>
                <w:color w:val="auto"/>
              </w:rPr>
              <w:t>Date: May 1, 2014</w:t>
            </w:r>
          </w:p>
        </w:tc>
        <w:tc>
          <w:tcPr>
            <w:tcW w:w="5800" w:type="dxa"/>
            <w:vAlign w:val="bottom"/>
          </w:tcPr>
          <w:p>
            <w:pPr>
              <w:ind w:left="120"/>
              <w:spacing w:after="0"/>
              <w:rPr>
                <w:sz w:val="20"/>
                <w:szCs w:val="20"/>
                <w:color w:val="auto"/>
              </w:rPr>
            </w:pPr>
            <w:r>
              <w:rPr>
                <w:rFonts w:ascii="Arial" w:cs="Arial" w:eastAsia="Arial" w:hAnsi="Arial"/>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Arial" w:cs="Arial" w:eastAsia="Arial" w:hAnsi="Arial"/>
                <w:sz w:val="18"/>
                <w:szCs w:val="18"/>
                <w:color w:val="auto"/>
              </w:rPr>
              <w:t>Date: May 1, 2014</w:t>
            </w:r>
          </w:p>
        </w:tc>
        <w:tc>
          <w:tcPr>
            <w:tcW w:w="5800" w:type="dxa"/>
            <w:vAlign w:val="bottom"/>
          </w:tcPr>
          <w:p>
            <w:pPr>
              <w:ind w:left="120"/>
              <w:spacing w:after="0"/>
              <w:rPr>
                <w:sz w:val="20"/>
                <w:szCs w:val="20"/>
                <w:color w:val="auto"/>
              </w:rPr>
            </w:pPr>
            <w:r>
              <w:rPr>
                <w:rFonts w:ascii="Arial" w:cs="Arial" w:eastAsia="Arial" w:hAnsi="Arial"/>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122" w:right="239" w:bottom="1440" w:gutter="0" w:footer="0" w:header="0"/>
        </w:sectPr>
      </w:pPr>
    </w:p>
    <w:bookmarkStart w:id="35" w:name="page36"/>
    <w:bookmarkEnd w:id="35"/>
    <w:p>
      <w:pPr>
        <w:jc w:val="center"/>
        <w:ind w:right="420"/>
        <w:spacing w:after="0"/>
        <w:rPr>
          <w:sz w:val="20"/>
          <w:szCs w:val="20"/>
          <w:color w:val="auto"/>
        </w:rPr>
      </w:pPr>
      <w:r>
        <w:rPr>
          <w:rFonts w:ascii="Arial" w:cs="Arial" w:eastAsia="Arial" w:hAnsi="Arial"/>
          <w:sz w:val="18"/>
          <w:szCs w:val="18"/>
          <w:b w:val="1"/>
          <w:bCs w:val="1"/>
          <w:color w:val="auto"/>
        </w:rPr>
        <w:t>YRC WORLDWIDE INC.</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AMENDED AND RESTATED 2011 INCENTIVE AND EQUITY AWARD PLAN</w:t>
      </w:r>
    </w:p>
    <w:p>
      <w:pPr>
        <w:spacing w:after="0" w:line="225" w:lineRule="exact"/>
        <w:rPr>
          <w:sz w:val="20"/>
          <w:szCs w:val="20"/>
          <w:color w:val="auto"/>
        </w:rPr>
      </w:pPr>
    </w:p>
    <w:p>
      <w:pPr>
        <w:ind w:left="180" w:hanging="180"/>
        <w:spacing w:after="0"/>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In this Plan, except where the context otherwise indicates, the following definitions shall apply:</w:t>
      </w:r>
    </w:p>
    <w:p>
      <w:pPr>
        <w:spacing w:after="0" w:line="117" w:lineRule="exact"/>
        <w:rPr>
          <w:sz w:val="20"/>
          <w:szCs w:val="20"/>
          <w:color w:val="auto"/>
        </w:rPr>
      </w:pPr>
    </w:p>
    <w:p>
      <w:pPr>
        <w:jc w:val="both"/>
        <w:ind w:right="520" w:firstLine="432"/>
        <w:spacing w:after="0" w:line="26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a corporation, partnership, business trust, limited liability company, or other form of business organization at least a majority of the total combined voting power of all classes of stock or other equity interests of which is owned by the Company, either directly or indirectly.</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means a written agreement or other document evidencing an Award that shall be in such form as the Committee may specify.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Committee in its discretion may, but need not, require a Participant to sign an Agreement.</w:t>
      </w:r>
    </w:p>
    <w:p>
      <w:pPr>
        <w:spacing w:after="0" w:line="99" w:lineRule="exact"/>
        <w:rPr>
          <w:sz w:val="20"/>
          <w:szCs w:val="20"/>
          <w:color w:val="auto"/>
        </w:rPr>
      </w:pPr>
    </w:p>
    <w:p>
      <w:pPr>
        <w:ind w:right="60" w:firstLine="432"/>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“Automatic Adjustment Event”</w:t>
      </w:r>
      <w:r>
        <w:rPr>
          <w:rFonts w:ascii="Arial" w:cs="Arial" w:eastAsia="Arial" w:hAnsi="Arial"/>
          <w:sz w:val="18"/>
          <w:szCs w:val="18"/>
          <w:color w:val="auto"/>
        </w:rPr>
        <w:t xml:space="preserve"> means a change in the outstanding Common Stock by reason of a stock dividend, stock split, reverse stock split, combination or exchange of shares, merger, consolidation, spin-off, recapitalization or any other similar transaction.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“Award”</w:t>
      </w:r>
      <w:r>
        <w:rPr>
          <w:rFonts w:ascii="Arial" w:cs="Arial" w:eastAsia="Arial" w:hAnsi="Arial"/>
          <w:sz w:val="18"/>
          <w:szCs w:val="18"/>
          <w:color w:val="auto"/>
        </w:rPr>
        <w:t xml:space="preserve"> means a grant of:</w:t>
      </w:r>
    </w:p>
    <w:p>
      <w:pPr>
        <w:spacing w:after="0" w:line="121" w:lineRule="exact"/>
        <w:rPr>
          <w:sz w:val="20"/>
          <w:szCs w:val="20"/>
          <w:color w:val="auto"/>
        </w:rPr>
      </w:pPr>
    </w:p>
    <w:p>
      <w:pPr>
        <w:ind w:left="1440" w:hanging="454"/>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Option;</w:t>
      </w:r>
    </w:p>
    <w:p>
      <w:pPr>
        <w:spacing w:after="0" w:line="117" w:lineRule="exact"/>
        <w:rPr>
          <w:rFonts w:ascii="Arial" w:cs="Arial" w:eastAsia="Arial" w:hAnsi="Arial"/>
          <w:sz w:val="18"/>
          <w:szCs w:val="18"/>
          <w:color w:val="auto"/>
        </w:rPr>
      </w:pPr>
    </w:p>
    <w:p>
      <w:pPr>
        <w:ind w:left="1440" w:hanging="454"/>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SAR;</w:t>
      </w:r>
    </w:p>
    <w:p>
      <w:pPr>
        <w:spacing w:after="0" w:line="117" w:lineRule="exact"/>
        <w:rPr>
          <w:rFonts w:ascii="Arial" w:cs="Arial" w:eastAsia="Arial" w:hAnsi="Arial"/>
          <w:sz w:val="18"/>
          <w:szCs w:val="18"/>
          <w:color w:val="auto"/>
        </w:rPr>
      </w:pPr>
    </w:p>
    <w:p>
      <w:pPr>
        <w:ind w:left="1440" w:hanging="454"/>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117" w:lineRule="exact"/>
        <w:rPr>
          <w:rFonts w:ascii="Arial" w:cs="Arial" w:eastAsia="Arial" w:hAnsi="Arial"/>
          <w:sz w:val="18"/>
          <w:szCs w:val="18"/>
          <w:color w:val="auto"/>
        </w:rPr>
      </w:pPr>
    </w:p>
    <w:p>
      <w:pPr>
        <w:ind w:left="1440" w:hanging="454"/>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Restricted Stock Unit;</w:t>
      </w:r>
    </w:p>
    <w:p>
      <w:pPr>
        <w:spacing w:after="0" w:line="117" w:lineRule="exact"/>
        <w:rPr>
          <w:rFonts w:ascii="Arial" w:cs="Arial" w:eastAsia="Arial" w:hAnsi="Arial"/>
          <w:sz w:val="18"/>
          <w:szCs w:val="18"/>
          <w:color w:val="auto"/>
        </w:rPr>
      </w:pPr>
    </w:p>
    <w:p>
      <w:pPr>
        <w:ind w:left="1440" w:hanging="454"/>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Performance Award;</w:t>
      </w:r>
    </w:p>
    <w:p>
      <w:pPr>
        <w:spacing w:after="0" w:line="117" w:lineRule="exact"/>
        <w:rPr>
          <w:rFonts w:ascii="Arial" w:cs="Arial" w:eastAsia="Arial" w:hAnsi="Arial"/>
          <w:sz w:val="18"/>
          <w:szCs w:val="18"/>
          <w:color w:val="auto"/>
        </w:rPr>
      </w:pPr>
    </w:p>
    <w:p>
      <w:pPr>
        <w:ind w:left="1440" w:hanging="454"/>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Other Stock-Based Award; or</w:t>
      </w:r>
    </w:p>
    <w:p>
      <w:pPr>
        <w:spacing w:after="0" w:line="117" w:lineRule="exact"/>
        <w:rPr>
          <w:rFonts w:ascii="Arial" w:cs="Arial" w:eastAsia="Arial" w:hAnsi="Arial"/>
          <w:sz w:val="18"/>
          <w:szCs w:val="18"/>
          <w:color w:val="auto"/>
        </w:rPr>
      </w:pPr>
    </w:p>
    <w:p>
      <w:pPr>
        <w:ind w:left="1440" w:hanging="454"/>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Cash Award.</w:t>
      </w:r>
    </w:p>
    <w:p>
      <w:pPr>
        <w:spacing w:after="0" w:line="113"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Board of Directors of the Company.</w:t>
      </w:r>
    </w:p>
    <w:p>
      <w:pPr>
        <w:spacing w:after="0" w:line="117"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 xml:space="preserve">“Cash Award” </w:t>
      </w:r>
      <w:r>
        <w:rPr>
          <w:rFonts w:ascii="Arial" w:cs="Arial" w:eastAsia="Arial" w:hAnsi="Arial"/>
          <w:sz w:val="16"/>
          <w:szCs w:val="16"/>
          <w:color w:val="auto"/>
        </w:rPr>
        <w:t>means a cash incentive payment described in Section 14.</w:t>
      </w:r>
    </w:p>
    <w:p>
      <w:pPr>
        <w:spacing w:after="0" w:line="117"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amended.</w:t>
      </w:r>
    </w:p>
    <w:p>
      <w:pPr>
        <w:spacing w:after="0" w:line="117"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color w:val="auto"/>
        </w:rPr>
        <w:t>“Committee”</w:t>
      </w:r>
      <w:r>
        <w:rPr>
          <w:rFonts w:ascii="Arial" w:cs="Arial" w:eastAsia="Arial" w:hAnsi="Arial"/>
          <w:sz w:val="16"/>
          <w:szCs w:val="16"/>
          <w:color w:val="auto"/>
        </w:rPr>
        <w:t xml:space="preserve"> means the Compensation Committee of the Board. The Committee shall consist of at least two individuals, each of whom qualifies as (a) a Non-Employee Director, (b) an “outside director” pursuant to Section 162(m) of the Code and the regulations issued thereunder, and</w:t>
      </w:r>
    </w:p>
    <w:p>
      <w:pPr>
        <w:spacing w:after="0" w:line="1" w:lineRule="exact"/>
        <w:rPr>
          <w:sz w:val="20"/>
          <w:szCs w:val="20"/>
          <w:color w:val="auto"/>
        </w:rPr>
      </w:pPr>
    </w:p>
    <w:p>
      <w:pPr>
        <w:ind w:right="20"/>
        <w:spacing w:after="0" w:line="268" w:lineRule="auto"/>
        <w:tabs>
          <w:tab w:leader="none" w:pos="2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“independent director” under the rules of the principal securities market on which the Company’s Shares are traded. Reference to the Committee shall refer to the Board if the Compensation Committee ceases to exist and the Board does not appoint a successor Committee. In its sole discretion, the Committee may delegate to a committee, a subcommittee or one or more persons the authority to grant or amend Awards to Participants other than Awards to senior executives of the Company who are subject to Section 16 of the Securities Exchange Act of 1934, as amended (the “Exchange Act”), or “covered employees” within the meaning of Section 162(m) of the Code. The Board may at any time and from time to time exercise any and all rights and duties of the Committee under the Plan except with respect to matters which under Rule 16b-3 under the Exchange Act or Section 162(m) of the Code, or any regulations or rules issued thereunder, are required to be determined in the sole discretion of independent outside directors. Notwithstanding the foregoing, the full Board, acting by a majority of its members in office, shall conduct the general administration of the Plan with respect to Awards granted to Non-Employee Directors and for purposes of such Awards the term “Committee” as used in this Plan shall be deemed to refer to the Board unless the Board determines otherwise.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means the Company’s common stock, par value $0.01 per share.</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YRC Worldwide Inc. and any successor thereto.</w:t>
      </w:r>
    </w:p>
    <w:p>
      <w:pPr>
        <w:spacing w:after="0" w:line="117"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“Date of Exercise”</w:t>
      </w:r>
      <w:r>
        <w:rPr>
          <w:rFonts w:ascii="Arial" w:cs="Arial" w:eastAsia="Arial" w:hAnsi="Arial"/>
          <w:sz w:val="18"/>
          <w:szCs w:val="18"/>
          <w:color w:val="auto"/>
        </w:rPr>
        <w:t xml:space="preserve"> means the date on which the Company receives notice of the exercise of an Option or SAR in accordance with the terms of Section 8.</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“Date of Grant”</w:t>
      </w:r>
      <w:r>
        <w:rPr>
          <w:rFonts w:ascii="Arial" w:cs="Arial" w:eastAsia="Arial" w:hAnsi="Arial"/>
          <w:sz w:val="18"/>
          <w:szCs w:val="18"/>
          <w:color w:val="auto"/>
        </w:rPr>
        <w:t xml:space="preserve"> means the date on which an Award is granted under this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“Eligible Person”</w:t>
      </w:r>
      <w:r>
        <w:rPr>
          <w:rFonts w:ascii="Arial" w:cs="Arial" w:eastAsia="Arial" w:hAnsi="Arial"/>
          <w:sz w:val="18"/>
          <w:szCs w:val="18"/>
          <w:color w:val="auto"/>
        </w:rPr>
        <w:t xml:space="preserve"> means any person who is:</w:t>
      </w:r>
    </w:p>
    <w:p>
      <w:pPr>
        <w:spacing w:after="0" w:line="121" w:lineRule="exact"/>
        <w:rPr>
          <w:sz w:val="20"/>
          <w:szCs w:val="20"/>
          <w:color w:val="auto"/>
        </w:rPr>
      </w:pPr>
    </w:p>
    <w:p>
      <w:pPr>
        <w:ind w:left="1100" w:hanging="235"/>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Employee;</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hired to be an Employee;</w:t>
      </w:r>
    </w:p>
    <w:p>
      <w:pPr>
        <w:sectPr>
          <w:pgSz w:w="11900" w:h="16838" w:orient="portrait"/>
          <w:cols w:equalWidth="0" w:num="1">
            <w:col w:w="10960"/>
          </w:cols>
          <w:pgMar w:left="680" w:top="796" w:right="259" w:bottom="1440" w:gutter="0" w:footer="0" w:header="0"/>
        </w:sectPr>
      </w:pPr>
    </w:p>
    <w:bookmarkStart w:id="36" w:name="page37"/>
    <w:bookmarkEnd w:id="36"/>
    <w:p>
      <w:pPr>
        <w:ind w:left="1100" w:hanging="235"/>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Non-Employee Director; or</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consultant or independent contractor to the Company or an Affiliate.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any person that the Committee determines to be an employee of the Company or an Affiliate.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means the price per Share at which an Option may be exercised.</w:t>
      </w:r>
    </w:p>
    <w:p>
      <w:pPr>
        <w:spacing w:after="0" w:line="117" w:lineRule="exact"/>
        <w:rPr>
          <w:sz w:val="20"/>
          <w:szCs w:val="20"/>
          <w:color w:val="auto"/>
        </w:rPr>
      </w:pPr>
    </w:p>
    <w:p>
      <w:pPr>
        <w:ind w:firstLine="432"/>
        <w:spacing w:after="0" w:line="281"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b w:val="1"/>
          <w:bCs w:val="1"/>
          <w:color w:val="auto"/>
        </w:rPr>
        <w:t>“Fair Market Value”</w:t>
      </w:r>
      <w:r>
        <w:rPr>
          <w:rFonts w:ascii="Arial" w:cs="Arial" w:eastAsia="Arial" w:hAnsi="Arial"/>
          <w:sz w:val="17"/>
          <w:szCs w:val="17"/>
          <w:color w:val="auto"/>
        </w:rPr>
        <w:t xml:space="preserve"> means an amount equal to the then fair market value of a Share as determined by the Committee pursuant to a reasonable method adopted in good faith for such purpose. Unless the Committee determines otherwise, if the Common Stock is traded on a securities exchange or automated dealer quotation system, fair market value shall be the last sale price for a Share, as of the relevant date, on such securities exchange or automated dealer quotation system as reported by such source as the Committee may select.</w:t>
      </w:r>
    </w:p>
    <w:p>
      <w:pPr>
        <w:spacing w:after="0" w:line="57" w:lineRule="exact"/>
        <w:rPr>
          <w:sz w:val="20"/>
          <w:szCs w:val="20"/>
          <w:color w:val="auto"/>
        </w:rPr>
      </w:pPr>
    </w:p>
    <w:p>
      <w:pPr>
        <w:ind w:right="340" w:firstLine="432"/>
        <w:spacing w:after="0" w:line="282"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“Incentive Stock Option”</w:t>
      </w:r>
      <w:r>
        <w:rPr>
          <w:rFonts w:ascii="Arial" w:cs="Arial" w:eastAsia="Arial" w:hAnsi="Arial"/>
          <w:sz w:val="18"/>
          <w:szCs w:val="18"/>
          <w:color w:val="auto"/>
        </w:rPr>
        <w:t xml:space="preserve"> means an Option granted under this Plan that the Committee designates as an incentive stock option under Section 422 of the Code.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b w:val="1"/>
          <w:bCs w:val="1"/>
          <w:color w:val="auto"/>
        </w:rPr>
        <w:t>“Non-Employee Director”</w:t>
      </w:r>
      <w:r>
        <w:rPr>
          <w:rFonts w:ascii="Arial" w:cs="Arial" w:eastAsia="Arial" w:hAnsi="Arial"/>
          <w:sz w:val="17"/>
          <w:szCs w:val="17"/>
          <w:color w:val="auto"/>
        </w:rPr>
        <w:t xml:space="preserve"> means any member of the Company’s or an Affiliate’s Board of Directors who is not an Employee.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xml:space="preserve"> means an Option granted under this Plan that is not an Incentive Stock Option.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an option to purchase Shares granted under this Plan in accordance with the terms of Section 6.</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“Option Period”</w:t>
      </w:r>
      <w:r>
        <w:rPr>
          <w:rFonts w:ascii="Arial" w:cs="Arial" w:eastAsia="Arial" w:hAnsi="Arial"/>
          <w:sz w:val="18"/>
          <w:szCs w:val="18"/>
          <w:color w:val="auto"/>
        </w:rPr>
        <w:t xml:space="preserve"> means the period during which an Option may be exercised.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“Other Stock-Based Award”</w:t>
      </w:r>
      <w:r>
        <w:rPr>
          <w:rFonts w:ascii="Arial" w:cs="Arial" w:eastAsia="Arial" w:hAnsi="Arial"/>
          <w:sz w:val="18"/>
          <w:szCs w:val="18"/>
          <w:color w:val="auto"/>
        </w:rPr>
        <w:t xml:space="preserve"> means an Other Stock Based Award as defined in Section 13.</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means an Eligible Person who has been granted an Award hereunder.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“Performance Award”</w:t>
      </w:r>
      <w:r>
        <w:rPr>
          <w:rFonts w:ascii="Arial" w:cs="Arial" w:eastAsia="Arial" w:hAnsi="Arial"/>
          <w:sz w:val="18"/>
          <w:szCs w:val="18"/>
          <w:color w:val="auto"/>
        </w:rPr>
        <w:t xml:space="preserve"> means a performance award granted under this Plan in accordance with the terms of Section 11.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“Performance Goals”</w:t>
      </w:r>
      <w:r>
        <w:rPr>
          <w:rFonts w:ascii="Arial" w:cs="Arial" w:eastAsia="Arial" w:hAnsi="Arial"/>
          <w:sz w:val="18"/>
          <w:szCs w:val="18"/>
          <w:color w:val="auto"/>
        </w:rPr>
        <w:t xml:space="preserve"> means performance-based goals that the Committee establishes, which may be based on:</w:t>
      </w:r>
    </w:p>
    <w:p>
      <w:pPr>
        <w:spacing w:after="0" w:line="121" w:lineRule="exact"/>
        <w:rPr>
          <w:sz w:val="20"/>
          <w:szCs w:val="20"/>
          <w:color w:val="auto"/>
        </w:rPr>
      </w:pPr>
    </w:p>
    <w:p>
      <w:pPr>
        <w:ind w:left="1100" w:hanging="235"/>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accounts receivable targets;</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satisfactory internal or external audits;</w:t>
      </w:r>
    </w:p>
    <w:p>
      <w:pPr>
        <w:spacing w:after="0" w:line="117" w:lineRule="exact"/>
        <w:rPr>
          <w:rFonts w:ascii="Arial" w:cs="Arial" w:eastAsia="Arial" w:hAnsi="Arial"/>
          <w:sz w:val="18"/>
          <w:szCs w:val="18"/>
          <w:color w:val="auto"/>
        </w:rPr>
      </w:pPr>
    </w:p>
    <w:p>
      <w:pPr>
        <w:ind w:left="1100" w:hanging="235"/>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achievement of balance sheet or income statement objectives;</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117" w:lineRule="exact"/>
        <w:rPr>
          <w:rFonts w:ascii="Arial" w:cs="Arial" w:eastAsia="Arial" w:hAnsi="Arial"/>
          <w:sz w:val="18"/>
          <w:szCs w:val="18"/>
          <w:color w:val="auto"/>
        </w:rPr>
      </w:pPr>
    </w:p>
    <w:p>
      <w:pPr>
        <w:ind w:left="1100" w:hanging="235"/>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customer and/or employee satisfaction metrics and achievement of customer and/or employee satisfaction goals;</w:t>
      </w:r>
    </w:p>
    <w:p>
      <w:pPr>
        <w:spacing w:after="0" w:line="117" w:lineRule="exact"/>
        <w:rPr>
          <w:rFonts w:ascii="Arial" w:cs="Arial" w:eastAsia="Arial" w:hAnsi="Arial"/>
          <w:sz w:val="18"/>
          <w:szCs w:val="18"/>
          <w:color w:val="auto"/>
        </w:rPr>
      </w:pPr>
    </w:p>
    <w:p>
      <w:pPr>
        <w:ind w:left="1080" w:hanging="215"/>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dividend payments;</w:t>
      </w:r>
    </w:p>
    <w:p>
      <w:pPr>
        <w:spacing w:after="0" w:line="23" w:lineRule="exact"/>
        <w:rPr>
          <w:rFonts w:ascii="Arial" w:cs="Arial" w:eastAsia="Arial" w:hAnsi="Arial"/>
          <w:sz w:val="18"/>
          <w:szCs w:val="18"/>
          <w:color w:val="auto"/>
        </w:rPr>
      </w:pPr>
    </w:p>
    <w:p>
      <w:pPr>
        <w:ind w:left="1120" w:hanging="25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earnings (including before or after taxes, interest, depreciation, and amortization);</w:t>
      </w:r>
    </w:p>
    <w:p>
      <w:pPr>
        <w:spacing w:after="0" w:line="116" w:lineRule="exact"/>
        <w:rPr>
          <w:rFonts w:ascii="Arial" w:cs="Arial" w:eastAsia="Arial" w:hAnsi="Arial"/>
          <w:sz w:val="18"/>
          <w:szCs w:val="18"/>
          <w:color w:val="auto"/>
        </w:rPr>
      </w:pPr>
    </w:p>
    <w:p>
      <w:pPr>
        <w:ind w:left="1120" w:hanging="25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earnings growth;</w:t>
      </w:r>
    </w:p>
    <w:p>
      <w:pPr>
        <w:spacing w:after="0" w:line="117" w:lineRule="exact"/>
        <w:rPr>
          <w:rFonts w:ascii="Arial" w:cs="Arial" w:eastAsia="Arial" w:hAnsi="Arial"/>
          <w:sz w:val="18"/>
          <w:szCs w:val="18"/>
          <w:color w:val="auto"/>
        </w:rPr>
      </w:pPr>
    </w:p>
    <w:p>
      <w:pPr>
        <w:ind w:left="1080" w:hanging="215"/>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7" w:lineRule="exact"/>
        <w:rPr>
          <w:rFonts w:ascii="Arial" w:cs="Arial" w:eastAsia="Arial" w:hAnsi="Arial"/>
          <w:sz w:val="18"/>
          <w:szCs w:val="18"/>
          <w:color w:val="auto"/>
        </w:rPr>
      </w:pPr>
    </w:p>
    <w:p>
      <w:pPr>
        <w:ind w:left="1080" w:hanging="215"/>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w:t>
      </w:r>
    </w:p>
    <w:p>
      <w:pPr>
        <w:spacing w:after="0" w:line="117" w:lineRule="exact"/>
        <w:rPr>
          <w:rFonts w:ascii="Arial" w:cs="Arial" w:eastAsia="Arial" w:hAnsi="Arial"/>
          <w:sz w:val="18"/>
          <w:szCs w:val="18"/>
          <w:color w:val="auto"/>
        </w:rPr>
      </w:pPr>
    </w:p>
    <w:p>
      <w:pPr>
        <w:ind w:left="1080" w:hanging="215"/>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improvement of financial ratings;</w:t>
      </w:r>
    </w:p>
    <w:p>
      <w:pPr>
        <w:spacing w:after="0" w:line="117" w:lineRule="exact"/>
        <w:rPr>
          <w:rFonts w:ascii="Arial" w:cs="Arial" w:eastAsia="Arial" w:hAnsi="Arial"/>
          <w:sz w:val="18"/>
          <w:szCs w:val="18"/>
          <w:color w:val="auto"/>
        </w:rPr>
      </w:pPr>
    </w:p>
    <w:p>
      <w:pPr>
        <w:ind w:left="1160" w:hanging="295"/>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internal rate of return;</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asset value;</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margins (including but not limited to gross or net operating margins);</w:t>
      </w:r>
    </w:p>
    <w:p>
      <w:pPr>
        <w:spacing w:after="0" w:line="117" w:lineRule="exact"/>
        <w:rPr>
          <w:rFonts w:ascii="Arial" w:cs="Arial" w:eastAsia="Arial" w:hAnsi="Arial"/>
          <w:sz w:val="18"/>
          <w:szCs w:val="18"/>
          <w:color w:val="auto"/>
        </w:rPr>
      </w:pPr>
    </w:p>
    <w:p>
      <w:pPr>
        <w:ind w:left="1080" w:hanging="215"/>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operating profit after taxes (“NOPAT”);</w:t>
      </w:r>
    </w:p>
    <w:p>
      <w:pPr>
        <w:sectPr>
          <w:pgSz w:w="11900" w:h="16838" w:orient="portrait"/>
          <w:cols w:equalWidth="0" w:num="1">
            <w:col w:w="10820"/>
          </w:cols>
          <w:pgMar w:left="680" w:top="692" w:right="399" w:bottom="1440" w:gutter="0" w:footer="0" w:header="0"/>
        </w:sectPr>
      </w:pPr>
    </w:p>
    <w:bookmarkStart w:id="37" w:name="page38"/>
    <w:bookmarkEnd w:id="37"/>
    <w:p>
      <w:pPr>
        <w:ind w:left="1540" w:hanging="235"/>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17" w:lineRule="exact"/>
        <w:rPr>
          <w:rFonts w:ascii="Arial" w:cs="Arial" w:eastAsia="Arial" w:hAnsi="Arial"/>
          <w:sz w:val="18"/>
          <w:szCs w:val="18"/>
          <w:color w:val="auto"/>
        </w:rPr>
      </w:pPr>
    </w:p>
    <w:p>
      <w:pPr>
        <w:ind w:left="1520" w:hanging="215"/>
        <w:spacing w:after="0"/>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NOPAT growth;</w:t>
      </w:r>
    </w:p>
    <w:p>
      <w:pPr>
        <w:spacing w:after="0" w:line="117" w:lineRule="exact"/>
        <w:rPr>
          <w:rFonts w:ascii="Arial" w:cs="Arial" w:eastAsia="Arial" w:hAnsi="Arial"/>
          <w:sz w:val="18"/>
          <w:szCs w:val="18"/>
          <w:color w:val="auto"/>
        </w:rPr>
      </w:pPr>
    </w:p>
    <w:p>
      <w:pPr>
        <w:ind w:left="1560" w:hanging="255"/>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17" w:lineRule="exact"/>
        <w:rPr>
          <w:rFonts w:ascii="Arial" w:cs="Arial" w:eastAsia="Arial" w:hAnsi="Arial"/>
          <w:sz w:val="18"/>
          <w:szCs w:val="18"/>
          <w:color w:val="auto"/>
        </w:rPr>
      </w:pPr>
    </w:p>
    <w:p>
      <w:pPr>
        <w:ind w:left="1560" w:hanging="255"/>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17" w:lineRule="exact"/>
        <w:rPr>
          <w:rFonts w:ascii="Arial" w:cs="Arial" w:eastAsia="Arial" w:hAnsi="Arial"/>
          <w:sz w:val="18"/>
          <w:szCs w:val="18"/>
          <w:color w:val="auto"/>
        </w:rPr>
      </w:pPr>
    </w:p>
    <w:p>
      <w:pPr>
        <w:ind w:left="1600" w:hanging="295"/>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 forma income;</w:t>
      </w:r>
    </w:p>
    <w:p>
      <w:pPr>
        <w:spacing w:after="0" w:line="117" w:lineRule="exact"/>
        <w:rPr>
          <w:rFonts w:ascii="Arial" w:cs="Arial" w:eastAsia="Arial" w:hAnsi="Arial"/>
          <w:sz w:val="18"/>
          <w:szCs w:val="18"/>
          <w:color w:val="auto"/>
        </w:rPr>
      </w:pPr>
    </w:p>
    <w:p>
      <w:pPr>
        <w:ind w:left="1560" w:hanging="255"/>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117" w:lineRule="exact"/>
        <w:rPr>
          <w:rFonts w:ascii="Arial" w:cs="Arial" w:eastAsia="Arial" w:hAnsi="Arial"/>
          <w:sz w:val="18"/>
          <w:szCs w:val="18"/>
          <w:color w:val="auto"/>
        </w:rPr>
      </w:pPr>
    </w:p>
    <w:p>
      <w:pPr>
        <w:ind w:left="880" w:right="40" w:firstLine="425"/>
        <w:spacing w:after="0" w:line="277" w:lineRule="auto"/>
        <w:tabs>
          <w:tab w:leader="none" w:pos="15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designated assets, capital, committed capital, net capital employed, equity, sales, or stockholder equity, and return versus the Company’s cost of capital);</w:t>
      </w:r>
    </w:p>
    <w:p>
      <w:pPr>
        <w:spacing w:after="0" w:line="62" w:lineRule="exact"/>
        <w:rPr>
          <w:rFonts w:ascii="Arial" w:cs="Arial" w:eastAsia="Arial" w:hAnsi="Arial"/>
          <w:sz w:val="18"/>
          <w:szCs w:val="18"/>
          <w:color w:val="auto"/>
        </w:rPr>
      </w:pPr>
    </w:p>
    <w:p>
      <w:pPr>
        <w:ind w:left="1540" w:hanging="235"/>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revenues;</w:t>
      </w:r>
    </w:p>
    <w:p>
      <w:pPr>
        <w:spacing w:after="0" w:line="117" w:lineRule="exact"/>
        <w:rPr>
          <w:sz w:val="20"/>
          <w:szCs w:val="20"/>
          <w:color w:val="auto"/>
        </w:rPr>
      </w:pPr>
    </w:p>
    <w:p>
      <w:pPr>
        <w:ind w:left="1620" w:hanging="315"/>
        <w:spacing w:after="0"/>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sales;</w:t>
      </w:r>
    </w:p>
    <w:p>
      <w:pPr>
        <w:spacing w:after="0" w:line="128" w:lineRule="exact"/>
        <w:rPr>
          <w:rFonts w:ascii="Arial" w:cs="Arial" w:eastAsia="Arial" w:hAnsi="Arial"/>
          <w:sz w:val="17"/>
          <w:szCs w:val="17"/>
          <w:color w:val="auto"/>
        </w:rPr>
      </w:pPr>
    </w:p>
    <w:p>
      <w:pPr>
        <w:ind w:left="1640" w:hanging="335"/>
        <w:spacing w:after="0"/>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price (including but not limited to growth measures and total stockholder return);</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 to stock market indices;</w:t>
      </w:r>
    </w:p>
    <w:p>
      <w:pPr>
        <w:spacing w:after="0" w:line="117" w:lineRule="exact"/>
        <w:rPr>
          <w:rFonts w:ascii="Arial" w:cs="Arial" w:eastAsia="Arial" w:hAnsi="Arial"/>
          <w:sz w:val="18"/>
          <w:szCs w:val="18"/>
          <w:color w:val="auto"/>
        </w:rPr>
      </w:pPr>
    </w:p>
    <w:p>
      <w:pPr>
        <w:ind w:left="1640" w:hanging="335"/>
        <w:spacing w:after="0"/>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implementation or completion of one or more projects or transactions;</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working capital;</w:t>
      </w:r>
    </w:p>
    <w:p>
      <w:pPr>
        <w:spacing w:after="0" w:line="128" w:lineRule="exact"/>
        <w:rPr>
          <w:rFonts w:ascii="Arial" w:cs="Arial" w:eastAsia="Arial" w:hAnsi="Arial"/>
          <w:sz w:val="17"/>
          <w:szCs w:val="17"/>
          <w:color w:val="auto"/>
        </w:rPr>
      </w:pPr>
    </w:p>
    <w:p>
      <w:pPr>
        <w:ind w:left="1580" w:hanging="275"/>
        <w:spacing w:after="0"/>
        <w:tabs>
          <w:tab w:leader="none" w:pos="1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environment, health or safety measures;</w:t>
      </w:r>
    </w:p>
    <w:p>
      <w:pPr>
        <w:spacing w:after="0" w:line="117" w:lineRule="exact"/>
        <w:rPr>
          <w:rFonts w:ascii="Arial" w:cs="Arial" w:eastAsia="Arial" w:hAnsi="Arial"/>
          <w:sz w:val="18"/>
          <w:szCs w:val="18"/>
          <w:color w:val="auto"/>
        </w:rPr>
      </w:pPr>
    </w:p>
    <w:p>
      <w:pPr>
        <w:ind w:left="1640" w:hanging="335"/>
        <w:spacing w:after="0"/>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measures (including but not limited to yield and volume); or</w:t>
      </w:r>
    </w:p>
    <w:p>
      <w:pPr>
        <w:spacing w:after="0" w:line="117" w:lineRule="exact"/>
        <w:rPr>
          <w:rFonts w:ascii="Arial" w:cs="Arial" w:eastAsia="Arial" w:hAnsi="Arial"/>
          <w:sz w:val="18"/>
          <w:szCs w:val="18"/>
          <w:color w:val="auto"/>
        </w:rPr>
      </w:pPr>
    </w:p>
    <w:p>
      <w:pPr>
        <w:ind w:left="1640" w:hanging="335"/>
        <w:spacing w:after="0"/>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objective goals that the Committee establishes.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case of an Award that is intended to qualify as “qualified performance-based compensation” as described in Section 162(m)(4)(C) of the Code, the Performance Goals shall be limited to (a) through (gg) above. Performance Goals may be absolute in their terms or measured against or in relationship to other companies comparably, similarly or otherwise situated, and may be based on the attainment of certain target levels of, or a specified increase or decrease (as applicable). Performance Goals may be particular to an Eligible Person or the department, branch, Affiliate, or division in which the Eligible Person works, or may be based on the performance of the Company, one or more Affiliates, or a department, branch or division of the Company or one or more Affiliates, and may cover such period as the Committee may specify. With respect to Awards that are intended to qualify as “performance-based compensation” as described in Section 162(m)(4)(C) of the</w:t>
      </w:r>
    </w:p>
    <w:p>
      <w:pPr>
        <w:spacing w:after="0" w:line="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Code, to the extent permitted, the Committee may, in its sole discretion, also exclude, or adjust to reflect, the impact of an event or occurrence that the Committee determines should be appropriately excluded or adjusted, including: (a) restructurings, discontinued operations, extraordinary items or events, and other unusual or non-recurring charges as described in Accounting Standards Codification 225-20, “Extraordinary and Unusual Items,” and/or management’s discussion and analysis of financial condition and results of operations appearing or incorporated by reference in the Company’s Form 10-K for the applicable year; (b) an event either not directly related to the operations of the Company or not within the reasonable control of the Company’s management; or (c) a change in tax law or accounting standards required by generally accepted accounting principles.</w:t>
      </w:r>
    </w:p>
    <w:p>
      <w:pPr>
        <w:spacing w:after="0" w:line="67" w:lineRule="exact"/>
        <w:rPr>
          <w:sz w:val="20"/>
          <w:szCs w:val="20"/>
          <w:color w:val="auto"/>
        </w:rPr>
      </w:pPr>
    </w:p>
    <w:p>
      <w:pPr>
        <w:ind w:left="440" w:right="520" w:firstLine="432"/>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“Performance Period”</w:t>
      </w:r>
      <w:r>
        <w:rPr>
          <w:rFonts w:ascii="Arial" w:cs="Arial" w:eastAsia="Arial" w:hAnsi="Arial"/>
          <w:sz w:val="18"/>
          <w:szCs w:val="18"/>
          <w:color w:val="auto"/>
        </w:rPr>
        <w:t xml:space="preserve"> means the fiscal year of the Company or other period designated by the Committee with respect to which the Performance Goals will be measured.</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b w:val="1"/>
          <w:bCs w:val="1"/>
          <w:color w:val="auto"/>
        </w:rPr>
        <w:t>“Plan”</w:t>
      </w:r>
      <w:r>
        <w:rPr>
          <w:rFonts w:ascii="Arial" w:cs="Arial" w:eastAsia="Arial" w:hAnsi="Arial"/>
          <w:sz w:val="17"/>
          <w:szCs w:val="17"/>
          <w:color w:val="auto"/>
        </w:rPr>
        <w:t xml:space="preserve"> means this YRC Worldwide Inc. Amended and Restated 2011 Incentive and Equity Award Plan, as amended from time to time</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color w:val="auto"/>
        </w:rPr>
        <w:t>“Related Option”</w:t>
      </w:r>
      <w:r>
        <w:rPr>
          <w:rFonts w:ascii="Arial" w:cs="Arial" w:eastAsia="Arial" w:hAnsi="Arial"/>
          <w:sz w:val="18"/>
          <w:szCs w:val="18"/>
          <w:color w:val="auto"/>
        </w:rPr>
        <w:t xml:space="preserve"> means an Option in connection with which, or by amendment to which, a SAR is granted.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“Related SAR”</w:t>
      </w:r>
      <w:r>
        <w:rPr>
          <w:rFonts w:ascii="Arial" w:cs="Arial" w:eastAsia="Arial" w:hAnsi="Arial"/>
          <w:sz w:val="18"/>
          <w:szCs w:val="18"/>
          <w:color w:val="auto"/>
        </w:rPr>
        <w:t xml:space="preserve"> means a SAR granted in connection with, or by amendment to, an Option.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b w:val="1"/>
          <w:bCs w:val="1"/>
          <w:color w:val="auto"/>
        </w:rPr>
        <w:t>“Restricted Stock”</w:t>
      </w:r>
      <w:r>
        <w:rPr>
          <w:rFonts w:ascii="Arial" w:cs="Arial" w:eastAsia="Arial" w:hAnsi="Arial"/>
          <w:sz w:val="18"/>
          <w:szCs w:val="18"/>
          <w:color w:val="auto"/>
        </w:rPr>
        <w:t xml:space="preserve"> means Shares granted under this Plan pursuant to the provisions of Section 9.</w:t>
      </w:r>
    </w:p>
    <w:p>
      <w:pPr>
        <w:spacing w:after="0" w:line="117" w:lineRule="exact"/>
        <w:rPr>
          <w:sz w:val="20"/>
          <w:szCs w:val="20"/>
          <w:color w:val="auto"/>
        </w:rPr>
      </w:pPr>
    </w:p>
    <w:p>
      <w:pPr>
        <w:ind w:left="440" w:right="420" w:firstLine="432"/>
        <w:spacing w:after="0" w:line="282"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“Restricted Stock Units”</w:t>
      </w:r>
      <w:r>
        <w:rPr>
          <w:rFonts w:ascii="Arial" w:cs="Arial" w:eastAsia="Arial" w:hAnsi="Arial"/>
          <w:sz w:val="18"/>
          <w:szCs w:val="18"/>
          <w:color w:val="auto"/>
        </w:rPr>
        <w:t xml:space="preserve"> means an award providing for the contingent grant of Shares (or the cash equivalent thereof) pursuant to the provisions of Section 10.</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“SAR”</w:t>
      </w:r>
      <w:r>
        <w:rPr>
          <w:rFonts w:ascii="Arial" w:cs="Arial" w:eastAsia="Arial" w:hAnsi="Arial"/>
          <w:sz w:val="18"/>
          <w:szCs w:val="18"/>
          <w:color w:val="auto"/>
        </w:rPr>
        <w:t xml:space="preserve"> means a stock appreciation right granted under this Plan in accordance with the terms of Section 7.</w:t>
      </w:r>
    </w:p>
    <w:p>
      <w:pPr>
        <w:spacing w:after="0" w:line="117" w:lineRule="exact"/>
        <w:rPr>
          <w:sz w:val="20"/>
          <w:szCs w:val="20"/>
          <w:color w:val="auto"/>
        </w:rPr>
      </w:pPr>
    </w:p>
    <w:p>
      <w:pPr>
        <w:ind w:left="440" w:right="420" w:firstLine="432"/>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“Section 422 Employee”</w:t>
      </w:r>
      <w:r>
        <w:rPr>
          <w:rFonts w:ascii="Arial" w:cs="Arial" w:eastAsia="Arial" w:hAnsi="Arial"/>
          <w:sz w:val="18"/>
          <w:szCs w:val="18"/>
          <w:color w:val="auto"/>
        </w:rPr>
        <w:t xml:space="preserve"> means an Employee who is employed by the Company or a “parent corporation” or “subsidiary corporation” (both as defined in Sections 424(e) and (f) of the Code) with respect to the Company.</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color w:val="auto"/>
        </w:rPr>
        <w:t>“Share”</w:t>
      </w:r>
      <w:r>
        <w:rPr>
          <w:rFonts w:ascii="Arial" w:cs="Arial" w:eastAsia="Arial" w:hAnsi="Arial"/>
          <w:sz w:val="18"/>
          <w:szCs w:val="18"/>
          <w:color w:val="auto"/>
        </w:rPr>
        <w:t xml:space="preserve"> means a share of Common Stock.</w:t>
      </w:r>
    </w:p>
    <w:p>
      <w:pPr>
        <w:sectPr>
          <w:pgSz w:w="11900" w:h="16838" w:orient="portrait"/>
          <w:cols w:equalWidth="0" w:num="1">
            <w:col w:w="11420"/>
          </w:cols>
          <w:pgMar w:left="240" w:top="692" w:right="23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“Substitute Award”</w:t>
      </w:r>
      <w:r>
        <w:rPr>
          <w:rFonts w:ascii="Arial" w:cs="Arial" w:eastAsia="Arial" w:hAnsi="Arial"/>
          <w:sz w:val="18"/>
          <w:szCs w:val="18"/>
          <w:color w:val="auto"/>
        </w:rPr>
        <w:t xml:space="preserve"> means an Award granted under this Plan pursuant to the provisions of Section 18.2.</w:t>
      </w:r>
    </w:p>
    <w:p>
      <w:pPr>
        <w:spacing w:after="0" w:line="117" w:lineRule="exact"/>
        <w:rPr>
          <w:sz w:val="20"/>
          <w:szCs w:val="20"/>
          <w:color w:val="auto"/>
        </w:rPr>
      </w:pPr>
    </w:p>
    <w:p>
      <w:pPr>
        <w:ind w:right="40" w:firstLine="432"/>
        <w:spacing w:after="0" w:line="266"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“Ten-Percent Stockholder”</w:t>
      </w:r>
      <w:r>
        <w:rPr>
          <w:rFonts w:ascii="Arial" w:cs="Arial" w:eastAsia="Arial" w:hAnsi="Arial"/>
          <w:sz w:val="18"/>
          <w:szCs w:val="18"/>
          <w:color w:val="auto"/>
        </w:rPr>
        <w:t xml:space="preserve"> means a Section 422 Employee who (applying the rules of Section 424(d) of the Code) owns stock possessing more than ten percent of the total combined voting power of all classes of stock of the Company or a “parent corporation” or “subsidiary corporation” (both as defined in Sections 424(e) and (f) of the Code) with respect to the Company.</w:t>
      </w:r>
    </w:p>
    <w:p>
      <w:pPr>
        <w:spacing w:after="0" w:line="68"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“Construction”</w:t>
      </w:r>
      <w:r>
        <w:rPr>
          <w:rFonts w:ascii="Arial" w:cs="Arial" w:eastAsia="Arial" w:hAnsi="Arial"/>
          <w:sz w:val="18"/>
          <w:szCs w:val="18"/>
          <w:color w:val="auto"/>
        </w:rPr>
        <w:t>. Unless the context expressly requires the contrary, references in this Plan to (a) the term “Section” refers to the sections of this Plan, and (b) the word “including” means “including (without limitation).”</w:t>
      </w:r>
    </w:p>
    <w:p>
      <w:pPr>
        <w:spacing w:after="0" w:line="162" w:lineRule="exact"/>
        <w:rPr>
          <w:sz w:val="20"/>
          <w:szCs w:val="20"/>
          <w:color w:val="auto"/>
        </w:rPr>
      </w:pPr>
    </w:p>
    <w:p>
      <w:pPr>
        <w:ind w:left="-440" w:right="380" w:firstLine="440"/>
        <w:spacing w:after="0" w:line="266" w:lineRule="auto"/>
        <w:tabs>
          <w:tab w:leader="none" w:pos="17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This Plan is effective September 26, 2011 (the “effective date”) subject to the approval of the Company’s stockholders.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assist the Company and its Affiliates in attracting and retaining Eligible Persons of outstanding ability and to align interests with those of the stockholders of the Company and its Affiliates.</w:t>
      </w:r>
    </w:p>
    <w:p>
      <w:pPr>
        <w:spacing w:after="0" w:line="176" w:lineRule="exact"/>
        <w:rPr>
          <w:rFonts w:ascii="Arial" w:cs="Arial" w:eastAsia="Arial" w:hAnsi="Arial"/>
          <w:sz w:val="18"/>
          <w:szCs w:val="18"/>
          <w:b w:val="1"/>
          <w:bCs w:val="1"/>
          <w:color w:val="auto"/>
        </w:rPr>
      </w:pPr>
    </w:p>
    <w:p>
      <w:pPr>
        <w:ind w:left="-440" w:right="40" w:firstLine="440"/>
        <w:spacing w:after="0" w:line="288" w:lineRule="auto"/>
        <w:tabs>
          <w:tab w:leader="none" w:pos="17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w:t>
      </w:r>
      <w:r>
        <w:rPr>
          <w:rFonts w:ascii="Arial" w:cs="Arial" w:eastAsia="Arial" w:hAnsi="Arial"/>
          <w:sz w:val="16"/>
          <w:szCs w:val="16"/>
          <w:color w:val="auto"/>
        </w:rPr>
        <w:t>. The Committee shall administer this Plan and shall have plenary authority, in its discretion, to grant Awards to Eligible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 Plan. The Committee shall have plenary authority and discretion, subject to the provisions of this Plan, to determine the Eligible Persons to whom it grants Awards, the terms (which terms need not be identical) of all Awards, including the Exercise Price of Options, the time or times at which Awards are granted, the number of Shares covered by Awards, whether an Option shall be an Incentive Stock Option or a Nonqualified Stock Option, any exceptions to nontransferability, and any Performance Goals applicable to Awards. In making these determinations, the Committee may take into account the nature of the services rendered or to be rendered by Award recipients, their present and potential contributions to the success of the Company and its Affiliates, and such other factors as the Committee in its discretion shall deem relevant. Subject to the provisions of this Plan, the Committee shall have plenary authority to interpret this Plan and Agreements, prescribe, amend and rescind rules and regulations relating to them, and make all other determinations deemed necessary or advisable for the administration of this Plan and Awards granted hereunder. The determinations of the Committee on the matters referred to in this Section 3 shall be binding and final. The Committee may delegate its authority under this Section 3 and the terms of this Plan to such extent it deems desirable and is consistent with the requirements of applicable law.</w:t>
      </w:r>
    </w:p>
    <w:p>
      <w:pPr>
        <w:spacing w:after="0" w:line="164" w:lineRule="exact"/>
        <w:rPr>
          <w:rFonts w:ascii="Arial" w:cs="Arial" w:eastAsia="Arial" w:hAnsi="Arial"/>
          <w:sz w:val="16"/>
          <w:szCs w:val="16"/>
          <w:b w:val="1"/>
          <w:bCs w:val="1"/>
          <w:color w:val="auto"/>
        </w:rPr>
      </w:pPr>
    </w:p>
    <w:p>
      <w:pPr>
        <w:ind w:left="180" w:hanging="180"/>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Awards may be granted only to Eligible Persons.</w:t>
      </w:r>
    </w:p>
    <w:p>
      <w:pPr>
        <w:spacing w:after="0" w:line="225" w:lineRule="exact"/>
        <w:rPr>
          <w:rFonts w:ascii="Arial" w:cs="Arial" w:eastAsia="Arial" w:hAnsi="Arial"/>
          <w:sz w:val="18"/>
          <w:szCs w:val="18"/>
          <w:b w:val="1"/>
          <w:bCs w:val="1"/>
          <w:color w:val="auto"/>
        </w:rPr>
      </w:pPr>
    </w:p>
    <w:p>
      <w:pPr>
        <w:ind w:left="180" w:hanging="180"/>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Plan.</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Subject to adjustment as provided in Section 15, the maximum number of Shares that may be issued under this Plan is 5,000,000 Shares, provided that Substitute Awards shall not be counted against the maximum number of Shares. Notwithstanding the foregoing, the maximum number of Shares that may be issued upon the exercise of Incentive Stock Options shall be 1,500,000. Shares issued under this Plan may, in whole or in part, be authorized but unissued Shares or Shares that shall have been, or may be, reacquired by the Company in the open market, in private transactions or otherwise.</w:t>
      </w:r>
    </w:p>
    <w:p>
      <w:pPr>
        <w:spacing w:after="0" w:line="8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Maximum Grant</w:t>
      </w:r>
      <w:r>
        <w:rPr>
          <w:rFonts w:ascii="Arial" w:cs="Arial" w:eastAsia="Arial" w:hAnsi="Arial"/>
          <w:sz w:val="18"/>
          <w:szCs w:val="18"/>
          <w:color w:val="auto"/>
        </w:rPr>
        <w:t>. The maximum number of Options or SARs which may be granted to an Eligible Person during any calendar year is 625,000. The maximum number of Shares which may be granted to an Eligible Employee who is a “covered employee” within the meaning of Section 162(m) of the Code during any calendar year with respect to a Restricted Stock Award, Restricted Stock Unit Award, Performance Award, or Other Stock-Based Award shall be 625,000.</w:t>
      </w:r>
    </w:p>
    <w:p>
      <w:pPr>
        <w:spacing w:after="0" w:line="7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i w:val="1"/>
          <w:iCs w:val="1"/>
          <w:color w:val="auto"/>
        </w:rPr>
        <w:t>Adjustments to Number of Shares</w:t>
      </w:r>
      <w:r>
        <w:rPr>
          <w:rFonts w:ascii="Arial" w:cs="Arial" w:eastAsia="Arial" w:hAnsi="Arial"/>
          <w:sz w:val="17"/>
          <w:szCs w:val="17"/>
          <w:color w:val="auto"/>
        </w:rPr>
        <w:t>. If any Shares subject to an Award are forfeited, if an Award otherwise terminates or expires without all of the Shares covered by the Award being issued or if an Award is settled for cash (in whole or in part) or otherwise does not result in the issuance of all of the Shares subject to the Award (including Shares not issued to satisfy withholding taxes or to satisfy the exercise price of an Award), the Shares shall, to the extent of such forfeiture, termination, expiration, cash settlement or non-issuance, again be available for the grant of Awards under this Plan. In the event that any Option or other Award is exercised through the tendering of Shares (either actually or by attestation), or withholding tax liabilities arising from such Option or other Award are satisfied by the tendering of Shares (either actually or by attestation), then the Shares so tendered shall be available for the grant of Awards under this Plan. Notwithstanding the foregoing, no Shares may again be awarded if such action would cause an Incentive Stock Option to fail to qualify as an Incentive Stock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Options.</w:t>
      </w:r>
    </w:p>
    <w:p>
      <w:pPr>
        <w:spacing w:after="0" w:line="12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Types of Option Grants</w:t>
      </w:r>
      <w:r>
        <w:rPr>
          <w:rFonts w:ascii="Arial" w:cs="Arial" w:eastAsia="Arial" w:hAnsi="Arial"/>
          <w:sz w:val="18"/>
          <w:szCs w:val="18"/>
          <w:color w:val="auto"/>
        </w:rPr>
        <w:t>. Options granted under this Plan shall be either Incentive Stock Options or Nonqualified Stock Options, as the Committee designates; provided, that Incentive Stock Options may only be granted to Eligible Persons who are Section 422 Employees on the Date of Grant. Each Option granted under this Plan shall be</w:t>
      </w:r>
    </w:p>
    <w:p>
      <w:pPr>
        <w:sectPr>
          <w:pgSz w:w="11900" w:h="16838" w:orient="portrait"/>
          <w:cols w:equalWidth="0" w:num="1">
            <w:col w:w="10940"/>
          </w:cols>
          <w:pgMar w:left="680" w:top="688" w:right="279" w:bottom="1440" w:gutter="0" w:footer="0" w:header="0"/>
        </w:sectPr>
      </w:pPr>
    </w:p>
    <w:bookmarkStart w:id="39" w:name="page40"/>
    <w:bookmarkEnd w:id="39"/>
    <w:p>
      <w:pPr>
        <w:ind w:left="440"/>
        <w:spacing w:after="0" w:line="259" w:lineRule="auto"/>
        <w:rPr>
          <w:sz w:val="20"/>
          <w:szCs w:val="20"/>
          <w:color w:val="auto"/>
        </w:rPr>
      </w:pPr>
      <w:r>
        <w:rPr>
          <w:rFonts w:ascii="Arial" w:cs="Arial" w:eastAsia="Arial" w:hAnsi="Arial"/>
          <w:sz w:val="18"/>
          <w:szCs w:val="18"/>
          <w:color w:val="auto"/>
        </w:rPr>
        <w:t>identified either as a Nonqualified Stock Option or an Incentive Stock Option, and each Option shall be evidenced by an Agreement that specifies the terms and conditions of the Option. Options shall be subject to the terms and conditions set forth in this Section 6 and such other terms and conditions not inconsistent with this Plan as the Committee may specify. The Committee may, in its discretion, condition the grant or vesting of an Option upon the achievement of one or more specified Performance Goals.</w:t>
      </w:r>
    </w:p>
    <w:p>
      <w:pPr>
        <w:spacing w:after="0" w:line="79" w:lineRule="exact"/>
        <w:rPr>
          <w:sz w:val="20"/>
          <w:szCs w:val="20"/>
          <w:color w:val="auto"/>
        </w:rPr>
      </w:pPr>
    </w:p>
    <w:p>
      <w:pPr>
        <w:jc w:val="both"/>
        <w:ind w:left="440" w:right="80" w:firstLine="432"/>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of an Option granted under this Plan shall not be less than 100% of the Fair Market Value of the Common Stock on the Date of Grant. Notwithstanding the foregoing, in the case of an Incentive Stock Option granted to an Employee who, on the Date of Grant is a Ten-Percent Stockholder, the Exercise Price shall not be less than 110% of the Fair Market Value of a Share on the Date of Grant.</w:t>
      </w:r>
    </w:p>
    <w:p>
      <w:pPr>
        <w:ind w:left="440" w:right="520" w:firstLine="432"/>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Option Exercise Period</w:t>
      </w:r>
      <w:r>
        <w:rPr>
          <w:rFonts w:ascii="Arial" w:cs="Arial" w:eastAsia="Arial" w:hAnsi="Arial"/>
          <w:sz w:val="18"/>
          <w:szCs w:val="18"/>
          <w:color w:val="auto"/>
        </w:rPr>
        <w:t>. The Committee shall determine the Option Period for an Option, which shall be specifically set forth in the Agreement; provided, that an Option shall not be exercisable after ten years (five years in the case of an Incentive Stock Option granted to a Ten-Percent Stockholder) from its Date of Grant.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SARs.</w:t>
      </w:r>
    </w:p>
    <w:p>
      <w:pPr>
        <w:spacing w:after="0" w:line="121" w:lineRule="exact"/>
        <w:rPr>
          <w:sz w:val="20"/>
          <w:szCs w:val="20"/>
          <w:color w:val="auto"/>
        </w:rPr>
      </w:pPr>
    </w:p>
    <w:p>
      <w:pPr>
        <w:ind w:left="440" w:right="60" w:firstLine="432"/>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Terms and Conditions of SAR</w:t>
      </w:r>
      <w:r>
        <w:rPr>
          <w:rFonts w:ascii="Arial" w:cs="Arial" w:eastAsia="Arial" w:hAnsi="Arial"/>
          <w:sz w:val="18"/>
          <w:szCs w:val="18"/>
          <w:color w:val="auto"/>
        </w:rPr>
        <w:t>. A SAR granted under this Plan shall be evidenced by an Agreement specifying the terms and conditions of the Award.</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Grant of SAR</w:t>
      </w:r>
      <w:r>
        <w:rPr>
          <w:rFonts w:ascii="Arial" w:cs="Arial" w:eastAsia="Arial" w:hAnsi="Arial"/>
          <w:sz w:val="18"/>
          <w:szCs w:val="18"/>
          <w:color w:val="auto"/>
        </w:rPr>
        <w:t>. A SAR may be granted under this Plan:</w:t>
      </w:r>
    </w:p>
    <w:p>
      <w:pPr>
        <w:spacing w:after="0" w:line="117" w:lineRule="exact"/>
        <w:rPr>
          <w:sz w:val="20"/>
          <w:szCs w:val="20"/>
          <w:color w:val="auto"/>
        </w:rPr>
      </w:pPr>
    </w:p>
    <w:p>
      <w:pPr>
        <w:ind w:left="1540" w:hanging="235"/>
        <w:spacing w:after="0"/>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connection with, and at the same time as, the grant of an Option under this Plan;</w:t>
      </w:r>
    </w:p>
    <w:p>
      <w:pPr>
        <w:spacing w:after="0" w:line="117" w:lineRule="exact"/>
        <w:rPr>
          <w:rFonts w:ascii="Arial" w:cs="Arial" w:eastAsia="Arial" w:hAnsi="Arial"/>
          <w:sz w:val="18"/>
          <w:szCs w:val="18"/>
          <w:color w:val="auto"/>
        </w:rPr>
      </w:pPr>
    </w:p>
    <w:p>
      <w:pPr>
        <w:ind w:left="1560" w:hanging="255"/>
        <w:spacing w:after="0"/>
        <w:tabs>
          <w:tab w:leader="none" w:pos="1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amendment of an outstanding Option granted under this Plan; or</w:t>
      </w:r>
    </w:p>
    <w:p>
      <w:pPr>
        <w:spacing w:after="0" w:line="117" w:lineRule="exact"/>
        <w:rPr>
          <w:rFonts w:ascii="Arial" w:cs="Arial" w:eastAsia="Arial" w:hAnsi="Arial"/>
          <w:sz w:val="18"/>
          <w:szCs w:val="18"/>
          <w:color w:val="auto"/>
        </w:rPr>
      </w:pPr>
    </w:p>
    <w:p>
      <w:pPr>
        <w:ind w:left="1540" w:hanging="235"/>
        <w:spacing w:after="0"/>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independently of any Option granted under this Plan.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SAR described in clause (a) or (b) of the preceding sentence is a Related SAR. A Related SAR may, in the Committee’s discretion, apply to all or any portion of the Shares subject to the Related Option.</w:t>
      </w:r>
    </w:p>
    <w:p>
      <w:pPr>
        <w:spacing w:after="0" w:line="62" w:lineRule="exact"/>
        <w:rPr>
          <w:sz w:val="20"/>
          <w:szCs w:val="20"/>
          <w:color w:val="auto"/>
        </w:rPr>
      </w:pPr>
    </w:p>
    <w:p>
      <w:pPr>
        <w:ind w:left="440" w:right="40" w:firstLine="432"/>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Exercise of SAR.</w:t>
      </w:r>
      <w:r>
        <w:rPr>
          <w:rFonts w:ascii="Arial" w:cs="Arial" w:eastAsia="Arial" w:hAnsi="Arial"/>
          <w:sz w:val="18"/>
          <w:szCs w:val="18"/>
          <w:color w:val="auto"/>
        </w:rPr>
        <w:t xml:space="preserve"> A SAR may be exercised in whole or in part as provided in the applicable Agreement. Subject to the terms of the Agreement, a SAR entitles a Participant to receive, upon exercise and without payment to the Company (but subject to required tax withholding), either cash or that number of Shares (equal to the highest whole number of Shares), or a combination thereof, in an amount or having an aggregate Fair Market Value as of the Date of Exercise not to exceed the number of Shares subject to the portion of the SAR exercised multiplied by an amount equal to the excess of:</w:t>
      </w:r>
    </w:p>
    <w:p>
      <w:pPr>
        <w:spacing w:after="0" w:line="80" w:lineRule="exact"/>
        <w:rPr>
          <w:sz w:val="20"/>
          <w:szCs w:val="20"/>
          <w:color w:val="auto"/>
        </w:rPr>
      </w:pPr>
    </w:p>
    <w:p>
      <w:pPr>
        <w:ind w:left="1540" w:hanging="235"/>
        <w:spacing w:after="0"/>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Fair Market Value on the Date of Exercise of the SAR; over</w:t>
      </w:r>
    </w:p>
    <w:p>
      <w:pPr>
        <w:spacing w:after="0" w:line="117" w:lineRule="exact"/>
        <w:rPr>
          <w:rFonts w:ascii="Arial" w:cs="Arial" w:eastAsia="Arial" w:hAnsi="Arial"/>
          <w:sz w:val="18"/>
          <w:szCs w:val="18"/>
          <w:color w:val="auto"/>
        </w:rPr>
      </w:pPr>
    </w:p>
    <w:p>
      <w:pPr>
        <w:ind w:left="880" w:right="80" w:firstLine="425"/>
        <w:spacing w:after="0" w:line="308" w:lineRule="auto"/>
        <w:tabs>
          <w:tab w:leader="none" w:pos="1567" w:val="left"/>
        </w:tabs>
        <w:numPr>
          <w:ilvl w:val="0"/>
          <w:numId w:val="41"/>
        </w:numPr>
        <w:rPr>
          <w:rFonts w:ascii="Arial" w:cs="Arial" w:eastAsia="Arial" w:hAnsi="Arial"/>
          <w:sz w:val="17"/>
          <w:szCs w:val="17"/>
          <w:color w:val="auto"/>
        </w:rPr>
      </w:pPr>
      <w:r>
        <w:rPr>
          <w:rFonts w:ascii="Arial" w:cs="Arial" w:eastAsia="Arial" w:hAnsi="Arial"/>
          <w:sz w:val="17"/>
          <w:szCs w:val="17"/>
          <w:color w:val="auto"/>
        </w:rPr>
        <w:t>either (i) the Fair Market Value on the Date of Grant (or such amount in excess of the Fair Market Value as the Committee may specify) of the SAR if it is not a Related SAR, or (ii) the Exercise Price as provided in the Related Option if the SAR is a Related SAR.</w:t>
      </w:r>
    </w:p>
    <w:p>
      <w:pPr>
        <w:spacing w:after="0" w:line="38" w:lineRule="exact"/>
        <w:rPr>
          <w:sz w:val="20"/>
          <w:szCs w:val="20"/>
          <w:color w:val="auto"/>
        </w:rPr>
      </w:pPr>
    </w:p>
    <w:p>
      <w:pPr>
        <w:ind w:left="440" w:right="20" w:firstLine="432"/>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SAR Exercise Period.</w:t>
      </w:r>
      <w:r>
        <w:rPr>
          <w:rFonts w:ascii="Arial" w:cs="Arial" w:eastAsia="Arial" w:hAnsi="Arial"/>
          <w:sz w:val="18"/>
          <w:szCs w:val="18"/>
          <w:color w:val="auto"/>
        </w:rPr>
        <w:t xml:space="preserve"> The Committee shall determine the period during which a SAR may be exercised, which period shall be specifically set forth in the Agreement; provided, that:</w:t>
      </w:r>
    </w:p>
    <w:p>
      <w:pPr>
        <w:spacing w:after="0" w:line="62" w:lineRule="exact"/>
        <w:rPr>
          <w:sz w:val="20"/>
          <w:szCs w:val="20"/>
          <w:color w:val="auto"/>
        </w:rPr>
      </w:pPr>
    </w:p>
    <w:p>
      <w:pPr>
        <w:ind w:left="880" w:right="160" w:firstLine="425"/>
        <w:spacing w:after="0" w:line="277" w:lineRule="auto"/>
        <w:tabs>
          <w:tab w:leader="none" w:pos="155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SAR will expire no later than the earlier of (i) ten years from the Date of Grant, or (ii) in the case of a Related SAR, the expiration of the Related Option; and</w:t>
      </w:r>
    </w:p>
    <w:p>
      <w:pPr>
        <w:spacing w:after="0" w:line="62" w:lineRule="exact"/>
        <w:rPr>
          <w:rFonts w:ascii="Arial" w:cs="Arial" w:eastAsia="Arial" w:hAnsi="Arial"/>
          <w:sz w:val="18"/>
          <w:szCs w:val="18"/>
          <w:color w:val="auto"/>
        </w:rPr>
      </w:pPr>
    </w:p>
    <w:p>
      <w:pPr>
        <w:ind w:left="880" w:right="760" w:firstLine="425"/>
        <w:spacing w:after="0" w:line="277" w:lineRule="auto"/>
        <w:tabs>
          <w:tab w:leader="none" w:pos="15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Related SAR that is related to an Incentive Stock Option may be exercised only when and to the extent the Related Option is exercisable.</w:t>
      </w:r>
    </w:p>
    <w:p>
      <w:pPr>
        <w:spacing w:after="0" w:line="62" w:lineRule="exact"/>
        <w:rPr>
          <w:sz w:val="20"/>
          <w:szCs w:val="20"/>
          <w:color w:val="auto"/>
        </w:rPr>
      </w:pPr>
    </w:p>
    <w:p>
      <w:pPr>
        <w:jc w:val="both"/>
        <w:ind w:left="440" w:right="320" w:firstLine="432"/>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Share Adjustment with Related SAR or Related Option.</w:t>
      </w:r>
      <w:r>
        <w:rPr>
          <w:rFonts w:ascii="Arial" w:cs="Arial" w:eastAsia="Arial" w:hAnsi="Arial"/>
          <w:sz w:val="18"/>
          <w:szCs w:val="18"/>
          <w:color w:val="auto"/>
        </w:rPr>
        <w:t xml:space="preserve"> The exercise, in whole or in part, of a Related SAR shall cause a reduction in the number of Shares subject to the Related Option equal to the number of Shares with respect to which the Related SAR is exercised. The exercise, in whole or in part, of a Related Option shall cause a reduction in the number of Shares subject to the Related SAR equal to the number of Shares with respect to which the Related Option is exercised.</w:t>
      </w:r>
    </w:p>
    <w:p>
      <w:pPr>
        <w:spacing w:after="0" w:line="183" w:lineRule="exact"/>
        <w:rPr>
          <w:sz w:val="20"/>
          <w:szCs w:val="20"/>
          <w:color w:val="auto"/>
        </w:rPr>
      </w:pPr>
    </w:p>
    <w:p>
      <w:pPr>
        <w:ind w:right="60" w:firstLine="440"/>
        <w:spacing w:after="0" w:line="266" w:lineRule="auto"/>
        <w:tabs>
          <w:tab w:leader="none" w:pos="61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 and SARs</w:t>
      </w:r>
      <w:r>
        <w:rPr>
          <w:rFonts w:ascii="Arial" w:cs="Arial" w:eastAsia="Arial" w:hAnsi="Arial"/>
          <w:sz w:val="18"/>
          <w:szCs w:val="18"/>
          <w:color w:val="auto"/>
        </w:rPr>
        <w:t>. An Option or SAR may be exercised, in whole or in part and subject to the terms of the applicable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Award, by the Participant’s delivering to the Company a notice of the exercise, in such form as the Committee may prescribe, accompanied, in the case of an Option, by:</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8.1. the Participant’s full payment for the Shares with respect to which the Option is exercised; or</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8.2. to the extent provided in the applicable Agreement or otherwise authorized by the Committee;</w:t>
      </w:r>
    </w:p>
    <w:p>
      <w:pPr>
        <w:sectPr>
          <w:pgSz w:w="11900" w:h="16838" w:orient="portrait"/>
          <w:cols w:equalWidth="0" w:num="1">
            <w:col w:w="11420"/>
          </w:cols>
          <w:pgMar w:left="240" w:top="692" w:right="239" w:bottom="1440" w:gutter="0" w:footer="0" w:header="0"/>
        </w:sectPr>
      </w:pPr>
    </w:p>
    <w:bookmarkStart w:id="40" w:name="page41"/>
    <w:bookmarkEnd w:id="40"/>
    <w:p>
      <w:pPr>
        <w:ind w:left="880" w:right="140" w:firstLine="425"/>
        <w:spacing w:after="0" w:line="258" w:lineRule="auto"/>
        <w:tabs>
          <w:tab w:leader="none" w:pos="15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payment may be effected by irrevocable instructions to a broker to deliver promptly to the Company cash equal to the exercise price of the Option (a broker-assisted cashless exercise);</w:t>
      </w:r>
    </w:p>
    <w:p>
      <w:pPr>
        <w:spacing w:after="0" w:line="1" w:lineRule="exact"/>
        <w:rPr>
          <w:rFonts w:ascii="Arial" w:cs="Arial" w:eastAsia="Arial" w:hAnsi="Arial"/>
          <w:sz w:val="18"/>
          <w:szCs w:val="18"/>
          <w:color w:val="auto"/>
        </w:rPr>
      </w:pPr>
    </w:p>
    <w:p>
      <w:pPr>
        <w:ind w:left="880" w:right="60" w:firstLine="425"/>
        <w:spacing w:after="0" w:line="259" w:lineRule="auto"/>
        <w:tabs>
          <w:tab w:leader="none" w:pos="1567" w:val="left"/>
        </w:tabs>
        <w:numPr>
          <w:ilvl w:val="1"/>
          <w:numId w:val="44"/>
        </w:numPr>
        <w:rPr>
          <w:rFonts w:ascii="Arial" w:cs="Arial" w:eastAsia="Arial" w:hAnsi="Arial"/>
          <w:sz w:val="18"/>
          <w:szCs w:val="18"/>
          <w:color w:val="auto"/>
        </w:rPr>
      </w:pPr>
      <w:r>
        <w:rPr>
          <w:rFonts w:ascii="Arial" w:cs="Arial" w:eastAsia="Arial" w:hAnsi="Arial"/>
          <w:sz w:val="18"/>
          <w:szCs w:val="18"/>
          <w:color w:val="auto"/>
        </w:rPr>
        <w:t>payment may be made by delivery (including constructive delivery) of unencumbered Shares (provided that if the Shares were acquired pursuant to another option or other award granted under this Plan or under any other compensation plan maintained by the Company or any Affiliate, the Shares shall have been held for such period, if any, as the Committee may specify) valued at Fair Market Value on the Date of Exercise; or</w:t>
      </w:r>
    </w:p>
    <w:p>
      <w:pPr>
        <w:spacing w:after="0" w:line="78" w:lineRule="exact"/>
        <w:rPr>
          <w:rFonts w:ascii="Arial" w:cs="Arial" w:eastAsia="Arial" w:hAnsi="Arial"/>
          <w:sz w:val="18"/>
          <w:szCs w:val="18"/>
          <w:color w:val="auto"/>
        </w:rPr>
      </w:pPr>
    </w:p>
    <w:p>
      <w:pPr>
        <w:ind w:left="1540" w:hanging="235"/>
        <w:spacing w:after="0"/>
        <w:tabs>
          <w:tab w:leader="none" w:pos="15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payment may be made by the Company withholding Shares that would otherwise be issued in connection with the exercise of the</w:t>
      </w:r>
    </w:p>
    <w:p>
      <w:pPr>
        <w:spacing w:after="0" w:line="34"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206" w:lineRule="exact"/>
        <w:rPr>
          <w:rFonts w:ascii="Arial" w:cs="Arial" w:eastAsia="Arial" w:hAnsi="Arial"/>
          <w:sz w:val="17"/>
          <w:szCs w:val="17"/>
          <w:color w:val="auto"/>
        </w:rPr>
      </w:pPr>
    </w:p>
    <w:p>
      <w:pPr>
        <w:ind w:right="140" w:firstLine="440"/>
        <w:spacing w:after="0" w:line="295" w:lineRule="auto"/>
        <w:tabs>
          <w:tab w:leader="none" w:pos="61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w:t>
      </w:r>
      <w:r>
        <w:rPr>
          <w:rFonts w:ascii="Arial" w:cs="Arial" w:eastAsia="Arial" w:hAnsi="Arial"/>
          <w:sz w:val="16"/>
          <w:szCs w:val="16"/>
          <w:color w:val="auto"/>
        </w:rPr>
        <w:t>Each grant of Restricted Stock under this Plan shall be subject to an Agreement, stock certificate transfer legend, or stop</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instructions to the Company’s stock transfer agent, specifying the terms and conditions of the Award. Restricted Stock granted under this Plan shall consist of Shares that are restricted as to transfer, subject to forfeiture, and subject to such other terms and conditions as the Committee may specify. The terms and conditions may provide, in the discretion of the Committee, for the lapse of transfer restrictions or forfeiture provisions to be accelerated or contingent upon the achievement of one or more specified Performance Goals, provided that the minimum period with respect to which such Performance Goals are measured shall be one year (pro-rated in the case of a newly hired Employee), except in the event of a change of control.</w:t>
      </w:r>
    </w:p>
    <w:p>
      <w:pPr>
        <w:spacing w:after="0" w:line="155" w:lineRule="exact"/>
        <w:rPr>
          <w:rFonts w:ascii="Arial" w:cs="Arial" w:eastAsia="Arial" w:hAnsi="Arial"/>
          <w:sz w:val="16"/>
          <w:szCs w:val="16"/>
          <w:b w:val="1"/>
          <w:bCs w:val="1"/>
          <w:color w:val="auto"/>
        </w:rPr>
      </w:pPr>
    </w:p>
    <w:p>
      <w:pPr>
        <w:ind w:right="80" w:firstLine="440"/>
        <w:spacing w:after="0" w:line="258" w:lineRule="auto"/>
        <w:tabs>
          <w:tab w:leader="none" w:pos="70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Awards. </w:t>
      </w:r>
      <w:r>
        <w:rPr>
          <w:rFonts w:ascii="Arial" w:cs="Arial" w:eastAsia="Arial" w:hAnsi="Arial"/>
          <w:sz w:val="18"/>
          <w:szCs w:val="18"/>
          <w:color w:val="auto"/>
        </w:rPr>
        <w:t>Each grant of Restricted Stock Units under this Plan shall be evidenced by an Agreement that (a) provides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Shares to a Participant at such time(s) as the Committee may specify, and (b) contains such other terms and conditions as the Committee may specify, including terms that condition the issuance of Shares upon the achievement of one or more specified Performance Goals, provided that the minimum performance period with respect to which such Performance Goals are measured shall be one year (pro-rated in the case of a newly hired Employee), except in the event of a change of control.</w:t>
      </w:r>
    </w:p>
    <w:p>
      <w:pPr>
        <w:spacing w:after="0" w:line="183" w:lineRule="exact"/>
        <w:rPr>
          <w:rFonts w:ascii="Arial" w:cs="Arial" w:eastAsia="Arial" w:hAnsi="Arial"/>
          <w:sz w:val="18"/>
          <w:szCs w:val="18"/>
          <w:b w:val="1"/>
          <w:bCs w:val="1"/>
          <w:color w:val="auto"/>
        </w:rPr>
      </w:pPr>
    </w:p>
    <w:p>
      <w:pPr>
        <w:ind w:right="20" w:firstLine="440"/>
        <w:spacing w:after="0" w:line="255" w:lineRule="auto"/>
        <w:tabs>
          <w:tab w:leader="none" w:pos="69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Awards. </w:t>
      </w:r>
      <w:r>
        <w:rPr>
          <w:rFonts w:ascii="Arial" w:cs="Arial" w:eastAsia="Arial" w:hAnsi="Arial"/>
          <w:sz w:val="18"/>
          <w:szCs w:val="18"/>
          <w:color w:val="auto"/>
        </w:rPr>
        <w:t>Each Performance Award granted under this Plan shall be evidenced by an Agreement that (a) provides for the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or issuance of Shares or Awards contingent upon the attainment of one or more specified Performance Goals over such period as the Committee may specify, provided that the minimum performance period with respect to which such Performance Goals are measured shall be one year (pro-rated in the case of a newly hired Employee), except in the event of a change of control, and (b) contains such other terms and conditions as the Committee may specify. For purposes of Section 5.2, a Performance Award shall be deemed to cover a number of Shares equal to the maximum number of Shares that may be issued upon payment of the Award. The maximum cash amount payable to any Employee pursuant to all Performance Awards granted to an Employee during a calendar year shall not exceed $5 million.</w:t>
      </w:r>
    </w:p>
    <w:p>
      <w:pPr>
        <w:spacing w:after="0" w:line="189" w:lineRule="exact"/>
        <w:rPr>
          <w:rFonts w:ascii="Arial" w:cs="Arial" w:eastAsia="Arial" w:hAnsi="Arial"/>
          <w:sz w:val="18"/>
          <w:szCs w:val="18"/>
          <w:b w:val="1"/>
          <w:bCs w:val="1"/>
          <w:color w:val="auto"/>
        </w:rPr>
      </w:pPr>
    </w:p>
    <w:p>
      <w:pPr>
        <w:jc w:val="both"/>
        <w:ind w:right="120" w:firstLine="440"/>
        <w:spacing w:after="0" w:line="289" w:lineRule="auto"/>
        <w:tabs>
          <w:tab w:leader="none" w:pos="70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The terms of an Award may, subject to such terms and conditions as the Committee may specify, provide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with the right to receive dividend payments or dividend equivalent payments with respect to Shares covered by the Award, which payments may be either made currently or credited to an account established for the Participant, and may be settled in cash or Shares, as determined by the Committee.</w:t>
      </w:r>
    </w:p>
    <w:p>
      <w:pPr>
        <w:spacing w:after="0" w:line="1" w:lineRule="exact"/>
        <w:rPr>
          <w:rFonts w:ascii="Arial" w:cs="Arial" w:eastAsia="Arial" w:hAnsi="Arial"/>
          <w:sz w:val="16"/>
          <w:szCs w:val="16"/>
          <w:b w:val="1"/>
          <w:bCs w:val="1"/>
          <w:color w:val="auto"/>
        </w:rPr>
      </w:pPr>
    </w:p>
    <w:p>
      <w:pPr>
        <w:jc w:val="both"/>
        <w:ind w:right="4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Notwithstanding the foregoing, any dividend or dividend equivalent payments relating to Performance Awards or other Awards which vest based on the achievement of Performance Goals shall only be earned to the extent the Performance Goals are met with respect to the applicable Award to which such dividend or dividend equivalents relate.</w:t>
      </w:r>
    </w:p>
    <w:p>
      <w:pPr>
        <w:spacing w:after="0" w:line="186" w:lineRule="exact"/>
        <w:rPr>
          <w:rFonts w:ascii="Arial" w:cs="Arial" w:eastAsia="Arial" w:hAnsi="Arial"/>
          <w:sz w:val="16"/>
          <w:szCs w:val="16"/>
          <w:b w:val="1"/>
          <w:bCs w:val="1"/>
          <w:color w:val="auto"/>
        </w:rPr>
      </w:pPr>
    </w:p>
    <w:p>
      <w:pPr>
        <w:ind w:firstLine="440"/>
        <w:spacing w:after="0" w:line="269" w:lineRule="auto"/>
        <w:tabs>
          <w:tab w:leader="none" w:pos="70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Stock-Based Awards. </w:t>
      </w:r>
      <w:r>
        <w:rPr>
          <w:rFonts w:ascii="Arial" w:cs="Arial" w:eastAsia="Arial" w:hAnsi="Arial"/>
          <w:sz w:val="17"/>
          <w:szCs w:val="17"/>
          <w:color w:val="auto"/>
        </w:rPr>
        <w:t>The Committee may in its discretion grant stock-based awards of a type other than those otherwise provided for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including the offer for sale of unrestricted Shares (“Other Stock-Based Awards”). Other Stock-Based Awards shall cover such number of Shares and have such terms and conditions as the Committee shall determine, including terms that condition the payment or vesting of the Other Stock-Based Award upon the achievement of one or more Performance Goals, provided that the minimum period with respect to which such Performance Goals are measured shall be one year (pro-rated in the case of a newly hired Employee), except in the event of a change of control.</w:t>
      </w:r>
    </w:p>
    <w:p>
      <w:pPr>
        <w:spacing w:after="0" w:line="3" w:lineRule="exact"/>
        <w:rPr>
          <w:rFonts w:ascii="Arial" w:cs="Arial" w:eastAsia="Arial" w:hAnsi="Arial"/>
          <w:sz w:val="17"/>
          <w:szCs w:val="17"/>
          <w:b w:val="1"/>
          <w:bCs w:val="1"/>
          <w:color w:val="auto"/>
        </w:rPr>
      </w:pPr>
    </w:p>
    <w:p>
      <w:pPr>
        <w:ind w:left="720" w:hanging="280"/>
        <w:spacing w:after="0"/>
        <w:tabs>
          <w:tab w:leader="none" w:pos="7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Cash Awards.</w:t>
      </w:r>
    </w:p>
    <w:p>
      <w:pPr>
        <w:spacing w:after="0" w:line="116" w:lineRule="exact"/>
        <w:rPr>
          <w:sz w:val="20"/>
          <w:szCs w:val="20"/>
          <w:color w:val="auto"/>
        </w:rPr>
      </w:pPr>
    </w:p>
    <w:p>
      <w:pPr>
        <w:ind w:left="440" w:right="800" w:firstLine="432"/>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Eligibility.</w:t>
      </w:r>
      <w:r>
        <w:rPr>
          <w:rFonts w:ascii="Arial" w:cs="Arial" w:eastAsia="Arial" w:hAnsi="Arial"/>
          <w:sz w:val="18"/>
          <w:szCs w:val="18"/>
          <w:color w:val="auto"/>
        </w:rPr>
        <w:t xml:space="preserve"> For each Performance Period, the Committee may determine, in its discretion, which senior executive officers and key employees will be eligible for a Cash Award.</w:t>
      </w:r>
    </w:p>
    <w:p>
      <w:pPr>
        <w:spacing w:after="0" w:line="62" w:lineRule="exact"/>
        <w:rPr>
          <w:sz w:val="20"/>
          <w:szCs w:val="20"/>
          <w:color w:val="auto"/>
        </w:rPr>
      </w:pPr>
    </w:p>
    <w:p>
      <w:pPr>
        <w:ind w:left="440" w:right="80" w:firstLine="432"/>
        <w:spacing w:after="0" w:line="302"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New Hires and Changes in Position.</w:t>
      </w:r>
      <w:r>
        <w:rPr>
          <w:rFonts w:ascii="Arial" w:cs="Arial" w:eastAsia="Arial" w:hAnsi="Arial"/>
          <w:sz w:val="16"/>
          <w:szCs w:val="16"/>
          <w:color w:val="auto"/>
        </w:rPr>
        <w:t xml:space="preserve"> Individuals hired or promoted during a Performance Period into a position appropriate for a Cash Award may either participate in the already existing period on a pro-rated basis or be held out until the beginning of the next Performance Period. Each Participant who transfers into a position no longer appropriate for a Cash Award may either continue to participate in the already existing Performance Period, participate on a pro-rated basis up to the date of the transfer or cease participation for the entire Performance Period.</w:t>
      </w:r>
    </w:p>
    <w:p>
      <w:pPr>
        <w:sectPr>
          <w:pgSz w:w="11900" w:h="16838" w:orient="portrait"/>
          <w:cols w:equalWidth="0" w:num="1">
            <w:col w:w="11400"/>
          </w:cols>
          <w:pgMar w:left="240" w:top="692" w:right="259" w:bottom="1440" w:gutter="0" w:footer="0" w:header="0"/>
        </w:sectPr>
      </w:pPr>
    </w:p>
    <w:bookmarkStart w:id="41" w:name="page42"/>
    <w:bookmarkEnd w:id="41"/>
    <w:p>
      <w:pPr>
        <w:ind w:right="60" w:firstLine="432"/>
        <w:spacing w:after="0" w:line="276"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i w:val="1"/>
          <w:iCs w:val="1"/>
          <w:color w:val="auto"/>
        </w:rPr>
        <w:t>Terminations.</w:t>
      </w:r>
      <w:r>
        <w:rPr>
          <w:rFonts w:ascii="Arial" w:cs="Arial" w:eastAsia="Arial" w:hAnsi="Arial"/>
          <w:sz w:val="17"/>
          <w:szCs w:val="17"/>
          <w:color w:val="auto"/>
        </w:rPr>
        <w:t xml:space="preserve"> Participants who terminate their employment during the Performance Period or prior to the payment of a Cash Award may be entitled to a prorated Cash Award if such termination is by reason of death, disability, retirement or involuntary termination without cause, all as determined in accordance with the Company’s normal policies, any applicable employment agreement or as the Committee or a delegated officer determines. Participants who terminate employment during the Performance Period or prior to the payment of the Cash Award for any other reason will forfeit their Cash Award, unless the Committee or a delegated officer determines otherwise.</w:t>
      </w:r>
    </w:p>
    <w:p>
      <w:pPr>
        <w:spacing w:after="0" w:line="6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Determining Amount of the Cash Award.</w:t>
      </w:r>
      <w:r>
        <w:rPr>
          <w:rFonts w:ascii="Arial" w:cs="Arial" w:eastAsia="Arial" w:hAnsi="Arial"/>
          <w:sz w:val="18"/>
          <w:szCs w:val="18"/>
          <w:color w:val="auto"/>
        </w:rPr>
        <w:t xml:space="preserve"> The Committee will determine each Participant’s Performance Goals for an applicable Performance Period, including any threshold, target or maximum amounts applicable to the Cash Award. Following the end of the Performance Period, the Committee will determine the amount that each Participant earned based on the Participant’s achievement of the Performance Goals. Each Cash Award shall be evidenced by a notation on the Company’s books and records and shall be subject to the terms and conditions as the Committee prescribes in its sole discretion.</w:t>
      </w:r>
    </w:p>
    <w:p>
      <w:pPr>
        <w:spacing w:after="0" w:line="8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i w:val="1"/>
          <w:iCs w:val="1"/>
          <w:color w:val="auto"/>
        </w:rPr>
        <w:t>Adjustment of Cash Awards.</w:t>
      </w:r>
      <w:r>
        <w:rPr>
          <w:rFonts w:ascii="Arial" w:cs="Arial" w:eastAsia="Arial" w:hAnsi="Arial"/>
          <w:sz w:val="18"/>
          <w:szCs w:val="18"/>
          <w:color w:val="auto"/>
        </w:rPr>
        <w:t xml:space="preserve"> The Committee may make adjustments in the Performance Goals to compensate for any changes that significantly alter the basis upon which the goals were determined. The Committee also may make reductions, in its sole discretion, to the amounts of any Cash Awards as needed to achieve fair and equitable distribution of Cash Awards. These reductions may be made before or after the end of the Performance Period. The Committee may reduce the amount of a Cash Award if a Participant fails to achieve applicable individual objectives or milestones.</w:t>
      </w:r>
    </w:p>
    <w:p>
      <w:pPr>
        <w:spacing w:after="0" w:line="8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Timing of Payment.</w:t>
      </w:r>
      <w:r>
        <w:rPr>
          <w:rFonts w:ascii="Arial" w:cs="Arial" w:eastAsia="Arial" w:hAnsi="Arial"/>
          <w:sz w:val="18"/>
          <w:szCs w:val="18"/>
          <w:color w:val="auto"/>
        </w:rPr>
        <w:t xml:space="preserve"> Payments of Cash Awards will be paid in cash only after the Committee’s approval. Payments will be made no later than two and one-half months following the end of the applicable Performance Period, unless the Participant defers receipt pursuant to a Company-sponsored deferred compensation plan, arrangement or agreement.</w:t>
      </w:r>
    </w:p>
    <w:p>
      <w:pPr>
        <w:spacing w:after="0" w:line="7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i w:val="1"/>
          <w:iCs w:val="1"/>
          <w:color w:val="auto"/>
        </w:rPr>
        <w:t>Maximum Payment</w:t>
      </w:r>
      <w:r>
        <w:rPr>
          <w:rFonts w:ascii="Arial" w:cs="Arial" w:eastAsia="Arial" w:hAnsi="Arial"/>
          <w:sz w:val="17"/>
          <w:szCs w:val="17"/>
          <w:color w:val="auto"/>
        </w:rPr>
        <w:t>. The maximum aggregate amount of any performance-based Cash Award that the Company or its Affiliates may pay in any one calendar year to a Participant who is a “covered employee” subject to Section 162(m) of the Code shall not exceed $5 million.</w:t>
      </w:r>
    </w:p>
    <w:p>
      <w:pPr>
        <w:spacing w:after="0" w:line="3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Other Restrictions.</w:t>
      </w:r>
      <w:r>
        <w:rPr>
          <w:rFonts w:ascii="Arial" w:cs="Arial" w:eastAsia="Arial" w:hAnsi="Arial"/>
          <w:sz w:val="18"/>
          <w:szCs w:val="18"/>
          <w:color w:val="auto"/>
        </w:rPr>
        <w:t xml:space="preserve"> The Committee shall have the power to impose any other restrictions on Cash Awards as it may deem necessary or appropriate to ensure that such Cash Awards satisfy all requirements for “performance-based compensation” within the meaning of Section 162(m) of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Events and Adjustments.</w:t>
      </w:r>
    </w:p>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Automatic Adjustments.</w:t>
      </w:r>
      <w:r>
        <w:rPr>
          <w:rFonts w:ascii="Arial" w:cs="Arial" w:eastAsia="Arial" w:hAnsi="Arial"/>
          <w:sz w:val="18"/>
          <w:szCs w:val="18"/>
          <w:color w:val="auto"/>
        </w:rPr>
        <w:t xml:space="preserve"> Unless otherwise determined by the Committee on or prior to the date of an Automatic Adjustment Event, upon the occurrence of an Automatic Adjustment Event, each of the following shall, automatically and without need for Committee action, be proportionately adjusted:</w:t>
      </w:r>
    </w:p>
    <w:p>
      <w:pPr>
        <w:spacing w:after="0" w:line="73" w:lineRule="exact"/>
        <w:rPr>
          <w:sz w:val="20"/>
          <w:szCs w:val="20"/>
          <w:color w:val="auto"/>
        </w:rPr>
      </w:pPr>
    </w:p>
    <w:p>
      <w:pPr>
        <w:ind w:left="1100" w:hanging="235"/>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Shares subject to outstanding Awards;</w:t>
      </w:r>
    </w:p>
    <w:p>
      <w:pPr>
        <w:spacing w:after="0" w:line="117" w:lineRule="exact"/>
        <w:rPr>
          <w:rFonts w:ascii="Arial" w:cs="Arial" w:eastAsia="Arial" w:hAnsi="Arial"/>
          <w:sz w:val="18"/>
          <w:szCs w:val="18"/>
          <w:color w:val="auto"/>
        </w:rPr>
      </w:pPr>
    </w:p>
    <w:p>
      <w:pPr>
        <w:ind w:left="440" w:right="220" w:firstLine="425"/>
        <w:spacing w:after="0" w:line="277" w:lineRule="auto"/>
        <w:tabs>
          <w:tab w:leader="none" w:pos="11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 Share Exercise Price of Options and the per Share base price upon which payments under SARs that are not Related SARs are determined;</w:t>
      </w:r>
    </w:p>
    <w:p>
      <w:pPr>
        <w:spacing w:after="0" w:line="48" w:lineRule="exact"/>
        <w:rPr>
          <w:rFonts w:ascii="Arial" w:cs="Arial" w:eastAsia="Arial" w:hAnsi="Arial"/>
          <w:sz w:val="18"/>
          <w:szCs w:val="18"/>
          <w:color w:val="auto"/>
        </w:rPr>
      </w:pPr>
    </w:p>
    <w:p>
      <w:pPr>
        <w:ind w:left="1100" w:hanging="235"/>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aggregate number Shares as to which Awards thereafter may be granted under this Plan; and</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maximum number of Shares with respect to which an Employee may be granted Awards during any calendar year.</w:t>
      </w:r>
    </w:p>
    <w:p>
      <w:pPr>
        <w:spacing w:after="0" w:line="117"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i w:val="1"/>
          <w:iCs w:val="1"/>
          <w:color w:val="auto"/>
        </w:rPr>
        <w:t>Discretionary Adjustments.</w:t>
      </w:r>
      <w:r>
        <w:rPr>
          <w:rFonts w:ascii="Arial" w:cs="Arial" w:eastAsia="Arial" w:hAnsi="Arial"/>
          <w:sz w:val="16"/>
          <w:szCs w:val="16"/>
          <w:color w:val="auto"/>
        </w:rPr>
        <w:t xml:space="preserve"> Subject to Section 15.1, in the event of any change in the outstanding Common Stock by reason of a stock dividend, stock split, reverse stock split, spin-off, recapitalization, reclassification, extraordinary cash dividend, combination or exchange of shares, merger, consolidation, liquidation or the like, the Committee shall, as it deems equitable in its discretion, provide for a substitution for or adjustment in:</w:t>
      </w:r>
    </w:p>
    <w:p>
      <w:pPr>
        <w:spacing w:after="0" w:line="39" w:lineRule="exact"/>
        <w:rPr>
          <w:sz w:val="20"/>
          <w:szCs w:val="20"/>
          <w:color w:val="auto"/>
        </w:rPr>
      </w:pPr>
    </w:p>
    <w:p>
      <w:pPr>
        <w:ind w:left="440" w:right="80" w:firstLine="425"/>
        <w:spacing w:after="0" w:line="277" w:lineRule="auto"/>
        <w:tabs>
          <w:tab w:leader="none" w:pos="11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and class of securities subject to outstanding Awards or the type of consideration to be received upon the exercise or vesting of outstanding Awards;</w:t>
      </w:r>
    </w:p>
    <w:p>
      <w:pPr>
        <w:spacing w:after="0" w:line="62" w:lineRule="exact"/>
        <w:rPr>
          <w:rFonts w:ascii="Arial" w:cs="Arial" w:eastAsia="Arial" w:hAnsi="Arial"/>
          <w:sz w:val="18"/>
          <w:szCs w:val="18"/>
          <w:color w:val="auto"/>
        </w:rPr>
      </w:pPr>
    </w:p>
    <w:p>
      <w:pPr>
        <w:ind w:left="1120" w:hanging="255"/>
        <w:spacing w:after="0"/>
        <w:tabs>
          <w:tab w:leader="none" w:pos="11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Exercise Price of Options and the base price upon which payments under SARs that are not Related SARs are determined;</w:t>
      </w:r>
    </w:p>
    <w:p>
      <w:pPr>
        <w:spacing w:after="0" w:line="128" w:lineRule="exact"/>
        <w:rPr>
          <w:rFonts w:ascii="Arial" w:cs="Arial" w:eastAsia="Arial" w:hAnsi="Arial"/>
          <w:sz w:val="17"/>
          <w:szCs w:val="17"/>
          <w:color w:val="auto"/>
        </w:rPr>
      </w:pPr>
    </w:p>
    <w:p>
      <w:pPr>
        <w:ind w:left="1100" w:hanging="235"/>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number and class of securities for which Awards thereafter may be granted under this Plan; and</w:t>
      </w:r>
    </w:p>
    <w:p>
      <w:pPr>
        <w:spacing w:after="0" w:line="117" w:lineRule="exact"/>
        <w:rPr>
          <w:rFonts w:ascii="Arial" w:cs="Arial" w:eastAsia="Arial" w:hAnsi="Arial"/>
          <w:sz w:val="18"/>
          <w:szCs w:val="18"/>
          <w:color w:val="auto"/>
        </w:rPr>
      </w:pPr>
    </w:p>
    <w:p>
      <w:pPr>
        <w:ind w:left="1120" w:hanging="255"/>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maximum number of securities with respect to which an Employee may be granted Awards during any calendar year.</w:t>
      </w:r>
    </w:p>
    <w:p>
      <w:pPr>
        <w:sectPr>
          <w:pgSz w:w="11900" w:h="16838" w:orient="portrait"/>
          <w:cols w:equalWidth="0" w:num="1">
            <w:col w:w="10980"/>
          </w:cols>
          <w:pgMar w:left="680" w:top="692" w:right="239" w:bottom="1440" w:gutter="0" w:footer="0" w:header="0"/>
        </w:sectPr>
      </w:pPr>
    </w:p>
    <w:bookmarkStart w:id="42" w:name="page43"/>
    <w:bookmarkEnd w:id="42"/>
    <w:p>
      <w:pPr>
        <w:ind w:right="40"/>
        <w:spacing w:after="0" w:line="259" w:lineRule="auto"/>
        <w:rPr>
          <w:sz w:val="20"/>
          <w:szCs w:val="20"/>
          <w:color w:val="auto"/>
        </w:rPr>
      </w:pPr>
      <w:r>
        <w:rPr>
          <w:rFonts w:ascii="Arial" w:cs="Arial" w:eastAsia="Arial" w:hAnsi="Arial"/>
          <w:sz w:val="18"/>
          <w:szCs w:val="18"/>
          <w:color w:val="auto"/>
        </w:rPr>
        <w:t>Any provision of this Plan or any Agreement to the contrary notwithstanding, in the event of a merger or consolidation to which the Company is a party, the Committee shall take such actions, if any, as it deems necessary or appropriate to prevent the enlargement or diminishment of Participants’ rights under this Plan and Awards granted hereunder, and may, in its discretion, cause any Award granted hereunder to be canceled in consideration of a cash payment equal to the fair value of the canceled Award, as the Committee determines in its discretion.</w:t>
      </w:r>
    </w:p>
    <w:p>
      <w:pPr>
        <w:spacing w:after="0" w:line="183" w:lineRule="exact"/>
        <w:rPr>
          <w:sz w:val="20"/>
          <w:szCs w:val="20"/>
          <w:color w:val="auto"/>
        </w:rPr>
      </w:pPr>
    </w:p>
    <w:p>
      <w:pPr>
        <w:ind w:right="60" w:firstLine="440"/>
        <w:spacing w:after="0" w:line="313" w:lineRule="auto"/>
        <w:tabs>
          <w:tab w:leader="none" w:pos="702"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Subject to Section 25.8, the Committee may permit or require a Participant to defer the Participant’s receipt of Shares or cash that would</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be due to the Participant pursuant to the terms of an Award upon such terms and conditions as the Committee may establish.</w:t>
      </w:r>
    </w:p>
    <w:p>
      <w:pPr>
        <w:spacing w:after="0" w:line="138" w:lineRule="exact"/>
        <w:rPr>
          <w:rFonts w:ascii="Arial" w:cs="Arial" w:eastAsia="Arial" w:hAnsi="Arial"/>
          <w:sz w:val="17"/>
          <w:szCs w:val="17"/>
          <w:b w:val="1"/>
          <w:bCs w:val="1"/>
          <w:color w:val="auto"/>
        </w:rPr>
      </w:pPr>
    </w:p>
    <w:p>
      <w:pPr>
        <w:ind w:right="140" w:firstLine="440"/>
        <w:spacing w:after="0" w:line="256" w:lineRule="auto"/>
        <w:tabs>
          <w:tab w:leader="none" w:pos="70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or Amendment. </w:t>
      </w:r>
      <w:r>
        <w:rPr>
          <w:rFonts w:ascii="Arial" w:cs="Arial" w:eastAsia="Arial" w:hAnsi="Arial"/>
          <w:sz w:val="18"/>
          <w:szCs w:val="18"/>
          <w:color w:val="auto"/>
        </w:rPr>
        <w:t>The Board may amend or terminate this Plan in any respect at any time; provided, that after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have approved this Plan, the Board shall not amend or terminate this Plan without approval of (a) the Company’s stockholders to the extent (i) the amendment relates to clause (b) of Section 18.1 or (ii) applicable law or regulations or the requirements of the principal exchange or interdealer quotation system on which the Common Stock is listed or quoted, if any, requires stockholder approval of the amendment, and (b) each affected Participant if the amendment or termination would adversely affect the Participant’s rights or obligations under any Award granted prior to the date of the amendment or termination.</w:t>
      </w:r>
    </w:p>
    <w:p>
      <w:pPr>
        <w:spacing w:after="0" w:line="187" w:lineRule="exact"/>
        <w:rPr>
          <w:rFonts w:ascii="Arial" w:cs="Arial" w:eastAsia="Arial" w:hAnsi="Arial"/>
          <w:sz w:val="18"/>
          <w:szCs w:val="18"/>
          <w:b w:val="1"/>
          <w:bCs w:val="1"/>
          <w:color w:val="auto"/>
        </w:rPr>
      </w:pPr>
    </w:p>
    <w:p>
      <w:pPr>
        <w:ind w:left="720" w:hanging="280"/>
        <w:spacing w:after="0"/>
        <w:tabs>
          <w:tab w:leader="none" w:pos="7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Substitution of Awards.</w:t>
      </w:r>
    </w:p>
    <w:p>
      <w:pPr>
        <w:spacing w:after="0" w:line="121" w:lineRule="exact"/>
        <w:rPr>
          <w:sz w:val="20"/>
          <w:szCs w:val="20"/>
          <w:color w:val="auto"/>
        </w:rPr>
      </w:pPr>
    </w:p>
    <w:p>
      <w:pPr>
        <w:ind w:left="440" w:right="160" w:firstLine="432"/>
        <w:spacing w:after="0" w:line="284"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i w:val="1"/>
          <w:iCs w:val="1"/>
          <w:color w:val="auto"/>
        </w:rPr>
        <w:t>Modification of Awards</w:t>
      </w:r>
      <w:r>
        <w:rPr>
          <w:rFonts w:ascii="Arial" w:cs="Arial" w:eastAsia="Arial" w:hAnsi="Arial"/>
          <w:sz w:val="16"/>
          <w:szCs w:val="16"/>
          <w:color w:val="auto"/>
        </w:rPr>
        <w:t>; No Reduction in Exercise Price. Subject to the terms and conditions of this Plan, the Committee may modify the terms of any outstanding Awards; provided, that (a) no modification of an Award shall, without the consent of the Participant, alter or impair, or for Awards granted after April 29, 2014, materially and adversely impair, any of the Participant’s rights or obligations under the Award, and (b) subject to Section 15, in no event may (i) an Option be modified to reduce the Exercise Price of the Option, (ii) a SAR be modified to reduce the applicable Exercise Price (in the case of a Related SAR) or base price (in the case of other SARs), (iii) an Option or SAR be cancelled or surrendered in consideration for the grant of a new Option or SAR with a lower Exercise Price or base price, or (iv) an Option or SAR be cancelled or surrendered in exchange for cash or another Award (other than in connection with a Substitute Award or a change in control of the Company).</w:t>
      </w:r>
    </w:p>
    <w:p>
      <w:pPr>
        <w:spacing w:after="0" w:line="3" w:lineRule="exact"/>
        <w:rPr>
          <w:sz w:val="20"/>
          <w:szCs w:val="20"/>
          <w:color w:val="auto"/>
        </w:rPr>
      </w:pPr>
    </w:p>
    <w:p>
      <w:pPr>
        <w:ind w:left="440" w:right="40" w:firstLine="432"/>
        <w:spacing w:after="0" w:line="287"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i w:val="1"/>
          <w:iCs w:val="1"/>
          <w:color w:val="auto"/>
        </w:rPr>
        <w:t>Substitution of Awards</w:t>
      </w:r>
      <w:r>
        <w:rPr>
          <w:rFonts w:ascii="Arial" w:cs="Arial" w:eastAsia="Arial" w:hAnsi="Arial"/>
          <w:sz w:val="16"/>
          <w:szCs w:val="16"/>
          <w:color w:val="auto"/>
        </w:rPr>
        <w:t>. Anything contained herein to the contrary notwithstanding, Awards may, in the Committee’s discretion, be granted under this Plan in substitution for stock options and other awards covering capital stock of another corporation which is merged into, consolidated with, or all or a substantial portion of the property or stock of which is acquired by, the Company or one of its Affiliates. The terms and conditions of the Substitute Awards so granted may vary from the terms and conditions set forth in this Plan to such extent as the Committee may deem appropriate to conform, in whole or part, to the provisions of the awards in substitution for which they are granted. Substitute Awards granted hereunder shall not be counted toward (i) the Share limit imposed by Section 5.1 or (ii) the Share limit imposed by Section 5.2, except to the extent the Committee determines that counting Substitute Awards under Section 5.2 is required for Awards granted hereunder to be eligible to qualify as “performance-based compensation” within the meaning of Section 162(m) of the Code. Further, any shares available under a stockholder approved plan of another corporation which is merged into, consolidated with, or all or a substantial portion of the property or stock of which is acquired by, the Company or one of its Affiliates, may be used for Awards under this Plan and shall not be counted toward (i) the Share limit imposed by Section 5.1 or (ii) the Share limit imposed by Section 5.2, except to the extent required by the rules of the principal securities market on which the Company’s shares are traded.</w:t>
      </w:r>
    </w:p>
    <w:p>
      <w:pPr>
        <w:spacing w:after="0" w:line="168" w:lineRule="exact"/>
        <w:rPr>
          <w:sz w:val="20"/>
          <w:szCs w:val="20"/>
          <w:color w:val="auto"/>
        </w:rPr>
      </w:pPr>
    </w:p>
    <w:p>
      <w:pPr>
        <w:ind w:right="120" w:firstLine="440"/>
        <w:spacing w:after="0" w:line="258" w:lineRule="auto"/>
        <w:tabs>
          <w:tab w:leader="none" w:pos="70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Foreign Employees. </w:t>
      </w:r>
      <w:r>
        <w:rPr>
          <w:rFonts w:ascii="Arial" w:cs="Arial" w:eastAsia="Arial" w:hAnsi="Arial"/>
          <w:sz w:val="18"/>
          <w:szCs w:val="18"/>
          <w:color w:val="auto"/>
        </w:rPr>
        <w:t>Without amendment of this Plan, the Committee may grant Awards to Eligible Persons who are subject to the laws of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countries or jurisdictions on such terms and conditions different from those specified in this Plan as may in the judgment of the Committee be necessary or desirable to foster and promote achievement of the purposes of this Plan. The Committee may make such modifications, amendments, procedures, sub-plans and the like as may be necessary or advisable to comply with provisions of laws of other countries or jurisdictions in which the Company or any of its Affiliates operates or has employees.</w:t>
      </w:r>
    </w:p>
    <w:p>
      <w:pPr>
        <w:spacing w:after="0" w:line="183" w:lineRule="exact"/>
        <w:rPr>
          <w:rFonts w:ascii="Arial" w:cs="Arial" w:eastAsia="Arial" w:hAnsi="Arial"/>
          <w:sz w:val="18"/>
          <w:szCs w:val="18"/>
          <w:b w:val="1"/>
          <w:bCs w:val="1"/>
          <w:color w:val="auto"/>
        </w:rPr>
      </w:pPr>
    </w:p>
    <w:p>
      <w:pPr>
        <w:ind w:firstLine="440"/>
        <w:spacing w:after="0" w:line="282" w:lineRule="auto"/>
        <w:tabs>
          <w:tab w:leader="none" w:pos="70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Approval. </w:t>
      </w:r>
      <w:r>
        <w:rPr>
          <w:rFonts w:ascii="Arial" w:cs="Arial" w:eastAsia="Arial" w:hAnsi="Arial"/>
          <w:sz w:val="18"/>
          <w:szCs w:val="18"/>
          <w:color w:val="auto"/>
        </w:rPr>
        <w:t>This Plan and any amendments to the Plan requiring stockholder approval pursuant to Section 17 are subject to approval by</w:t>
      </w:r>
      <w:r>
        <w:rPr>
          <w:rFonts w:ascii="Arial" w:cs="Arial" w:eastAsia="Arial" w:hAnsi="Arial"/>
          <w:sz w:val="18"/>
          <w:szCs w:val="18"/>
          <w:b w:val="1"/>
          <w:bCs w:val="1"/>
          <w:color w:val="auto"/>
        </w:rPr>
        <w:t xml:space="preserve"> </w:t>
      </w:r>
      <w:r>
        <w:rPr>
          <w:rFonts w:ascii="Arial" w:cs="Arial" w:eastAsia="Arial" w:hAnsi="Arial"/>
          <w:sz w:val="18"/>
          <w:szCs w:val="18"/>
          <w:color w:val="auto"/>
        </w:rPr>
        <w:t>vote of the stockholders of the Company at the next annual or special meeting of stockholders following adoption by the Board.</w:t>
      </w:r>
    </w:p>
    <w:p>
      <w:pPr>
        <w:sectPr>
          <w:pgSz w:w="11900" w:h="16838" w:orient="portrait"/>
          <w:cols w:equalWidth="0" w:num="1">
            <w:col w:w="11400"/>
          </w:cols>
          <w:pgMar w:left="240" w:top="800" w:right="259" w:bottom="1440" w:gutter="0" w:footer="0" w:header="0"/>
        </w:sectPr>
      </w:pPr>
    </w:p>
    <w:bookmarkStart w:id="43" w:name="page44"/>
    <w:bookmarkEnd w:id="43"/>
    <w:p>
      <w:pPr>
        <w:ind w:right="160" w:firstLine="440"/>
        <w:spacing w:after="0" w:line="289" w:lineRule="auto"/>
        <w:tabs>
          <w:tab w:leader="none" w:pos="70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The Company’s obligation to issue or deliver Shares or pay any amount pursuant to the terms of any Award granted hereunder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subject to satisfaction of applicable federal, state, local and foreign tax withholding requirements. In accordance with such rules as the Committee may prescribe, a Participant may satisfy any withholding tax requirements by one or any combination of the following means: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21.1. tendering a cash payment;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21.2. authorizing the Company to withhold Shares otherwise issuable to the Participant; or</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21.3. delivering to the Company already-owned and unencumbered Shares.</w:t>
      </w:r>
    </w:p>
    <w:p>
      <w:pPr>
        <w:spacing w:after="0" w:line="221" w:lineRule="exact"/>
        <w:rPr>
          <w:sz w:val="20"/>
          <w:szCs w:val="20"/>
          <w:color w:val="auto"/>
        </w:rPr>
      </w:pPr>
    </w:p>
    <w:p>
      <w:pPr>
        <w:ind w:right="760" w:firstLine="440"/>
        <w:spacing w:after="0" w:line="313" w:lineRule="auto"/>
        <w:tabs>
          <w:tab w:leader="none" w:pos="702"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Loans. </w:t>
      </w:r>
      <w:r>
        <w:rPr>
          <w:rFonts w:ascii="Arial" w:cs="Arial" w:eastAsia="Arial" w:hAnsi="Arial"/>
          <w:sz w:val="17"/>
          <w:szCs w:val="17"/>
          <w:color w:val="auto"/>
        </w:rPr>
        <w:t>Notwithstanding any other provision of this Plan to the contrary, no loans will be permitted by the Company to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executive officers or directors, including without limitation a loan in conjunction with the exercise of an Option or SAR.</w:t>
      </w:r>
    </w:p>
    <w:p>
      <w:pPr>
        <w:spacing w:after="0" w:line="138" w:lineRule="exact"/>
        <w:rPr>
          <w:rFonts w:ascii="Arial" w:cs="Arial" w:eastAsia="Arial" w:hAnsi="Arial"/>
          <w:sz w:val="17"/>
          <w:szCs w:val="17"/>
          <w:b w:val="1"/>
          <w:bCs w:val="1"/>
          <w:color w:val="auto"/>
        </w:rPr>
      </w:pPr>
    </w:p>
    <w:p>
      <w:pPr>
        <w:jc w:val="both"/>
        <w:ind w:right="120" w:firstLine="440"/>
        <w:spacing w:after="0" w:line="266" w:lineRule="auto"/>
        <w:tabs>
          <w:tab w:leader="none" w:pos="70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Unless the Board terminates this Plan pursuant to Section 17 on an earlier date, this Plan shall terminate on the date that is ten years</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effective date of the Plan as set forth in Section 2, and no Awards may be granted after such termination date. The termination of this Plan shall not affect the validity of any Award outstanding on the date of termination.</w:t>
      </w:r>
    </w:p>
    <w:p>
      <w:pPr>
        <w:spacing w:after="0" w:line="176" w:lineRule="exact"/>
        <w:rPr>
          <w:rFonts w:ascii="Arial" w:cs="Arial" w:eastAsia="Arial" w:hAnsi="Arial"/>
          <w:sz w:val="18"/>
          <w:szCs w:val="18"/>
          <w:b w:val="1"/>
          <w:bCs w:val="1"/>
          <w:color w:val="auto"/>
        </w:rPr>
      </w:pPr>
    </w:p>
    <w:p>
      <w:pPr>
        <w:ind w:right="140" w:firstLine="440"/>
        <w:spacing w:after="0" w:line="254" w:lineRule="auto"/>
        <w:tabs>
          <w:tab w:leader="none" w:pos="70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162(m) of the Code Limitations. </w:t>
      </w:r>
      <w:r>
        <w:rPr>
          <w:rFonts w:ascii="Arial" w:cs="Arial" w:eastAsia="Arial" w:hAnsi="Arial"/>
          <w:sz w:val="18"/>
          <w:szCs w:val="18"/>
          <w:color w:val="auto"/>
        </w:rPr>
        <w:t>Notwithstanding any other provision of this Plan to the contrary, with respect to any Award granted to a</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employee” within the meaning of Section 162(m) of the Code which is intended to satisfy the “performance-based compensation” exception set forth in Section 162(m)(4)(C) of the Code, such Award shall be conditioned on the achievement of one or more Performance Goals established by the Committee generally within 90 days of the commencement of the applicable Performance Period (provided that the outcome of the Performance Goals is substantially uncertain at</w:t>
      </w:r>
    </w:p>
    <w:p>
      <w:pPr>
        <w:spacing w:after="0" w:line="3" w:lineRule="exact"/>
        <w:rPr>
          <w:rFonts w:ascii="Arial" w:cs="Arial" w:eastAsia="Arial" w:hAnsi="Arial"/>
          <w:sz w:val="18"/>
          <w:szCs w:val="18"/>
          <w:b w:val="1"/>
          <w:bCs w:val="1"/>
          <w:color w:val="auto"/>
        </w:rPr>
      </w:pPr>
    </w:p>
    <w:p>
      <w:pPr>
        <w:ind w:right="22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the time the Performance Goals are established) and shall otherwise comply with the requirements of Section 162(m) of the Code. The Committee may not adjust upwards the amount of any such Award, nor may it waive the achievement of the applicable Performance Goals, except to the extent that</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Section 162(m) of the Code permits.</w:t>
      </w:r>
    </w:p>
    <w:p>
      <w:pPr>
        <w:spacing w:after="0" w:line="206" w:lineRule="exact"/>
        <w:rPr>
          <w:rFonts w:ascii="Arial" w:cs="Arial" w:eastAsia="Arial" w:hAnsi="Arial"/>
          <w:sz w:val="18"/>
          <w:szCs w:val="18"/>
          <w:b w:val="1"/>
          <w:bCs w:val="1"/>
          <w:color w:val="auto"/>
        </w:rPr>
      </w:pPr>
    </w:p>
    <w:p>
      <w:pPr>
        <w:ind w:left="720" w:hanging="280"/>
        <w:spacing w:after="0"/>
        <w:tabs>
          <w:tab w:leader="none" w:pos="7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21" w:lineRule="exact"/>
        <w:rPr>
          <w:sz w:val="20"/>
          <w:szCs w:val="20"/>
          <w:color w:val="auto"/>
        </w:rPr>
      </w:pPr>
    </w:p>
    <w:p>
      <w:pPr>
        <w:ind w:left="440" w:right="40" w:firstLine="432"/>
        <w:spacing w:after="0" w:line="264"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i w:val="1"/>
          <w:iCs w:val="1"/>
          <w:color w:val="auto"/>
        </w:rPr>
        <w:t>No Legal or Equitable Rights Conferred.</w:t>
      </w:r>
      <w:r>
        <w:rPr>
          <w:rFonts w:ascii="Arial" w:cs="Arial" w:eastAsia="Arial" w:hAnsi="Arial"/>
          <w:sz w:val="18"/>
          <w:szCs w:val="18"/>
          <w:color w:val="auto"/>
        </w:rPr>
        <w:t xml:space="preserve"> The establishment of this Plan shall not confer upon any Eligible Person any legal or equitable right against the Company, any Affiliate or the Committee, except as expressly provided in this Plan. Participation in this Plan shall not give an Eligible Person any right to be retained in the service of the Company or any Affiliate.</w:t>
      </w:r>
    </w:p>
    <w:p>
      <w:pPr>
        <w:spacing w:after="0" w:line="73" w:lineRule="exact"/>
        <w:rPr>
          <w:sz w:val="20"/>
          <w:szCs w:val="20"/>
          <w:color w:val="auto"/>
        </w:rPr>
      </w:pPr>
    </w:p>
    <w:p>
      <w:pPr>
        <w:ind w:left="440" w:right="60" w:firstLine="432"/>
        <w:spacing w:after="0" w:line="259"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i w:val="1"/>
          <w:iCs w:val="1"/>
          <w:color w:val="auto"/>
        </w:rPr>
        <w:t>Power of Company to Issue Awards or Adopt Other Plans.</w:t>
      </w:r>
      <w:r>
        <w:rPr>
          <w:rFonts w:ascii="Arial" w:cs="Arial" w:eastAsia="Arial" w:hAnsi="Arial"/>
          <w:sz w:val="18"/>
          <w:szCs w:val="18"/>
          <w:color w:val="auto"/>
        </w:rPr>
        <w:t xml:space="preserve"> Neither the adoption of this Plan nor its submission to the Company’s stockholders shall be taken to impose any limitations on the powers of the Company or its Affiliates to issue, grant, or assume options, warrants, rights, or restricted stock, or other awards otherwise than under this Plan, or to adopt other stock option, restricted stock, or other plans, or to impose any requirement of stockholder approval upon the same.</w:t>
      </w:r>
    </w:p>
    <w:p>
      <w:pPr>
        <w:spacing w:after="0" w:line="79" w:lineRule="exact"/>
        <w:rPr>
          <w:sz w:val="20"/>
          <w:szCs w:val="20"/>
          <w:color w:val="auto"/>
        </w:rPr>
      </w:pPr>
    </w:p>
    <w:p>
      <w:pPr>
        <w:ind w:left="440" w:right="40" w:firstLine="432"/>
        <w:spacing w:after="0" w:line="255"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i w:val="1"/>
          <w:iCs w:val="1"/>
          <w:color w:val="auto"/>
        </w:rPr>
        <w:t>Non-Transferability of Awards.</w:t>
      </w:r>
      <w:r>
        <w:rPr>
          <w:rFonts w:ascii="Arial" w:cs="Arial" w:eastAsia="Arial" w:hAnsi="Arial"/>
          <w:sz w:val="18"/>
          <w:szCs w:val="18"/>
          <w:color w:val="auto"/>
        </w:rPr>
        <w:t xml:space="preserve"> The interests of any Eligible Person under this Plan or Awards granted hereunder are not subject to the claims of creditors and may not, in any way, be transferred, assigned, alienated or encumbered, except to the extent provided in an Agreement to (a) the Participant’s spouse, children or grandchildren (including any adopted and step children or grandchildren), parents, grandparents or siblings, (b) to a trust for the benefit of one or more of the Participant or the persons referred to in clause (a), (c) to a partnership, limited liability company or corporation in which the Participant or the persons referred to in clause (a) are the only partners, members or stockholders or (d) for charitable donations.</w:t>
      </w:r>
    </w:p>
    <w:p>
      <w:pPr>
        <w:spacing w:after="0" w:line="85" w:lineRule="exact"/>
        <w:rPr>
          <w:sz w:val="20"/>
          <w:szCs w:val="20"/>
          <w:color w:val="auto"/>
        </w:rPr>
      </w:pPr>
    </w:p>
    <w:p>
      <w:pPr>
        <w:ind w:left="440" w:right="420" w:firstLine="432"/>
        <w:spacing w:after="0" w:line="277" w:lineRule="auto"/>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Plan shall be governed, construed and administered in accordance with the laws of the State of Delaware without giving effect to the conflict of laws principles.</w:t>
      </w:r>
    </w:p>
    <w:p>
      <w:pPr>
        <w:spacing w:after="0" w:line="62" w:lineRule="exact"/>
        <w:rPr>
          <w:sz w:val="20"/>
          <w:szCs w:val="20"/>
          <w:color w:val="auto"/>
        </w:rPr>
      </w:pPr>
    </w:p>
    <w:p>
      <w:pPr>
        <w:ind w:left="440" w:firstLine="432"/>
        <w:spacing w:after="0" w:line="272" w:lineRule="auto"/>
        <w:rPr>
          <w:sz w:val="20"/>
          <w:szCs w:val="20"/>
          <w:color w:val="auto"/>
        </w:rPr>
      </w:pPr>
      <w:r>
        <w:rPr>
          <w:rFonts w:ascii="Arial" w:cs="Arial" w:eastAsia="Arial" w:hAnsi="Arial"/>
          <w:sz w:val="17"/>
          <w:szCs w:val="17"/>
          <w:color w:val="auto"/>
        </w:rPr>
        <w:t xml:space="preserve">25.5. </w:t>
      </w:r>
      <w:r>
        <w:rPr>
          <w:rFonts w:ascii="Arial" w:cs="Arial" w:eastAsia="Arial" w:hAnsi="Arial"/>
          <w:sz w:val="17"/>
          <w:szCs w:val="17"/>
          <w:i w:val="1"/>
          <w:iCs w:val="1"/>
          <w:color w:val="auto"/>
        </w:rPr>
        <w:t>Award Restrictions.</w:t>
      </w:r>
      <w:r>
        <w:rPr>
          <w:rFonts w:ascii="Arial" w:cs="Arial" w:eastAsia="Arial" w:hAnsi="Arial"/>
          <w:sz w:val="17"/>
          <w:szCs w:val="17"/>
          <w:color w:val="auto"/>
        </w:rPr>
        <w:t xml:space="preserve"> The Committee may require each person acquiring Shares pursuant to Awards granted hereunder to represent to and agree with the Company in writing that the person is acquiring the Shares without a view to distribution thereof. The certificates for the Shares may include any legend which the Committee deems appropriate to reflect any restrictions on transfer. All certificates for Shares issued pursuant to this Plan shall be subject to such stock transfer orders and other restrictions as the Committee may deem advisable under the rules, regulations, and other requirements of the Securities and Exchange Commission, any stock exchange upon which the Common Stock is then listed or interdealer quotation system upon which the Common Stock is then quoted, and any applicable federal or state securities laws. The Committee may place a legend or legends on certificates for Shares to make appropriate reference to the restrictions.</w:t>
      </w:r>
    </w:p>
    <w:p>
      <w:pPr>
        <w:sectPr>
          <w:pgSz w:w="11900" w:h="16838" w:orient="portrait"/>
          <w:cols w:equalWidth="0" w:num="1">
            <w:col w:w="11400"/>
          </w:cols>
          <w:pgMar w:left="240" w:top="797" w:right="259" w:bottom="1440" w:gutter="0" w:footer="0" w:header="0"/>
        </w:sectPr>
      </w:pPr>
    </w:p>
    <w:bookmarkStart w:id="44" w:name="page45"/>
    <w:bookmarkEnd w:id="44"/>
    <w:p>
      <w:pPr>
        <w:ind w:right="200" w:firstLine="432"/>
        <w:spacing w:after="0" w:line="302" w:lineRule="auto"/>
        <w:rPr>
          <w:sz w:val="20"/>
          <w:szCs w:val="20"/>
          <w:color w:val="auto"/>
        </w:rPr>
      </w:pPr>
      <w:r>
        <w:rPr>
          <w:rFonts w:ascii="Arial" w:cs="Arial" w:eastAsia="Arial" w:hAnsi="Arial"/>
          <w:sz w:val="16"/>
          <w:szCs w:val="16"/>
          <w:color w:val="auto"/>
        </w:rPr>
        <w:t xml:space="preserve">25.6. </w:t>
      </w:r>
      <w:r>
        <w:rPr>
          <w:rFonts w:ascii="Arial" w:cs="Arial" w:eastAsia="Arial" w:hAnsi="Arial"/>
          <w:sz w:val="16"/>
          <w:szCs w:val="16"/>
          <w:i w:val="1"/>
          <w:iCs w:val="1"/>
          <w:color w:val="auto"/>
        </w:rPr>
        <w:t>Regulatory Approvals and Compliance with Securities Laws.</w:t>
      </w:r>
      <w:r>
        <w:rPr>
          <w:rFonts w:ascii="Arial" w:cs="Arial" w:eastAsia="Arial" w:hAnsi="Arial"/>
          <w:sz w:val="16"/>
          <w:szCs w:val="16"/>
          <w:color w:val="auto"/>
        </w:rPr>
        <w:t xml:space="preserve"> The Company shall not be required to issue any certificate or certificates for Shares with respect to Awards granted under this Plan, or record any person as a holder of record of Shares, without obtaining, to the complete satisfaction of the Committee, the approval of all regulatory bodies the Committee deems necessary, and without complying to the Board’s or Committee’s complete satisfaction, with all rules and regulations, under federal, state or local law the Committee deems applicable.</w:t>
      </w:r>
    </w:p>
    <w:p>
      <w:pPr>
        <w:spacing w:after="0" w:line="46" w:lineRule="exact"/>
        <w:rPr>
          <w:sz w:val="20"/>
          <w:szCs w:val="20"/>
          <w:color w:val="auto"/>
        </w:rPr>
      </w:pPr>
    </w:p>
    <w:p>
      <w:pPr>
        <w:ind w:right="80" w:firstLine="432"/>
        <w:spacing w:after="0" w:line="268" w:lineRule="auto"/>
        <w:rPr>
          <w:sz w:val="20"/>
          <w:szCs w:val="20"/>
          <w:color w:val="auto"/>
        </w:rPr>
      </w:pPr>
      <w:r>
        <w:rPr>
          <w:rFonts w:ascii="Arial" w:cs="Arial" w:eastAsia="Arial" w:hAnsi="Arial"/>
          <w:sz w:val="17"/>
          <w:szCs w:val="17"/>
          <w:color w:val="auto"/>
        </w:rPr>
        <w:t xml:space="preserve">25.7. </w:t>
      </w:r>
      <w:r>
        <w:rPr>
          <w:rFonts w:ascii="Arial" w:cs="Arial" w:eastAsia="Arial" w:hAnsi="Arial"/>
          <w:sz w:val="17"/>
          <w:szCs w:val="17"/>
          <w:i w:val="1"/>
          <w:iCs w:val="1"/>
          <w:color w:val="auto"/>
        </w:rPr>
        <w:t>Non-certificated Award; No Fractional Shares.</w:t>
      </w:r>
      <w:r>
        <w:rPr>
          <w:rFonts w:ascii="Arial" w:cs="Arial" w:eastAsia="Arial" w:hAnsi="Arial"/>
          <w:sz w:val="17"/>
          <w:szCs w:val="17"/>
          <w:color w:val="auto"/>
        </w:rPr>
        <w:t xml:space="preserve"> To the extent that this Plan provides for issuance of stock certificates to reflect the issuance of Shares, the issuance may be effected on a non-certificated basis, to the extent not prohibited by applicable law or the rules of any stock exchange or automated dealer quotation system on which the Shares are traded. No fractional Shares shall be issued or delivered pursuant to this Plan or any award. The Committee shall determine whether cash, other Awards, or other property shall be issued or paid in lieu of any fractional Shares or whether any fractional Shares or any rights thereto shall be forfeited or otherwise eliminated.</w:t>
      </w:r>
    </w:p>
    <w:p>
      <w:pPr>
        <w:spacing w:after="0" w:line="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 xml:space="preserve">25.8. </w:t>
      </w:r>
      <w:r>
        <w:rPr>
          <w:rFonts w:ascii="Arial" w:cs="Arial" w:eastAsia="Arial" w:hAnsi="Arial"/>
          <w:sz w:val="16"/>
          <w:szCs w:val="16"/>
          <w:i w:val="1"/>
          <w:iCs w:val="1"/>
          <w:color w:val="auto"/>
        </w:rPr>
        <w:t>Section 409A of the Code.</w:t>
      </w:r>
      <w:r>
        <w:rPr>
          <w:rFonts w:ascii="Arial" w:cs="Arial" w:eastAsia="Arial" w:hAnsi="Arial"/>
          <w:sz w:val="16"/>
          <w:szCs w:val="16"/>
          <w:color w:val="auto"/>
        </w:rPr>
        <w:t xml:space="preserve"> Awards shall be designed and administered in such a manner that they are either exempt from the application of, or comply with, the requirements of Section 409A of the Code. The Plan and each Agreement under the Plan is intended to meet the requirements of Section 409A of the Code and shall be construed and interpreted in accordance with such intent. To the extent that an Award or payment, settlement or deferral thereof, is subject to Section 409A of the Code, the Award shall be granted, paid, settled or deferred in a manner that will meet the requirements of Section 409A of the Code, including regulations or other guidance issued with respect thereto, such that the grant, payment, settlement or deferral shall not be subject to the additional tax or interest applicable under Section 409A of the Code. Moreover, notwithstanding anything in the Plan to the contrary, if a Participant is determined to be a “specified employee” (as defined in Section 409A of the Code) for the year in which the Participant terminates employment, any payment due under the Plan or an Agreement that is not permitted to be paid on the date of such termination without the imposition of additional taxes, interest and penalties under Section 409A of the Code shall be paid on the first business day following the six-month anniversary of the Participant’s date of termination or, if earlier, the Participant’s death.</w:t>
      </w:r>
    </w:p>
    <w:p>
      <w:pPr>
        <w:spacing w:after="0" w:line="60"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 xml:space="preserve">25.9. </w:t>
      </w:r>
      <w:r>
        <w:rPr>
          <w:rFonts w:ascii="Arial" w:cs="Arial" w:eastAsia="Arial" w:hAnsi="Arial"/>
          <w:sz w:val="16"/>
          <w:szCs w:val="16"/>
          <w:i w:val="1"/>
          <w:iCs w:val="1"/>
          <w:color w:val="auto"/>
        </w:rPr>
        <w:t>Clawback.</w:t>
      </w:r>
      <w:r>
        <w:rPr>
          <w:rFonts w:ascii="Arial" w:cs="Arial" w:eastAsia="Arial" w:hAnsi="Arial"/>
          <w:sz w:val="16"/>
          <w:szCs w:val="16"/>
          <w:color w:val="auto"/>
        </w:rPr>
        <w:t xml:space="preserve"> Notwithstanding any provision in this Plan to the contrary, Awards granted under this Plan shall be subject to cancellation, forfeiture and recovery in accordance with the YRC Worldwide Executive Compensation Recovery Policy, as the same may be amended from time to time, or any other compensation recovery policy that may be adopted by the Company after the date hereof, including any compensation recovery policy adopted pursuant to the requirements of Section 954 of the Dodd-Frank Wall Street Reform and Consumer Protection Act of 2010.</w:t>
      </w:r>
    </w:p>
    <w:p>
      <w:pPr>
        <w:sectPr>
          <w:pgSz w:w="11900" w:h="16838" w:orient="portrait"/>
          <w:cols w:equalWidth="0" w:num="1">
            <w:col w:w="10960"/>
          </w:cols>
          <w:pgMar w:left="680" w:top="692"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March 31, 2014,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March 31, 2014,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1, 2014</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
      <w:numFmt w:val="bullet"/>
      <w:start w:val="1"/>
    </w:lvl>
    <w:lvl w:ilvl="1">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lvl w:ilvl="1">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lowerLetter"/>
      <w:start w:val="3"/>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lowerLetter"/>
      <w:start w:val="3"/>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19"/>
    </w:lvl>
  </w:abstractNum>
  <w:abstractNum w:abstractNumId="37">
    <w:nsid w:val="542289EC"/>
    <w:multiLevelType w:val="hybridMultilevel"/>
    <w:lvl w:ilvl="0">
      <w:lvlJc w:val="left"/>
      <w:lvlText w:val="(%1)"/>
      <w:numFmt w:val="lowerLetter"/>
      <w:start w:val="27"/>
    </w:lvl>
  </w:abstractNum>
  <w:abstractNum w:abstractNumId="38">
    <w:nsid w:val="6DE91B18"/>
    <w:multiLevelType w:val="hybridMultilevel"/>
    <w:lvl w:ilvl="0">
      <w:lvlJc w:val="left"/>
      <w:lvlText w:val="%1."/>
      <w:numFmt w:val="decimal"/>
      <w:start w:val="2"/>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decimal"/>
      <w:start w:val="8"/>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9"/>
    </w:lvl>
    <w:lvl w:ilvl="1">
      <w:lvlJc w:val="left"/>
      <w:lvlText w:val="%2"/>
      <w:numFmt w:val="lowerLetter"/>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16"/>
    </w:lvl>
  </w:abstractNum>
  <w:abstractNum w:abstractNumId="48">
    <w:nsid w:val="75C6C33A"/>
    <w:multiLevelType w:val="hybridMultilevel"/>
    <w:lvl w:ilvl="0">
      <w:lvlJc w:val="left"/>
      <w:lvlText w:val="%1."/>
      <w:numFmt w:val="decimal"/>
      <w:start w:val="19"/>
    </w:lvl>
  </w:abstractNum>
  <w:abstractNum w:abstractNumId="49">
    <w:nsid w:val="12E685FB"/>
    <w:multiLevelType w:val="hybridMultilevel"/>
    <w:lvl w:ilvl="0">
      <w:lvlJc w:val="left"/>
      <w:lvlText w:val="%1."/>
      <w:numFmt w:val="decimal"/>
      <w:start w:val="21"/>
    </w:lvl>
  </w:abstractNum>
  <w:abstractNum w:abstractNumId="50">
    <w:nsid w:val="70C6A529"/>
    <w:multiLevelType w:val="hybridMultilevel"/>
    <w:lvl w:ilvl="0">
      <w:lvlJc w:val="left"/>
      <w:lvlText w:val="%1."/>
      <w:numFmt w:val="decimal"/>
      <w:start w:val="22"/>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2019-12-05T18:44:13Z</dcterms:created>
  <dcterms:modified xsi:type="dcterms:W3CDTF">2019-12-05T18:44:13Z</dcterms:modified>
</cp:coreProperties>
</file>