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58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109855</wp:posOffset>
            </wp:positionV>
            <wp:extent cx="1758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0" w:right="540" w:hanging="345"/>
        <w:spacing w:after="0" w:line="256"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right="520" w:hanging="345"/>
        <w:spacing w:after="0" w:line="256" w:lineRule="auto"/>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0-12255</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-282575</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97790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6500" w:type="dxa"/>
            <w:vAlign w:val="bottom"/>
          </w:tcPr>
          <w:p>
            <w:pPr>
              <w:jc w:val="center"/>
              <w:ind w:right="3139"/>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48-0948788</w:t>
            </w:r>
          </w:p>
        </w:tc>
      </w:tr>
      <w:tr>
        <w:trPr>
          <w:trHeight w:val="218"/>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(I.R.S. Employer</w:t>
            </w:r>
          </w:p>
        </w:tc>
      </w:tr>
      <w:tr>
        <w:trPr>
          <w:trHeight w:val="270"/>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6500" w:type="dxa"/>
            <w:vAlign w:val="bottom"/>
          </w:tcPr>
          <w:p>
            <w:pPr>
              <w:jc w:val="center"/>
              <w:ind w:right="3119"/>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66211</w:t>
            </w:r>
          </w:p>
        </w:tc>
      </w:tr>
      <w:tr>
        <w:trPr>
          <w:trHeight w:val="218"/>
        </w:trPr>
        <w:tc>
          <w:tcPr>
            <w:tcW w:w="6500" w:type="dxa"/>
            <w:vAlign w:val="bottom"/>
          </w:tcPr>
          <w:p>
            <w:pPr>
              <w:jc w:val="center"/>
              <w:ind w:right="31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90"/>
              </w:rPr>
              <w:t>(913) 696-6100</w:t>
            </w:r>
          </w:p>
        </w:tc>
        <w:tc>
          <w:tcPr>
            <w:tcW w:w="1460" w:type="dxa"/>
            <w:vAlign w:val="bottom"/>
          </w:tcPr>
          <w:p>
            <w:pPr>
              <w:spacing w:after="0"/>
              <w:rPr>
                <w:sz w:val="23"/>
                <w:szCs w:val="23"/>
                <w:color w:val="auto"/>
              </w:rPr>
            </w:pPr>
          </w:p>
        </w:tc>
      </w:tr>
      <w:tr>
        <w:trPr>
          <w:trHeight w:val="186"/>
        </w:trPr>
        <w:tc>
          <w:tcPr>
            <w:tcW w:w="6500" w:type="dxa"/>
            <w:vAlign w:val="bottom"/>
          </w:tcPr>
          <w:p>
            <w:pPr>
              <w:jc w:val="center"/>
              <w:ind w:left="25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r>
        <w:trPr>
          <w:trHeight w:val="289"/>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88"/>
              </w:rPr>
              <w:t>None</w:t>
            </w:r>
          </w:p>
        </w:tc>
        <w:tc>
          <w:tcPr>
            <w:tcW w:w="146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304800</wp:posOffset>
            </wp:positionV>
            <wp:extent cx="1758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4"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0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ind w:left="800"/>
              <w:spacing w:after="0"/>
              <w:rPr>
                <w:sz w:val="20"/>
                <w:szCs w:val="20"/>
                <w:color w:val="auto"/>
              </w:rPr>
            </w:pPr>
            <w:r>
              <w:rPr>
                <w:rFonts w:ascii="Arial" w:cs="Arial" w:eastAsia="Arial" w:hAnsi="Arial"/>
                <w:sz w:val="18"/>
                <w:szCs w:val="18"/>
                <w:color w:val="auto"/>
              </w:rPr>
              <w:t>o</w:t>
            </w:r>
          </w:p>
        </w:tc>
        <w:tc>
          <w:tcPr>
            <w:tcW w:w="3960" w:type="dxa"/>
            <w:vAlign w:val="bottom"/>
          </w:tcPr>
          <w:p>
            <w:pPr>
              <w:spacing w:after="0"/>
              <w:rPr>
                <w:sz w:val="24"/>
                <w:szCs w:val="24"/>
                <w:color w:val="auto"/>
              </w:rPr>
            </w:pPr>
          </w:p>
        </w:tc>
        <w:tc>
          <w:tcPr>
            <w:tcW w:w="3160" w:type="dxa"/>
            <w:vAlign w:val="bottom"/>
            <w:vMerge w:val="restart"/>
          </w:tcPr>
          <w:p>
            <w:pPr>
              <w:ind w:left="58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1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ind w:left="800"/>
              <w:spacing w:after="0"/>
              <w:rPr>
                <w:sz w:val="20"/>
                <w:szCs w:val="20"/>
                <w:color w:val="auto"/>
              </w:rPr>
            </w:pPr>
            <w:r>
              <w:rPr>
                <w:rFonts w:ascii="Arial" w:cs="Arial" w:eastAsia="Arial" w:hAnsi="Arial"/>
                <w:sz w:val="18"/>
                <w:szCs w:val="18"/>
                <w:color w:val="auto"/>
              </w:rPr>
              <w:t>o</w:t>
            </w:r>
          </w:p>
        </w:tc>
        <w:tc>
          <w:tcPr>
            <w:tcW w:w="396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3160" w:type="dxa"/>
            <w:vAlign w:val="bottom"/>
          </w:tcPr>
          <w:p>
            <w:pPr>
              <w:ind w:left="58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bl>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4" w:lineRule="exact"/>
        <w:rPr>
          <w:sz w:val="24"/>
          <w:szCs w:val="24"/>
          <w:color w:val="auto"/>
        </w:rPr>
      </w:pPr>
    </w:p>
    <w:p>
      <w:pPr>
        <w:ind w:left="2640"/>
        <w:spacing w:after="0"/>
        <w:tabs>
          <w:tab w:leader="none" w:pos="7660" w:val="left"/>
        </w:tabs>
        <w:rPr>
          <w:sz w:val="20"/>
          <w:szCs w:val="20"/>
          <w:color w:val="auto"/>
        </w:rPr>
      </w:pPr>
      <w:r>
        <w:rPr>
          <w:rFonts w:ascii="Arial" w:cs="Arial" w:eastAsia="Arial" w:hAnsi="Arial"/>
          <w:sz w:val="14"/>
          <w:szCs w:val="14"/>
          <w:u w:val="single" w:color="auto"/>
          <w:color w:val="auto"/>
        </w:rPr>
        <w:t>Class</w:t>
      </w:r>
      <w:r>
        <w:rPr>
          <w:sz w:val="20"/>
          <w:szCs w:val="20"/>
          <w:color w:val="auto"/>
        </w:rPr>
        <w:tab/>
      </w:r>
      <w:r>
        <w:rPr>
          <w:rFonts w:ascii="Arial" w:cs="Arial" w:eastAsia="Arial" w:hAnsi="Arial"/>
          <w:sz w:val="14"/>
          <w:szCs w:val="14"/>
          <w:u w:val="single" w:color="auto"/>
          <w:color w:val="auto"/>
        </w:rPr>
        <w:t>Outstanding at April 22, 2016</w:t>
      </w:r>
    </w:p>
    <w:p>
      <w:pPr>
        <w:sectPr>
          <w:pgSz w:w="11900" w:h="16838" w:orient="portrait"/>
          <w:cols w:equalWidth="0" w:num="1">
            <w:col w:w="11420"/>
          </w:cols>
          <w:pgMar w:left="240" w:top="229" w:right="239" w:bottom="1440" w:gutter="0" w:footer="0" w:header="0"/>
        </w:sectPr>
      </w:pPr>
    </w:p>
    <w:p>
      <w:pPr>
        <w:spacing w:after="0" w:line="46" w:lineRule="exact"/>
        <w:rPr>
          <w:sz w:val="24"/>
          <w:szCs w:val="24"/>
          <w:color w:val="auto"/>
        </w:rPr>
      </w:pPr>
    </w:p>
    <w:p>
      <w:pPr>
        <w:ind w:left="1280"/>
        <w:spacing w:after="0"/>
        <w:tabs>
          <w:tab w:leader="none" w:pos="7880" w:val="left"/>
        </w:tabs>
        <w:rPr>
          <w:sz w:val="20"/>
          <w:szCs w:val="20"/>
          <w:color w:val="auto"/>
        </w:rPr>
      </w:pPr>
      <w:r>
        <w:rPr>
          <w:rFonts w:ascii="Arial" w:cs="Arial" w:eastAsia="Arial" w:hAnsi="Arial"/>
          <w:sz w:val="18"/>
          <w:szCs w:val="18"/>
          <w:color w:val="auto"/>
        </w:rPr>
        <w:t>Common Stock, $0.01 par value per share</w:t>
      </w:r>
      <w:r>
        <w:rPr>
          <w:sz w:val="20"/>
          <w:szCs w:val="20"/>
          <w:color w:val="auto"/>
        </w:rPr>
        <w:tab/>
      </w:r>
      <w:r>
        <w:rPr>
          <w:rFonts w:ascii="Arial" w:cs="Arial" w:eastAsia="Arial" w:hAnsi="Arial"/>
          <w:sz w:val="15"/>
          <w:szCs w:val="15"/>
          <w:color w:val="auto"/>
        </w:rPr>
        <w:t>33,256,401 shares</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60" w:type="dxa"/>
            <w:vAlign w:val="bottom"/>
          </w:tcPr>
          <w:p>
            <w:pPr>
              <w:spacing w:after="0"/>
              <w:rPr>
                <w:sz w:val="20"/>
                <w:szCs w:val="20"/>
                <w:color w:val="auto"/>
              </w:rPr>
            </w:pPr>
            <w:r>
              <w:rPr>
                <w:rFonts w:ascii="Arial" w:cs="Arial" w:eastAsia="Arial" w:hAnsi="Arial"/>
                <w:sz w:val="14"/>
                <w:szCs w:val="14"/>
                <w:color w:val="auto"/>
              </w:rPr>
              <w:t>Item</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Page</w:t>
            </w:r>
          </w:p>
        </w:tc>
      </w:tr>
      <w:tr>
        <w:trPr>
          <w:trHeight w:val="189"/>
        </w:trPr>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80" w:type="dxa"/>
            <w:vAlign w:val="bottom"/>
            <w:gridSpan w:val="10"/>
          </w:tcPr>
          <w:p>
            <w:pPr>
              <w:jc w:val="center"/>
              <w:ind w:right="3720"/>
              <w:spacing w:after="0" w:line="189"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PART I –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5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2180" w:type="dxa"/>
            <w:vAlign w:val="bottom"/>
            <w:gridSpan w:val="3"/>
          </w:tcPr>
          <w:p>
            <w:pPr>
              <w:spacing w:after="0"/>
              <w:rPr>
                <w:sz w:val="22"/>
                <w:szCs w:val="22"/>
                <w:color w:val="auto"/>
              </w:rPr>
            </w:pPr>
          </w:p>
        </w:tc>
        <w:tc>
          <w:tcPr>
            <w:tcW w:w="2960" w:type="dxa"/>
            <w:vAlign w:val="bottom"/>
            <w:tcBorders>
              <w:top w:val="single" w:sz="8" w:color="0000FF"/>
            </w:tcBorders>
            <w:gridSpan w:val="7"/>
          </w:tcPr>
          <w:p>
            <w:pPr>
              <w:spacing w:after="0"/>
              <w:rPr>
                <w:sz w:val="22"/>
                <w:szCs w:val="22"/>
                <w:color w:val="auto"/>
              </w:rPr>
            </w:pPr>
          </w:p>
        </w:tc>
        <w:tc>
          <w:tcPr>
            <w:tcW w:w="3720" w:type="dxa"/>
            <w:vAlign w:val="bottom"/>
            <w:gridSpan w:val="3"/>
          </w:tcPr>
          <w:p>
            <w:pPr>
              <w:spacing w:after="0"/>
              <w:rPr>
                <w:sz w:val="22"/>
                <w:szCs w:val="22"/>
                <w:color w:val="auto"/>
              </w:rPr>
            </w:pPr>
          </w:p>
        </w:tc>
        <w:tc>
          <w:tcPr>
            <w:tcW w:w="4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2"/>
                <w:szCs w:val="22"/>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March 31, 2016 and December 31, 2015</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Consolidated Comprehensive Loss - Three Months Ended March 31, 2016 and 2015</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Consolidated Cash Flows - Three Months Ended March 31, 2016 and 2015</w:t>
              </w:r>
            </w:hyperlink>
          </w:p>
        </w:tc>
        <w:tc>
          <w:tcPr>
            <w:tcW w:w="660" w:type="dxa"/>
            <w:vAlign w:val="bottom"/>
            <w:tcBorders>
              <w:top w:val="single" w:sz="8" w:color="0000EE"/>
            </w:tcBorders>
          </w:tcPr>
          <w:p>
            <w:pPr>
              <w:spacing w:after="0"/>
              <w:rPr>
                <w:sz w:val="21"/>
                <w:szCs w:val="21"/>
                <w:color w:val="auto"/>
              </w:rPr>
            </w:pPr>
          </w:p>
        </w:tc>
        <w:tc>
          <w:tcPr>
            <w:tcW w:w="302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3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Statement of Consolidated Shareholders’ Deficit - Three Months Ended March 31, 2016</w:t>
              </w:r>
            </w:hyperlink>
          </w:p>
        </w:tc>
        <w:tc>
          <w:tcPr>
            <w:tcW w:w="3760" w:type="dxa"/>
            <w:vAlign w:val="bottom"/>
            <w:gridSpan w:val="4"/>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Consolidated Financial Statements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6460" w:type="dxa"/>
            <w:vAlign w:val="bottom"/>
            <w:gridSpan w:val="13"/>
          </w:tcPr>
          <w:p>
            <w:pPr>
              <w:spacing w:after="0"/>
              <w:rPr>
                <w:rFonts w:ascii="Arial" w:cs="Arial" w:eastAsia="Arial" w:hAnsi="Arial"/>
                <w:sz w:val="18"/>
                <w:szCs w:val="18"/>
                <w:color w:val="0000FF"/>
                <w:w w:val="90"/>
              </w:rPr>
            </w:pPr>
            <w:hyperlink w:anchor="page13">
              <w:r>
                <w:rPr>
                  <w:rFonts w:ascii="Arial" w:cs="Arial" w:eastAsia="Arial" w:hAnsi="Arial"/>
                  <w:sz w:val="18"/>
                  <w:szCs w:val="18"/>
                  <w:color w:val="0000FF"/>
                  <w:w w:val="90"/>
                </w:rPr>
                <w:t>Management’s Discussion and Analysis of Financial Condition and Results of Operations</w:t>
              </w:r>
            </w:hyperlink>
          </w:p>
        </w:tc>
        <w:tc>
          <w:tcPr>
            <w:tcW w:w="39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4360" w:type="dxa"/>
            <w:vAlign w:val="bottom"/>
            <w:gridSpan w:val="11"/>
          </w:tcPr>
          <w:p>
            <w:pPr>
              <w:spacing w:after="0"/>
              <w:rPr>
                <w:rFonts w:ascii="Arial" w:cs="Arial" w:eastAsia="Arial" w:hAnsi="Arial"/>
                <w:sz w:val="18"/>
                <w:szCs w:val="18"/>
                <w:color w:val="0000FF"/>
                <w:w w:val="92"/>
              </w:rPr>
            </w:pPr>
            <w:hyperlink w:anchor="page24">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1"/>
                <w:szCs w:val="21"/>
                <w:color w:val="auto"/>
              </w:rPr>
            </w:pPr>
          </w:p>
        </w:tc>
        <w:tc>
          <w:tcPr>
            <w:tcW w:w="39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4360" w:type="dxa"/>
            <w:vAlign w:val="bottom"/>
            <w:gridSpan w:val="11"/>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Controls and Procedures</w:t>
              </w:r>
            </w:hyperlink>
          </w:p>
        </w:tc>
        <w:tc>
          <w:tcPr>
            <w:tcW w:w="600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50"/>
        </w:trPr>
        <w:tc>
          <w:tcPr>
            <w:tcW w:w="46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80" w:type="dxa"/>
            <w:vAlign w:val="bottom"/>
            <w:tcBorders>
              <w:bottom w:val="single" w:sz="8" w:color="0000FF"/>
            </w:tcBorders>
            <w:gridSpan w:val="4"/>
          </w:tcPr>
          <w:p>
            <w:pPr>
              <w:jc w:val="center"/>
              <w:spacing w:after="0"/>
              <w:rPr>
                <w:rFonts w:ascii="Arial" w:cs="Arial" w:eastAsia="Arial" w:hAnsi="Arial"/>
                <w:sz w:val="18"/>
                <w:szCs w:val="18"/>
                <w:color w:val="0000FF"/>
                <w:w w:val="96"/>
              </w:rPr>
            </w:pPr>
            <w:hyperlink w:anchor="page25">
              <w:r>
                <w:rPr>
                  <w:rFonts w:ascii="Arial" w:cs="Arial" w:eastAsia="Arial" w:hAnsi="Arial"/>
                  <w:sz w:val="18"/>
                  <w:szCs w:val="18"/>
                  <w:color w:val="0000FF"/>
                  <w:w w:val="96"/>
                </w:rPr>
                <w:t>PART II – OTHER INFORMATION</w:t>
              </w:r>
            </w:hyperlink>
          </w:p>
        </w:tc>
        <w:tc>
          <w:tcPr>
            <w:tcW w:w="386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0360" w:type="dxa"/>
            <w:vAlign w:val="bottom"/>
            <w:gridSpan w:val="19"/>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4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1A</w:t>
            </w:r>
          </w:p>
        </w:tc>
        <w:tc>
          <w:tcPr>
            <w:tcW w:w="900" w:type="dxa"/>
            <w:vAlign w:val="bottom"/>
            <w:gridSpan w:val="4"/>
          </w:tcPr>
          <w:p>
            <w:pPr>
              <w:spacing w:after="0"/>
              <w:rPr>
                <w:rFonts w:ascii="Arial" w:cs="Arial" w:eastAsia="Arial" w:hAnsi="Arial"/>
                <w:sz w:val="18"/>
                <w:szCs w:val="18"/>
                <w:color w:val="0000FF"/>
                <w:w w:val="87"/>
              </w:rPr>
            </w:pPr>
            <w:hyperlink w:anchor="page25">
              <w:r>
                <w:rPr>
                  <w:rFonts w:ascii="Arial" w:cs="Arial" w:eastAsia="Arial" w:hAnsi="Arial"/>
                  <w:sz w:val="18"/>
                  <w:szCs w:val="18"/>
                  <w:color w:val="0000FF"/>
                  <w:w w:val="87"/>
                </w:rPr>
                <w:t>Risk Factors</w:t>
              </w:r>
            </w:hyperlink>
          </w:p>
        </w:tc>
        <w:tc>
          <w:tcPr>
            <w:tcW w:w="420" w:type="dxa"/>
            <w:vAlign w:val="bottom"/>
          </w:tcPr>
          <w:p>
            <w:pPr>
              <w:spacing w:after="0"/>
              <w:rPr>
                <w:sz w:val="21"/>
                <w:szCs w:val="21"/>
                <w:color w:val="auto"/>
              </w:rPr>
            </w:pPr>
          </w:p>
        </w:tc>
        <w:tc>
          <w:tcPr>
            <w:tcW w:w="904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6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600" w:type="dxa"/>
            <w:vAlign w:val="bottom"/>
            <w:gridSpan w:val="2"/>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Exhibits</w:t>
              </w:r>
            </w:hyperlink>
          </w:p>
        </w:tc>
        <w:tc>
          <w:tcPr>
            <w:tcW w:w="300" w:type="dxa"/>
            <w:vAlign w:val="bottom"/>
            <w:gridSpan w:val="2"/>
          </w:tcPr>
          <w:p>
            <w:pPr>
              <w:spacing w:after="0"/>
              <w:rPr>
                <w:sz w:val="21"/>
                <w:szCs w:val="21"/>
                <w:color w:val="auto"/>
              </w:rPr>
            </w:pPr>
          </w:p>
        </w:tc>
        <w:tc>
          <w:tcPr>
            <w:tcW w:w="946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27">
              <w:r>
                <w:rPr>
                  <w:rFonts w:ascii="Arial" w:cs="Arial" w:eastAsia="Arial" w:hAnsi="Arial"/>
                  <w:sz w:val="18"/>
                  <w:szCs w:val="18"/>
                  <w:color w:val="0000FF"/>
                  <w:w w:val="85"/>
                </w:rPr>
                <w:t>Signatures</w:t>
              </w:r>
            </w:hyperlink>
          </w:p>
        </w:tc>
        <w:tc>
          <w:tcPr>
            <w:tcW w:w="960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723"/>
        </w:trPr>
        <w:tc>
          <w:tcPr>
            <w:tcW w:w="4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620" w:type="dxa"/>
            <w:vAlign w:val="bottom"/>
            <w:gridSpan w:val="9"/>
          </w:tcPr>
          <w:p>
            <w:pPr>
              <w:jc w:val="right"/>
              <w:ind w:right="12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millions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March 31,</w:t>
            </w:r>
          </w:p>
        </w:tc>
        <w:tc>
          <w:tcPr>
            <w:tcW w:w="22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color w:val="auto"/>
                <w:w w:val="96"/>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2,822.8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Deficit</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Wages, vacations and employee benefits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Claims and insurance accruals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and accrued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1,044.2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1,046.5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Pension and postretirement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Claims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$1 par value per share</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$0.01 par value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surplus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2,312.6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(410 shares)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380"/>
              <w:spacing w:after="0"/>
              <w:rPr>
                <w:sz w:val="20"/>
                <w:szCs w:val="20"/>
                <w:color w:val="auto"/>
              </w:rPr>
            </w:pPr>
            <w:r>
              <w:rPr>
                <w:rFonts w:ascii="Arial" w:cs="Arial" w:eastAsia="Arial" w:hAnsi="Arial"/>
                <w:sz w:val="18"/>
                <w:szCs w:val="18"/>
                <w:color w:val="auto"/>
                <w:w w:val="94"/>
              </w:rPr>
              <w:t>The accompanying notes are an integral part of these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CONSOLIDATED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color w:val="auto"/>
              </w:rPr>
              <w:t>Three Months</w:t>
            </w:r>
          </w:p>
        </w:tc>
        <w:tc>
          <w:tcPr>
            <w:tcW w:w="10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BFE4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2015</w:t>
            </w:r>
          </w:p>
        </w:tc>
      </w:tr>
      <w:tr>
        <w:trPr>
          <w:trHeight w:val="270"/>
        </w:trPr>
        <w:tc>
          <w:tcPr>
            <w:tcW w:w="83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1,120.3</w:t>
            </w:r>
          </w:p>
        </w:tc>
        <w:tc>
          <w:tcPr>
            <w:tcW w:w="100" w:type="dxa"/>
            <w:vAlign w:val="bottom"/>
            <w:tcBorders>
              <w:bottom w:val="single" w:sz="8" w:color="BFE4FF"/>
            </w:tcBorders>
            <w:shd w:val="clear" w:color="auto" w:fill="BFE4FF"/>
          </w:tcPr>
          <w:p>
            <w:pPr>
              <w:spacing w:after="0"/>
              <w:rPr>
                <w:sz w:val="23"/>
                <w:szCs w:val="23"/>
                <w:color w:val="auto"/>
              </w:rPr>
            </w:pPr>
          </w:p>
        </w:tc>
        <w:tc>
          <w:tcPr>
            <w:tcW w:w="480" w:type="dxa"/>
            <w:vAlign w:val="bottom"/>
            <w:tcBorders>
              <w:bottom w:val="single" w:sz="8" w:color="BFE4FF"/>
            </w:tcBorders>
            <w:shd w:val="clear" w:color="auto" w:fill="BFE4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1,186.4</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3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Salaries, wages and employee benefits</w:t>
            </w: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698.1</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707.3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Operating expenses and supplies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228.2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Purchased transportation</w:t>
            </w: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133.4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Other operating expenses</w:t>
            </w: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70.9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836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BFE4FF"/>
            </w:tcBorders>
            <w:shd w:val="clear" w:color="auto" w:fill="BFE4FF"/>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BFE4FF"/>
            </w:tcBorders>
            <w:shd w:val="clear" w:color="auto" w:fill="BFE4FF"/>
          </w:tcPr>
          <w:p>
            <w:pPr>
              <w:spacing w:after="0"/>
              <w:rPr>
                <w:sz w:val="22"/>
                <w:szCs w:val="22"/>
                <w:color w:val="auto"/>
              </w:rPr>
            </w:pP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1,106.9</w:t>
            </w:r>
          </w:p>
        </w:tc>
        <w:tc>
          <w:tcPr>
            <w:tcW w:w="100" w:type="dxa"/>
            <w:vAlign w:val="bottom"/>
            <w:tcBorders>
              <w:bottom w:val="single" w:sz="8" w:color="BFE4FF"/>
            </w:tcBorders>
            <w:shd w:val="clear" w:color="auto" w:fill="BFE4FF"/>
          </w:tcPr>
          <w:p>
            <w:pPr>
              <w:spacing w:after="0"/>
              <w:rPr>
                <w:sz w:val="22"/>
                <w:szCs w:val="22"/>
                <w:color w:val="auto"/>
              </w:rPr>
            </w:pPr>
          </w:p>
        </w:tc>
        <w:tc>
          <w:tcPr>
            <w:tcW w:w="48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1,182.7</w:t>
            </w:r>
          </w:p>
        </w:tc>
      </w:tr>
      <w:tr>
        <w:trPr>
          <w:trHeight w:val="237"/>
        </w:trPr>
        <w:tc>
          <w:tcPr>
            <w:tcW w:w="8360" w:type="dxa"/>
            <w:vAlign w:val="bottom"/>
          </w:tcPr>
          <w:p>
            <w:pPr>
              <w:ind w:left="11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836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Nonoperating Expenses:</w:t>
            </w: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BFE4FF"/>
            </w:tcBorders>
            <w:shd w:val="clear" w:color="auto" w:fill="BFE4FF"/>
          </w:tcPr>
          <w:p>
            <w:pPr>
              <w:spacing w:after="0"/>
              <w:rPr>
                <w:sz w:val="23"/>
                <w:szCs w:val="23"/>
                <w:color w:val="auto"/>
              </w:rPr>
            </w:pPr>
          </w:p>
        </w:tc>
        <w:tc>
          <w:tcPr>
            <w:tcW w:w="48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Nonoperating expenses, net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836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836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(21.6)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36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b w:val="1"/>
                <w:bCs w:val="1"/>
                <w:color w:val="auto"/>
              </w:rPr>
              <w:t>Comprehensive Loss Attributable to YRC Worldwide Inc.</w:t>
            </w: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BFE4FF"/>
            </w:tcBorders>
            <w:shd w:val="clear" w:color="auto" w:fill="BFE4FF"/>
          </w:tcPr>
          <w:p>
            <w:pPr>
              <w:spacing w:after="0"/>
              <w:rPr>
                <w:sz w:val="22"/>
                <w:szCs w:val="22"/>
                <w:color w:val="auto"/>
              </w:rPr>
            </w:pPr>
          </w:p>
        </w:tc>
        <w:tc>
          <w:tcPr>
            <w:tcW w:w="480" w:type="dxa"/>
            <w:vAlign w:val="bottom"/>
            <w:tcBorders>
              <w:bottom w:val="single" w:sz="8" w:color="BFE4FF"/>
            </w:tcBorders>
            <w:shd w:val="clear" w:color="auto" w:fill="BFE4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(22.2)</w:t>
            </w:r>
          </w:p>
        </w:tc>
      </w:tr>
      <w:tr>
        <w:trPr>
          <w:trHeight w:val="20"/>
        </w:trPr>
        <w:tc>
          <w:tcPr>
            <w:tcW w:w="836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Average Common Shares Outstanding – Basic</w:t>
            </w: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32,264</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30,799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Average Common Shares Outstanding – Diluted</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32,264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30,799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836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48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Loss Per Share –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360" w:type="dxa"/>
            <w:vAlign w:val="bottom"/>
            <w:shd w:val="clear" w:color="auto" w:fill="BFE4FF"/>
          </w:tcPr>
          <w:p>
            <w:pPr>
              <w:ind w:left="40"/>
              <w:spacing w:after="0"/>
              <w:rPr>
                <w:sz w:val="20"/>
                <w:szCs w:val="20"/>
                <w:color w:val="auto"/>
              </w:rPr>
            </w:pPr>
            <w:r>
              <w:rPr>
                <w:rFonts w:ascii="Arial" w:cs="Arial" w:eastAsia="Arial" w:hAnsi="Arial"/>
                <w:sz w:val="18"/>
                <w:szCs w:val="18"/>
                <w:b w:val="1"/>
                <w:bCs w:val="1"/>
                <w:color w:val="auto"/>
              </w:rPr>
              <w:t>Loss Per Share – Diluted</w:t>
            </w:r>
          </w:p>
        </w:tc>
        <w:tc>
          <w:tcPr>
            <w:tcW w:w="360" w:type="dxa"/>
            <w:vAlign w:val="bottom"/>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BFE4FF"/>
          </w:tcPr>
          <w:p>
            <w:pPr>
              <w:spacing w:after="0"/>
              <w:rPr>
                <w:sz w:val="21"/>
                <w:szCs w:val="21"/>
                <w:color w:val="auto"/>
              </w:rPr>
            </w:pPr>
          </w:p>
        </w:tc>
        <w:tc>
          <w:tcPr>
            <w:tcW w:w="480" w:type="dxa"/>
            <w:vAlign w:val="bottom"/>
            <w:shd w:val="clear" w:color="auto" w:fill="BFE4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(0.70)</w:t>
            </w:r>
          </w:p>
        </w:tc>
      </w:tr>
      <w:tr>
        <w:trPr>
          <w:trHeight w:val="27"/>
        </w:trPr>
        <w:tc>
          <w:tcPr>
            <w:tcW w:w="8360" w:type="dxa"/>
            <w:vAlign w:val="bottom"/>
            <w:shd w:val="clear" w:color="auto" w:fill="BFE4FF"/>
          </w:tcPr>
          <w:p>
            <w:pPr>
              <w:spacing w:after="0"/>
              <w:rPr>
                <w:sz w:val="2"/>
                <w:szCs w:val="2"/>
                <w:color w:val="auto"/>
              </w:rPr>
            </w:pPr>
          </w:p>
        </w:tc>
        <w:tc>
          <w:tcPr>
            <w:tcW w:w="360" w:type="dxa"/>
            <w:vAlign w:val="bottom"/>
            <w:shd w:val="clear" w:color="auto" w:fill="BFE4FF"/>
          </w:tcPr>
          <w:p>
            <w:pPr>
              <w:spacing w:after="0"/>
              <w:rPr>
                <w:sz w:val="2"/>
                <w:szCs w:val="2"/>
                <w:color w:val="auto"/>
              </w:rPr>
            </w:pPr>
          </w:p>
        </w:tc>
        <w:tc>
          <w:tcPr>
            <w:tcW w:w="112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480" w:type="dxa"/>
            <w:vAlign w:val="bottom"/>
            <w:shd w:val="clear" w:color="auto" w:fill="BFE4FF"/>
          </w:tcPr>
          <w:p>
            <w:pPr>
              <w:spacing w:after="0"/>
              <w:rPr>
                <w:sz w:val="2"/>
                <w:szCs w:val="2"/>
                <w:color w:val="auto"/>
              </w:rPr>
            </w:pPr>
          </w:p>
        </w:tc>
        <w:tc>
          <w:tcPr>
            <w:tcW w:w="1000" w:type="dxa"/>
            <w:vAlign w:val="bottom"/>
            <w:shd w:val="clear" w:color="auto" w:fill="BFE4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equity based compensation and employee benefits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disposal of equity method investment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noncash items, net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assets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Restricted escrow receipts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escrow deposits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disposal of equity method investment, net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94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184.9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136.4</w:t>
            </w:r>
          </w:p>
        </w:tc>
      </w:tr>
      <w:tr>
        <w:trPr>
          <w:trHeight w:val="67"/>
        </w:trPr>
        <w:tc>
          <w:tcPr>
            <w:tcW w:w="83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64"/>
        </w:trPr>
        <w:tc>
          <w:tcPr>
            <w:tcW w:w="83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 refund (payment), net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redeemed for equity consideration</w:t>
            </w:r>
          </w:p>
        </w:tc>
        <w:tc>
          <w:tcPr>
            <w:tcW w:w="9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r>
      <w:tr>
        <w:trPr>
          <w:trHeight w:val="27"/>
        </w:trPr>
        <w:tc>
          <w:tcPr>
            <w:tcW w:w="8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5"/>
              </w:rPr>
              <w:t>STATEMENT OF CONSOLIDATED SHAREHOLDERS’ DEFICIT</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Arial" w:cs="Arial" w:eastAsia="Arial" w:hAnsi="Arial"/>
                <w:sz w:val="18"/>
                <w:szCs w:val="18"/>
                <w:color w:val="auto"/>
                <w:w w:val="92"/>
              </w:rPr>
              <w:t>YRC Worldwide Inc. and Subsidiaries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0"/>
              </w:rPr>
              <w:t>For the Three Months Ended March 31, 2016</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Arial" w:cs="Arial" w:eastAsia="Arial" w:hAnsi="Arial"/>
                <w:sz w:val="18"/>
                <w:szCs w:val="18"/>
                <w:color w:val="auto"/>
                <w:w w:val="95"/>
              </w:rPr>
              <w:t>(Amounts in millions)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1"/>
              </w:rPr>
              <w:t>(Unaudited)</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9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Preferred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Surplus: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2,312.6</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2,313.9</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(2,239.3)</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(2,251.3)</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(360.3)</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net pension actuarial losses to net income, net of tax</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foreign currency translation gains to net loss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(362.9)</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Deficit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these Notes to Consolidated Financial Statements contain forward-looking statements, as described in “Management’s Discussion and Analysis of Financial Condition and Results of Operations — Cautionary Note Regarding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YRC Worldwide Inc. (also referred to as “YRC Worldwide,” the “Company,” “we,” “us” or “our”) is a holding company that, through wholly owned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8"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YRC Inc. (“YRC Freight”), a U.S. LTL subsidiary, and Reimer Express (“YRC Reimer”), a subsidiary located in Canada that specializes in shipments into, across and out of Canada. In addition to the United States and Canada, YRC Freight also serves parts of Mexico, Puerto Rico and Guam.</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Inc. (“Holland”), New Penn Motor Express, Inc. (“New Penn”) and USF Reddaway Inc. (“Reddaway”). These companies each provide regional, next-day ground services in their respective regions through a network of facilities located across the United States, Canada, Mexico and Puerto Rico.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2016, approximately 78% of our labor force is subject to collective bargaining agreements, which predominantly expire in March 2019.</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Principles of Consolidation</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Our investment in our Chinese joint venture, a non-majority owned affiliate, was sold in March 2016 and accounted for on the equity method.</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we have made all normal recurring adjustments necessary for a fair statement of the financial position, results of operations and cash flows for the interim periods included in these financial statements. Certain information and note disclosures normally included in financial statements prepared in accordance with generally accepted accounting principles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hierarchy of our financial assets and liabilities carried at fair value on a recurring basis as of March 31, 2016: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960"/>
              <w:spacing w:after="0"/>
              <w:rPr>
                <w:sz w:val="20"/>
                <w:szCs w:val="20"/>
                <w:color w:val="auto"/>
              </w:rPr>
            </w:pPr>
            <w:r>
              <w:rPr>
                <w:rFonts w:ascii="Arial" w:cs="Arial" w:eastAsia="Arial" w:hAnsi="Arial"/>
                <w:sz w:val="14"/>
                <w:szCs w:val="14"/>
                <w:b w:val="1"/>
                <w:bCs w:val="1"/>
                <w:color w:val="auto"/>
                <w:w w:val="95"/>
              </w:rPr>
              <w:t>Fair Value Measurement Hierarchy</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3"/>
                <w:szCs w:val="13"/>
                <w:color w:val="auto"/>
              </w:rPr>
            </w:pPr>
          </w:p>
        </w:tc>
        <w:tc>
          <w:tcPr>
            <w:tcW w:w="118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 their fair value due to the short-term nature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23, 2015, the Company entered into a sale and purchase agreement to sell its fifty percent equity interest in its Chinese joint venture, JHJ International Transportation Co., Ltd. (“JHJ”), for a purchase price of $16.3 million, which subsequently closed on March 30, 2016. At closing, we received proceeds of $16.3 million and paid transaction fees of $1.7 million. As of March 30, 2016, the carrying value of the investment was $22.7 million with an offsetting cumulative foreign translation adjustment of $10.4 million, resulting in a net gain on the transaction of $2.3 million. The gain on the transaction is reflected in “Nonoperating expense - other, net” in the accompanying statement of consolidated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Out of Accumulated Other Comprehensive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2016 and 2015, we reclassified the amortization of our net pension loss totaling $3.4 million and $4.1 million, respectively, net of tax, from accumulated other comprehensive loss to net loss. This reclassification is a component of net periodic pension cost and is discussed in the “Employee Benefits” footnote.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52525"/>
        </w:rPr>
        <w:t xml:space="preserve">In March 2016, the </w:t>
      </w:r>
      <w:r>
        <w:rPr>
          <w:rFonts w:ascii="Arial" w:cs="Arial" w:eastAsia="Arial" w:hAnsi="Arial"/>
          <w:sz w:val="17"/>
          <w:szCs w:val="17"/>
          <w:color w:val="000000"/>
        </w:rPr>
        <w:t>Financial Accounting Standards Board (“FASB”)</w:t>
      </w:r>
      <w:r>
        <w:rPr>
          <w:rFonts w:ascii="Arial" w:cs="Arial" w:eastAsia="Arial" w:hAnsi="Arial"/>
          <w:sz w:val="17"/>
          <w:szCs w:val="17"/>
          <w:color w:val="252525"/>
        </w:rPr>
        <w:t xml:space="preserve"> issued </w:t>
      </w:r>
      <w:r>
        <w:rPr>
          <w:rFonts w:ascii="Arial" w:cs="Arial" w:eastAsia="Arial" w:hAnsi="Arial"/>
          <w:sz w:val="17"/>
          <w:szCs w:val="17"/>
          <w:color w:val="000000"/>
        </w:rPr>
        <w:t>Accounting Standards Update (“ASU”)</w:t>
      </w:r>
      <w:r>
        <w:rPr>
          <w:rFonts w:ascii="Arial" w:cs="Arial" w:eastAsia="Arial" w:hAnsi="Arial"/>
          <w:sz w:val="17"/>
          <w:szCs w:val="17"/>
          <w:color w:val="252525"/>
        </w:rPr>
        <w:t xml:space="preserve"> 2016-09, </w:t>
      </w:r>
      <w:r>
        <w:rPr>
          <w:rFonts w:ascii="Arial" w:cs="Arial" w:eastAsia="Arial" w:hAnsi="Arial"/>
          <w:sz w:val="17"/>
          <w:szCs w:val="17"/>
          <w:i w:val="1"/>
          <w:iCs w:val="1"/>
          <w:color w:val="252525"/>
        </w:rPr>
        <w:t>Improvements to Employee</w:t>
      </w:r>
      <w:r>
        <w:rPr>
          <w:rFonts w:ascii="Arial" w:cs="Arial" w:eastAsia="Arial" w:hAnsi="Arial"/>
          <w:sz w:val="17"/>
          <w:szCs w:val="17"/>
          <w:color w:val="252525"/>
        </w:rPr>
        <w:t xml:space="preserve"> </w:t>
      </w:r>
      <w:r>
        <w:rPr>
          <w:rFonts w:ascii="Arial" w:cs="Arial" w:eastAsia="Arial" w:hAnsi="Arial"/>
          <w:sz w:val="17"/>
          <w:szCs w:val="17"/>
          <w:i w:val="1"/>
          <w:iCs w:val="1"/>
          <w:color w:val="252525"/>
        </w:rPr>
        <w:t xml:space="preserve">Share-Based Payment Accounting, </w:t>
      </w:r>
      <w:r>
        <w:rPr>
          <w:rFonts w:ascii="Arial" w:cs="Arial" w:eastAsia="Arial" w:hAnsi="Arial"/>
          <w:sz w:val="17"/>
          <w:szCs w:val="17"/>
          <w:color w:val="252525"/>
        </w:rPr>
        <w:t>which simplifies several aspects of the accounting for employee share-based payment transactions including the</w:t>
      </w:r>
      <w:r>
        <w:rPr>
          <w:rFonts w:ascii="Arial" w:cs="Arial" w:eastAsia="Arial" w:hAnsi="Arial"/>
          <w:sz w:val="17"/>
          <w:szCs w:val="17"/>
          <w:i w:val="1"/>
          <w:iCs w:val="1"/>
          <w:color w:val="252525"/>
        </w:rPr>
        <w:t xml:space="preserve"> </w:t>
      </w:r>
      <w:r>
        <w:rPr>
          <w:rFonts w:ascii="Arial" w:cs="Arial" w:eastAsia="Arial" w:hAnsi="Arial"/>
          <w:sz w:val="17"/>
          <w:szCs w:val="17"/>
          <w:color w:val="252525"/>
        </w:rPr>
        <w:t>accounting for income taxes, statutory tax withholding requirements, and classification of related amounts within the statement of cash flows. The new standard will become effective for the Company beginning with the first quarter of 2017, with early adoption permitted. The Company is currently evaluating the impacts the adoption of this accounting guidance will have on the consolidated financial statements.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lessees to recognize most leases, including operating leases, on-balance sheet via a right of use asset and lease liability. Lessees are permitted to make an accounting policy election to not recognize an asset or liability for leases with a term of 12 months or less. Additional qualitative and quantitative disclosures will be required. The new standard will be effective for the Company for its annual reporting period beginning January 1, 2019, including interim periods within that reporting period. Early application is permitted. The ASU requires a modified retrospective transition, which means the Company will be required to apply the new guidance at the beginning of the earliest period presented in the financial statements; however, companies may elect to apply certain practical expedients on transition. The Company is currently evaluating the impacts of this new standard to its consolidated balance sheets, results of operations and related disclosures.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2015, the FASB issued ASU 2015-14, </w:t>
      </w:r>
      <w:r>
        <w:rPr>
          <w:rFonts w:ascii="Arial" w:cs="Arial" w:eastAsia="Arial" w:hAnsi="Arial"/>
          <w:sz w:val="17"/>
          <w:szCs w:val="17"/>
          <w:i w:val="1"/>
          <w:iCs w:val="1"/>
          <w:color w:val="auto"/>
        </w:rPr>
        <w:t>Revenue from Contracts with Customers, Deferral of the Effective date,</w:t>
      </w:r>
      <w:r>
        <w:rPr>
          <w:rFonts w:ascii="Arial" w:cs="Arial" w:eastAsia="Arial" w:hAnsi="Arial"/>
          <w:sz w:val="17"/>
          <w:szCs w:val="17"/>
          <w:color w:val="auto"/>
        </w:rPr>
        <w:t xml:space="preserve"> which defers the effective date of ASU 2014-9,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The new standard will supersede much of the previous requirements in ASU-605,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Recognition </w:t>
      </w:r>
      <w:r>
        <w:rPr>
          <w:rFonts w:ascii="Arial" w:cs="Arial" w:eastAsia="Arial" w:hAnsi="Arial"/>
          <w:sz w:val="17"/>
          <w:szCs w:val="17"/>
          <w:color w:val="auto"/>
        </w:rPr>
        <w:t>and most industry specific guidance and introduces a five-step model to determine when and how revenue is recognized. The premise of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model is that an entity recognizes revenue to depict the transfer of promised goods or services to customers in an amount that reflects the consideration to which the entity expects to be entitled in exchange for those goods or services. The new standard will be effective for the Company for its annual reporting period beginning January 1, 2018, including interim periods within that reporting period. Early application is permitted for annual periods beginning January 1, 2017. Entities are allowed to transition to the new standard by either recasting prior periods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recognizing the cumulative effect. The Company continues to assess the method of application and impact, if any, on our consolidated balance sheets, results of operations and related disclosures.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Interest - Imputation of Interest</w:t>
      </w:r>
      <w:r>
        <w:rPr>
          <w:rFonts w:ascii="Arial" w:cs="Arial" w:eastAsia="Arial" w:hAnsi="Arial"/>
          <w:sz w:val="18"/>
          <w:szCs w:val="18"/>
          <w:color w:val="auto"/>
        </w:rPr>
        <w:t>, which required debt issue costs related to a recognized debt liability be presented in the balance sheet as a direct deduction from the carrying amount of that debt liability, consistent with the accounting treatment for debt discounts. The Company adopted the standard as of January 1, 2016 and applied it retrospectively. The December 31, 2015 consolidated balance sheet was adjusted to reflect the reclassification of $15.2 million in debt issuance costs from “Other assets” to “Long-term debt.” There was no other impact as a result of the adoption of this standard.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Debt and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March 31, 2016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March 31, 2016 (in millions)</w:t>
            </w:r>
          </w:p>
        </w:tc>
        <w:tc>
          <w:tcPr>
            <w:tcW w:w="200" w:type="dxa"/>
            <w:vAlign w:val="bottom"/>
          </w:tcPr>
          <w:p>
            <w:pPr>
              <w:spacing w:after="0"/>
              <w:rPr>
                <w:sz w:val="14"/>
                <w:szCs w:val="14"/>
                <w:color w:val="auto"/>
              </w:rPr>
            </w:pPr>
          </w:p>
        </w:tc>
        <w:tc>
          <w:tcPr>
            <w:tcW w:w="9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Discount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Debt Issuance</w:t>
            </w:r>
          </w:p>
        </w:tc>
        <w:tc>
          <w:tcPr>
            <w:tcW w:w="260" w:type="dxa"/>
            <w:vAlign w:val="bottom"/>
          </w:tcPr>
          <w:p>
            <w:pPr>
              <w:spacing w:after="0"/>
              <w:rPr>
                <w:sz w:val="14"/>
                <w:szCs w:val="14"/>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Book</w:t>
            </w:r>
          </w:p>
        </w:tc>
        <w:tc>
          <w:tcPr>
            <w:tcW w:w="120" w:type="dxa"/>
            <w:vAlign w:val="bottom"/>
          </w:tcPr>
          <w:p>
            <w:pPr>
              <w:spacing w:after="0"/>
              <w:rPr>
                <w:sz w:val="14"/>
                <w:szCs w:val="14"/>
                <w:color w:val="auto"/>
              </w:rPr>
            </w:pPr>
          </w:p>
        </w:tc>
        <w:tc>
          <w:tcPr>
            <w:tcW w:w="1540" w:type="dxa"/>
            <w:vAlign w:val="bottom"/>
            <w:gridSpan w:val="2"/>
          </w:tcPr>
          <w:p>
            <w:pPr>
              <w:ind w:left="400"/>
              <w:spacing w:after="0"/>
              <w:rPr>
                <w:sz w:val="20"/>
                <w:szCs w:val="20"/>
                <w:color w:val="auto"/>
              </w:rPr>
            </w:pPr>
            <w:r>
              <w:rPr>
                <w:rFonts w:ascii="Arial" w:cs="Arial" w:eastAsia="Arial" w:hAnsi="Arial"/>
                <w:sz w:val="14"/>
                <w:szCs w:val="14"/>
                <w:b w:val="1"/>
                <w:bCs w:val="1"/>
                <w:color w:val="auto"/>
              </w:rPr>
              <w:t>Stated</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6"/>
              </w:rPr>
              <w:t>Average Effective</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Interest Rate</w:t>
            </w:r>
          </w:p>
        </w:tc>
        <w:tc>
          <w:tcPr>
            <w:tcW w:w="3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684.3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668.7</w:t>
            </w:r>
          </w:p>
        </w:tc>
        <w:tc>
          <w:tcPr>
            <w:tcW w:w="1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ind w:left="700"/>
              <w:spacing w:after="0" w:line="270" w:lineRule="exact"/>
              <w:rPr>
                <w:sz w:val="20"/>
                <w:szCs w:val="20"/>
                <w:color w:val="auto"/>
              </w:rPr>
            </w:pPr>
            <w:r>
              <w:rPr>
                <w:rFonts w:ascii="Arial" w:cs="Arial" w:eastAsia="Arial" w:hAnsi="Arial"/>
                <w:sz w:val="18"/>
                <w:szCs w:val="18"/>
                <w:color w:val="auto"/>
              </w:rPr>
              <w:t xml:space="preserve">8.00% </w:t>
            </w:r>
            <w:r>
              <w:rPr>
                <w:rFonts w:ascii="Arial" w:cs="Arial" w:eastAsia="Arial" w:hAnsi="Arial"/>
                <w:sz w:val="25"/>
                <w:szCs w:val="25"/>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w:t>
            </w:r>
          </w:p>
        </w:tc>
        <w:tc>
          <w:tcPr>
            <w:tcW w:w="13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3.3-18.3%</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72.8</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3.3-18.3%</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275.0</w:t>
            </w:r>
          </w:p>
        </w:tc>
        <w:tc>
          <w:tcPr>
            <w:tcW w:w="13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9.0-18.2%</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1,078.1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1,060.2</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Loan</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w w:val="95"/>
              </w:rPr>
              <w:t>Current maturities of lease financing obligations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1,044.2</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right="120" w:firstLine="8"/>
        <w:spacing w:after="0" w:line="273" w:lineRule="auto"/>
        <w:tabs>
          <w:tab w:leader="none" w:pos="136" w:val="left"/>
        </w:tabs>
        <w:numPr>
          <w:ilvl w:val="0"/>
          <w:numId w:val="4"/>
        </w:numPr>
        <w:rPr>
          <w:rFonts w:ascii="Arial" w:cs="Arial" w:eastAsia="Arial" w:hAnsi="Arial"/>
          <w:sz w:val="9"/>
          <w:szCs w:val="9"/>
          <w:color w:val="auto"/>
        </w:rPr>
      </w:pPr>
      <w:r>
        <w:rPr>
          <w:rFonts w:ascii="Arial" w:cs="Arial" w:eastAsia="Arial" w:hAnsi="Arial"/>
          <w:sz w:val="14"/>
          <w:szCs w:val="14"/>
          <w:color w:val="auto"/>
        </w:rPr>
        <w:t>Variable interest rate of 1, 3 or 6-month LIBOR, with a floor of 1.0% plus a fixed margin of 7.0% if the total leverage ratio is equal to or less than 3.25 to 1.00, or 7.25% if the total leverage ratio is higher than 3.25 to 1.00.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 Availability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principal sources of liquidity are cash and cash equivalents, available borrowings under our ABL Facility and net cash flow from operations. As of March 31, 2016, we had cash and cash equivalents of $184.9 million and the borrowing base and maximum availability on our asset based loan facility (the “ABL Facility”) were $442.9 million and $81.5 million, respectively. The maximum availability is calculated in accordance with the terms of the ABL Facility and is derived by reducing the borrowing base by our $361.4 million of outstanding letters of credit. While our ABL Agreement permits us to access maximum availability outside of certain financial covenant restrictions (which restrictions did not limit our availability as of March 31, 2016), the maximum amount we expect to access on our ABL Facility at any time is maximum availability less the lower of 10% of the borrowing base ($44.3 million at March 31, 2016) or 10% of the collateral line cap ($45.0 million at March 31, 2016). Thus, of the $81.5 million in maximum availability, we expected to access no more than $37.2 million as of March 31, 2016 (“Managed Accessibility”). As a result, we had cash and cash equivalents and Managed Accessibility of $222.1 million as of March 31, 2016.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agreement (the “Term Loan Agreement”) governing our term loan facility (the “Term Loan”) has certain financial covenants, as amended in September 2014, that, among other things, restricts certain capital expenditures and requires us to maintain a maximum total leverage ratio (defined as Consolidated Total Debt divided by Consolidated Adjusted EBITDA, each as defined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total maximum leverage ratio covenants are as follows:</w:t>
      </w:r>
    </w:p>
    <w:p>
      <w:pPr>
        <w:spacing w:after="0" w:line="15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160" w:type="dxa"/>
            <w:vAlign w:val="bottom"/>
          </w:tcPr>
          <w:p>
            <w:pPr>
              <w:spacing w:after="0"/>
              <w:rPr>
                <w:sz w:val="14"/>
                <w:szCs w:val="14"/>
                <w:color w:val="auto"/>
              </w:rPr>
            </w:pPr>
          </w:p>
        </w:tc>
        <w:tc>
          <w:tcPr>
            <w:tcW w:w="278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Four Consecutive Fiscal Quarters Ending</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 to 1.00</w:t>
            </w:r>
          </w:p>
        </w:tc>
        <w:tc>
          <w:tcPr>
            <w:tcW w:w="1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160" w:type="dxa"/>
            <w:vAlign w:val="bottom"/>
          </w:tcPr>
          <w:p>
            <w:pPr>
              <w:spacing w:after="0"/>
              <w:rPr>
                <w:sz w:val="21"/>
                <w:szCs w:val="21"/>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w w:val="98"/>
              </w:rPr>
              <w:t>December 31, 2017 and thereafter</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professional fees, nonrecurring consulting fees, expenses associated with certain lump sum payments to our International Brotherhood of Teamsters (“IBT”) employees and the results of permitted dispositions and discontinued operations. Consolidated Total Debt, as defined in our Term Loan Agreement, is the aggregate principal amount of indebtedness outstanding. Our total leverage ratio for the four consecutive fiscal quarters ending March 31, 2016 was 3.20 to 1.00.</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In order for us to maintain compliance with the maximum total leverage ratio over the tenor of the Term Loan and satisfy our liquidity needs, we must achieve slight improvement over our recent results. Improvements to our profitability may include ongoing successful implementation and realization of pricing, productivity and efficiency initiatives, as well as increased volume, some of which are outside of our control.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2016</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December 31, 2015</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color w:val="auto"/>
              </w:rPr>
              <w:t>Book Value</w:t>
            </w:r>
          </w:p>
        </w:tc>
        <w:tc>
          <w:tcPr>
            <w:tcW w:w="4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color w:val="auto"/>
              </w:rPr>
              <w:t>Book Value</w:t>
            </w:r>
          </w:p>
        </w:tc>
        <w:tc>
          <w:tcPr>
            <w:tcW w:w="280" w:type="dxa"/>
            <w:vAlign w:val="bottom"/>
          </w:tcPr>
          <w:p>
            <w:pPr>
              <w:spacing w:after="0"/>
              <w:rPr>
                <w:sz w:val="22"/>
                <w:szCs w:val="22"/>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color w:val="auto"/>
              </w:rPr>
              <w:t>Fair value</w:t>
            </w:r>
          </w:p>
        </w:tc>
      </w:tr>
      <w:tr>
        <w:trPr>
          <w:trHeight w:val="250"/>
        </w:trPr>
        <w:tc>
          <w:tcPr>
            <w:tcW w:w="5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282.9</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A&amp;R CDA</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1,060.2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903.2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979.6</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Term Loan and the Secured and Unsecured Second Amended and Restated Contribution Deferral Agreement (the “Second A&amp;R CDA”) were estimated based on observable prices (level two inputs for fair value measurements). The fair value of the lease financing obligations is estimated using a publicly traded secured loan with similar characteristics (level three input for fair value 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2016, our minimum rental expense under operating leases for the remainder of the year was $67.2 million. As of March 31, 2016, our operating lease payment obligations through 2030 totaled $290.2 million and is expected to increase as we lease additional revenue equipment. Additionally, for the three months ended March 31, 2016, we entered into new operating leases for revenue equipment totaling $29.5 million in future lease payments, payable over an average lease term of five years.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for the three months ended March 31, 2016 and 2015 were $19.8 million and $21.3 million, respectively. These amounts were principally used to fund the purchase of used tractors and trailers, to refurbish engines for our revenue fleet, and capitalized costs for technology infrastructure.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Employee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and Nonqualified Defined Benefit Pension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company-sponsored pension costs for the three months ended March 31:</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w:t>
            </w: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Amortization of net pension loss</w:t>
            </w:r>
          </w:p>
        </w:tc>
        <w:tc>
          <w:tcPr>
            <w:tcW w:w="26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periodic pension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$45.3 million to our company-sponsored pension plans in 2016 of which we have contributed $0.2 million through March 31,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Incentive Awards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granted performance stock units in February 2016 that will be settled in cash as the stock units vest equally over the next three years, with the first vesting occurring in February 2017. The awards will be liability classified and remeasured to fair value at each reporting date until settlement.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Income Taxes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effective tax rate for the three months ended March 31, 2016 was 13.0%, compared to (6.9)% for the three months ended March 31, 2015. The significant items impacting the 2016 rate include a provision for federal alternative minimum tax, a net state and foreign tax provision, certain permanent items, and a change in the valuation allowance established for the net deferred tax asset balance projected for December 31, 2016. The significant items impacting the 2015 rate include a net state and foreign tax provision, certain permanent items, and a change in the valuation allowance established for the net deferred tax asset balance projected for December 31, 2015.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March 31, 2016 and December 31, 2015, substantially all of our net deferred tax assets were subject to a valuation allowance.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Shareholders’ Deficit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activity in the shares of our common stock for the three months ended March 31,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76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7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32,141</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Issuance of equity awards</w:t>
            </w:r>
          </w:p>
        </w:tc>
        <w:tc>
          <w:tcPr>
            <w:tcW w:w="766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7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32,456</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bottom w:val="single" w:sz="8" w:color="CCEEFF"/>
            </w:tcBorders>
            <w:vMerge w:val="restart"/>
          </w:tcPr>
          <w:p>
            <w:pPr>
              <w:jc w:val="right"/>
              <w:ind w:right="4054"/>
              <w:spacing w:after="0"/>
              <w:rPr>
                <w:sz w:val="20"/>
                <w:szCs w:val="20"/>
                <w:color w:val="auto"/>
              </w:rPr>
            </w:pPr>
            <w:r>
              <w:rPr>
                <w:rFonts w:ascii="Arial" w:cs="Arial" w:eastAsia="Arial" w:hAnsi="Arial"/>
                <w:sz w:val="18"/>
                <w:szCs w:val="18"/>
                <w:color w:val="auto"/>
              </w:rPr>
              <w:t>11</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6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Loss Per Share</w:t>
      </w:r>
    </w:p>
    <w:p>
      <w:pPr>
        <w:spacing w:after="0" w:line="22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Given our net loss position for the three months ended March 31, 2016 and March 31, 2015, there were no dilutive securities for these periods. At March 31, 2016 and 2015, our anti-dilutive unvested shares, options, and stock units are approximately 499,000 and 1,154,000,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Business Segments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operating income (loss), and operating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charge management fees and other corporate service fees to our reporting segments based on the benefits received or an overhead allocation basis. Corporate and other operating losses represent residual operating expenses of the holding company. Corporate identifiable assets primarily consist of cash and cash equivalents. Intersegment revenue primarily relates to transportation services between our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YRC Freight</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Regional</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4"/>
                <w:szCs w:val="14"/>
                <w:color w:val="auto"/>
              </w:rPr>
            </w:pPr>
          </w:p>
        </w:tc>
        <w:tc>
          <w:tcPr>
            <w:tcW w:w="11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72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March 31, 2016</w:t>
            </w: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673.6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1,863.8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2015</w:t>
            </w: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2016</w:t>
            </w: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695.7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1,120.3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Three Months Ended March 31, 2015</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External revenue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0" w:type="dxa"/>
            <w:vAlign w:val="bottom"/>
          </w:tcPr>
          <w:p>
            <w:pPr>
              <w:spacing w:after="0"/>
              <w:rPr>
                <w:sz w:val="1"/>
                <w:szCs w:val="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Commitments, Contingencies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Labor Law Change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2015, California adopted new rules governing the payment of piece-rate compensation. New California Labor Code section 226.2 sets forth requirements for the payment of a separate hourly wage for “nonproductive” time worked by piece-rate employees, and separate payment for compensable rest and recovery periods to those employees. The Company continues to assess the impact of this new law and ongoing compliance measures. We are currently unable to determine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financial statements, we believe that our financial statements include adequate provisions for estimated costs and losses that may be incurred within the litigation and proceedings to which we are a party.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Management’s Discussion and Analysis of Financial Condition and Results of Operations (“MD&amp;A”) should be read in conjunction with the Consolidated Financial Statements and the Notes to Consolidated Financial Statements included elsewhere in this report. MD&amp;A and certain Notes to the Consolidated Financial Statements include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uncertainty in the overall economy, including (without limitation) customer demand in the retail and manufacturing sectors;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management team in implementing its strategic plan and continued operational and productivity improvements, including (without limitation) our continued ability to meet quality delivery performance standards and our ability to increase volume and yield, and the impact of those improvements on our future liquidity and profitability;</w:t>
      </w:r>
    </w:p>
    <w:p>
      <w:pPr>
        <w:spacing w:after="0" w:line="1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scheduled increases in financial performance-related debt covenants;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finance the maintenance, acquisition and replacement of revenue equipment and other necessary capital expenditures;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our information technology systems in our network operations and the production of accurate information, and the risk of system failure, inadequacy or security breach;</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equity and debt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factors such as severe weather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fuel;</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cost of fuel or the index upon which we base our fuel surcharge and the effectiveness of our fuel surcharge program in protecting us against fuel price volatility;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and competitive pressure on pricing;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expense volatility, including (without limitation) volatility due to changes in purchased transportation service or pricing for purchased transportation;</w:t>
      </w:r>
    </w:p>
    <w:p>
      <w:pPr>
        <w:spacing w:after="0" w:line="86"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and the cost of compliance with federal, state, local and foreign laws and regulations, including (without limitation) labor laws and laws and regulations regarding the environment;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terrorist attack;</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labor relations, including (without limitation) our ability to attract and retain qualified drivers, the continued support of our union employees for our strategic plan, the impact of work rules, work stoppages, strikes or other disruptions, our obligations to multi-employer health, welfare and pension plans, wage requirements and employee satisfaction;</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claims and litigation to which we are or may become exposed; and</w:t>
      </w:r>
    </w:p>
    <w:p>
      <w:pPr>
        <w:spacing w:after="0" w:line="6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MD&amp;A includes the following sections: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 a brief description of our business and a discussion of how we assess our operating results.</w:t>
      </w:r>
    </w:p>
    <w:p>
      <w:pPr>
        <w:spacing w:after="0" w:line="185"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Consolidated Results of Operations </w:t>
      </w:r>
      <w:r>
        <w:rPr>
          <w:rFonts w:ascii="Arial" w:cs="Arial" w:eastAsia="Arial" w:hAnsi="Arial"/>
          <w:sz w:val="18"/>
          <w:szCs w:val="18"/>
          <w:color w:val="auto"/>
        </w:rPr>
        <w:t>— an analysis of our consolidated results of operations for the three months ended March 31, 2016</w:t>
      </w:r>
      <w:r>
        <w:rPr>
          <w:rFonts w:ascii="Arial" w:cs="Arial" w:eastAsia="Arial" w:hAnsi="Arial"/>
          <w:sz w:val="18"/>
          <w:szCs w:val="18"/>
          <w:b w:val="1"/>
          <w:bCs w:val="1"/>
          <w:color w:val="auto"/>
        </w:rPr>
        <w:t xml:space="preserve"> </w:t>
      </w:r>
      <w:r>
        <w:rPr>
          <w:rFonts w:ascii="Arial" w:cs="Arial" w:eastAsia="Arial" w:hAnsi="Arial"/>
          <w:sz w:val="18"/>
          <w:szCs w:val="18"/>
          <w:color w:val="auto"/>
        </w:rPr>
        <w:t>and 2015.</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Reporting Segment Results of Operations </w:t>
      </w:r>
      <w:r>
        <w:rPr>
          <w:rFonts w:ascii="Arial" w:cs="Arial" w:eastAsia="Arial" w:hAnsi="Arial"/>
          <w:sz w:val="18"/>
          <w:szCs w:val="18"/>
          <w:color w:val="auto"/>
        </w:rPr>
        <w:t>— an analysis of our results of operations for the three months ended March 31, 2016 and 2015</w:t>
      </w:r>
      <w:r>
        <w:rPr>
          <w:rFonts w:ascii="Arial" w:cs="Arial" w:eastAsia="Arial" w:hAnsi="Arial"/>
          <w:sz w:val="18"/>
          <w:szCs w:val="18"/>
          <w:b w:val="1"/>
          <w:bCs w:val="1"/>
          <w:color w:val="auto"/>
        </w:rPr>
        <w:t xml:space="preserve"> </w:t>
      </w:r>
      <w:r>
        <w:rPr>
          <w:rFonts w:ascii="Arial" w:cs="Arial" w:eastAsia="Arial" w:hAnsi="Arial"/>
          <w:sz w:val="18"/>
          <w:szCs w:val="18"/>
          <w:color w:val="auto"/>
        </w:rPr>
        <w:t>for our YRC Freight and Regional Transportation reporting segments.</w:t>
      </w:r>
    </w:p>
    <w:p>
      <w:pPr>
        <w:spacing w:after="0" w:line="121" w:lineRule="exact"/>
        <w:rPr>
          <w:sz w:val="20"/>
          <w:szCs w:val="20"/>
          <w:color w:val="auto"/>
        </w:rPr>
      </w:pPr>
    </w:p>
    <w:p>
      <w:pPr>
        <w:ind w:left="660" w:right="20" w:firstLine="648"/>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 an analysis of selected non-GAAP financial measures for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2016 and 2015 and trailing twelve months ended March 31, 2016 and 2015.</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Financial Condition/Liquidity and Capital Resources </w:t>
      </w:r>
      <w:r>
        <w:rPr>
          <w:rFonts w:ascii="Arial" w:cs="Arial" w:eastAsia="Arial" w:hAnsi="Arial"/>
          <w:sz w:val="18"/>
          <w:szCs w:val="18"/>
          <w:color w:val="auto"/>
        </w:rPr>
        <w:t>— a discussion of our major sources and uses of cash and an analysis of our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 and aggregate contractual obligations and commercial commitments.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of the years discussed below refer to the three months ended March 31,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Worldwide is a holding company that, through wholly owned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measure the performance of our business on both a consolidated basis and a reporting segment basis. We use several performance metrics, but rely primarily upon (without limitation) operating revenue, operating income (loss), and operating ratio. We also use certain non-GAAP financial measures as secondary measures to assess our operating performance.</w:t>
      </w:r>
    </w:p>
    <w:p>
      <w:pPr>
        <w:spacing w:after="0" w:line="137" w:lineRule="exact"/>
        <w:rPr>
          <w:sz w:val="20"/>
          <w:szCs w:val="20"/>
          <w:color w:val="auto"/>
        </w:rPr>
      </w:pPr>
    </w:p>
    <w:p>
      <w:pPr>
        <w:jc w:val="both"/>
        <w:ind w:left="660" w:hanging="328"/>
        <w:spacing w:after="0" w:line="289"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Our operating revenue has two primary components: volume (commonly evaluated using number of shipments and weight per</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 and yield or price (commonly evaluated on a dollar-per-hundred weight basis and a dollar-per-shipment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numerous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w:t>
      </w:r>
    </w:p>
    <w:p>
      <w:pPr>
        <w:spacing w:after="0" w:line="161" w:lineRule="exact"/>
        <w:rPr>
          <w:rFonts w:ascii="Arial" w:cs="Arial" w:eastAsia="Arial" w:hAnsi="Arial"/>
          <w:sz w:val="16"/>
          <w:szCs w:val="16"/>
          <w:color w:val="auto"/>
        </w:rPr>
      </w:pPr>
    </w:p>
    <w:p>
      <w:pPr>
        <w:ind w:left="660" w:hanging="328"/>
        <w:spacing w:after="0" w:line="31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our operating revenue less operating expenses. Our consolidated operating income (loss)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includes certain corporate charges that are not allocated to our YRC Freight and Regional Transportation reporting segments.</w:t>
      </w:r>
    </w:p>
    <w:p>
      <w:pPr>
        <w:spacing w:after="0" w:line="138"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metric used in the trucking industry. It is calculated as (i) 100 percent (ii)</w:t>
      </w:r>
      <w:r>
        <w:rPr>
          <w:rFonts w:ascii="Arial" w:cs="Arial" w:eastAsia="Arial" w:hAnsi="Arial"/>
          <w:sz w:val="18"/>
          <w:szCs w:val="18"/>
          <w:b w:val="1"/>
          <w:bCs w:val="1"/>
          <w:color w:val="auto"/>
        </w:rPr>
        <w:t xml:space="preserve"> </w:t>
      </w:r>
      <w:r>
        <w:rPr>
          <w:rFonts w:ascii="Arial" w:cs="Arial" w:eastAsia="Arial" w:hAnsi="Arial"/>
          <w:sz w:val="18"/>
          <w:szCs w:val="18"/>
          <w:color w:val="auto"/>
        </w:rPr>
        <w:t>minus the result of dividing operating income by operating revenue or (iii) plus the result of dividing operating loss by operating revenue, and expressed as a percentage.</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18"/>
          <w:szCs w:val="18"/>
          <w:color w:val="auto"/>
        </w:rPr>
        <w:t>We use certain non-GAAP financial measures to assess our performance. These include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EBITDA and adjusted EBITDA:</w:t>
      </w:r>
    </w:p>
    <w:p>
      <w:pPr>
        <w:spacing w:after="0" w:line="16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a non-GAAP measure that reflects our earnings before interest, taxes, depreciation, and amortization expense. EBITDA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internal management purposes as a financial measure that reflects our core operating performance.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1300" w:hanging="320"/>
        <w:spacing w:after="0" w:line="273" w:lineRule="auto"/>
        <w:tabs>
          <w:tab w:leader="none" w:pos="130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our earnings before interest, taxes, depreciation, and amortization expense, and</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adjusts for letter of credit fees, equity-based compensation expense, net gains or losses on property disposals, restructuring professional fees, non-recurring consulting fees, expenses associated with certain lump sum payments to our IBT employees and the results of permitted dispositions, discontinued operations, among other items, as defined in our credit facilities. Adjusted EBITDA is used for internal management purposes as a financial measure that reflects our core operating performance, to measure compliance with financial covenants in our credit facilities and to pay certain executive bonus compensation.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185" w:lineRule="exact"/>
        <w:rPr>
          <w:sz w:val="20"/>
          <w:szCs w:val="20"/>
          <w:color w:val="auto"/>
        </w:rPr>
      </w:pPr>
    </w:p>
    <w:p>
      <w:pPr>
        <w:ind w:left="1300" w:hanging="320"/>
        <w:spacing w:after="0" w:line="258"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does not reflect the interest expense or the cash requirements necessary to service interest or fund principal payments on our outstanding debt;</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fund restructuring professional fees, nonrecurring consulting fees, letter of credit fees, service interest, principal payments on our outstanding debt or lump sum payments to our IBT employees required under the Memorandum of Understanding;</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ind w:left="1300" w:right="20" w:hanging="320"/>
        <w:spacing w:after="0" w:line="265"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ind w:left="1300" w:hanging="320"/>
        <w:spacing w:after="0" w:line="261"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 potentially limiting its usefulness as a comparative measure.</w:t>
      </w:r>
    </w:p>
    <w:p>
      <w:pPr>
        <w:spacing w:after="0" w:line="18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results include the consolidated results of our YRC Freight and Regional Transportation reporting segments as well as any unallocated corporate charges. A more detailed discussion of the operating results of our segments is presented in the “Reporting Segment Results of Operations” section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first quarter of 2016 and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First Quarter</w:t>
            </w:r>
          </w:p>
        </w:tc>
        <w:tc>
          <w:tcPr>
            <w:tcW w:w="1440" w:type="dxa"/>
            <w:vAlign w:val="bottom"/>
            <w:tcBorders>
              <w:bottom w:val="single" w:sz="8" w:color="auto"/>
            </w:tcBorders>
          </w:tcPr>
          <w:p>
            <w:pPr>
              <w:spacing w:after="0"/>
              <w:rPr>
                <w:sz w:val="16"/>
                <w:szCs w:val="16"/>
                <w:color w:val="auto"/>
              </w:rPr>
            </w:pPr>
          </w:p>
        </w:tc>
      </w:tr>
      <w:tr>
        <w:trPr>
          <w:trHeight w:val="264"/>
        </w:trPr>
        <w:tc>
          <w:tcPr>
            <w:tcW w:w="6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2015</w:t>
            </w:r>
          </w:p>
        </w:tc>
        <w:tc>
          <w:tcPr>
            <w:tcW w:w="14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1,120.3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1,186.4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13.4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6"/>
              <w:spacing w:after="0"/>
              <w:rPr>
                <w:sz w:val="20"/>
                <w:szCs w:val="20"/>
                <w:color w:val="auto"/>
              </w:rPr>
            </w:pPr>
            <w:r>
              <w:rPr>
                <w:rFonts w:ascii="Arial" w:cs="Arial" w:eastAsia="Arial" w:hAnsi="Arial"/>
                <w:sz w:val="18"/>
                <w:szCs w:val="18"/>
                <w:color w:val="auto"/>
              </w:rPr>
              <w:t>3.7</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NM*</w:t>
            </w:r>
          </w:p>
        </w:tc>
      </w:tr>
      <w:tr>
        <w:trPr>
          <w:trHeight w:val="27"/>
        </w:trPr>
        <w:tc>
          <w:tcPr>
            <w:tcW w:w="6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 net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23.9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Net loss</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(21.6)</w:t>
            </w:r>
          </w:p>
        </w:tc>
        <w:tc>
          <w:tcPr>
            <w:tcW w:w="1440" w:type="dxa"/>
            <w:vAlign w:val="bottom"/>
          </w:tcPr>
          <w:p>
            <w:pPr>
              <w:jc w:val="right"/>
              <w:spacing w:after="0"/>
              <w:rPr>
                <w:sz w:val="20"/>
                <w:szCs w:val="20"/>
                <w:color w:val="auto"/>
              </w:rPr>
            </w:pPr>
            <w:r>
              <w:rPr>
                <w:rFonts w:ascii="Arial" w:cs="Arial" w:eastAsia="Arial" w:hAnsi="Arial"/>
                <w:sz w:val="18"/>
                <w:szCs w:val="18"/>
                <w:color w:val="auto"/>
              </w:rPr>
              <w:t>44.4 %</w:t>
            </w:r>
          </w:p>
        </w:tc>
      </w:tr>
      <w:tr>
        <w:trPr>
          <w:trHeight w:val="191"/>
        </w:trPr>
        <w:tc>
          <w:tcPr>
            <w:tcW w:w="6880" w:type="dxa"/>
            <w:vAlign w:val="bottom"/>
          </w:tcPr>
          <w:p>
            <w:pPr>
              <w:ind w:left="60"/>
              <w:spacing w:after="0"/>
              <w:rPr>
                <w:sz w:val="20"/>
                <w:szCs w:val="20"/>
                <w:color w:val="auto"/>
              </w:rPr>
            </w:pPr>
            <w:r>
              <w:rPr>
                <w:rFonts w:ascii="Arial" w:cs="Arial" w:eastAsia="Arial" w:hAnsi="Arial"/>
                <w:sz w:val="14"/>
                <w:szCs w:val="14"/>
                <w:color w:val="auto"/>
              </w:rPr>
              <w:t>(*) not meaningful</w:t>
            </w: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2016 Compared to the First Quarter of 2015</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consolidated operating revenue decreased $66.1 million, or 5.6%, during the first quarter of 2016 compared to the same period in 2015. The decrease in revenue is primarily attributed to a reduction in fuel surcharge revenue and declines in volumes, partially offset by yield improvements.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operating expenses for the first quarter of 2016 decreased $75.8 million, or 6.4%, compared to the same period in 2015. The decrease in total operating expenses was primarily driven by:</w:t>
      </w:r>
    </w:p>
    <w:p>
      <w:pPr>
        <w:spacing w:after="0" w:line="170"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$38.0 million, or 16.7%, decrease in operating expenses and supplies in the first quarter of 2016 was primarily the result of a $34.4 million decrease in fuel expense compared to the first quarter of 2015. This decrease was largely driven by lower fuel prices on a per gallon basis, as well as fewer miles driven. Additionally, vehicle maintenance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decreased by $4.5 million due to lower maintenance costs and fewer miles driven in the first quarter 2016, as compared to the first quarter 2015.</w:t>
      </w:r>
    </w:p>
    <w:p>
      <w:pPr>
        <w:spacing w:after="0" w:line="262" w:lineRule="exact"/>
        <w:rPr>
          <w:sz w:val="20"/>
          <w:szCs w:val="20"/>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$17.9 million, or 13.4%, decrease in purchased transportation was primarily due to a decrease in rail and local purchased transportation expense due to a reduction in shipment volumes and lower rail and road rates, which is principally related to lower fuel surcharges paid to our providers in the first quarter of 2016, as compared to the first quarter of 2015.</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$9.2 million, or 1.3%, decrease in salaries, wages and employee benefits was primarily attributed to a $9.8 million decrease in salaries and wages primarily driven by a decrease in shipping volumes, which required fewer employee hours to process freight.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$8.2 million, or 11.6%, decrease in other operating expenses was primarily driven by a $6.4 million decrease in our property damage and liability claims expense as a result of more favorable development of our outstanding claims in the first quarter of 2016, as compared to the first quarter of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Nonoperating expenses increased $3.3 million in the first quarter of 2016 compared to the first quarter of 2015 primarily driven by a $7.5 million increase in foreign currency loss, offset by a $2.3 million gain on the disposal of JHJ and a $1.5 million decrease in interest expense primarily due to lower outstanding debt.</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effective tax rate for the first quarter of 2016 and 2015 was 13.0% and (6.9)%, respectively. Significant items impacting the 2016 rate include a provision for federal alternative minimum tax, a net state and foreign tax provision, certain permanent items, and a change in the valuation allowance established for the net deferred tax asset balance projected for December 31, 2016. The significant items impacting the 2015 rate include a net state and foreign tax provision, certain permanent items, and a change in the valuation allowance established for the net deferred tax asset balance projected for December 31, 2015.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March 31, 2016 and December 31, 2015, substantially all of our net deferred tax assets are subject to a valuation allowance.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Segment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operating performance using our YRC Freight and Regional Transportation reporting segments:</w:t>
      </w:r>
    </w:p>
    <w:p>
      <w:pPr>
        <w:spacing w:after="0" w:line="221" w:lineRule="exact"/>
        <w:rPr>
          <w:sz w:val="20"/>
          <w:szCs w:val="20"/>
          <w:color w:val="auto"/>
        </w:rPr>
      </w:pPr>
    </w:p>
    <w:p>
      <w:pPr>
        <w:jc w:val="both"/>
        <w:ind w:left="660" w:hanging="328"/>
        <w:spacing w:after="0" w:line="281"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YRC Freight </w:t>
      </w:r>
      <w:r>
        <w:rPr>
          <w:rFonts w:ascii="Arial" w:cs="Arial" w:eastAsia="Arial" w:hAnsi="Arial"/>
          <w:sz w:val="17"/>
          <w:szCs w:val="17"/>
          <w:color w:val="auto"/>
        </w:rPr>
        <w:t>is the reporting segment that focuses on longer haul business opportunities with national, regional and international services. YRC</w:t>
      </w:r>
      <w:r>
        <w:rPr>
          <w:rFonts w:ascii="Arial" w:cs="Arial" w:eastAsia="Arial" w:hAnsi="Arial"/>
          <w:sz w:val="17"/>
          <w:szCs w:val="17"/>
          <w:b w:val="1"/>
          <w:bCs w:val="1"/>
          <w:color w:val="auto"/>
        </w:rPr>
        <w:t xml:space="preserve"> </w:t>
      </w:r>
      <w:r>
        <w:rPr>
          <w:rFonts w:ascii="Arial" w:cs="Arial" w:eastAsia="Arial" w:hAnsi="Arial"/>
          <w:sz w:val="17"/>
          <w:szCs w:val="17"/>
          <w:color w:val="auto"/>
        </w:rPr>
        <w:t>Freight provides for the movement of industrial, commercial and retail goods, primarily through centralized management. This reporting segment includes our LTL subsidiary YRC Freight, and YRC Reimer, a subsidiary located in Canada that specializes in shipments into, across and out of Canada. In addition to the United States and Canada, YRC Freight also serves parts of Mexico, Puerto Rico and Guam.</w:t>
      </w:r>
    </w:p>
    <w:p>
      <w:pPr>
        <w:spacing w:after="0" w:line="164" w:lineRule="exact"/>
        <w:rPr>
          <w:rFonts w:ascii="Arial" w:cs="Arial" w:eastAsia="Arial" w:hAnsi="Arial"/>
          <w:sz w:val="17"/>
          <w:szCs w:val="17"/>
          <w:color w:val="auto"/>
        </w:rPr>
      </w:pPr>
    </w:p>
    <w:p>
      <w:pPr>
        <w:jc w:val="both"/>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Regional Transportation is comprised of Holland, New Penn and Reddaway. These companies each provide regional, next-day ground services in their respective regions through a network of facilities located across the United States, Canada, Mexico and Puerto Rico.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YRC Freight represented 62.1% and 62.2% of consolidated operating revenue for the first quarter of 2016 and 2015, respectively. The table below provides summary financial information for YRC Freight for the first quarter of 2016 and 2015:</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First Quarter</w:t>
            </w:r>
          </w:p>
        </w:tc>
        <w:tc>
          <w:tcPr>
            <w:tcW w:w="142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2015</w:t>
            </w: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695.7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8"/>
                <w:szCs w:val="18"/>
                <w:color w:val="auto"/>
              </w:rPr>
              <w:t>737.6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4.1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7"/>
              <w:spacing w:after="0"/>
              <w:rPr>
                <w:sz w:val="20"/>
                <w:szCs w:val="20"/>
                <w:color w:val="auto"/>
              </w:rPr>
            </w:pPr>
            <w:r>
              <w:rPr>
                <w:rFonts w:ascii="Arial" w:cs="Arial" w:eastAsia="Arial" w:hAnsi="Arial"/>
                <w:sz w:val="18"/>
                <w:szCs w:val="18"/>
                <w:color w:val="auto"/>
              </w:rPr>
              <w:t>0.2</w:t>
            </w:r>
          </w:p>
        </w:tc>
        <w:tc>
          <w:tcPr>
            <w:tcW w:w="1420" w:type="dxa"/>
            <w:vAlign w:val="bottom"/>
          </w:tcPr>
          <w:p>
            <w:pPr>
              <w:jc w:val="right"/>
              <w:ind w:right="154"/>
              <w:spacing w:after="0"/>
              <w:rPr>
                <w:sz w:val="20"/>
                <w:szCs w:val="20"/>
                <w:color w:val="auto"/>
              </w:rPr>
            </w:pPr>
            <w:r>
              <w:rPr>
                <w:rFonts w:ascii="Arial" w:cs="Arial" w:eastAsia="Arial" w:hAnsi="Arial"/>
                <w:sz w:val="18"/>
                <w:szCs w:val="18"/>
                <w:color w:val="auto"/>
              </w:rPr>
              <w:t>NM*</w:t>
            </w:r>
          </w:p>
        </w:tc>
      </w:tr>
      <w:tr>
        <w:trPr>
          <w:trHeight w:val="506"/>
        </w:trPr>
        <w:tc>
          <w:tcPr>
            <w:tcW w:w="7080" w:type="dxa"/>
            <w:vAlign w:val="bottom"/>
          </w:tcPr>
          <w:p>
            <w:pPr>
              <w:ind w:left="40"/>
              <w:spacing w:after="0"/>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320" w:type="dxa"/>
            <w:vAlign w:val="bottom"/>
          </w:tcPr>
          <w:p>
            <w:pPr>
              <w:spacing w:after="0"/>
              <w:rPr>
                <w:sz w:val="24"/>
                <w:szCs w:val="24"/>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99.4%</w:t>
            </w:r>
          </w:p>
        </w:tc>
        <w:tc>
          <w:tcPr>
            <w:tcW w:w="280" w:type="dxa"/>
            <w:vAlign w:val="bottom"/>
          </w:tcPr>
          <w:p>
            <w:pPr>
              <w:spacing w:after="0"/>
              <w:rPr>
                <w:sz w:val="24"/>
                <w:szCs w:val="24"/>
                <w:color w:val="auto"/>
              </w:rPr>
            </w:pP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100.0%</w:t>
            </w:r>
          </w:p>
        </w:tc>
        <w:tc>
          <w:tcPr>
            <w:tcW w:w="1420" w:type="dxa"/>
            <w:vAlign w:val="bottom"/>
          </w:tcPr>
          <w:p>
            <w:pPr>
              <w:jc w:val="right"/>
              <w:spacing w:after="0"/>
              <w:rPr>
                <w:sz w:val="20"/>
                <w:szCs w:val="20"/>
                <w:color w:val="auto"/>
              </w:rPr>
            </w:pPr>
            <w:r>
              <w:rPr>
                <w:rFonts w:ascii="Arial" w:cs="Arial" w:eastAsia="Arial" w:hAnsi="Arial"/>
                <w:sz w:val="18"/>
                <w:szCs w:val="18"/>
                <w:color w:val="auto"/>
              </w:rPr>
              <w:t>0.6pp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1" w:lineRule="exact"/>
        <w:rPr>
          <w:rFonts w:ascii="Arial" w:cs="Arial" w:eastAsia="Arial" w:hAnsi="Arial"/>
          <w:sz w:val="14"/>
          <w:szCs w:val="14"/>
          <w:color w:val="auto"/>
        </w:rPr>
      </w:pPr>
    </w:p>
    <w:p>
      <w:pPr>
        <w:ind w:left="260" w:hanging="198"/>
        <w:spacing w:after="0"/>
        <w:tabs>
          <w:tab w:leader="none" w:pos="2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of 2016 Compared to the First Quarter of 2015</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YRC Freight reported operating revenue of $695.7 million in the first quarter of 2016, a decrease of $41.9 million, or 5.7%, compared to the same period in 2015. The decrease in revenue is primarily attributed to a reduction in fuel surcharge revenue and declines in volume, partially offset by improved yield. The table below summarizes the key revenue metrics for the YRC Freight reporting segment for the first quarter of 2016 compared to the first quarter of 2015:</w:t>
      </w:r>
    </w:p>
    <w:p>
      <w:pPr>
        <w:spacing w:after="0" w:line="368"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Percent Change</w:t>
            </w:r>
            <w:r>
              <w:rPr>
                <w:rFonts w:ascii="Arial" w:cs="Arial" w:eastAsia="Arial" w:hAnsi="Arial"/>
                <w:sz w:val="8"/>
                <w:szCs w:val="8"/>
                <w:b w:val="1"/>
                <w:bCs w:val="1"/>
                <w:color w:val="auto"/>
                <w:w w:val="95"/>
              </w:rPr>
              <w:t>(b)</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324"/>
        </w:trPr>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1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695.6</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737.4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1,485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1,566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23.38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25.05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2,514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2,604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39.58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41.66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580" w:type="dxa"/>
            <w:vAlign w:val="bottom"/>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23.42</w:t>
            </w:r>
          </w:p>
        </w:tc>
        <w:tc>
          <w:tcPr>
            <w:tcW w:w="120" w:type="dxa"/>
            <w:vAlign w:val="bottom"/>
          </w:tcPr>
          <w:p>
            <w:pPr>
              <w:spacing w:after="0"/>
              <w:rPr>
                <w:sz w:val="21"/>
                <w:szCs w:val="21"/>
                <w:color w:val="auto"/>
              </w:rPr>
            </w:pP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23.55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w:t>
            </w: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21.42</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20.66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580" w:type="dxa"/>
            <w:vAlign w:val="bottom"/>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Total picked up revenue per shipment (excluding fuel surcharge)</w:t>
            </w: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1,181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r>
      <w:tr>
        <w:trPr>
          <w:trHeight w:val="642"/>
        </w:trPr>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58"/>
        </w:trPr>
        <w:tc>
          <w:tcPr>
            <w:tcW w:w="5120" w:type="dxa"/>
            <w:vAlign w:val="bottom"/>
          </w:tcPr>
          <w:p>
            <w:pPr>
              <w:ind w:left="84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3"/>
          </w:tcPr>
          <w:p>
            <w:pPr>
              <w:jc w:val="right"/>
              <w:ind w:right="655"/>
              <w:spacing w:after="0"/>
              <w:rPr>
                <w:sz w:val="20"/>
                <w:szCs w:val="20"/>
                <w:color w:val="auto"/>
              </w:rPr>
            </w:pPr>
            <w:r>
              <w:rPr>
                <w:rFonts w:ascii="Arial" w:cs="Arial" w:eastAsia="Arial" w:hAnsi="Arial"/>
                <w:sz w:val="14"/>
                <w:szCs w:val="14"/>
                <w:b w:val="1"/>
                <w:bCs w:val="1"/>
                <w:color w:val="auto"/>
              </w:rPr>
              <w:t>2016</w:t>
            </w:r>
          </w:p>
        </w:tc>
        <w:tc>
          <w:tcPr>
            <w:tcW w:w="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9361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93615" cy="180340"/>
                    </a:xfrm>
                    <a:prstGeom prst="rect">
                      <a:avLst/>
                    </a:prstGeom>
                    <a:noFill/>
                  </pic:spPr>
                </pic:pic>
              </a:graphicData>
            </a:graphic>
          </wp:anchor>
        </w:drawing>
      </w:r>
    </w:p>
    <w:p>
      <w:pPr>
        <w:spacing w:after="0" w:line="7" w:lineRule="exact"/>
        <w:rPr>
          <w:sz w:val="20"/>
          <w:szCs w:val="20"/>
          <w:color w:val="auto"/>
        </w:rPr>
      </w:pPr>
    </w:p>
    <w:p>
      <w:pPr>
        <w:ind w:left="2140" w:hanging="174"/>
        <w:spacing w:after="0"/>
        <w:tabs>
          <w:tab w:leader="none" w:pos="214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940" w:type="dxa"/>
        <w:tblCellMar>
          <w:top w:w="0" w:type="dxa"/>
          <w:left w:w="0" w:type="dxa"/>
          <w:bottom w:w="0" w:type="dxa"/>
          <w:right w:w="0" w:type="dxa"/>
        </w:tblCellMar>
      </w:tblPr>
      <w:tr>
        <w:trPr>
          <w:trHeight w:val="236"/>
        </w:trPr>
        <w:tc>
          <w:tcPr>
            <w:tcW w:w="4880" w:type="dxa"/>
            <w:vAlign w:val="bottom"/>
          </w:tcPr>
          <w:p>
            <w:pPr>
              <w:ind w:left="260"/>
              <w:spacing w:after="0"/>
              <w:rPr>
                <w:sz w:val="20"/>
                <w:szCs w:val="20"/>
                <w:color w:val="auto"/>
              </w:rPr>
            </w:pPr>
            <w:r>
              <w:rPr>
                <w:rFonts w:ascii="Arial" w:cs="Arial" w:eastAsia="Arial" w:hAnsi="Arial"/>
                <w:sz w:val="18"/>
                <w:szCs w:val="18"/>
                <w:color w:val="auto"/>
              </w:rPr>
              <w:t>Operating revenue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695.7</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737.6</w:t>
            </w:r>
          </w:p>
        </w:tc>
      </w:tr>
      <w:tr>
        <w:trPr>
          <w:trHeight w:val="276"/>
        </w:trPr>
        <w:tc>
          <w:tcPr>
            <w:tcW w:w="488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Change in revenue deferral and other</w:t>
            </w:r>
          </w:p>
        </w:tc>
        <w:tc>
          <w:tcPr>
            <w:tcW w:w="460" w:type="dxa"/>
            <w:vAlign w:val="bottom"/>
            <w:tcBorders>
              <w:bottom w:val="single" w:sz="8" w:color="BFE4FF"/>
            </w:tcBorders>
            <w:shd w:val="clear" w:color="auto" w:fill="BFE4FF"/>
          </w:tcPr>
          <w:p>
            <w:pPr>
              <w:spacing w:after="0"/>
              <w:rPr>
                <w:sz w:val="23"/>
                <w:szCs w:val="23"/>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BFE4FF"/>
            </w:tcBorders>
            <w:shd w:val="clear" w:color="auto" w:fill="BFE4FF"/>
          </w:tcPr>
          <w:p>
            <w:pPr>
              <w:spacing w:after="0"/>
              <w:rPr>
                <w:sz w:val="23"/>
                <w:szCs w:val="23"/>
                <w:color w:val="auto"/>
              </w:rPr>
            </w:pPr>
          </w:p>
        </w:tc>
        <w:tc>
          <w:tcPr>
            <w:tcW w:w="460" w:type="dxa"/>
            <w:vAlign w:val="bottom"/>
            <w:tcBorders>
              <w:bottom w:val="single" w:sz="8" w:color="BFE4FF"/>
            </w:tcBorders>
            <w:shd w:val="clear" w:color="auto" w:fill="BFE4FF"/>
          </w:tcPr>
          <w:p>
            <w:pPr>
              <w:spacing w:after="0"/>
              <w:rPr>
                <w:sz w:val="23"/>
                <w:szCs w:val="23"/>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(0.2)</w:t>
            </w:r>
          </w:p>
        </w:tc>
      </w:tr>
      <w:tr>
        <w:trPr>
          <w:trHeight w:val="250"/>
        </w:trPr>
        <w:tc>
          <w:tcPr>
            <w:tcW w:w="4880" w:type="dxa"/>
            <w:vAlign w:val="bottom"/>
          </w:tcPr>
          <w:p>
            <w:pPr>
              <w:ind w:left="160"/>
              <w:spacing w:after="0"/>
              <w:rPr>
                <w:sz w:val="20"/>
                <w:szCs w:val="20"/>
                <w:color w:val="auto"/>
              </w:rPr>
            </w:pPr>
            <w:r>
              <w:rPr>
                <w:rFonts w:ascii="Arial" w:cs="Arial" w:eastAsia="Arial" w:hAnsi="Arial"/>
                <w:sz w:val="18"/>
                <w:szCs w:val="18"/>
                <w:color w:val="auto"/>
              </w:rPr>
              <w:t>Total picked up revenue</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695.6</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8890</wp:posOffset>
            </wp:positionV>
            <wp:extent cx="1689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5" w:lineRule="exact"/>
        <w:rPr>
          <w:sz w:val="20"/>
          <w:szCs w:val="20"/>
          <w:color w:val="auto"/>
        </w:rPr>
      </w:pPr>
    </w:p>
    <w:p>
      <w:pPr>
        <w:ind w:left="1020" w:hanging="202"/>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20" w:hanging="202"/>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-208915</wp:posOffset>
            </wp:positionV>
            <wp:extent cx="1689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income for YRC Freight was $4.1 million in the first quarter of 2016 compared to $0.2 million in the first quarter of 2015, which reflects a $41.9 million decrease in operating revenue, offset by a $45.8 million decrease in total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total operating expense consisted primarily of:</w:t>
      </w:r>
    </w:p>
    <w:p>
      <w:pPr>
        <w:spacing w:after="0" w:line="225"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$18.6 million, or 13.3%, decrease in total operating expenses and supplies in the first quarter of 2016 was primarily the result of an $18.3 million decrease in fuel expense compared to the first quarter of 2015, which was largely driven</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jc w:val="both"/>
        <w:ind w:left="660"/>
        <w:spacing w:after="0" w:line="306" w:lineRule="auto"/>
        <w:rPr>
          <w:sz w:val="20"/>
          <w:szCs w:val="20"/>
          <w:color w:val="auto"/>
        </w:rPr>
      </w:pPr>
      <w:r>
        <w:rPr>
          <w:rFonts w:ascii="Arial" w:cs="Arial" w:eastAsia="Arial" w:hAnsi="Arial"/>
          <w:sz w:val="18"/>
          <w:szCs w:val="18"/>
          <w:color w:val="auto"/>
        </w:rPr>
        <w:t>by lower fuel prices on a per gallon basis, fewer miles driven and improved fuel efficiency. Additionally, vehicle maintenance expense decreased by $2.2 million due to lower maintenance costs and fewer miles driven in the first quarter 2016, as compared to the first quarter 2015. These expense reductions were partially offset by a $4.1 million favorable legal settlement recorded in the first quarter of 2015, with no corresponding activity in the first quarter of 2016.</w:t>
      </w:r>
    </w:p>
    <w:p>
      <w:pPr>
        <w:spacing w:after="0" w:line="160" w:lineRule="exact"/>
        <w:rPr>
          <w:sz w:val="20"/>
          <w:szCs w:val="20"/>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$17.1 million, or 16.5%, decrease in purchased transportation was primarily due to a decrease in rail, local and over-the-road purchased transportation expense due to a reduction in shipment volumes and lower rail and road rates, which is principally related to lower fuel surcharges paid to our providers, in the first quarter of 2016, as compared to the first quarter of 2015.</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$6.0 million, or 1.4%, decrease in salaries, wages and employee benefits was driven by a $7.3 million decrease in salaries and wages primarily driven by a decrease in shipping volumes, which required fewer employee hours to process freight and improved employee productivity.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Regional Transportation represented 37.9% and 37.8% of consolidated revenue in the first quarter of 2016 and 2015, respectively. The table below provides summary financial information for Regional Transportation for the first quarter of 2016 and 2015:</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First Quarter</w:t>
            </w:r>
          </w:p>
        </w:tc>
        <w:tc>
          <w:tcPr>
            <w:tcW w:w="148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424.8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448.8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169.6 %</w:t>
            </w:r>
          </w:p>
        </w:tc>
      </w:tr>
      <w:tr>
        <w:trPr>
          <w:trHeight w:val="506"/>
        </w:trPr>
        <w:tc>
          <w:tcPr>
            <w:tcW w:w="7080" w:type="dxa"/>
            <w:vAlign w:val="bottom"/>
          </w:tcPr>
          <w:p>
            <w:pPr>
              <w:ind w:left="40"/>
              <w:spacing w:after="0"/>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of 2016 Compared to the First Quarter of 2015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Regional Transportation reported operating revenue of $424.8 million for the first quarter of 2016, a decrease of $24.0 million, or 5.3%, from the first quarter of 2015. The decrease in revenue is primarily attributed to a reduction in fuel surcharge revenue and declines in volume, partially offset by improved yield. The table below summarizes the key revenue metrics for the Regional Transportation reporting segment for the first quarter of 2016 compared to the first quarter of 2015:</w:t>
      </w:r>
    </w:p>
    <w:p>
      <w:pPr>
        <w:spacing w:after="0" w:line="200" w:lineRule="exact"/>
        <w:rPr>
          <w:sz w:val="20"/>
          <w:szCs w:val="20"/>
          <w:color w:val="auto"/>
        </w:rPr>
      </w:pP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First Quarter</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7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2"/>
                <w:shd w:val="clear" w:color="auto" w:fill="CCEEFF"/>
              </w:rPr>
              <w:t>Total picked up revenue (in millions)</w:t>
            </w: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w:t>
            </w:r>
          </w:p>
        </w:tc>
        <w:tc>
          <w:tcPr>
            <w:tcW w:w="700" w:type="dxa"/>
            <w:vAlign w:val="bottom"/>
            <w:vMerge w:val="restart"/>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425.1</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449.1</w:t>
            </w:r>
          </w:p>
        </w:tc>
        <w:tc>
          <w:tcPr>
            <w:tcW w:w="160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77"/>
        </w:trPr>
        <w:tc>
          <w:tcPr>
            <w:tcW w:w="2700" w:type="dxa"/>
            <w:vAlign w:val="bottom"/>
            <w:tcBorders>
              <w:bottom w:val="single" w:sz="8" w:color="CCEEFF"/>
            </w:tcBorders>
            <w:vMerge w:val="continue"/>
            <w:shd w:val="clear" w:color="auto" w:fill="CCEEFF"/>
          </w:tcPr>
          <w:p>
            <w:pPr>
              <w:spacing w:after="0"/>
              <w:rPr>
                <w:sz w:val="6"/>
                <w:szCs w:val="6"/>
                <w:color w:val="auto"/>
              </w:rPr>
            </w:pPr>
          </w:p>
        </w:tc>
        <w:tc>
          <w:tcPr>
            <w:tcW w:w="238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60" w:type="dxa"/>
            <w:vAlign w:val="bottom"/>
            <w:tcBorders>
              <w:bottom w:val="single" w:sz="8" w:color="CCEEFF"/>
            </w:tcBorders>
            <w:vMerge w:val="continue"/>
            <w:shd w:val="clear" w:color="auto" w:fill="CCEEFF"/>
          </w:tcPr>
          <w:p>
            <w:pPr>
              <w:spacing w:after="0"/>
              <w:rPr>
                <w:sz w:val="6"/>
                <w:szCs w:val="6"/>
                <w:color w:val="auto"/>
              </w:rPr>
            </w:pPr>
          </w:p>
        </w:tc>
        <w:tc>
          <w:tcPr>
            <w:tcW w:w="420" w:type="dxa"/>
            <w:vAlign w:val="bottom"/>
            <w:tcBorders>
              <w:bottom w:val="single" w:sz="8" w:color="CCEEFF"/>
            </w:tcBorders>
            <w:vMerge w:val="continue"/>
            <w:shd w:val="clear" w:color="auto" w:fill="CCEEFF"/>
          </w:tcPr>
          <w:p>
            <w:pPr>
              <w:spacing w:after="0"/>
              <w:rPr>
                <w:sz w:val="6"/>
                <w:szCs w:val="6"/>
                <w:color w:val="auto"/>
              </w:rPr>
            </w:pPr>
          </w:p>
        </w:tc>
        <w:tc>
          <w:tcPr>
            <w:tcW w:w="1600" w:type="dxa"/>
            <w:vAlign w:val="bottom"/>
            <w:tcBorders>
              <w:bottom w:val="single" w:sz="8" w:color="CCEEFF"/>
            </w:tcBorders>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tonnage (in thousands)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1,900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1,976</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30.64</w:t>
            </w:r>
          </w:p>
        </w:tc>
        <w:tc>
          <w:tcPr>
            <w:tcW w:w="16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shipments (in thousands)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2,558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2,617</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39.65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40.58</w:t>
            </w:r>
          </w:p>
        </w:tc>
        <w:tc>
          <w:tcPr>
            <w:tcW w:w="16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11.19</w:t>
            </w:r>
          </w:p>
        </w:tc>
        <w:tc>
          <w:tcPr>
            <w:tcW w:w="100" w:type="dxa"/>
            <w:vAlign w:val="bottom"/>
          </w:tcPr>
          <w:p>
            <w:pPr>
              <w:spacing w:after="0"/>
              <w:rPr>
                <w:sz w:val="21"/>
                <w:szCs w:val="21"/>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11.36</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surcharge)</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10.27</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10.03</w:t>
            </w:r>
          </w:p>
        </w:tc>
        <w:tc>
          <w:tcPr>
            <w:tcW w:w="1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shipment</w:t>
            </w: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172</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Total picked up revenue per shipment (excluding fuel surcharge)</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weight per shipment (in pounds)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1,486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1,510</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642"/>
        </w:trPr>
        <w:tc>
          <w:tcPr>
            <w:tcW w:w="2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First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80" w:type="dxa"/>
            <w:vAlign w:val="bottom"/>
            <w:gridSpan w:val="2"/>
          </w:tcPr>
          <w:p>
            <w:pPr>
              <w:ind w:left="840"/>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22"/>
                <w:szCs w:val="22"/>
                <w:color w:val="auto"/>
              </w:rPr>
            </w:pPr>
          </w:p>
        </w:tc>
        <w:tc>
          <w:tcPr>
            <w:tcW w:w="76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89"/>
              </w:rPr>
              <w:t>2015</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9361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93615" cy="180340"/>
                    </a:xfrm>
                    <a:prstGeom prst="rect">
                      <a:avLst/>
                    </a:prstGeom>
                    <a:noFill/>
                  </pic:spPr>
                </pic:pic>
              </a:graphicData>
            </a:graphic>
          </wp:anchor>
        </w:drawing>
      </w:r>
    </w:p>
    <w:p>
      <w:pPr>
        <w:spacing w:after="0" w:line="7" w:lineRule="exact"/>
        <w:rPr>
          <w:sz w:val="20"/>
          <w:szCs w:val="20"/>
          <w:color w:val="auto"/>
        </w:rPr>
      </w:pPr>
    </w:p>
    <w:p>
      <w:pPr>
        <w:ind w:left="2140" w:hanging="174"/>
        <w:spacing w:after="0"/>
        <w:tabs>
          <w:tab w:leader="none" w:pos="214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940" w:type="dxa"/>
        <w:tblCellMar>
          <w:top w:w="0" w:type="dxa"/>
          <w:left w:w="0" w:type="dxa"/>
          <w:bottom w:w="0" w:type="dxa"/>
          <w:right w:w="0" w:type="dxa"/>
        </w:tblCellMar>
      </w:tblPr>
      <w:tr>
        <w:trPr>
          <w:trHeight w:val="236"/>
        </w:trPr>
        <w:tc>
          <w:tcPr>
            <w:tcW w:w="4960" w:type="dxa"/>
            <w:vAlign w:val="bottom"/>
          </w:tcPr>
          <w:p>
            <w:pPr>
              <w:ind w:left="260"/>
              <w:spacing w:after="0"/>
              <w:rPr>
                <w:sz w:val="20"/>
                <w:szCs w:val="20"/>
                <w:color w:val="auto"/>
              </w:rPr>
            </w:pPr>
            <w:r>
              <w:rPr>
                <w:rFonts w:ascii="Arial" w:cs="Arial" w:eastAsia="Arial" w:hAnsi="Arial"/>
                <w:sz w:val="18"/>
                <w:szCs w:val="18"/>
                <w:color w:val="auto"/>
              </w:rPr>
              <w:t>Operating revenue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448.8</w:t>
            </w:r>
          </w:p>
        </w:tc>
      </w:tr>
      <w:tr>
        <w:trPr>
          <w:trHeight w:val="276"/>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revenue deferral and other</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0"/>
        </w:trPr>
        <w:tc>
          <w:tcPr>
            <w:tcW w:w="4960" w:type="dxa"/>
            <w:vAlign w:val="bottom"/>
          </w:tcPr>
          <w:p>
            <w:pPr>
              <w:ind w:left="160"/>
              <w:spacing w:after="0"/>
              <w:rPr>
                <w:sz w:val="20"/>
                <w:szCs w:val="20"/>
                <w:color w:val="auto"/>
              </w:rPr>
            </w:pPr>
            <w:r>
              <w:rPr>
                <w:rFonts w:ascii="Arial" w:cs="Arial" w:eastAsia="Arial" w:hAnsi="Arial"/>
                <w:sz w:val="18"/>
                <w:szCs w:val="18"/>
                <w:color w:val="auto"/>
              </w:rPr>
              <w:t>Total picked up revenue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8890</wp:posOffset>
            </wp:positionV>
            <wp:extent cx="1646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5" w:lineRule="exact"/>
        <w:rPr>
          <w:sz w:val="20"/>
          <w:szCs w:val="20"/>
          <w:color w:val="auto"/>
        </w:rPr>
      </w:pPr>
    </w:p>
    <w:p>
      <w:pPr>
        <w:ind w:left="1020" w:hanging="202"/>
        <w:spacing w:after="0"/>
        <w:tabs>
          <w:tab w:leader="none" w:pos="10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00" w:hanging="182"/>
        <w:spacing w:after="0"/>
        <w:tabs>
          <w:tab w:leader="none" w:pos="1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income for Regional Transportation was $12.4 million for the first quarter of 2016, an increase of $7.8 million from the same period in 2015, which reflects a $24.0 million decrease in revenue, offset by a $31.8 million decrease in total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total operating expenses was primarily driven by:</w:t>
      </w:r>
    </w:p>
    <w:p>
      <w:pPr>
        <w:spacing w:after="0" w:line="225" w:lineRule="exact"/>
        <w:rPr>
          <w:sz w:val="20"/>
          <w:szCs w:val="20"/>
          <w:color w:val="auto"/>
        </w:rPr>
      </w:pPr>
    </w:p>
    <w:p>
      <w:pPr>
        <w:jc w:val="both"/>
        <w:ind w:left="660" w:right="2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$19.2 million, or 20.0%, decrease in operating expenses and supplies in the first quarter of 2016 was primarily the result of a $16.1 million decrease in fuel expense compared to the first quarter of 2015. This decrease was largely driven by lower fuel prices on a per gallon basis and fewer miles driven.</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$6.0 million, or 19.5%, decrease in other operating expense was primarily driven by a $5.2 million decrease in our property damage and liability claims expense as a result of more favorable development on our prior year claims in the first quarter of 2016, as compared to the first quarter of 2015.</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$5.3 million, or 2.0%, decrease in salaries, wages and employee benefits was driven by a $4.5 million decrease in salaries and wages primarily driven by a decrease in shipping volumes, which required fewer employee hours to process freight.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net income (loss) to EBITDA and EBITDA to Adjusted EBITDA (defined in our Term Loan Agreement as “Consolidated EBITDA”)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2016 and 2015, and the trailing twelve months ended March 31, 2016 and 2015,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First Quarter</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33"/>
              <w:spacing w:after="0"/>
              <w:rPr>
                <w:sz w:val="20"/>
                <w:szCs w:val="20"/>
                <w:color w:val="auto"/>
              </w:rPr>
            </w:pPr>
            <w:r>
              <w:rPr>
                <w:rFonts w:ascii="Arial" w:cs="Arial" w:eastAsia="Arial" w:hAnsi="Arial"/>
                <w:sz w:val="14"/>
                <w:szCs w:val="14"/>
                <w:b w:val="1"/>
                <w:bCs w:val="1"/>
                <w:color w:val="auto"/>
                <w:w w:val="94"/>
              </w:rPr>
              <w:t>Trailing Twelve</w:t>
            </w:r>
          </w:p>
        </w:tc>
        <w:tc>
          <w:tcPr>
            <w:tcW w:w="220" w:type="dxa"/>
            <w:vAlign w:val="bottom"/>
          </w:tcPr>
          <w:p>
            <w:pPr>
              <w:spacing w:after="0"/>
              <w:rPr>
                <w:sz w:val="14"/>
                <w:szCs w:val="14"/>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Trailing Twelve</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3"/>
              </w:rPr>
              <w:t>Months Ended</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March 31, 2016</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March 31, 2015</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Reconciliation of net income (loss) to Adjusted EBITDA:</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105.7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162.8</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270.5</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for Term Loan Agreement: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Restructuring professional fees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Nonrecurring consulting fees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Permitted dispositions and other</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Amortization of ratification bonus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Non-union pension settlement charge</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337.4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Adjusted EBITDA by segment for the first quarter of 2016 and 2015: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First Quarter</w:t>
            </w:r>
          </w:p>
        </w:tc>
        <w:tc>
          <w:tcPr>
            <w:tcW w:w="740" w:type="dxa"/>
            <w:vAlign w:val="bottom"/>
            <w:tcBorders>
              <w:bottom w:val="single" w:sz="8" w:color="auto"/>
            </w:tcBorders>
          </w:tcPr>
          <w:p>
            <w:pPr>
              <w:spacing w:after="0"/>
              <w:rPr>
                <w:sz w:val="16"/>
                <w:szCs w:val="16"/>
                <w:color w:val="auto"/>
              </w:rPr>
            </w:pPr>
          </w:p>
        </w:tc>
      </w:tr>
      <w:tr>
        <w:trPr>
          <w:trHeight w:val="264"/>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 by segment: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gridSpan w:val="2"/>
          </w:tcPr>
          <w:p>
            <w:pPr>
              <w:ind w:left="380"/>
              <w:spacing w:after="0"/>
              <w:rPr>
                <w:sz w:val="20"/>
                <w:szCs w:val="20"/>
                <w:color w:val="auto"/>
              </w:rPr>
            </w:pPr>
            <w:r>
              <w:rPr>
                <w:rFonts w:ascii="Arial" w:cs="Arial" w:eastAsia="Arial" w:hAnsi="Arial"/>
                <w:sz w:val="18"/>
                <w:szCs w:val="18"/>
                <w:color w:val="auto"/>
              </w:rPr>
              <w:t>YRC Freight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32.1</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Regional Transportation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w:t>
            </w:r>
          </w:p>
        </w:tc>
      </w:tr>
      <w:tr>
        <w:trPr>
          <w:trHeight w:val="243"/>
        </w:trPr>
        <w:tc>
          <w:tcPr>
            <w:tcW w:w="9040" w:type="dxa"/>
            <w:vAlign w:val="bottom"/>
            <w:gridSpan w:val="2"/>
          </w:tcPr>
          <w:p>
            <w:pPr>
              <w:ind w:left="380"/>
              <w:spacing w:after="0"/>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0.5</w:t>
            </w: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operating income (loss), by segment, to Adjusted EBITDA for the first quarter of 2016 and 2015 is as follows:</w:t>
      </w:r>
    </w:p>
    <w:p>
      <w:pPr>
        <w:spacing w:after="0" w:line="230"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23495</wp:posOffset>
            </wp:positionV>
            <wp:extent cx="15093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YRC Freight segment (in millions)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r>
      <w:tr>
        <w:trPr>
          <w:trHeight w:val="243"/>
        </w:trPr>
        <w:tc>
          <w:tcPr>
            <w:tcW w:w="9040" w:type="dxa"/>
            <w:vAlign w:val="bottom"/>
            <w:gridSpan w:val="2"/>
          </w:tcPr>
          <w:p>
            <w:pPr>
              <w:ind w:left="380"/>
              <w:spacing w:after="0"/>
              <w:rPr>
                <w:sz w:val="20"/>
                <w:szCs w:val="20"/>
                <w:color w:val="auto"/>
              </w:rPr>
            </w:pPr>
            <w:r>
              <w:rPr>
                <w:rFonts w:ascii="Arial" w:cs="Arial" w:eastAsia="Arial" w:hAnsi="Arial"/>
                <w:sz w:val="18"/>
                <w:szCs w:val="18"/>
                <w:color w:val="auto"/>
              </w:rPr>
              <w:t>Gains on property disposals, net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43"/>
        </w:trPr>
        <w:tc>
          <w:tcPr>
            <w:tcW w:w="9040" w:type="dxa"/>
            <w:vAlign w:val="bottom"/>
            <w:gridSpan w:val="2"/>
          </w:tcPr>
          <w:p>
            <w:pPr>
              <w:ind w:left="380"/>
              <w:spacing w:after="0"/>
              <w:rPr>
                <w:sz w:val="20"/>
                <w:szCs w:val="20"/>
                <w:color w:val="auto"/>
              </w:rPr>
            </w:pPr>
            <w:r>
              <w:rPr>
                <w:rFonts w:ascii="Arial" w:cs="Arial" w:eastAsia="Arial" w:hAnsi="Arial"/>
                <w:sz w:val="18"/>
                <w:szCs w:val="18"/>
                <w:color w:val="auto"/>
              </w:rPr>
              <w:t>Nonrecurring consulting fees</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70"/>
        </w:trPr>
        <w:tc>
          <w:tcPr>
            <w:tcW w:w="9040" w:type="dxa"/>
            <w:vAlign w:val="bottom"/>
            <w:tcBorders>
              <w:bottom w:val="single" w:sz="8" w:color="CCEEFF"/>
            </w:tcBorders>
            <w:gridSpan w:val="2"/>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r>
      <w:tr>
        <w:trPr>
          <w:trHeight w:val="244"/>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w:t>
            </w:r>
          </w:p>
        </w:tc>
      </w:tr>
      <w:tr>
        <w:trPr>
          <w:trHeight w:val="20"/>
        </w:trPr>
        <w:tc>
          <w:tcPr>
            <w:tcW w:w="8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8890</wp:posOffset>
            </wp:positionV>
            <wp:extent cx="15093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200" w:hanging="151"/>
        <w:spacing w:after="0"/>
        <w:tabs>
          <w:tab w:leader="none" w:pos="20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199"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23495</wp:posOffset>
            </wp:positionV>
            <wp:extent cx="15093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Regional Transportation segment (in millions)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r>
      <w:tr>
        <w:trPr>
          <w:trHeight w:val="243"/>
        </w:trPr>
        <w:tc>
          <w:tcPr>
            <w:tcW w:w="9040" w:type="dxa"/>
            <w:vAlign w:val="bottom"/>
            <w:gridSpan w:val="2"/>
          </w:tcPr>
          <w:p>
            <w:pPr>
              <w:ind w:left="380"/>
              <w:spacing w:after="0"/>
              <w:rPr>
                <w:sz w:val="20"/>
                <w:szCs w:val="20"/>
                <w:color w:val="auto"/>
              </w:rPr>
            </w:pPr>
            <w:r>
              <w:rPr>
                <w:rFonts w:ascii="Arial" w:cs="Arial" w:eastAsia="Arial" w:hAnsi="Arial"/>
                <w:sz w:val="18"/>
                <w:szCs w:val="18"/>
                <w:color w:val="auto"/>
              </w:rPr>
              <w:t>Losses on property disposals, net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r>
      <w:tr>
        <w:trPr>
          <w:trHeight w:val="243"/>
        </w:trPr>
        <w:tc>
          <w:tcPr>
            <w:tcW w:w="9040" w:type="dxa"/>
            <w:vAlign w:val="bottom"/>
            <w:gridSpan w:val="2"/>
          </w:tcPr>
          <w:p>
            <w:pPr>
              <w:ind w:left="380"/>
              <w:spacing w:after="0"/>
              <w:rPr>
                <w:sz w:val="20"/>
                <w:szCs w:val="20"/>
                <w:color w:val="auto"/>
              </w:rPr>
            </w:pPr>
            <w:r>
              <w:rPr>
                <w:rFonts w:ascii="Arial" w:cs="Arial" w:eastAsia="Arial" w:hAnsi="Arial"/>
                <w:sz w:val="18"/>
                <w:szCs w:val="18"/>
                <w:color w:val="auto"/>
              </w:rPr>
              <w:t>Amortization of ratification bonus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4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17145</wp:posOffset>
            </wp:positionV>
            <wp:extent cx="150939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9395" cy="26035"/>
                    </a:xfrm>
                    <a:prstGeom prst="rect">
                      <a:avLst/>
                    </a:prstGeom>
                    <a:noFill/>
                  </pic:spPr>
                </pic:pic>
              </a:graphicData>
            </a:graphic>
          </wp:anchor>
        </w:drawing>
      </w:r>
    </w:p>
    <w:p>
      <w:pPr>
        <w:spacing w:after="0" w:line="37" w:lineRule="exact"/>
        <w:rPr>
          <w:sz w:val="20"/>
          <w:szCs w:val="20"/>
          <w:color w:val="auto"/>
        </w:rPr>
      </w:pPr>
    </w:p>
    <w:p>
      <w:pPr>
        <w:ind w:left="200" w:hanging="151"/>
        <w:spacing w:after="0"/>
        <w:tabs>
          <w:tab w:leader="none" w:pos="20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199"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23495</wp:posOffset>
            </wp:positionV>
            <wp:extent cx="15093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Corporate and other (in millions)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43"/>
        </w:trPr>
        <w:tc>
          <w:tcPr>
            <w:tcW w:w="9040" w:type="dxa"/>
            <w:vAlign w:val="bottom"/>
            <w:gridSpan w:val="2"/>
          </w:tcPr>
          <w:p>
            <w:pPr>
              <w:ind w:left="380"/>
              <w:spacing w:after="0"/>
              <w:rPr>
                <w:sz w:val="20"/>
                <w:szCs w:val="20"/>
                <w:color w:val="auto"/>
              </w:rPr>
            </w:pPr>
            <w:r>
              <w:rPr>
                <w:rFonts w:ascii="Arial" w:cs="Arial" w:eastAsia="Arial" w:hAnsi="Arial"/>
                <w:sz w:val="18"/>
                <w:szCs w:val="18"/>
                <w:color w:val="auto"/>
              </w:rPr>
              <w:t>Permitted dispositions and other</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0.2</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r>
      <w:tr>
        <w:trPr>
          <w:trHeight w:val="270"/>
        </w:trPr>
        <w:tc>
          <w:tcPr>
            <w:tcW w:w="9040" w:type="dxa"/>
            <w:vAlign w:val="bottom"/>
            <w:tcBorders>
              <w:bottom w:val="single" w:sz="8" w:color="CCEEFF"/>
            </w:tcBorders>
            <w:gridSpan w:val="2"/>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0.7</w:t>
            </w:r>
          </w:p>
        </w:tc>
      </w:tr>
      <w:tr>
        <w:trPr>
          <w:trHeight w:val="244"/>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r>
      <w:tr>
        <w:trPr>
          <w:trHeight w:val="20"/>
        </w:trPr>
        <w:tc>
          <w:tcPr>
            <w:tcW w:w="8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8890</wp:posOffset>
            </wp:positionV>
            <wp:extent cx="15093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200" w:hanging="151"/>
        <w:spacing w:after="0"/>
        <w:tabs>
          <w:tab w:leader="none" w:pos="20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principal sources of liquidity are cash and cash equivalents, available borrowings under our ABL Facility and any prospective net operating cash flows from operations. As of March 31, 2016, we had cash and cash equivalents of $184.9 million and the borrowing base and maximum availability on our ABL Facility were $442.9 million and $81.5 million, respectively. The maximum availability is calculated in accordance with the terms of the ABL Facility and is derived by reducing the borrowing base by our $361.4 million of outstanding letters of credit. While our ABL Agreement permits us to access maximum availability outside of certain financial covenant restrictions (which restrictions did not limit our availability as of March 31, 2016), the maximum amount we expect to access on our ABL Facility at any time is maximum availability less the lower of 10% of the borrowing base ($44.3 million at March 31, 2016) or 10% of the collateral line cap ($45.0 million at March 31, 2016). Thus, of the $81.5 million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maximum availability, our Managed Accessibility was $37.2 million as of March 31, 2016. As a result, we had cash and cash equivalents and Managed Accessibility of $222.1 million as of March 31, 2016.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payments on our equipment leases and funding capital expenditures.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March 31, 2016, we had $1,078.1 million in aggregate par value of outstanding indebtedness, the majority of which matures in 2019. We also have future funding obligations for our single-employer pension plans and various multi-employer pension funds. We expect our funding obligations for the remainder of 2016 for our single-employer pension plans and multi-employer pension funds will be $45.1 million and $65.7 million, respectively. In addition, we have, and will continue to have, operating lease obligations. As of March 31, 2016, our minimum rental expense under operating leases for the remainder of the year is $67.2 million. As of March 31, 2016, our operating lease payment obligations through 2030 totaled $290.2 million and is expected to increase as we lease additional revenue equipment. Additionally, for the first quarter of 2016, we entered into new operating leases for revenue equipment totaling $29.5 million in future lease payments, payable over an average lease term of five years.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capital expenditures for the first quarter of 2016 and 2015 were $19.8 million and $21.3 million, respectively. These amounts were principally used to fund the purchase of used tractors and trailers, to refurbish engines for our revenue fleet and capitalized costs for technology infrastructure.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2016, our Standard &amp; Poor’s Corporate Family Rating was “B-” and Moody’s Investor Service Corporate Family Rating was “B3”.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Term Loan Agreement has certain financial covenants that, among other things, restricts certain capital expenditures and requires us to maintain a maximum total leverage ratio (defined as Consolidated Total Debt divided by Consolidated Adjusted EBITDA, each as defined below). Refer to the “Debt and Financing” footnote for an overview of our Term Loan covenants.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In order for us to maintain compliance with the maximum total leverage ratio over the tenor of the Term Loan and satisfy our liquidity needs, we must achieve slight improvement over our recent results. Improvements to our profitability may include ongoing successful implementation and realization of pricing, productivity and efficiency initiatives, as well as increased volume, some of which are outside of our control.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was $11.1 million and $25.8 million in the first quarter of 2016 and 2015, respectively. The improvement in operating cash flow is primarily attributable to a reduction in net loss of $12.0 million for the first quarter of 2016 compared to a net loss of $21.6 million for the first quarter of 2015, driven by profitability initiatives and decreased 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investing activities increased by $30.8 million during the first quarter of 2016 compared to the first quarter of 2015, largely driven by a net receipt of $27.2 million in restricted escrow refunds in 2016 compared to a net receipt of $11.0 million in 2015. Additionally, cash flows in 2016 included $14.6 million in net proceeds from the sale of JHJ.</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for the first quarter of 2016 and 2015 was $4.2 million and $4.5 million, respectively, which consists solely of repayments on our long-term debt.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March 31,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outflows that we are contractually obligated to make as of March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Less than 1 year</w:t>
            </w:r>
          </w:p>
        </w:tc>
        <w:tc>
          <w:tcPr>
            <w:tcW w:w="26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5 years</w:t>
            </w:r>
          </w:p>
        </w:tc>
        <w:tc>
          <w:tcPr>
            <w:tcW w:w="320" w:type="dxa"/>
            <w:vAlign w:val="bottom"/>
          </w:tcPr>
          <w:p>
            <w:pPr>
              <w:spacing w:after="0"/>
              <w:rPr>
                <w:sz w:val="22"/>
                <w:szCs w:val="22"/>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sheet obligations:</w:t>
            </w:r>
          </w:p>
        </w:tc>
        <w:tc>
          <w:tcPr>
            <w:tcW w:w="160" w:type="dxa"/>
            <w:vAlign w:val="bottom"/>
            <w:tcBorders>
              <w:top w:val="single" w:sz="8" w:color="auto"/>
              <w:bottom w:val="single" w:sz="8" w:color="BFE4FF"/>
            </w:tcBorders>
            <w:shd w:val="clear" w:color="auto" w:fill="BFE4FF"/>
          </w:tcPr>
          <w:p>
            <w:pPr>
              <w:spacing w:after="0"/>
              <w:rPr>
                <w:sz w:val="21"/>
                <w:szCs w:val="21"/>
                <w:color w:val="auto"/>
              </w:rPr>
            </w:pPr>
          </w:p>
        </w:tc>
        <w:tc>
          <w:tcPr>
            <w:tcW w:w="126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60" w:type="dxa"/>
            <w:vAlign w:val="bottom"/>
            <w:tcBorders>
              <w:top w:val="single" w:sz="8" w:color="auto"/>
              <w:bottom w:val="single" w:sz="8" w:color="BFE4FF"/>
            </w:tcBorders>
            <w:shd w:val="clear" w:color="auto" w:fill="BFE4FF"/>
          </w:tcPr>
          <w:p>
            <w:pPr>
              <w:spacing w:after="0"/>
              <w:rPr>
                <w:sz w:val="21"/>
                <w:szCs w:val="21"/>
                <w:color w:val="auto"/>
              </w:rPr>
            </w:pPr>
          </w:p>
        </w:tc>
        <w:tc>
          <w:tcPr>
            <w:tcW w:w="110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260" w:type="dxa"/>
            <w:vAlign w:val="bottom"/>
            <w:tcBorders>
              <w:top w:val="single" w:sz="8" w:color="auto"/>
              <w:bottom w:val="single" w:sz="8" w:color="BFE4FF"/>
            </w:tcBorders>
            <w:shd w:val="clear" w:color="auto" w:fill="BFE4FF"/>
          </w:tcPr>
          <w:p>
            <w:pPr>
              <w:spacing w:after="0"/>
              <w:rPr>
                <w:sz w:val="21"/>
                <w:szCs w:val="21"/>
                <w:color w:val="auto"/>
              </w:rPr>
            </w:pPr>
          </w:p>
        </w:tc>
        <w:tc>
          <w:tcPr>
            <w:tcW w:w="110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00" w:type="dxa"/>
            <w:vAlign w:val="bottom"/>
            <w:tcBorders>
              <w:top w:val="single" w:sz="8" w:color="auto"/>
              <w:bottom w:val="single" w:sz="8" w:color="BFE4FF"/>
            </w:tcBorders>
            <w:shd w:val="clear" w:color="auto" w:fill="BFE4FF"/>
          </w:tcPr>
          <w:p>
            <w:pPr>
              <w:spacing w:after="0"/>
              <w:rPr>
                <w:sz w:val="21"/>
                <w:szCs w:val="21"/>
                <w:color w:val="auto"/>
              </w:rPr>
            </w:pPr>
          </w:p>
        </w:tc>
        <w:tc>
          <w:tcPr>
            <w:tcW w:w="116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320" w:type="dxa"/>
            <w:vAlign w:val="bottom"/>
            <w:tcBorders>
              <w:top w:val="single" w:sz="8" w:color="auto"/>
              <w:bottom w:val="single" w:sz="8" w:color="BFE4FF"/>
            </w:tcBorders>
            <w:shd w:val="clear" w:color="auto" w:fill="BFE4FF"/>
          </w:tcPr>
          <w:p>
            <w:pPr>
              <w:spacing w:after="0"/>
              <w:rPr>
                <w:sz w:val="21"/>
                <w:szCs w:val="21"/>
                <w:color w:val="auto"/>
              </w:rPr>
            </w:pPr>
          </w:p>
        </w:tc>
        <w:tc>
          <w:tcPr>
            <w:tcW w:w="1040" w:type="dxa"/>
            <w:vAlign w:val="bottom"/>
            <w:tcBorders>
              <w:top w:val="single" w:sz="8" w:color="auto"/>
              <w:bottom w:val="single" w:sz="8" w:color="BFE4FF"/>
            </w:tcBorders>
            <w:shd w:val="clear" w:color="auto" w:fill="BFE4FF"/>
          </w:tcPr>
          <w:p>
            <w:pPr>
              <w:spacing w:after="0"/>
              <w:rPr>
                <w:sz w:val="21"/>
                <w:szCs w:val="21"/>
                <w:color w:val="auto"/>
              </w:rPr>
            </w:pPr>
          </w:p>
        </w:tc>
      </w:tr>
      <w:tr>
        <w:trPr>
          <w:trHeight w:val="270"/>
        </w:trPr>
        <w:tc>
          <w:tcPr>
            <w:tcW w:w="4120" w:type="dxa"/>
            <w:vAlign w:val="bottom"/>
          </w:tcPr>
          <w:p>
            <w:pPr>
              <w:ind w:left="38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28.1</w:t>
            </w:r>
          </w:p>
        </w:tc>
      </w:tr>
      <w:tr>
        <w:trPr>
          <w:trHeight w:val="270"/>
        </w:trPr>
        <w:tc>
          <w:tcPr>
            <w:tcW w:w="4120" w:type="dxa"/>
            <w:vAlign w:val="bottom"/>
            <w:shd w:val="clear" w:color="auto" w:fill="BFE4FF"/>
          </w:tcPr>
          <w:p>
            <w:pPr>
              <w:ind w:left="360"/>
              <w:spacing w:after="0" w:line="270" w:lineRule="exact"/>
              <w:rPr>
                <w:sz w:val="20"/>
                <w:szCs w:val="20"/>
                <w:color w:val="auto"/>
              </w:rPr>
            </w:pPr>
            <w:r>
              <w:rPr>
                <w:rFonts w:ascii="Arial" w:cs="Arial" w:eastAsia="Arial" w:hAnsi="Arial"/>
                <w:sz w:val="18"/>
                <w:szCs w:val="18"/>
                <w:color w:val="auto"/>
              </w:rPr>
              <w:t>Term Loan</w:t>
            </w:r>
            <w:r>
              <w:rPr>
                <w:rFonts w:ascii="Arial" w:cs="Arial" w:eastAsia="Arial" w:hAnsi="Arial"/>
                <w:sz w:val="25"/>
                <w:szCs w:val="25"/>
                <w:color w:val="auto"/>
                <w:vertAlign w:val="superscript"/>
              </w:rPr>
              <w:t>(b)</w:t>
            </w:r>
          </w:p>
        </w:tc>
        <w:tc>
          <w:tcPr>
            <w:tcW w:w="160" w:type="dxa"/>
            <w:vAlign w:val="bottom"/>
            <w:shd w:val="clear" w:color="auto" w:fill="BFE4FF"/>
          </w:tcPr>
          <w:p>
            <w:pPr>
              <w:spacing w:after="0"/>
              <w:rPr>
                <w:sz w:val="23"/>
                <w:szCs w:val="23"/>
                <w:color w:val="auto"/>
              </w:rPr>
            </w:pPr>
          </w:p>
        </w:tc>
        <w:tc>
          <w:tcPr>
            <w:tcW w:w="126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13"/>
              <w:spacing w:after="0"/>
              <w:rPr>
                <w:sz w:val="20"/>
                <w:szCs w:val="20"/>
                <w:color w:val="auto"/>
              </w:rPr>
            </w:pPr>
            <w:r>
              <w:rPr>
                <w:rFonts w:ascii="Arial" w:cs="Arial" w:eastAsia="Arial" w:hAnsi="Arial"/>
                <w:sz w:val="18"/>
                <w:szCs w:val="18"/>
                <w:color w:val="auto"/>
              </w:rPr>
              <w:t>784.2</w:t>
            </w:r>
          </w:p>
        </w:tc>
        <w:tc>
          <w:tcPr>
            <w:tcW w:w="12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20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BFE4FF"/>
          </w:tcPr>
          <w:p>
            <w:pPr>
              <w:spacing w:after="0"/>
              <w:rPr>
                <w:sz w:val="23"/>
                <w:szCs w:val="23"/>
                <w:color w:val="auto"/>
              </w:rPr>
            </w:pPr>
          </w:p>
        </w:tc>
        <w:tc>
          <w:tcPr>
            <w:tcW w:w="128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BFE4FF"/>
          </w:tcPr>
          <w:p>
            <w:pPr>
              <w:spacing w:after="0"/>
              <w:rPr>
                <w:sz w:val="23"/>
                <w:szCs w:val="23"/>
                <w:color w:val="auto"/>
              </w:rPr>
            </w:pPr>
          </w:p>
        </w:tc>
        <w:tc>
          <w:tcPr>
            <w:tcW w:w="104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846.6</w:t>
            </w:r>
          </w:p>
        </w:tc>
      </w:tr>
      <w:tr>
        <w:trPr>
          <w:trHeight w:val="270"/>
        </w:trPr>
        <w:tc>
          <w:tcPr>
            <w:tcW w:w="4120" w:type="dxa"/>
            <w:vAlign w:val="bottom"/>
          </w:tcPr>
          <w:p>
            <w:pPr>
              <w:ind w:left="380"/>
              <w:spacing w:after="0" w:line="270" w:lineRule="exact"/>
              <w:rPr>
                <w:sz w:val="20"/>
                <w:szCs w:val="20"/>
                <w:color w:val="auto"/>
              </w:rPr>
            </w:pPr>
            <w:r>
              <w:rPr>
                <w:rFonts w:ascii="Arial" w:cs="Arial" w:eastAsia="Arial" w:hAnsi="Arial"/>
                <w:sz w:val="18"/>
                <w:szCs w:val="18"/>
                <w:color w:val="auto"/>
              </w:rPr>
              <w:t>Lease financing obligations</w:t>
            </w:r>
            <w:r>
              <w:rPr>
                <w:rFonts w:ascii="Arial" w:cs="Arial" w:eastAsia="Arial" w:hAnsi="Arial"/>
                <w:sz w:val="25"/>
                <w:szCs w:val="25"/>
                <w:color w:val="auto"/>
                <w:vertAlign w:val="superscript"/>
              </w:rPr>
              <w:t>(c)</w:t>
            </w:r>
          </w:p>
        </w:tc>
        <w:tc>
          <w:tcPr>
            <w:tcW w:w="16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174.0</w:t>
            </w:r>
          </w:p>
        </w:tc>
      </w:tr>
      <w:tr>
        <w:trPr>
          <w:trHeight w:val="270"/>
        </w:trPr>
        <w:tc>
          <w:tcPr>
            <w:tcW w:w="4120" w:type="dxa"/>
            <w:vAlign w:val="bottom"/>
            <w:shd w:val="clear" w:color="auto" w:fill="BFE4FF"/>
          </w:tcPr>
          <w:p>
            <w:pPr>
              <w:ind w:left="380"/>
              <w:spacing w:after="0" w:line="270" w:lineRule="exact"/>
              <w:rPr>
                <w:sz w:val="20"/>
                <w:szCs w:val="20"/>
                <w:color w:val="auto"/>
              </w:rPr>
            </w:pPr>
            <w:r>
              <w:rPr>
                <w:rFonts w:ascii="Arial" w:cs="Arial" w:eastAsia="Arial" w:hAnsi="Arial"/>
                <w:sz w:val="18"/>
                <w:szCs w:val="18"/>
                <w:color w:val="auto"/>
              </w:rPr>
              <w:t>Pension deferral obligations</w:t>
            </w:r>
            <w:r>
              <w:rPr>
                <w:rFonts w:ascii="Arial" w:cs="Arial" w:eastAsia="Arial" w:hAnsi="Arial"/>
                <w:sz w:val="25"/>
                <w:szCs w:val="25"/>
                <w:color w:val="auto"/>
                <w:vertAlign w:val="superscript"/>
              </w:rPr>
              <w:t>(d)</w:t>
            </w:r>
          </w:p>
        </w:tc>
        <w:tc>
          <w:tcPr>
            <w:tcW w:w="160" w:type="dxa"/>
            <w:vAlign w:val="bottom"/>
            <w:shd w:val="clear" w:color="auto" w:fill="BFE4FF"/>
          </w:tcPr>
          <w:p>
            <w:pPr>
              <w:spacing w:after="0"/>
              <w:rPr>
                <w:sz w:val="23"/>
                <w:szCs w:val="23"/>
                <w:color w:val="auto"/>
              </w:rPr>
            </w:pPr>
          </w:p>
        </w:tc>
        <w:tc>
          <w:tcPr>
            <w:tcW w:w="126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13"/>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BFE4FF"/>
          </w:tcPr>
          <w:p>
            <w:pPr>
              <w:spacing w:after="0"/>
              <w:rPr>
                <w:sz w:val="23"/>
                <w:szCs w:val="23"/>
                <w:color w:val="auto"/>
              </w:rPr>
            </w:pPr>
          </w:p>
        </w:tc>
        <w:tc>
          <w:tcPr>
            <w:tcW w:w="200" w:type="dxa"/>
            <w:vAlign w:val="bottom"/>
            <w:shd w:val="clear" w:color="auto" w:fill="BFE4FF"/>
          </w:tcPr>
          <w:p>
            <w:pPr>
              <w:spacing w:after="0"/>
              <w:rPr>
                <w:sz w:val="23"/>
                <w:szCs w:val="23"/>
                <w:color w:val="auto"/>
              </w:rPr>
            </w:pPr>
          </w:p>
        </w:tc>
        <w:tc>
          <w:tcPr>
            <w:tcW w:w="128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BFE4FF"/>
          </w:tcPr>
          <w:p>
            <w:pPr>
              <w:spacing w:after="0"/>
              <w:rPr>
                <w:sz w:val="23"/>
                <w:szCs w:val="23"/>
                <w:color w:val="auto"/>
              </w:rPr>
            </w:pPr>
          </w:p>
        </w:tc>
        <w:tc>
          <w:tcPr>
            <w:tcW w:w="104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150.1</w:t>
            </w: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3"/>
              </w:rPr>
              <w:t>Workers’ compensation and property damage and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7"/>
        </w:trPr>
        <w:tc>
          <w:tcPr>
            <w:tcW w:w="4120" w:type="dxa"/>
            <w:vAlign w:val="bottom"/>
          </w:tcPr>
          <w:p>
            <w:pPr>
              <w:ind w:left="380"/>
              <w:spacing w:after="0" w:line="257" w:lineRule="exact"/>
              <w:rPr>
                <w:sz w:val="20"/>
                <w:szCs w:val="20"/>
                <w:color w:val="auto"/>
              </w:rPr>
            </w:pPr>
            <w:r>
              <w:rPr>
                <w:rFonts w:ascii="Arial" w:cs="Arial" w:eastAsia="Arial" w:hAnsi="Arial"/>
                <w:sz w:val="18"/>
                <w:szCs w:val="18"/>
                <w:color w:val="auto"/>
              </w:rPr>
              <w:t>liability claims obligations</w:t>
            </w:r>
            <w:r>
              <w:rPr>
                <w:rFonts w:ascii="Arial" w:cs="Arial" w:eastAsia="Arial" w:hAnsi="Arial"/>
                <w:sz w:val="25"/>
                <w:szCs w:val="25"/>
                <w:color w:val="auto"/>
                <w:vertAlign w:val="superscript"/>
              </w:rPr>
              <w:t>(e)</w:t>
            </w:r>
          </w:p>
        </w:tc>
        <w:tc>
          <w:tcPr>
            <w:tcW w:w="16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398.0</w:t>
            </w:r>
          </w:p>
        </w:tc>
      </w:tr>
      <w:tr>
        <w:trPr>
          <w:trHeight w:val="270"/>
        </w:trPr>
        <w:tc>
          <w:tcPr>
            <w:tcW w:w="4120" w:type="dxa"/>
            <w:vAlign w:val="bottom"/>
            <w:shd w:val="clear" w:color="auto" w:fill="BFE4FF"/>
          </w:tcPr>
          <w:p>
            <w:pPr>
              <w:ind w:left="38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(f)</w:t>
            </w:r>
          </w:p>
        </w:tc>
        <w:tc>
          <w:tcPr>
            <w:tcW w:w="160" w:type="dxa"/>
            <w:vAlign w:val="bottom"/>
            <w:shd w:val="clear" w:color="auto" w:fill="BFE4FF"/>
          </w:tcPr>
          <w:p>
            <w:pPr>
              <w:spacing w:after="0"/>
              <w:rPr>
                <w:sz w:val="23"/>
                <w:szCs w:val="23"/>
                <w:color w:val="auto"/>
              </w:rPr>
            </w:pPr>
          </w:p>
        </w:tc>
        <w:tc>
          <w:tcPr>
            <w:tcW w:w="126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13"/>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BFE4FF"/>
          </w:tcPr>
          <w:p>
            <w:pPr>
              <w:spacing w:after="0"/>
              <w:rPr>
                <w:sz w:val="23"/>
                <w:szCs w:val="23"/>
                <w:color w:val="auto"/>
              </w:rPr>
            </w:pPr>
          </w:p>
        </w:tc>
        <w:tc>
          <w:tcPr>
            <w:tcW w:w="200" w:type="dxa"/>
            <w:vAlign w:val="bottom"/>
            <w:shd w:val="clear" w:color="auto" w:fill="BFE4FF"/>
          </w:tcPr>
          <w:p>
            <w:pPr>
              <w:spacing w:after="0"/>
              <w:rPr>
                <w:sz w:val="23"/>
                <w:szCs w:val="23"/>
                <w:color w:val="auto"/>
              </w:rPr>
            </w:pPr>
          </w:p>
        </w:tc>
        <w:tc>
          <w:tcPr>
            <w:tcW w:w="116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4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290.2</w:t>
            </w:r>
          </w:p>
        </w:tc>
      </w:tr>
      <w:tr>
        <w:trPr>
          <w:trHeight w:val="270"/>
        </w:trPr>
        <w:tc>
          <w:tcPr>
            <w:tcW w:w="4120" w:type="dxa"/>
            <w:vAlign w:val="bottom"/>
          </w:tcPr>
          <w:p>
            <w:pPr>
              <w:ind w:left="380"/>
              <w:spacing w:after="0" w:line="270" w:lineRule="exact"/>
              <w:rPr>
                <w:sz w:val="20"/>
                <w:szCs w:val="20"/>
                <w:color w:val="auto"/>
              </w:rPr>
            </w:pPr>
            <w:r>
              <w:rPr>
                <w:rFonts w:ascii="Arial" w:cs="Arial" w:eastAsia="Arial" w:hAnsi="Arial"/>
                <w:sz w:val="18"/>
                <w:szCs w:val="18"/>
                <w:color w:val="auto"/>
              </w:rPr>
              <w:t>Other contractual obligations</w:t>
            </w:r>
            <w:r>
              <w:rPr>
                <w:rFonts w:ascii="Arial" w:cs="Arial" w:eastAsia="Arial" w:hAnsi="Arial"/>
                <w:sz w:val="25"/>
                <w:szCs w:val="25"/>
                <w:color w:val="auto"/>
                <w:vertAlign w:val="superscript"/>
              </w:rPr>
              <w:t>(g)</w:t>
            </w:r>
          </w:p>
        </w:tc>
        <w:tc>
          <w:tcPr>
            <w:tcW w:w="16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15.7</w:t>
            </w:r>
          </w:p>
        </w:tc>
      </w:tr>
      <w:tr>
        <w:trPr>
          <w:trHeight w:val="270"/>
        </w:trPr>
        <w:tc>
          <w:tcPr>
            <w:tcW w:w="4120" w:type="dxa"/>
            <w:vAlign w:val="bottom"/>
            <w:shd w:val="clear" w:color="auto" w:fill="BFE4FF"/>
          </w:tcPr>
          <w:p>
            <w:pPr>
              <w:ind w:left="380"/>
              <w:spacing w:after="0" w:line="270"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(h)</w:t>
            </w:r>
          </w:p>
        </w:tc>
        <w:tc>
          <w:tcPr>
            <w:tcW w:w="160" w:type="dxa"/>
            <w:vAlign w:val="bottom"/>
            <w:shd w:val="clear" w:color="auto" w:fill="BFE4FF"/>
          </w:tcPr>
          <w:p>
            <w:pPr>
              <w:spacing w:after="0"/>
              <w:rPr>
                <w:sz w:val="23"/>
                <w:szCs w:val="23"/>
                <w:color w:val="auto"/>
              </w:rPr>
            </w:pPr>
          </w:p>
        </w:tc>
        <w:tc>
          <w:tcPr>
            <w:tcW w:w="126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20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BFE4FF"/>
          </w:tcPr>
          <w:p>
            <w:pPr>
              <w:spacing w:after="0"/>
              <w:rPr>
                <w:sz w:val="23"/>
                <w:szCs w:val="23"/>
                <w:color w:val="auto"/>
              </w:rPr>
            </w:pPr>
          </w:p>
        </w:tc>
        <w:tc>
          <w:tcPr>
            <w:tcW w:w="128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BFE4FF"/>
          </w:tcPr>
          <w:p>
            <w:pPr>
              <w:spacing w:after="0"/>
              <w:rPr>
                <w:sz w:val="23"/>
                <w:szCs w:val="23"/>
                <w:color w:val="auto"/>
              </w:rPr>
            </w:pPr>
          </w:p>
        </w:tc>
        <w:tc>
          <w:tcPr>
            <w:tcW w:w="104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15.9</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1,168.1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1,918.6</w:t>
            </w:r>
          </w:p>
        </w:tc>
      </w:tr>
      <w:tr>
        <w:trPr>
          <w:trHeight w:val="27"/>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ABL Facility includes future payments for the letter of credit and unused line fees and are not included on the Company’s consolidated balance sheet.</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Term Loan includes principal and interest payments, but excludes unamortized discounts.</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lease financing obligations include interest payments of $54.2 million and principal payments of $119.8 million. The remaining principal obligation is offset by the estimated book value of leased property at the expiration date of each lease agreement.</w:t>
      </w: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Pension deferral obligations includes principal and interest payments on the Second A&amp;R CDA.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workers’ compensation and property damage and liability claims obligations represent our estimate of future payments for these obligations, not all of which are contractually required.</w:t>
      </w:r>
    </w:p>
    <w:p>
      <w:pPr>
        <w:spacing w:after="0" w:line="12" w:lineRule="exact"/>
        <w:rPr>
          <w:rFonts w:ascii="Arial" w:cs="Arial" w:eastAsia="Arial" w:hAnsi="Arial"/>
          <w:sz w:val="13"/>
          <w:szCs w:val="13"/>
          <w:color w:val="auto"/>
        </w:rPr>
      </w:pPr>
    </w:p>
    <w:p>
      <w:pPr>
        <w:ind w:left="340" w:hanging="332"/>
        <w:spacing w:after="0" w:line="24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Operating leases represent future payments, which include interest, under contractual lease arrangements primarily for revenue equipment and are not included on the Company’s consolidated balance sheets.</w:t>
      </w: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 contractual obligations includes future service agreements and certain maintenance agreements and are not included on the Company’s consolidated balance sheets.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Capital expenditure obligations primarily includes noncancelable purchase orders for revenue equipment not yet delivered and are not included in the Company’s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free cash flow.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6"/>
              </w:rPr>
              <w:t>Amount of Commitment Expiration Per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2"/>
                <w:szCs w:val="22"/>
                <w:color w:val="auto"/>
              </w:rPr>
            </w:pPr>
          </w:p>
        </w:tc>
        <w:tc>
          <w:tcPr>
            <w:tcW w:w="126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Less than 1 year</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5 years</w:t>
            </w:r>
          </w:p>
        </w:tc>
        <w:tc>
          <w:tcPr>
            <w:tcW w:w="320" w:type="dxa"/>
            <w:vAlign w:val="bottom"/>
          </w:tcPr>
          <w:p>
            <w:pPr>
              <w:spacing w:after="0"/>
              <w:rPr>
                <w:sz w:val="22"/>
                <w:szCs w:val="22"/>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Unused line of credit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4120" w:type="dxa"/>
            <w:vAlign w:val="bottom"/>
          </w:tcPr>
          <w:p>
            <w:pPr>
              <w:ind w:left="36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81.5</w:t>
            </w:r>
          </w:p>
        </w:tc>
        <w:tc>
          <w:tcPr>
            <w:tcW w:w="34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81.5</w:t>
            </w: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Letters of credit</w:t>
            </w:r>
            <w:r>
              <w:rPr>
                <w:rFonts w:ascii="Arial" w:cs="Arial" w:eastAsia="Arial" w:hAnsi="Arial"/>
                <w:sz w:val="25"/>
                <w:szCs w:val="25"/>
                <w:color w:val="auto"/>
                <w:vertAlign w:val="superscript"/>
              </w:rPr>
              <w:t>(b)</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361.4</w:t>
            </w: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361.4</w:t>
            </w: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Surety bonds</w:t>
            </w:r>
            <w:r>
              <w:rPr>
                <w:rFonts w:ascii="Arial" w:cs="Arial" w:eastAsia="Arial" w:hAnsi="Arial"/>
                <w:sz w:val="25"/>
                <w:szCs w:val="25"/>
                <w:color w:val="auto"/>
                <w:vertAlign w:val="superscript"/>
              </w:rPr>
              <w:t>(c)</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117.0</w:t>
            </w: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commercial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445.0</w:t>
            </w: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line="250"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 of March 31, 2016, we held $95.0 million in restricted escrow, which represents cash collateral on our ABL Facility. Managed Accessibility was $37.2 million, which represents maximum availability of $81.5 million less the lower of 10% of the borrowing base or collateral line cap.</w:t>
      </w:r>
    </w:p>
    <w:p>
      <w:pPr>
        <w:ind w:left="340" w:right="20" w:hanging="332"/>
        <w:spacing w:after="0" w:line="24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340" w:hanging="332"/>
        <w:spacing w:after="0" w:line="255"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primarily exposed to the market risk associated with unfavorable movements in interest rates, foreign currencies, and fuel price volatility. The risk inherent in our market risk sensitive instruments and positions is the potential loss or increased expense arising from adverse changes in those factors. There have been no material changes to our market risk policies or our market risk sensitive instruments and positions as described in our annual report on Form 10-K for the year ended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March 31, 2016 and have concluded that our disclosure controls and procedures were effective as of March 31, 2016.</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March 31, 2016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PART II—OTHER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note to our consolidated financial statements included with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material changes during the quarter to the Risk Factors disclosed in Part I, Item 1A - “Risk Factors” in our annual report on Form 10-K for the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Meeting Results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providing the following disclosure in lieu of providing this information in a current report on Form 8-K pursuant to Item 5.07, “Submission of Matters to a Vote of Security Holders.”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holders of our outstanding common stock and Series A Voting Preferred Stock, par value $1.00 per share (“Series A Preferred Stock”), voted together as a single class on all proposals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and Series A Preferred Stock was entitled to one vote.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holders of our common stock and Series A Preferred Stock voted on the following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nominee under Proposal 1 was elected to the Board of Directors.</w:t>
      </w:r>
    </w:p>
    <w:p>
      <w:pPr>
        <w:spacing w:after="0" w:line="36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Director Nominees</w:t>
            </w:r>
          </w:p>
        </w:tc>
        <w:tc>
          <w:tcPr>
            <w:tcW w:w="4260" w:type="dxa"/>
            <w:vAlign w:val="bottom"/>
          </w:tcPr>
          <w:p>
            <w:pPr>
              <w:jc w:val="center"/>
              <w:ind w:left="794"/>
              <w:spacing w:after="0"/>
              <w:rPr>
                <w:sz w:val="20"/>
                <w:szCs w:val="20"/>
                <w:color w:val="auto"/>
              </w:rPr>
            </w:pPr>
            <w:r>
              <w:rPr>
                <w:rFonts w:ascii="Arial" w:cs="Arial" w:eastAsia="Arial" w:hAnsi="Arial"/>
                <w:sz w:val="14"/>
                <w:szCs w:val="14"/>
                <w:b w:val="1"/>
                <w:bCs w:val="1"/>
                <w:color w:val="auto"/>
                <w:w w:val="91"/>
              </w:rPr>
              <w:t>Number of Votes</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Votes</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auto"/>
            </w:tcBorders>
            <w:vMerge w:val="continue"/>
          </w:tcPr>
          <w:p>
            <w:pPr>
              <w:spacing w:after="0"/>
              <w:rPr>
                <w:sz w:val="16"/>
                <w:szCs w:val="16"/>
                <w:color w:val="auto"/>
              </w:rPr>
            </w:pPr>
          </w:p>
        </w:tc>
        <w:tc>
          <w:tcPr>
            <w:tcW w:w="4260" w:type="dxa"/>
            <w:vAlign w:val="bottom"/>
            <w:tcBorders>
              <w:bottom w:val="single" w:sz="8" w:color="auto"/>
            </w:tcBorders>
          </w:tcPr>
          <w:p>
            <w:pPr>
              <w:jc w:val="center"/>
              <w:ind w:left="794"/>
              <w:spacing w:after="0"/>
              <w:rPr>
                <w:sz w:val="20"/>
                <w:szCs w:val="20"/>
                <w:color w:val="auto"/>
              </w:rPr>
            </w:pPr>
            <w:r>
              <w:rPr>
                <w:rFonts w:ascii="Arial" w:cs="Arial" w:eastAsia="Arial" w:hAnsi="Arial"/>
                <w:sz w:val="14"/>
                <w:szCs w:val="14"/>
                <w:b w:val="1"/>
                <w:bCs w:val="1"/>
                <w:color w:val="auto"/>
              </w:rPr>
              <w:t>FOR</w:t>
            </w: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Raymond J. Bromark</w:t>
            </w:r>
          </w:p>
        </w:tc>
        <w:tc>
          <w:tcPr>
            <w:tcW w:w="4260" w:type="dxa"/>
            <w:vAlign w:val="bottom"/>
            <w:tcBorders>
              <w:bottom w:val="single" w:sz="8" w:color="CCEEFF"/>
            </w:tcBorders>
            <w:shd w:val="clear" w:color="auto" w:fill="CCEEFF"/>
          </w:tcPr>
          <w:p>
            <w:pPr>
              <w:jc w:val="center"/>
              <w:ind w:left="794"/>
              <w:spacing w:after="0"/>
              <w:rPr>
                <w:sz w:val="20"/>
                <w:szCs w:val="20"/>
                <w:color w:val="auto"/>
              </w:rPr>
            </w:pPr>
            <w:r>
              <w:rPr>
                <w:rFonts w:ascii="Arial" w:cs="Arial" w:eastAsia="Arial" w:hAnsi="Arial"/>
                <w:sz w:val="18"/>
                <w:szCs w:val="18"/>
                <w:color w:val="auto"/>
                <w:w w:val="90"/>
              </w:rPr>
              <w:t>19,957,423</w:t>
            </w:r>
          </w:p>
        </w:tc>
        <w:tc>
          <w:tcPr>
            <w:tcW w:w="3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703,634</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Matthew A. Doheny</w:t>
            </w:r>
          </w:p>
        </w:tc>
        <w:tc>
          <w:tcPr>
            <w:tcW w:w="4260" w:type="dxa"/>
            <w:vAlign w:val="bottom"/>
          </w:tcPr>
          <w:p>
            <w:pPr>
              <w:jc w:val="center"/>
              <w:ind w:left="794"/>
              <w:spacing w:after="0"/>
              <w:rPr>
                <w:sz w:val="20"/>
                <w:szCs w:val="20"/>
                <w:color w:val="auto"/>
              </w:rPr>
            </w:pPr>
            <w:r>
              <w:rPr>
                <w:rFonts w:ascii="Arial" w:cs="Arial" w:eastAsia="Arial" w:hAnsi="Arial"/>
                <w:sz w:val="18"/>
                <w:szCs w:val="18"/>
                <w:color w:val="auto"/>
                <w:w w:val="90"/>
              </w:rPr>
              <w:t>19,775,390</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885,667</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Robert L. Friedman</w:t>
            </w:r>
          </w:p>
        </w:tc>
        <w:tc>
          <w:tcPr>
            <w:tcW w:w="4260" w:type="dxa"/>
            <w:vAlign w:val="bottom"/>
            <w:tcBorders>
              <w:bottom w:val="single" w:sz="8" w:color="CCEEFF"/>
            </w:tcBorders>
            <w:shd w:val="clear" w:color="auto" w:fill="CCEEFF"/>
          </w:tcPr>
          <w:p>
            <w:pPr>
              <w:jc w:val="center"/>
              <w:ind w:left="794"/>
              <w:spacing w:after="0"/>
              <w:rPr>
                <w:sz w:val="20"/>
                <w:szCs w:val="20"/>
                <w:color w:val="auto"/>
              </w:rPr>
            </w:pPr>
            <w:r>
              <w:rPr>
                <w:rFonts w:ascii="Arial" w:cs="Arial" w:eastAsia="Arial" w:hAnsi="Arial"/>
                <w:sz w:val="18"/>
                <w:szCs w:val="18"/>
                <w:color w:val="auto"/>
                <w:w w:val="90"/>
              </w:rPr>
              <w:t>19,963,327</w:t>
            </w:r>
          </w:p>
        </w:tc>
        <w:tc>
          <w:tcPr>
            <w:tcW w:w="3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697,730</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James E. Hoffman</w:t>
            </w:r>
          </w:p>
        </w:tc>
        <w:tc>
          <w:tcPr>
            <w:tcW w:w="4260" w:type="dxa"/>
            <w:vAlign w:val="bottom"/>
          </w:tcPr>
          <w:p>
            <w:pPr>
              <w:jc w:val="center"/>
              <w:ind w:left="794"/>
              <w:spacing w:after="0"/>
              <w:rPr>
                <w:sz w:val="20"/>
                <w:szCs w:val="20"/>
                <w:color w:val="auto"/>
              </w:rPr>
            </w:pPr>
            <w:r>
              <w:rPr>
                <w:rFonts w:ascii="Arial" w:cs="Arial" w:eastAsia="Arial" w:hAnsi="Arial"/>
                <w:sz w:val="18"/>
                <w:szCs w:val="18"/>
                <w:color w:val="auto"/>
                <w:w w:val="90"/>
              </w:rPr>
              <w:t>19,876,270</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784,787</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J. Kneeland</w:t>
            </w:r>
          </w:p>
        </w:tc>
        <w:tc>
          <w:tcPr>
            <w:tcW w:w="4260" w:type="dxa"/>
            <w:vAlign w:val="bottom"/>
            <w:tcBorders>
              <w:bottom w:val="single" w:sz="8" w:color="CCEEFF"/>
            </w:tcBorders>
            <w:shd w:val="clear" w:color="auto" w:fill="CCEEFF"/>
          </w:tcPr>
          <w:p>
            <w:pPr>
              <w:jc w:val="center"/>
              <w:ind w:left="794"/>
              <w:spacing w:after="0"/>
              <w:rPr>
                <w:sz w:val="20"/>
                <w:szCs w:val="20"/>
                <w:color w:val="auto"/>
              </w:rPr>
            </w:pPr>
            <w:r>
              <w:rPr>
                <w:rFonts w:ascii="Arial" w:cs="Arial" w:eastAsia="Arial" w:hAnsi="Arial"/>
                <w:sz w:val="18"/>
                <w:szCs w:val="18"/>
                <w:color w:val="auto"/>
                <w:w w:val="90"/>
              </w:rPr>
              <w:t>19,787,825</w:t>
            </w:r>
          </w:p>
        </w:tc>
        <w:tc>
          <w:tcPr>
            <w:tcW w:w="3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873,232</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Patricia M. Nazemetz</w:t>
            </w:r>
          </w:p>
        </w:tc>
        <w:tc>
          <w:tcPr>
            <w:tcW w:w="4260" w:type="dxa"/>
            <w:vAlign w:val="bottom"/>
          </w:tcPr>
          <w:p>
            <w:pPr>
              <w:jc w:val="center"/>
              <w:ind w:left="794"/>
              <w:spacing w:after="0"/>
              <w:rPr>
                <w:sz w:val="20"/>
                <w:szCs w:val="20"/>
                <w:color w:val="auto"/>
              </w:rPr>
            </w:pPr>
            <w:r>
              <w:rPr>
                <w:rFonts w:ascii="Arial" w:cs="Arial" w:eastAsia="Arial" w:hAnsi="Arial"/>
                <w:sz w:val="18"/>
                <w:szCs w:val="18"/>
                <w:color w:val="auto"/>
                <w:w w:val="90"/>
              </w:rPr>
              <w:t>19,836,715</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824,342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L. Welch</w:t>
            </w:r>
          </w:p>
        </w:tc>
        <w:tc>
          <w:tcPr>
            <w:tcW w:w="4260" w:type="dxa"/>
            <w:vAlign w:val="bottom"/>
            <w:tcBorders>
              <w:bottom w:val="single" w:sz="8" w:color="CCEEFF"/>
            </w:tcBorders>
            <w:shd w:val="clear" w:color="auto" w:fill="CCEEFF"/>
          </w:tcPr>
          <w:p>
            <w:pPr>
              <w:jc w:val="center"/>
              <w:ind w:left="794"/>
              <w:spacing w:after="0"/>
              <w:rPr>
                <w:sz w:val="20"/>
                <w:szCs w:val="20"/>
                <w:color w:val="auto"/>
              </w:rPr>
            </w:pPr>
            <w:r>
              <w:rPr>
                <w:rFonts w:ascii="Arial" w:cs="Arial" w:eastAsia="Arial" w:hAnsi="Arial"/>
                <w:sz w:val="18"/>
                <w:szCs w:val="18"/>
                <w:color w:val="auto"/>
                <w:w w:val="90"/>
              </w:rPr>
              <w:t>19,931,013</w:t>
            </w:r>
          </w:p>
        </w:tc>
        <w:tc>
          <w:tcPr>
            <w:tcW w:w="3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730,044</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James F. Winestock</w:t>
            </w:r>
          </w:p>
        </w:tc>
        <w:tc>
          <w:tcPr>
            <w:tcW w:w="4260" w:type="dxa"/>
            <w:vAlign w:val="bottom"/>
          </w:tcPr>
          <w:p>
            <w:pPr>
              <w:jc w:val="center"/>
              <w:ind w:left="794"/>
              <w:spacing w:after="0"/>
              <w:rPr>
                <w:sz w:val="20"/>
                <w:szCs w:val="20"/>
                <w:color w:val="auto"/>
              </w:rPr>
            </w:pPr>
            <w:r>
              <w:rPr>
                <w:rFonts w:ascii="Arial" w:cs="Arial" w:eastAsia="Arial" w:hAnsi="Arial"/>
                <w:sz w:val="18"/>
                <w:szCs w:val="18"/>
                <w:color w:val="auto"/>
                <w:w w:val="90"/>
              </w:rPr>
              <w:t>19,943,450</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717,607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advisory vote on named executive officer compensation was approved.</w:t>
      </w:r>
    </w:p>
    <w:p>
      <w:pPr>
        <w:spacing w:after="0" w:line="366"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Votes</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Votes</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Votes</w:t>
            </w:r>
          </w:p>
        </w:tc>
      </w:tr>
      <w:tr>
        <w:trPr>
          <w:trHeight w:val="192"/>
        </w:trPr>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AGAINST</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ABSTAINING</w:t>
            </w:r>
          </w:p>
        </w:tc>
      </w:tr>
      <w:tr>
        <w:trPr>
          <w:trHeight w:val="243"/>
        </w:trPr>
        <w:tc>
          <w:tcPr>
            <w:tcW w:w="2460" w:type="dxa"/>
            <w:vAlign w:val="bottom"/>
          </w:tcPr>
          <w:p>
            <w:pPr>
              <w:jc w:val="center"/>
              <w:spacing w:after="0"/>
              <w:rPr>
                <w:sz w:val="20"/>
                <w:szCs w:val="20"/>
                <w:color w:val="auto"/>
              </w:rPr>
            </w:pPr>
            <w:r>
              <w:rPr>
                <w:rFonts w:ascii="Arial" w:cs="Arial" w:eastAsia="Arial" w:hAnsi="Arial"/>
                <w:sz w:val="18"/>
                <w:szCs w:val="18"/>
                <w:color w:val="auto"/>
                <w:w w:val="88"/>
              </w:rPr>
              <w:t>18,050,385</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2,504,007</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106,665</w:t>
            </w:r>
          </w:p>
        </w:tc>
      </w:tr>
      <w:tr>
        <w:trPr>
          <w:trHeight w:val="918"/>
        </w:trPr>
        <w:tc>
          <w:tcPr>
            <w:tcW w:w="2460" w:type="dxa"/>
            <w:vAlign w:val="bottom"/>
          </w:tcPr>
          <w:p>
            <w:pPr>
              <w:spacing w:after="0"/>
              <w:rPr>
                <w:sz w:val="24"/>
                <w:szCs w:val="24"/>
                <w:color w:val="auto"/>
              </w:rPr>
            </w:pPr>
          </w:p>
        </w:tc>
        <w:tc>
          <w:tcPr>
            <w:tcW w:w="2420" w:type="dxa"/>
            <w:vAlign w:val="bottom"/>
          </w:tcPr>
          <w:p>
            <w:pPr>
              <w:jc w:val="right"/>
              <w:ind w:right="1079"/>
              <w:spacing w:after="0"/>
              <w:rPr>
                <w:sz w:val="20"/>
                <w:szCs w:val="20"/>
                <w:color w:val="auto"/>
              </w:rPr>
            </w:pPr>
            <w:r>
              <w:rPr>
                <w:rFonts w:ascii="Arial" w:cs="Arial" w:eastAsia="Arial" w:hAnsi="Arial"/>
                <w:sz w:val="18"/>
                <w:szCs w:val="18"/>
                <w:color w:val="auto"/>
              </w:rPr>
              <w:t>25</w:t>
            </w:r>
          </w:p>
        </w:tc>
        <w:tc>
          <w:tcPr>
            <w:tcW w:w="24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KPMG LLP as our independent registered public accounting firm for 2016 was ratified.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0" w:type="dxa"/>
            <w:vAlign w:val="bottom"/>
          </w:tcPr>
          <w:p>
            <w:pPr>
              <w:jc w:val="center"/>
              <w:ind w:right="432"/>
              <w:spacing w:after="0"/>
              <w:rPr>
                <w:sz w:val="20"/>
                <w:szCs w:val="20"/>
                <w:color w:val="auto"/>
              </w:rPr>
            </w:pPr>
            <w:r>
              <w:rPr>
                <w:rFonts w:ascii="Arial" w:cs="Arial" w:eastAsia="Arial" w:hAnsi="Arial"/>
                <w:sz w:val="14"/>
                <w:szCs w:val="14"/>
                <w:b w:val="1"/>
                <w:bCs w:val="1"/>
                <w:color w:val="auto"/>
                <w:w w:val="92"/>
              </w:rPr>
              <w:t>Number of Votes</w:t>
            </w:r>
          </w:p>
        </w:tc>
        <w:tc>
          <w:tcPr>
            <w:tcW w:w="2200" w:type="dxa"/>
            <w:vAlign w:val="bottom"/>
          </w:tcPr>
          <w:p>
            <w:pPr>
              <w:jc w:val="center"/>
              <w:ind w:right="762"/>
              <w:spacing w:after="0"/>
              <w:rPr>
                <w:sz w:val="20"/>
                <w:szCs w:val="20"/>
                <w:color w:val="auto"/>
              </w:rPr>
            </w:pPr>
            <w:r>
              <w:rPr>
                <w:rFonts w:ascii="Arial" w:cs="Arial" w:eastAsia="Arial" w:hAnsi="Arial"/>
                <w:sz w:val="14"/>
                <w:szCs w:val="14"/>
                <w:b w:val="1"/>
                <w:bCs w:val="1"/>
                <w:color w:val="auto"/>
                <w:w w:val="92"/>
              </w:rPr>
              <w:t>Number of Votes</w:t>
            </w:r>
          </w:p>
        </w:tc>
        <w:tc>
          <w:tcPr>
            <w:tcW w:w="408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92"/>
              </w:rPr>
              <w:t>Number of Votes</w:t>
            </w:r>
          </w:p>
        </w:tc>
      </w:tr>
      <w:tr>
        <w:trPr>
          <w:trHeight w:val="192"/>
        </w:trPr>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0" w:type="dxa"/>
            <w:vAlign w:val="bottom"/>
          </w:tcPr>
          <w:p>
            <w:pPr>
              <w:jc w:val="center"/>
              <w:ind w:right="452"/>
              <w:spacing w:after="0"/>
              <w:rPr>
                <w:sz w:val="20"/>
                <w:szCs w:val="20"/>
                <w:color w:val="auto"/>
              </w:rPr>
            </w:pPr>
            <w:r>
              <w:rPr>
                <w:rFonts w:ascii="Arial" w:cs="Arial" w:eastAsia="Arial" w:hAnsi="Arial"/>
                <w:sz w:val="14"/>
                <w:szCs w:val="14"/>
                <w:b w:val="1"/>
                <w:bCs w:val="1"/>
                <w:color w:val="auto"/>
              </w:rPr>
              <w:t>FOR</w:t>
            </w:r>
          </w:p>
        </w:tc>
        <w:tc>
          <w:tcPr>
            <w:tcW w:w="2200" w:type="dxa"/>
            <w:vAlign w:val="bottom"/>
          </w:tcPr>
          <w:p>
            <w:pPr>
              <w:jc w:val="center"/>
              <w:ind w:right="762"/>
              <w:spacing w:after="0"/>
              <w:rPr>
                <w:sz w:val="20"/>
                <w:szCs w:val="20"/>
                <w:color w:val="auto"/>
              </w:rPr>
            </w:pPr>
            <w:r>
              <w:rPr>
                <w:rFonts w:ascii="Arial" w:cs="Arial" w:eastAsia="Arial" w:hAnsi="Arial"/>
                <w:sz w:val="14"/>
                <w:szCs w:val="14"/>
                <w:b w:val="1"/>
                <w:bCs w:val="1"/>
                <w:color w:val="auto"/>
              </w:rPr>
              <w:t>AGAINST</w:t>
            </w:r>
          </w:p>
        </w:tc>
        <w:tc>
          <w:tcPr>
            <w:tcW w:w="408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rPr>
              <w:t>ABSTAINING</w:t>
            </w:r>
          </w:p>
        </w:tc>
      </w:tr>
      <w:tr>
        <w:trPr>
          <w:trHeight w:val="243"/>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0" w:type="dxa"/>
            <w:vAlign w:val="bottom"/>
            <w:tcBorders>
              <w:top w:val="single" w:sz="8" w:color="auto"/>
            </w:tcBorders>
          </w:tcPr>
          <w:p>
            <w:pPr>
              <w:jc w:val="center"/>
              <w:ind w:right="432"/>
              <w:spacing w:after="0"/>
              <w:rPr>
                <w:sz w:val="20"/>
                <w:szCs w:val="20"/>
                <w:color w:val="auto"/>
              </w:rPr>
            </w:pPr>
            <w:r>
              <w:rPr>
                <w:rFonts w:ascii="Arial" w:cs="Arial" w:eastAsia="Arial" w:hAnsi="Arial"/>
                <w:sz w:val="18"/>
                <w:szCs w:val="18"/>
                <w:color w:val="auto"/>
                <w:w w:val="88"/>
              </w:rPr>
              <w:t>27,534,391</w:t>
            </w:r>
          </w:p>
        </w:tc>
        <w:tc>
          <w:tcPr>
            <w:tcW w:w="2200" w:type="dxa"/>
            <w:vAlign w:val="bottom"/>
            <w:tcBorders>
              <w:top w:val="single" w:sz="8" w:color="auto"/>
            </w:tcBorders>
          </w:tcPr>
          <w:p>
            <w:pPr>
              <w:jc w:val="center"/>
              <w:ind w:right="762"/>
              <w:spacing w:after="0"/>
              <w:rPr>
                <w:sz w:val="20"/>
                <w:szCs w:val="20"/>
                <w:color w:val="auto"/>
              </w:rPr>
            </w:pPr>
            <w:r>
              <w:rPr>
                <w:rFonts w:ascii="Arial" w:cs="Arial" w:eastAsia="Arial" w:hAnsi="Arial"/>
                <w:sz w:val="18"/>
                <w:szCs w:val="18"/>
                <w:color w:val="auto"/>
                <w:w w:val="92"/>
              </w:rPr>
              <w:t>337,679</w:t>
            </w:r>
          </w:p>
        </w:tc>
        <w:tc>
          <w:tcPr>
            <w:tcW w:w="2080" w:type="dxa"/>
            <w:vAlign w:val="bottom"/>
            <w:tcBorders>
              <w:top w:val="single" w:sz="8" w:color="auto"/>
            </w:tcBorders>
          </w:tcPr>
          <w:p>
            <w:pPr>
              <w:jc w:val="center"/>
              <w:ind w:right="242"/>
              <w:spacing w:after="0"/>
              <w:rPr>
                <w:sz w:val="20"/>
                <w:szCs w:val="20"/>
                <w:color w:val="auto"/>
              </w:rPr>
            </w:pPr>
            <w:r>
              <w:rPr>
                <w:rFonts w:ascii="Arial" w:cs="Arial" w:eastAsia="Arial" w:hAnsi="Arial"/>
                <w:sz w:val="18"/>
                <w:szCs w:val="18"/>
                <w:color w:val="auto"/>
                <w:w w:val="87"/>
              </w:rPr>
              <w:t>61,111</w:t>
            </w:r>
          </w:p>
        </w:tc>
        <w:tc>
          <w:tcPr>
            <w:tcW w:w="2000" w:type="dxa"/>
            <w:vAlign w:val="bottom"/>
          </w:tcPr>
          <w:p>
            <w:pPr>
              <w:spacing w:after="0"/>
              <w:rPr>
                <w:sz w:val="21"/>
                <w:szCs w:val="21"/>
                <w:color w:val="auto"/>
              </w:rPr>
            </w:pPr>
          </w:p>
        </w:tc>
      </w:tr>
      <w:tr>
        <w:trPr>
          <w:trHeight w:val="419"/>
        </w:trPr>
        <w:tc>
          <w:tcPr>
            <w:tcW w:w="208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3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615"/>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2"/>
          </w:tcPr>
          <w:p>
            <w:pPr>
              <w:ind w:left="520"/>
              <w:spacing w:after="0"/>
              <w:rPr>
                <w:sz w:val="20"/>
                <w:szCs w:val="20"/>
                <w:color w:val="auto"/>
              </w:rPr>
            </w:pPr>
            <w:r>
              <w:rPr>
                <w:rFonts w:ascii="Arial" w:cs="Arial" w:eastAsia="Arial" w:hAnsi="Arial"/>
                <w:sz w:val="18"/>
                <w:szCs w:val="18"/>
                <w:color w:val="auto"/>
              </w:rPr>
              <w:t>10.1*</w:t>
            </w: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w w:val="97"/>
              </w:rPr>
              <w:t>Form of Cash-Settled Performance Stock Unit Award Agreement</w:t>
            </w: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688"/>
        </w:trPr>
        <w:tc>
          <w:tcPr>
            <w:tcW w:w="2080" w:type="dxa"/>
            <w:vAlign w:val="bottom"/>
            <w:gridSpan w:val="4"/>
          </w:tcPr>
          <w:p>
            <w:pPr>
              <w:ind w:left="1080"/>
              <w:spacing w:after="0"/>
              <w:rPr>
                <w:sz w:val="20"/>
                <w:szCs w:val="20"/>
                <w:color w:val="auto"/>
              </w:rPr>
            </w:pPr>
            <w:r>
              <w:rPr>
                <w:rFonts w:ascii="Arial" w:cs="Arial" w:eastAsia="Arial" w:hAnsi="Arial"/>
                <w:sz w:val="18"/>
                <w:szCs w:val="18"/>
                <w:color w:val="auto"/>
              </w:rPr>
              <w:t>31.1*</w:t>
            </w:r>
          </w:p>
        </w:tc>
        <w:tc>
          <w:tcPr>
            <w:tcW w:w="9280" w:type="dxa"/>
            <w:vAlign w:val="bottom"/>
            <w:gridSpan w:val="4"/>
          </w:tcPr>
          <w:p>
            <w:pPr>
              <w:ind w:left="160"/>
              <w:spacing w:after="0"/>
              <w:rPr>
                <w:sz w:val="20"/>
                <w:szCs w:val="20"/>
                <w:color w:val="auto"/>
              </w:rPr>
            </w:pPr>
            <w:r>
              <w:rPr>
                <w:rFonts w:ascii="Arial" w:cs="Arial" w:eastAsia="Arial" w:hAnsi="Arial"/>
                <w:sz w:val="18"/>
                <w:szCs w:val="18"/>
                <w:color w:val="auto"/>
                <w:w w:val="91"/>
              </w:rPr>
              <w:t>Certification of James L. Welch filed pursuant to Exchange Act Rules 13a-14 and 15d-14, as adopted pursuant to Section 302</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of the Sarbanes-Oxley Act of 2002.</w:t>
            </w:r>
          </w:p>
        </w:tc>
        <w:tc>
          <w:tcPr>
            <w:tcW w:w="2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72"/>
        </w:trPr>
        <w:tc>
          <w:tcPr>
            <w:tcW w:w="2080" w:type="dxa"/>
            <w:vAlign w:val="bottom"/>
            <w:gridSpan w:val="4"/>
          </w:tcPr>
          <w:p>
            <w:pPr>
              <w:ind w:left="1080"/>
              <w:spacing w:after="0"/>
              <w:rPr>
                <w:sz w:val="20"/>
                <w:szCs w:val="20"/>
                <w:color w:val="auto"/>
              </w:rPr>
            </w:pPr>
            <w:r>
              <w:rPr>
                <w:rFonts w:ascii="Arial" w:cs="Arial" w:eastAsia="Arial" w:hAnsi="Arial"/>
                <w:sz w:val="18"/>
                <w:szCs w:val="18"/>
                <w:color w:val="auto"/>
              </w:rPr>
              <w:t>31.2*</w:t>
            </w:r>
          </w:p>
        </w:tc>
        <w:tc>
          <w:tcPr>
            <w:tcW w:w="9280" w:type="dxa"/>
            <w:vAlign w:val="bottom"/>
            <w:gridSpan w:val="4"/>
          </w:tcPr>
          <w:p>
            <w:pPr>
              <w:ind w:left="160"/>
              <w:spacing w:after="0"/>
              <w:rPr>
                <w:sz w:val="20"/>
                <w:szCs w:val="20"/>
                <w:color w:val="auto"/>
              </w:rPr>
            </w:pPr>
            <w:r>
              <w:rPr>
                <w:rFonts w:ascii="Arial" w:cs="Arial" w:eastAsia="Arial" w:hAnsi="Arial"/>
                <w:sz w:val="18"/>
                <w:szCs w:val="18"/>
                <w:color w:val="auto"/>
                <w:w w:val="90"/>
              </w:rPr>
              <w:t>Certification of Jamie G. Pierson filed pursuant to Exchange Act Rules 13a-14 and 15d-14, as adopted pursuant to Section 302</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of the Sarbanes-Oxley Act of 2002.</w:t>
            </w:r>
          </w:p>
        </w:tc>
        <w:tc>
          <w:tcPr>
            <w:tcW w:w="2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72"/>
        </w:trPr>
        <w:tc>
          <w:tcPr>
            <w:tcW w:w="2080" w:type="dxa"/>
            <w:vAlign w:val="bottom"/>
            <w:gridSpan w:val="4"/>
          </w:tcPr>
          <w:p>
            <w:pPr>
              <w:ind w:left="1080"/>
              <w:spacing w:after="0"/>
              <w:rPr>
                <w:sz w:val="20"/>
                <w:szCs w:val="20"/>
                <w:color w:val="auto"/>
              </w:rPr>
            </w:pPr>
            <w:r>
              <w:rPr>
                <w:rFonts w:ascii="Arial" w:cs="Arial" w:eastAsia="Arial" w:hAnsi="Arial"/>
                <w:sz w:val="18"/>
                <w:szCs w:val="18"/>
                <w:color w:val="auto"/>
              </w:rPr>
              <w:t>32.1*</w:t>
            </w:r>
          </w:p>
        </w:tc>
        <w:tc>
          <w:tcPr>
            <w:tcW w:w="9280" w:type="dxa"/>
            <w:vAlign w:val="bottom"/>
            <w:gridSpan w:val="4"/>
          </w:tcPr>
          <w:p>
            <w:pPr>
              <w:ind w:left="160"/>
              <w:spacing w:after="0"/>
              <w:rPr>
                <w:sz w:val="20"/>
                <w:szCs w:val="20"/>
                <w:color w:val="auto"/>
              </w:rPr>
            </w:pPr>
            <w:r>
              <w:rPr>
                <w:rFonts w:ascii="Arial" w:cs="Arial" w:eastAsia="Arial" w:hAnsi="Arial"/>
                <w:sz w:val="18"/>
                <w:szCs w:val="18"/>
                <w:color w:val="auto"/>
                <w:w w:val="94"/>
              </w:rPr>
              <w:t>Certification of James L. Welch furnished pursuant to 18 U.S.C. Section 1350, as adopted pursuant to Section 906 of the</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Sarbanes-Oxley Act of 2002.</w:t>
            </w:r>
          </w:p>
        </w:tc>
        <w:tc>
          <w:tcPr>
            <w:tcW w:w="2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72"/>
        </w:trPr>
        <w:tc>
          <w:tcPr>
            <w:tcW w:w="2080" w:type="dxa"/>
            <w:vAlign w:val="bottom"/>
            <w:gridSpan w:val="4"/>
          </w:tcPr>
          <w:p>
            <w:pPr>
              <w:ind w:left="1080"/>
              <w:spacing w:after="0"/>
              <w:rPr>
                <w:sz w:val="20"/>
                <w:szCs w:val="20"/>
                <w:color w:val="auto"/>
              </w:rPr>
            </w:pPr>
            <w:r>
              <w:rPr>
                <w:rFonts w:ascii="Arial" w:cs="Arial" w:eastAsia="Arial" w:hAnsi="Arial"/>
                <w:sz w:val="18"/>
                <w:szCs w:val="18"/>
                <w:color w:val="auto"/>
              </w:rPr>
              <w:t>32.2*</w:t>
            </w:r>
          </w:p>
        </w:tc>
        <w:tc>
          <w:tcPr>
            <w:tcW w:w="9280" w:type="dxa"/>
            <w:vAlign w:val="bottom"/>
            <w:gridSpan w:val="4"/>
          </w:tcPr>
          <w:p>
            <w:pPr>
              <w:ind w:left="160"/>
              <w:spacing w:after="0"/>
              <w:rPr>
                <w:sz w:val="20"/>
                <w:szCs w:val="20"/>
                <w:color w:val="auto"/>
              </w:rPr>
            </w:pPr>
            <w:r>
              <w:rPr>
                <w:rFonts w:ascii="Arial" w:cs="Arial" w:eastAsia="Arial" w:hAnsi="Arial"/>
                <w:sz w:val="18"/>
                <w:szCs w:val="18"/>
                <w:color w:val="auto"/>
                <w:w w:val="93"/>
              </w:rPr>
              <w:t>Certification of Jamie G. Pierson furnished pursuant to 18 U.S.C. Section 1350, as adopted pursuant to Section 906 of the</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Sarbanes-Oxley Act of 2002.</w:t>
            </w:r>
          </w:p>
        </w:tc>
        <w:tc>
          <w:tcPr>
            <w:tcW w:w="2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71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2"/>
          </w:tcPr>
          <w:p>
            <w:pPr>
              <w:ind w:left="520"/>
              <w:spacing w:after="0"/>
              <w:rPr>
                <w:sz w:val="20"/>
                <w:szCs w:val="20"/>
                <w:color w:val="auto"/>
              </w:rPr>
            </w:pPr>
            <w:r>
              <w:rPr>
                <w:rFonts w:ascii="Arial" w:cs="Arial" w:eastAsia="Arial" w:hAnsi="Arial"/>
                <w:sz w:val="18"/>
                <w:szCs w:val="18"/>
                <w:color w:val="auto"/>
              </w:rPr>
              <w:t>101.INS*</w:t>
            </w:r>
          </w:p>
        </w:tc>
        <w:tc>
          <w:tcPr>
            <w:tcW w:w="3000" w:type="dxa"/>
            <w:vAlign w:val="bottom"/>
          </w:tcPr>
          <w:p>
            <w:pPr>
              <w:ind w:left="160"/>
              <w:spacing w:after="0"/>
              <w:rPr>
                <w:sz w:val="20"/>
                <w:szCs w:val="20"/>
                <w:color w:val="auto"/>
              </w:rPr>
            </w:pPr>
            <w:r>
              <w:rPr>
                <w:rFonts w:ascii="Arial" w:cs="Arial" w:eastAsia="Arial" w:hAnsi="Arial"/>
                <w:sz w:val="18"/>
                <w:szCs w:val="18"/>
                <w:color w:val="auto"/>
              </w:rPr>
              <w:t>XBRL Instance Document</w:t>
            </w:r>
          </w:p>
        </w:tc>
        <w:tc>
          <w:tcPr>
            <w:tcW w:w="2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gridSpan w:val="2"/>
          </w:tcPr>
          <w:p>
            <w:pPr>
              <w:ind w:left="520"/>
              <w:spacing w:after="0"/>
              <w:rPr>
                <w:sz w:val="20"/>
                <w:szCs w:val="20"/>
                <w:color w:val="auto"/>
              </w:rPr>
            </w:pPr>
            <w:r>
              <w:rPr>
                <w:rFonts w:ascii="Arial" w:cs="Arial" w:eastAsia="Arial" w:hAnsi="Arial"/>
                <w:sz w:val="18"/>
                <w:szCs w:val="18"/>
                <w:color w:val="auto"/>
              </w:rPr>
              <w:t>101.SCH*</w:t>
            </w:r>
          </w:p>
        </w:tc>
        <w:tc>
          <w:tcPr>
            <w:tcW w:w="3000" w:type="dxa"/>
            <w:vAlign w:val="bottom"/>
          </w:tcPr>
          <w:p>
            <w:pPr>
              <w:ind w:left="160"/>
              <w:spacing w:after="0"/>
              <w:rPr>
                <w:sz w:val="20"/>
                <w:szCs w:val="20"/>
                <w:color w:val="auto"/>
              </w:rPr>
            </w:pPr>
            <w:r>
              <w:rPr>
                <w:rFonts w:ascii="Arial" w:cs="Arial" w:eastAsia="Arial" w:hAnsi="Arial"/>
                <w:sz w:val="18"/>
                <w:szCs w:val="18"/>
                <w:color w:val="auto"/>
                <w:w w:val="96"/>
              </w:rPr>
              <w:t>XBRL Taxonomy Extension Schema</w:t>
            </w:r>
          </w:p>
        </w:tc>
        <w:tc>
          <w:tcPr>
            <w:tcW w:w="2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gridSpan w:val="2"/>
          </w:tcPr>
          <w:p>
            <w:pPr>
              <w:ind w:left="520"/>
              <w:spacing w:after="0"/>
              <w:rPr>
                <w:sz w:val="20"/>
                <w:szCs w:val="20"/>
                <w:color w:val="auto"/>
              </w:rPr>
            </w:pPr>
            <w:r>
              <w:rPr>
                <w:rFonts w:ascii="Arial" w:cs="Arial" w:eastAsia="Arial" w:hAnsi="Arial"/>
                <w:sz w:val="18"/>
                <w:szCs w:val="18"/>
                <w:color w:val="auto"/>
              </w:rPr>
              <w:t>101.CAL*</w:t>
            </w: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Calculation Linkbase</w:t>
            </w:r>
          </w:p>
        </w:tc>
        <w:tc>
          <w:tcPr>
            <w:tcW w:w="208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gridSpan w:val="2"/>
          </w:tcPr>
          <w:p>
            <w:pPr>
              <w:ind w:left="520"/>
              <w:spacing w:after="0"/>
              <w:rPr>
                <w:sz w:val="20"/>
                <w:szCs w:val="20"/>
                <w:color w:val="auto"/>
              </w:rPr>
            </w:pPr>
            <w:r>
              <w:rPr>
                <w:rFonts w:ascii="Arial" w:cs="Arial" w:eastAsia="Arial" w:hAnsi="Arial"/>
                <w:sz w:val="18"/>
                <w:szCs w:val="18"/>
                <w:color w:val="auto"/>
              </w:rPr>
              <w:t>101.DEF*</w:t>
            </w: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Definition Linkbase</w:t>
            </w:r>
          </w:p>
        </w:tc>
        <w:tc>
          <w:tcPr>
            <w:tcW w:w="208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gridSpan w:val="2"/>
          </w:tcPr>
          <w:p>
            <w:pPr>
              <w:ind w:left="520"/>
              <w:spacing w:after="0"/>
              <w:rPr>
                <w:sz w:val="20"/>
                <w:szCs w:val="20"/>
                <w:color w:val="auto"/>
              </w:rPr>
            </w:pPr>
            <w:r>
              <w:rPr>
                <w:rFonts w:ascii="Arial" w:cs="Arial" w:eastAsia="Arial" w:hAnsi="Arial"/>
                <w:sz w:val="18"/>
                <w:szCs w:val="18"/>
                <w:color w:val="auto"/>
              </w:rPr>
              <w:t>101.LAB*</w:t>
            </w: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Label Linkbase</w:t>
            </w:r>
          </w:p>
        </w:tc>
        <w:tc>
          <w:tcPr>
            <w:tcW w:w="208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gridSpan w:val="2"/>
          </w:tcPr>
          <w:p>
            <w:pPr>
              <w:ind w:left="520"/>
              <w:spacing w:after="0"/>
              <w:rPr>
                <w:sz w:val="20"/>
                <w:szCs w:val="20"/>
                <w:color w:val="auto"/>
              </w:rPr>
            </w:pPr>
            <w:r>
              <w:rPr>
                <w:rFonts w:ascii="Arial" w:cs="Arial" w:eastAsia="Arial" w:hAnsi="Arial"/>
                <w:sz w:val="18"/>
                <w:szCs w:val="18"/>
                <w:color w:val="auto"/>
              </w:rPr>
              <w:t>101.PRE*</w:t>
            </w: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Presentation Linkbase</w:t>
            </w:r>
          </w:p>
        </w:tc>
        <w:tc>
          <w:tcPr>
            <w:tcW w:w="2080" w:type="dxa"/>
            <w:vAlign w:val="bottom"/>
          </w:tcPr>
          <w:p>
            <w:pPr>
              <w:spacing w:after="0"/>
              <w:rPr>
                <w:sz w:val="23"/>
                <w:szCs w:val="23"/>
                <w:color w:val="auto"/>
              </w:rPr>
            </w:pPr>
          </w:p>
        </w:tc>
        <w:tc>
          <w:tcPr>
            <w:tcW w:w="2000" w:type="dxa"/>
            <w:vAlign w:val="bottom"/>
          </w:tcPr>
          <w:p>
            <w:pPr>
              <w:spacing w:after="0"/>
              <w:rPr>
                <w:sz w:val="23"/>
                <w:szCs w:val="23"/>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documents filed herewith.</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21" w:right="29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YRC WORLDWIDE INC.</w:t>
            </w:r>
          </w:p>
        </w:tc>
      </w:tr>
      <w:tr>
        <w:trPr>
          <w:trHeight w:val="918"/>
        </w:trPr>
        <w:tc>
          <w:tcPr>
            <w:tcW w:w="5580" w:type="dxa"/>
            <w:vAlign w:val="bottom"/>
          </w:tcPr>
          <w:p>
            <w:pPr>
              <w:spacing w:after="0"/>
              <w:rPr>
                <w:sz w:val="20"/>
                <w:szCs w:val="20"/>
                <w:color w:val="auto"/>
              </w:rPr>
            </w:pPr>
            <w:r>
              <w:rPr>
                <w:rFonts w:ascii="Arial" w:cs="Arial" w:eastAsia="Arial" w:hAnsi="Arial"/>
                <w:sz w:val="18"/>
                <w:szCs w:val="18"/>
                <w:color w:val="auto"/>
              </w:rPr>
              <w:t>Date: April 28, 2016</w:t>
            </w:r>
          </w:p>
        </w:tc>
        <w:tc>
          <w:tcPr>
            <w:tcW w:w="5800" w:type="dxa"/>
            <w:vAlign w:val="bottom"/>
          </w:tcPr>
          <w:p>
            <w:pPr>
              <w:ind w:left="120"/>
              <w:spacing w:after="0"/>
              <w:rPr>
                <w:sz w:val="20"/>
                <w:szCs w:val="20"/>
                <w:color w:val="auto"/>
              </w:rPr>
            </w:pPr>
            <w:r>
              <w:rPr>
                <w:rFonts w:ascii="Arial" w:cs="Arial" w:eastAsia="Arial" w:hAnsi="Arial"/>
                <w:sz w:val="18"/>
                <w:szCs w:val="18"/>
                <w:color w:val="auto"/>
              </w:rPr>
              <w:t>/s/ James L. Welch</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James L. Welch</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594"/>
        </w:trPr>
        <w:tc>
          <w:tcPr>
            <w:tcW w:w="5580" w:type="dxa"/>
            <w:vAlign w:val="bottom"/>
          </w:tcPr>
          <w:p>
            <w:pPr>
              <w:spacing w:after="0"/>
              <w:rPr>
                <w:sz w:val="20"/>
                <w:szCs w:val="20"/>
                <w:color w:val="auto"/>
              </w:rPr>
            </w:pPr>
            <w:r>
              <w:rPr>
                <w:rFonts w:ascii="Arial" w:cs="Arial" w:eastAsia="Arial" w:hAnsi="Arial"/>
                <w:sz w:val="18"/>
                <w:szCs w:val="18"/>
                <w:color w:val="auto"/>
              </w:rPr>
              <w:t>Date: April 28, 2016</w:t>
            </w:r>
          </w:p>
        </w:tc>
        <w:tc>
          <w:tcPr>
            <w:tcW w:w="5800" w:type="dxa"/>
            <w:vAlign w:val="bottom"/>
          </w:tcPr>
          <w:p>
            <w:pPr>
              <w:ind w:left="120"/>
              <w:spacing w:after="0"/>
              <w:rPr>
                <w:sz w:val="20"/>
                <w:szCs w:val="20"/>
                <w:color w:val="auto"/>
              </w:rPr>
            </w:pPr>
            <w:r>
              <w:rPr>
                <w:rFonts w:ascii="Arial" w:cs="Arial" w:eastAsia="Arial" w:hAnsi="Arial"/>
                <w:sz w:val="18"/>
                <w:szCs w:val="18"/>
                <w:color w:val="auto"/>
              </w:rPr>
              <w:t>/s/ Jamie G. Pierson</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Jamie G. Pierson</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86"/>
        </w:trPr>
        <w:tc>
          <w:tcPr>
            <w:tcW w:w="558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YRC WORLDWIDE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CASH-SETTLED PERFORMANCE STOCK UNIT AGREEMENT</w:t>
      </w:r>
    </w:p>
    <w:p>
      <w:pPr>
        <w:spacing w:after="0" w:line="200" w:lineRule="exact"/>
        <w:rPr>
          <w:sz w:val="20"/>
          <w:szCs w:val="20"/>
          <w:color w:val="auto"/>
        </w:rPr>
      </w:pPr>
    </w:p>
    <w:p>
      <w:pPr>
        <w:spacing w:after="0" w:line="22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Participant:</w:t>
      </w:r>
      <w:r>
        <w:rPr>
          <w:sz w:val="20"/>
          <w:szCs w:val="20"/>
          <w:color w:val="auto"/>
        </w:rPr>
        <w:tab/>
      </w:r>
      <w:r>
        <w:rPr>
          <w:rFonts w:ascii="Arial" w:cs="Arial" w:eastAsia="Arial" w:hAnsi="Arial"/>
          <w:sz w:val="16"/>
          <w:szCs w:val="16"/>
          <w:b w:val="1"/>
          <w:bCs w:val="1"/>
          <w:color w:val="auto"/>
        </w:rPr>
        <w:t>[____________]</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Grant Date:</w:t>
      </w:r>
      <w:r>
        <w:rPr>
          <w:sz w:val="20"/>
          <w:szCs w:val="20"/>
          <w:color w:val="auto"/>
        </w:rPr>
        <w:tab/>
      </w:r>
      <w:r>
        <w:rPr>
          <w:rFonts w:ascii="Arial" w:cs="Arial" w:eastAsia="Arial" w:hAnsi="Arial"/>
          <w:sz w:val="16"/>
          <w:szCs w:val="16"/>
          <w:b w:val="1"/>
          <w:bCs w:val="1"/>
          <w:color w:val="auto"/>
        </w:rPr>
        <w:t>[____________]</w:t>
      </w:r>
    </w:p>
    <w:p>
      <w:pPr>
        <w:spacing w:after="0" w:line="225"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b w:val="1"/>
          <w:bCs w:val="1"/>
          <w:color w:val="auto"/>
        </w:rPr>
        <w:t>Target Number of Performance Stock Units (the “</w:t>
      </w:r>
      <w:r>
        <w:rPr>
          <w:rFonts w:ascii="Arial" w:cs="Arial" w:eastAsia="Arial" w:hAnsi="Arial"/>
          <w:sz w:val="18"/>
          <w:szCs w:val="18"/>
          <w:b w:val="1"/>
          <w:bCs w:val="1"/>
          <w:u w:val="single" w:color="auto"/>
          <w:color w:val="auto"/>
        </w:rPr>
        <w:t>Target PSUs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[____________]</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Maximum Number of Shares of Common Stock based upon which cash may be paid pursuant to this Agreement (the “</w:t>
      </w:r>
      <w:r>
        <w:rPr>
          <w:rFonts w:ascii="Arial" w:cs="Arial" w:eastAsia="Arial" w:hAnsi="Arial"/>
          <w:sz w:val="18"/>
          <w:szCs w:val="18"/>
          <w:b w:val="1"/>
          <w:bCs w:val="1"/>
          <w:u w:val="single" w:color="auto"/>
          <w:color w:val="auto"/>
        </w:rPr>
        <w:t>Maximum</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Shares</w:t>
      </w:r>
      <w:r>
        <w:rPr>
          <w:rFonts w:ascii="Arial" w:cs="Arial" w:eastAsia="Arial" w:hAnsi="Arial"/>
          <w:sz w:val="18"/>
          <w:szCs w:val="18"/>
          <w:b w:val="1"/>
          <w:bCs w:val="1"/>
          <w:color w:val="auto"/>
        </w:rPr>
        <w:t>”): [____________]</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CASH-SETTLED PERFORMANCE STOCK UNIT AWARD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the Grant Date specified above, is entered into by and between YRC Worldwide Inc., a corporation organized in the State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Participant specified above, pursuant to the YRC Worldwide Inc. Amended and Restated 2011 Incentive and Equity Award Plan, as in effect and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which is administered by the Committee.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it has been determined under the Plan that it would be in the best interests of the Company to grant the Performance Stock Units (“</w:t>
      </w:r>
      <w:r>
        <w:rPr>
          <w:rFonts w:ascii="Arial" w:cs="Arial" w:eastAsia="Arial" w:hAnsi="Arial"/>
          <w:sz w:val="18"/>
          <w:szCs w:val="18"/>
          <w:u w:val="single" w:color="auto"/>
          <w:color w:val="auto"/>
        </w:rPr>
        <w:t>PSUs</w:t>
      </w:r>
      <w:r>
        <w:rPr>
          <w:rFonts w:ascii="Arial" w:cs="Arial" w:eastAsia="Arial" w:hAnsi="Arial"/>
          <w:sz w:val="18"/>
          <w:szCs w:val="18"/>
          <w:color w:val="auto"/>
        </w:rPr>
        <w:t>”) provided herein to the Participant, which constitute Performance Awards under the Plan.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promises hereinafter set forth and for other good and valuable consideration, the parties hereto hereby mutually covenant and agree as follows:</w:t>
      </w:r>
    </w:p>
    <w:p>
      <w:pPr>
        <w:spacing w:after="0" w:line="193" w:lineRule="exact"/>
        <w:rPr>
          <w:sz w:val="20"/>
          <w:szCs w:val="20"/>
          <w:color w:val="auto"/>
        </w:rPr>
      </w:pPr>
    </w:p>
    <w:p>
      <w:pPr>
        <w:jc w:val="both"/>
        <w:ind w:firstLine="656"/>
        <w:spacing w:after="0" w:line="347" w:lineRule="auto"/>
        <w:tabs>
          <w:tab w:leader="none" w:pos="1431" w:val="left"/>
        </w:tabs>
        <w:numPr>
          <w:ilvl w:val="0"/>
          <w:numId w:val="28"/>
        </w:numPr>
        <w:rPr>
          <w:rFonts w:ascii="Arial" w:cs="Arial" w:eastAsia="Arial" w:hAnsi="Arial"/>
          <w:sz w:val="16"/>
          <w:szCs w:val="16"/>
          <w:color w:val="010000"/>
        </w:rPr>
      </w:pPr>
      <w:r>
        <w:rPr>
          <w:rFonts w:ascii="Arial" w:cs="Arial" w:eastAsia="Arial" w:hAnsi="Arial"/>
          <w:sz w:val="16"/>
          <w:szCs w:val="16"/>
          <w:b w:val="1"/>
          <w:bCs w:val="1"/>
          <w:u w:val="single" w:color="auto"/>
          <w:color w:val="auto"/>
        </w:rPr>
        <w:t>Incorporation By Reference; Plan Document Receipt</w:t>
      </w:r>
      <w:r>
        <w:rPr>
          <w:rFonts w:ascii="Arial" w:cs="Arial" w:eastAsia="Arial" w:hAnsi="Arial"/>
          <w:sz w:val="16"/>
          <w:szCs w:val="16"/>
          <w:color w:val="auto"/>
        </w:rPr>
        <w:t>. This Agreement is subject in all respects to the terms and provisions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any amendments thereto adopted at any time and from time to time unless such amendments are expressly intended not to apply to the Performance Stock Unit Award provided hereunder), all of which terms and provisions are made a part of and incorporated in this Agreement as if they were each expressly set forth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this Agreement shall control.</w:t>
      </w:r>
    </w:p>
    <w:p>
      <w:pPr>
        <w:spacing w:after="0" w:line="173" w:lineRule="exact"/>
        <w:rPr>
          <w:rFonts w:ascii="Arial" w:cs="Arial" w:eastAsia="Arial" w:hAnsi="Arial"/>
          <w:sz w:val="16"/>
          <w:szCs w:val="16"/>
          <w:color w:val="010000"/>
        </w:rPr>
      </w:pPr>
    </w:p>
    <w:p>
      <w:pPr>
        <w:jc w:val="both"/>
        <w:ind w:firstLine="656"/>
        <w:spacing w:after="0" w:line="335" w:lineRule="auto"/>
        <w:tabs>
          <w:tab w:leader="none" w:pos="990" w:val="left"/>
        </w:tabs>
        <w:numPr>
          <w:ilvl w:val="0"/>
          <w:numId w:val="28"/>
        </w:numPr>
        <w:rPr>
          <w:rFonts w:ascii="Arial" w:cs="Arial" w:eastAsia="Arial" w:hAnsi="Arial"/>
          <w:sz w:val="19"/>
          <w:szCs w:val="19"/>
          <w:color w:val="010000"/>
        </w:rPr>
      </w:pPr>
      <w:r>
        <w:rPr>
          <w:rFonts w:ascii="Arial" w:cs="Arial" w:eastAsia="Arial" w:hAnsi="Arial"/>
          <w:sz w:val="16"/>
          <w:szCs w:val="16"/>
          <w:b w:val="1"/>
          <w:bCs w:val="1"/>
          <w:u w:val="single" w:color="auto"/>
          <w:color w:val="auto"/>
        </w:rPr>
        <w:t>Grant of Performance Stock Unit Award</w:t>
      </w:r>
      <w:r>
        <w:rPr>
          <w:rFonts w:ascii="Arial" w:cs="Arial" w:eastAsia="Arial" w:hAnsi="Arial"/>
          <w:sz w:val="16"/>
          <w:szCs w:val="16"/>
          <w:color w:val="auto"/>
        </w:rPr>
        <w:t>. The Company hereby grants to the Participant, as of the Grant Date specified above,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Target PSUs specified above, with the amount of cash that may be paid pursuant to this Agreement to be based upon actual number of notional shares of Common Stock to be earned pursuant to this Award contingent upon satisfaction of the vesting conditions described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which may not exceed the Maximum Shares.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of Common Stock underlying the PSUs, except as otherwise specifically provided for in the Plan or this Agreement.</w:t>
      </w:r>
    </w:p>
    <w:p>
      <w:pPr>
        <w:spacing w:after="0" w:line="161" w:lineRule="exact"/>
        <w:rPr>
          <w:rFonts w:ascii="Arial" w:cs="Arial" w:eastAsia="Arial" w:hAnsi="Arial"/>
          <w:sz w:val="19"/>
          <w:szCs w:val="19"/>
          <w:color w:val="010000"/>
        </w:rPr>
      </w:pPr>
    </w:p>
    <w:p>
      <w:pPr>
        <w:ind w:left="1000" w:hanging="344"/>
        <w:spacing w:after="0"/>
        <w:tabs>
          <w:tab w:leader="none" w:pos="1000" w:val="left"/>
        </w:tabs>
        <w:numPr>
          <w:ilvl w:val="0"/>
          <w:numId w:val="28"/>
        </w:numPr>
        <w:rPr>
          <w:rFonts w:ascii="Arial" w:cs="Arial" w:eastAsia="Arial" w:hAnsi="Arial"/>
          <w:sz w:val="22"/>
          <w:szCs w:val="22"/>
          <w:b w:val="1"/>
          <w:bCs w:val="1"/>
          <w:color w:val="010000"/>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w:t>
      </w:r>
    </w:p>
    <w:p>
      <w:pPr>
        <w:spacing w:after="0" w:line="255" w:lineRule="exact"/>
        <w:rPr>
          <w:rFonts w:ascii="Arial" w:cs="Arial" w:eastAsia="Arial" w:hAnsi="Arial"/>
          <w:sz w:val="22"/>
          <w:szCs w:val="22"/>
          <w:b w:val="1"/>
          <w:bCs w:val="1"/>
          <w:color w:val="010000"/>
        </w:rPr>
      </w:pPr>
    </w:p>
    <w:p>
      <w:pPr>
        <w:jc w:val="both"/>
        <w:ind w:left="660" w:firstLine="645"/>
        <w:spacing w:after="0" w:line="333" w:lineRule="auto"/>
        <w:tabs>
          <w:tab w:leader="none" w:pos="1863" w:val="left"/>
        </w:tabs>
        <w:numPr>
          <w:ilvl w:val="1"/>
          <w:numId w:val="28"/>
        </w:numPr>
        <w:rPr>
          <w:rFonts w:ascii="Arial" w:cs="Arial" w:eastAsia="Arial" w:hAnsi="Arial"/>
          <w:sz w:val="19"/>
          <w:szCs w:val="19"/>
          <w:color w:val="010000"/>
        </w:rPr>
      </w:pPr>
      <w:r>
        <w:rPr>
          <w:rFonts w:ascii="Arial" w:cs="Arial" w:eastAsia="Arial" w:hAnsi="Arial"/>
          <w:sz w:val="16"/>
          <w:szCs w:val="16"/>
          <w:color w:val="auto"/>
        </w:rPr>
        <w:t>The PSUs subject to this Award shall be subject to both a time-based vesting condition (the “</w:t>
      </w:r>
      <w:r>
        <w:rPr>
          <w:rFonts w:ascii="Arial" w:cs="Arial" w:eastAsia="Arial" w:hAnsi="Arial"/>
          <w:sz w:val="16"/>
          <w:szCs w:val="16"/>
          <w:u w:val="single" w:color="auto"/>
          <w:color w:val="auto"/>
        </w:rPr>
        <w:t>Time-Based Condition</w:t>
      </w:r>
      <w:r>
        <w:rPr>
          <w:rFonts w:ascii="Arial" w:cs="Arial" w:eastAsia="Arial" w:hAnsi="Arial"/>
          <w:sz w:val="16"/>
          <w:szCs w:val="16"/>
          <w:color w:val="auto"/>
        </w:rPr>
        <w:t>”) and a performance-based vesting condition (the “</w:t>
      </w:r>
      <w:r>
        <w:rPr>
          <w:rFonts w:ascii="Arial" w:cs="Arial" w:eastAsia="Arial" w:hAnsi="Arial"/>
          <w:sz w:val="16"/>
          <w:szCs w:val="16"/>
          <w:u w:val="single" w:color="auto"/>
          <w:color w:val="auto"/>
        </w:rPr>
        <w:t>Performance Condition</w:t>
      </w:r>
      <w:r>
        <w:rPr>
          <w:rFonts w:ascii="Arial" w:cs="Arial" w:eastAsia="Arial" w:hAnsi="Arial"/>
          <w:sz w:val="16"/>
          <w:szCs w:val="16"/>
          <w:color w:val="auto"/>
        </w:rPr>
        <w:t>”), as described herein. None of the PSUs (or any portion thereof) shall be “vested” for purposes of this Agreement unless and until both the Time-Based Condition and the Performance Condition for such PSUs are satisfied,</w:t>
      </w:r>
    </w:p>
    <w:p>
      <w:pPr>
        <w:sectPr>
          <w:pgSz w:w="11900" w:h="16838" w:orient="portrait"/>
          <w:cols w:equalWidth="0" w:num="1">
            <w:col w:w="11420"/>
          </w:cols>
          <w:pgMar w:left="240" w:top="580" w:right="239" w:bottom="1440" w:gutter="0" w:footer="0" w:header="0"/>
        </w:sectPr>
      </w:pPr>
    </w:p>
    <w:bookmarkStart w:id="28" w:name="page29"/>
    <w:bookmarkEnd w:id="28"/>
    <w:p>
      <w:pPr>
        <w:jc w:val="both"/>
        <w:ind w:left="660" w:right="20"/>
        <w:spacing w:after="0" w:line="286" w:lineRule="auto"/>
        <w:rPr>
          <w:sz w:val="20"/>
          <w:szCs w:val="20"/>
          <w:color w:val="auto"/>
        </w:rPr>
      </w:pPr>
      <w:r>
        <w:rPr>
          <w:rFonts w:ascii="Arial" w:cs="Arial" w:eastAsia="Arial" w:hAnsi="Arial"/>
          <w:sz w:val="17"/>
          <w:szCs w:val="17"/>
          <w:color w:val="auto"/>
        </w:rPr>
        <w:t>and the total number of PSUs that are vested at any given date shall equal the product of (x) the number of Target PSUs that have satisfied the Time-Based Condition as of such date and (y) the percentage at which the Performance Condition is satisfied as of such date, which, for the avoidance of doubt, shall be 0% prior to the Certification Date, rounded down to the nearest whole number of PSUs.</w:t>
      </w:r>
    </w:p>
    <w:p>
      <w:pPr>
        <w:spacing w:after="0" w:line="206" w:lineRule="exact"/>
        <w:rPr>
          <w:sz w:val="20"/>
          <w:szCs w:val="20"/>
          <w:color w:val="auto"/>
        </w:rPr>
      </w:pPr>
    </w:p>
    <w:p>
      <w:pPr>
        <w:jc w:val="both"/>
        <w:ind w:left="1300" w:right="20" w:firstLine="653"/>
        <w:spacing w:after="0" w:line="301" w:lineRule="auto"/>
        <w:tabs>
          <w:tab w:leader="none" w:pos="2459" w:val="left"/>
        </w:tabs>
        <w:numPr>
          <w:ilvl w:val="0"/>
          <w:numId w:val="29"/>
        </w:numPr>
        <w:rPr>
          <w:rFonts w:ascii="Arial" w:cs="Arial" w:eastAsia="Arial" w:hAnsi="Arial"/>
          <w:sz w:val="21"/>
          <w:szCs w:val="21"/>
          <w:color w:val="010000"/>
        </w:rPr>
      </w:pPr>
      <w:r>
        <w:rPr>
          <w:rFonts w:ascii="Arial" w:cs="Arial" w:eastAsia="Arial" w:hAnsi="Arial"/>
          <w:sz w:val="17"/>
          <w:szCs w:val="17"/>
          <w:color w:val="auto"/>
        </w:rPr>
        <w:t>The Time-Based Condition for the PSUs shall be satisfied as provided in the table below, subject to the Participant’s continued service with the Company or any of its Subsidiaries through such date. There shall be no proportionate or partial satisfaction of the Time-Based Condition prior to the date of such ratification, except as specifically provided in this Agreement.</w:t>
      </w:r>
    </w:p>
    <w:p>
      <w:pPr>
        <w:spacing w:after="0" w:line="311"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Vesting Date</w:t>
            </w:r>
          </w:p>
        </w:tc>
        <w:tc>
          <w:tcPr>
            <w:tcW w:w="166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 Target PSUs</w:t>
            </w:r>
          </w:p>
        </w:tc>
      </w:tr>
      <w:tr>
        <w:trPr>
          <w:trHeight w:val="385"/>
        </w:trPr>
        <w:tc>
          <w:tcPr>
            <w:tcW w:w="4300" w:type="dxa"/>
            <w:vAlign w:val="bottom"/>
            <w:gridSpan w:val="5"/>
          </w:tcPr>
          <w:p>
            <w:pPr>
              <w:spacing w:after="0"/>
              <w:rPr>
                <w:sz w:val="20"/>
                <w:szCs w:val="20"/>
                <w:color w:val="auto"/>
              </w:rPr>
            </w:pPr>
            <w:r>
              <w:rPr>
                <w:rFonts w:ascii="Arial" w:cs="Arial" w:eastAsia="Arial" w:hAnsi="Arial"/>
                <w:sz w:val="18"/>
                <w:szCs w:val="18"/>
                <w:b w:val="1"/>
                <w:bCs w:val="1"/>
                <w:color w:val="auto"/>
                <w:w w:val="99"/>
              </w:rPr>
              <w:t>[___________] (such date the “First Vesting Date”)</w:t>
            </w:r>
          </w:p>
        </w:tc>
        <w:tc>
          <w:tcPr>
            <w:tcW w:w="224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97"/>
              </w:rPr>
              <w:t>[1/3]</w:t>
            </w:r>
          </w:p>
        </w:tc>
      </w:tr>
      <w:tr>
        <w:trPr>
          <w:trHeight w:val="20"/>
        </w:trPr>
        <w:tc>
          <w:tcPr>
            <w:tcW w:w="236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345"/>
        </w:trPr>
        <w:tc>
          <w:tcPr>
            <w:tcW w:w="4300" w:type="dxa"/>
            <w:vAlign w:val="bottom"/>
            <w:gridSpan w:val="5"/>
          </w:tcPr>
          <w:p>
            <w:pPr>
              <w:spacing w:after="0"/>
              <w:rPr>
                <w:sz w:val="20"/>
                <w:szCs w:val="20"/>
                <w:color w:val="auto"/>
              </w:rPr>
            </w:pPr>
            <w:r>
              <w:rPr>
                <w:rFonts w:ascii="Arial" w:cs="Arial" w:eastAsia="Arial" w:hAnsi="Arial"/>
                <w:sz w:val="18"/>
                <w:szCs w:val="18"/>
                <w:b w:val="1"/>
                <w:bCs w:val="1"/>
                <w:color w:val="auto"/>
              </w:rPr>
              <w:t>The first anniversary of the First Vesting Date</w:t>
            </w:r>
          </w:p>
        </w:tc>
        <w:tc>
          <w:tcPr>
            <w:tcW w:w="224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97"/>
              </w:rPr>
              <w:t>[1/3]</w:t>
            </w:r>
          </w:p>
        </w:tc>
      </w:tr>
      <w:tr>
        <w:trPr>
          <w:trHeight w:val="351"/>
        </w:trPr>
        <w:tc>
          <w:tcPr>
            <w:tcW w:w="4300" w:type="dxa"/>
            <w:vAlign w:val="bottom"/>
            <w:gridSpan w:val="5"/>
          </w:tcPr>
          <w:p>
            <w:pPr>
              <w:spacing w:after="0"/>
              <w:rPr>
                <w:sz w:val="20"/>
                <w:szCs w:val="20"/>
                <w:color w:val="auto"/>
              </w:rPr>
            </w:pPr>
            <w:r>
              <w:rPr>
                <w:rFonts w:ascii="Arial" w:cs="Arial" w:eastAsia="Arial" w:hAnsi="Arial"/>
                <w:sz w:val="18"/>
                <w:szCs w:val="18"/>
                <w:b w:val="1"/>
                <w:bCs w:val="1"/>
                <w:color w:val="auto"/>
              </w:rPr>
              <w:t>The second anniversary of the First Vesting Date</w:t>
            </w:r>
          </w:p>
        </w:tc>
        <w:tc>
          <w:tcPr>
            <w:tcW w:w="224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97"/>
              </w:rPr>
              <w:t>[1/3]</w:t>
            </w:r>
          </w:p>
        </w:tc>
      </w:tr>
    </w:tbl>
    <w:p>
      <w:pPr>
        <w:spacing w:after="0" w:line="200" w:lineRule="exact"/>
        <w:rPr>
          <w:sz w:val="20"/>
          <w:szCs w:val="20"/>
          <w:color w:val="auto"/>
        </w:rPr>
      </w:pPr>
    </w:p>
    <w:p>
      <w:pPr>
        <w:spacing w:after="0" w:line="366" w:lineRule="exact"/>
        <w:rPr>
          <w:sz w:val="20"/>
          <w:szCs w:val="20"/>
          <w:color w:val="auto"/>
        </w:rPr>
      </w:pPr>
    </w:p>
    <w:p>
      <w:pPr>
        <w:ind w:left="1300" w:right="20" w:firstLine="653"/>
        <w:spacing w:after="0" w:line="301" w:lineRule="auto"/>
        <w:tabs>
          <w:tab w:leader="none" w:pos="2406" w:val="left"/>
        </w:tabs>
        <w:numPr>
          <w:ilvl w:val="0"/>
          <w:numId w:val="30"/>
        </w:numPr>
        <w:rPr>
          <w:rFonts w:ascii="Arial" w:cs="Arial" w:eastAsia="Arial" w:hAnsi="Arial"/>
          <w:sz w:val="21"/>
          <w:szCs w:val="21"/>
          <w:color w:val="010000"/>
        </w:rPr>
      </w:pPr>
      <w:r>
        <w:rPr>
          <w:rFonts w:ascii="Arial" w:cs="Arial" w:eastAsia="Arial" w:hAnsi="Arial"/>
          <w:sz w:val="17"/>
          <w:szCs w:val="17"/>
          <w:color w:val="auto"/>
        </w:rPr>
        <w:t>The Performance Condition shall be satisfied as to the number of Target PSUs that have satisfied the Time-Based Condition as determined pursuant to the table below, subject to the Company’s satisfaction of the applicable level of performance.</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920" w:type="dxa"/>
            <w:vAlign w:val="bottom"/>
            <w:tcBorders>
              <w:top w:val="single" w:sz="8" w:color="auto"/>
              <w:left w:val="single" w:sz="8" w:color="auto"/>
              <w:right w:val="single" w:sz="8" w:color="auto"/>
            </w:tcBorders>
            <w:gridSpan w:val="3"/>
          </w:tcPr>
          <w:p>
            <w:pPr>
              <w:ind w:left="1140"/>
              <w:spacing w:after="0"/>
              <w:rPr>
                <w:sz w:val="20"/>
                <w:szCs w:val="20"/>
                <w:color w:val="auto"/>
              </w:rPr>
            </w:pPr>
            <w:r>
              <w:rPr>
                <w:rFonts w:ascii="Arial" w:cs="Arial" w:eastAsia="Arial" w:hAnsi="Arial"/>
                <w:sz w:val="18"/>
                <w:szCs w:val="18"/>
                <w:b w:val="1"/>
                <w:bCs w:val="1"/>
                <w:color w:val="auto"/>
              </w:rPr>
              <w:t>Level of Performance</w:t>
            </w:r>
          </w:p>
        </w:tc>
        <w:tc>
          <w:tcPr>
            <w:tcW w:w="1260" w:type="dxa"/>
            <w:vAlign w:val="bottom"/>
            <w:tcBorders>
              <w:top w:val="single" w:sz="8" w:color="auto"/>
            </w:tcBorders>
          </w:tcPr>
          <w:p>
            <w:pPr>
              <w:spacing w:after="0"/>
              <w:rPr>
                <w:sz w:val="18"/>
                <w:szCs w:val="18"/>
                <w:color w:val="auto"/>
              </w:rPr>
            </w:pPr>
          </w:p>
        </w:tc>
        <w:tc>
          <w:tcPr>
            <w:tcW w:w="25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Adjusted ROIC</w:t>
            </w:r>
          </w:p>
        </w:tc>
        <w:tc>
          <w:tcPr>
            <w:tcW w:w="3760" w:type="dxa"/>
            <w:vAlign w:val="bottom"/>
            <w:tcBorders>
              <w:top w:val="single" w:sz="8" w:color="auto"/>
              <w:right w:val="single" w:sz="8" w:color="auto"/>
            </w:tcBorders>
            <w:gridSpan w:val="7"/>
          </w:tcPr>
          <w:p>
            <w:pPr>
              <w:jc w:val="center"/>
              <w:ind w:right="40"/>
              <w:spacing w:after="0"/>
              <w:rPr>
                <w:sz w:val="20"/>
                <w:szCs w:val="20"/>
                <w:color w:val="auto"/>
              </w:rPr>
            </w:pPr>
            <w:r>
              <w:rPr>
                <w:rFonts w:ascii="Arial" w:cs="Arial" w:eastAsia="Arial" w:hAnsi="Arial"/>
                <w:sz w:val="18"/>
                <w:szCs w:val="18"/>
                <w:b w:val="1"/>
                <w:bCs w:val="1"/>
                <w:color w:val="auto"/>
                <w:w w:val="88"/>
              </w:rPr>
              <w:t>Percentage of Target PSUs that have satisfied</w:t>
            </w:r>
          </w:p>
        </w:tc>
      </w:tr>
      <w:tr>
        <w:trPr>
          <w:trHeight w:val="196"/>
        </w:trPr>
        <w:tc>
          <w:tcPr>
            <w:tcW w:w="1140" w:type="dxa"/>
            <w:vAlign w:val="bottom"/>
            <w:tcBorders>
              <w:left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100" w:type="dxa"/>
            <w:vAlign w:val="bottom"/>
            <w:tcBorders>
              <w:top w:val="single" w:sz="8" w:color="auto"/>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1"/>
              </w:rPr>
              <w:t>the Time-Based Condition for which the</w:t>
            </w:r>
          </w:p>
        </w:tc>
        <w:tc>
          <w:tcPr>
            <w:tcW w:w="180" w:type="dxa"/>
            <w:vAlign w:val="bottom"/>
            <w:tcBorders>
              <w:top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196"/>
        </w:trPr>
        <w:tc>
          <w:tcPr>
            <w:tcW w:w="1140" w:type="dxa"/>
            <w:vAlign w:val="bottom"/>
            <w:tcBorders>
              <w:lef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tcBorders>
              <w:right w:val="single" w:sz="8" w:color="auto"/>
            </w:tcBorders>
            <w:gridSpan w:val="4"/>
          </w:tcPr>
          <w:p>
            <w:pPr>
              <w:jc w:val="center"/>
              <w:ind w:right="540"/>
              <w:spacing w:after="0" w:line="196" w:lineRule="exact"/>
              <w:rPr>
                <w:sz w:val="20"/>
                <w:szCs w:val="20"/>
                <w:color w:val="auto"/>
              </w:rPr>
            </w:pPr>
            <w:r>
              <w:rPr>
                <w:rFonts w:ascii="Arial" w:cs="Arial" w:eastAsia="Arial" w:hAnsi="Arial"/>
                <w:sz w:val="18"/>
                <w:szCs w:val="18"/>
                <w:b w:val="1"/>
                <w:bCs w:val="1"/>
                <w:color w:val="auto"/>
                <w:w w:val="90"/>
              </w:rPr>
              <w:t>Performance Condition is Satisfied</w:t>
            </w:r>
          </w:p>
        </w:tc>
      </w:tr>
      <w:tr>
        <w:trPr>
          <w:trHeight w:val="453"/>
        </w:trPr>
        <w:tc>
          <w:tcPr>
            <w:tcW w:w="1140" w:type="dxa"/>
            <w:vAlign w:val="bottom"/>
            <w:tcBorders>
              <w:left w:val="single" w:sz="8" w:color="auto"/>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r>
      <w:tr>
        <w:trPr>
          <w:trHeight w:val="237"/>
        </w:trPr>
        <w:tc>
          <w:tcPr>
            <w:tcW w:w="39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Threshold</w:t>
            </w:r>
          </w:p>
        </w:tc>
        <w:tc>
          <w:tcPr>
            <w:tcW w:w="1260" w:type="dxa"/>
            <w:vAlign w:val="bottom"/>
          </w:tcPr>
          <w:p>
            <w:pPr>
              <w:jc w:val="right"/>
              <w:ind w:right="770"/>
              <w:spacing w:after="0"/>
              <w:rPr>
                <w:sz w:val="20"/>
                <w:szCs w:val="20"/>
                <w:color w:val="auto"/>
              </w:rPr>
            </w:pPr>
            <w:r>
              <w:rPr>
                <w:rFonts w:ascii="Arial" w:cs="Arial" w:eastAsia="Arial" w:hAnsi="Arial"/>
                <w:sz w:val="18"/>
                <w:szCs w:val="18"/>
                <w:color w:val="auto"/>
                <w:w w:val="94"/>
              </w:rPr>
              <w:t>[___]</w:t>
            </w:r>
          </w:p>
        </w:tc>
        <w:tc>
          <w:tcPr>
            <w:tcW w:w="122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52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[___]</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r>
      <w:tr>
        <w:trPr>
          <w:trHeight w:val="432"/>
        </w:trPr>
        <w:tc>
          <w:tcPr>
            <w:tcW w:w="1140" w:type="dxa"/>
            <w:vAlign w:val="bottom"/>
            <w:tcBorders>
              <w:left w:val="single" w:sz="8" w:color="auto"/>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r>
      <w:tr>
        <w:trPr>
          <w:trHeight w:val="237"/>
        </w:trPr>
        <w:tc>
          <w:tcPr>
            <w:tcW w:w="39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Target</w:t>
            </w:r>
          </w:p>
        </w:tc>
        <w:tc>
          <w:tcPr>
            <w:tcW w:w="1260" w:type="dxa"/>
            <w:vAlign w:val="bottom"/>
          </w:tcPr>
          <w:p>
            <w:pPr>
              <w:jc w:val="right"/>
              <w:ind w:right="770"/>
              <w:spacing w:after="0"/>
              <w:rPr>
                <w:sz w:val="20"/>
                <w:szCs w:val="20"/>
                <w:color w:val="auto"/>
              </w:rPr>
            </w:pPr>
            <w:r>
              <w:rPr>
                <w:rFonts w:ascii="Arial" w:cs="Arial" w:eastAsia="Arial" w:hAnsi="Arial"/>
                <w:sz w:val="18"/>
                <w:szCs w:val="18"/>
                <w:color w:val="auto"/>
                <w:w w:val="94"/>
              </w:rPr>
              <w:t>[___]</w:t>
            </w:r>
          </w:p>
        </w:tc>
        <w:tc>
          <w:tcPr>
            <w:tcW w:w="122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52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[___]</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r>
      <w:tr>
        <w:trPr>
          <w:trHeight w:val="432"/>
        </w:trPr>
        <w:tc>
          <w:tcPr>
            <w:tcW w:w="1140" w:type="dxa"/>
            <w:vAlign w:val="bottom"/>
            <w:tcBorders>
              <w:left w:val="single" w:sz="8" w:color="auto"/>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r>
      <w:tr>
        <w:trPr>
          <w:trHeight w:val="237"/>
        </w:trPr>
        <w:tc>
          <w:tcPr>
            <w:tcW w:w="39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Maximum</w:t>
            </w:r>
          </w:p>
        </w:tc>
        <w:tc>
          <w:tcPr>
            <w:tcW w:w="1260" w:type="dxa"/>
            <w:vAlign w:val="bottom"/>
          </w:tcPr>
          <w:p>
            <w:pPr>
              <w:jc w:val="right"/>
              <w:ind w:right="770"/>
              <w:spacing w:after="0"/>
              <w:rPr>
                <w:sz w:val="20"/>
                <w:szCs w:val="20"/>
                <w:color w:val="auto"/>
              </w:rPr>
            </w:pPr>
            <w:r>
              <w:rPr>
                <w:rFonts w:ascii="Arial" w:cs="Arial" w:eastAsia="Arial" w:hAnsi="Arial"/>
                <w:sz w:val="18"/>
                <w:szCs w:val="18"/>
                <w:color w:val="auto"/>
                <w:w w:val="94"/>
              </w:rPr>
              <w:t>[___]</w:t>
            </w:r>
          </w:p>
        </w:tc>
        <w:tc>
          <w:tcPr>
            <w:tcW w:w="122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52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[___]</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r>
      <w:tr>
        <w:trPr>
          <w:trHeight w:val="432"/>
        </w:trPr>
        <w:tc>
          <w:tcPr>
            <w:tcW w:w="1140" w:type="dxa"/>
            <w:vAlign w:val="bottom"/>
            <w:tcBorders>
              <w:left w:val="single" w:sz="8" w:color="auto"/>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1300" w:right="20"/>
        <w:spacing w:after="0" w:line="291"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3(a)(ii)</w:t>
      </w:r>
      <w:r>
        <w:rPr>
          <w:rFonts w:ascii="Arial" w:cs="Arial" w:eastAsia="Arial" w:hAnsi="Arial"/>
          <w:sz w:val="16"/>
          <w:szCs w:val="16"/>
          <w:color w:val="auto"/>
        </w:rPr>
        <w:t>, (A) the term “</w:t>
      </w:r>
      <w:r>
        <w:rPr>
          <w:rFonts w:ascii="Arial" w:cs="Arial" w:eastAsia="Arial" w:hAnsi="Arial"/>
          <w:sz w:val="16"/>
          <w:szCs w:val="16"/>
          <w:u w:val="single" w:color="auto"/>
          <w:color w:val="auto"/>
        </w:rPr>
        <w:t>Adjusted ROIC</w:t>
      </w:r>
      <w:r>
        <w:rPr>
          <w:rFonts w:ascii="Arial" w:cs="Arial" w:eastAsia="Arial" w:hAnsi="Arial"/>
          <w:sz w:val="16"/>
          <w:szCs w:val="16"/>
          <w:color w:val="auto"/>
        </w:rPr>
        <w:t>” shall mean “</w:t>
      </w:r>
      <w:r>
        <w:rPr>
          <w:rFonts w:ascii="Arial" w:cs="Arial" w:eastAsia="Arial" w:hAnsi="Arial"/>
          <w:sz w:val="16"/>
          <w:szCs w:val="16"/>
          <w:u w:val="single" w:color="auto"/>
          <w:color w:val="auto"/>
        </w:rPr>
        <w:t>Adjusted Operating Income</w:t>
      </w:r>
      <w:r>
        <w:rPr>
          <w:rFonts w:ascii="Arial" w:cs="Arial" w:eastAsia="Arial" w:hAnsi="Arial"/>
          <w:sz w:val="16"/>
          <w:szCs w:val="16"/>
          <w:color w:val="auto"/>
        </w:rPr>
        <w:t>” (defined as operating income for calendar year [____], as reported on the Company’s Statement of Consolidated Operations in its Annual Report on Form 10-K, (a)</w:t>
      </w:r>
    </w:p>
    <w:p>
      <w:pPr>
        <w:ind w:left="1300" w:right="20"/>
        <w:spacing w:after="0" w:line="281" w:lineRule="auto"/>
        <w:rPr>
          <w:sz w:val="20"/>
          <w:szCs w:val="20"/>
          <w:color w:val="auto"/>
        </w:rPr>
      </w:pPr>
      <w:r>
        <w:rPr>
          <w:rFonts w:ascii="Arial" w:cs="Arial" w:eastAsia="Arial" w:hAnsi="Arial"/>
          <w:sz w:val="16"/>
          <w:szCs w:val="16"/>
          <w:color w:val="auto"/>
        </w:rPr>
        <w:t>reduced by the dividends paid in the performance year, and (b) adjusted, positively or negatively (as appropriate), by the impact of (i) all payments, penalties, or other costs associated with compliance with California Labor Code section 226.2 as adopted in October 2015 and</w:t>
      </w:r>
    </w:p>
    <w:p>
      <w:pPr>
        <w:spacing w:after="0" w:line="1" w:lineRule="exact"/>
        <w:rPr>
          <w:sz w:val="20"/>
          <w:szCs w:val="20"/>
          <w:color w:val="auto"/>
        </w:rPr>
      </w:pPr>
    </w:p>
    <w:p>
      <w:pPr>
        <w:jc w:val="both"/>
        <w:ind w:left="1300" w:right="20" w:firstLine="5"/>
        <w:spacing w:after="0" w:line="268" w:lineRule="auto"/>
        <w:tabs>
          <w:tab w:leader="none" w:pos="1566"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non-cash items not contemplated at the time the performance goals are established by the Compensation Committee, in each case as determined by the Compensation Committee), divided by “</w:t>
      </w:r>
      <w:r>
        <w:rPr>
          <w:rFonts w:ascii="Arial" w:cs="Arial" w:eastAsia="Arial" w:hAnsi="Arial"/>
          <w:sz w:val="17"/>
          <w:szCs w:val="17"/>
          <w:u w:val="single" w:color="auto"/>
          <w:color w:val="auto"/>
        </w:rPr>
        <w:t>Total Invested Capital</w:t>
      </w:r>
      <w:r>
        <w:rPr>
          <w:rFonts w:ascii="Arial" w:cs="Arial" w:eastAsia="Arial" w:hAnsi="Arial"/>
          <w:sz w:val="17"/>
          <w:szCs w:val="17"/>
          <w:color w:val="auto"/>
        </w:rPr>
        <w:t>” as of December 31, [____] (defined as the sum of the face value of all outstanding long-term debt, the par value of all outstanding Common Stock, capital surplus from shareholders equity and the par value of all outstanding preferred stock, if any, as determined by U.S. generally accepted accounting principles), as certified by the Committee in its reasonable discretion. For the avoidance of doubt, in no event shall the Performance Condition be deemed satisfied unless Adjusted ROIC equals or exceeds the threshold level provided in the table above. To the extent that actual Adjusted ROIC is between the threshold and target levels or between the target and maximum levels described in the table above, the percentage at which the Performance Condition is satisfied shall be determined on a pro rata basis using straight line interpolation; provided that the Performance Condition shall not be satisfied and no Target PSUs</w:t>
      </w: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40"/>
          </w:cols>
          <w:pgMar w:left="240" w:top="368" w:right="219" w:bottom="1440" w:gutter="0" w:footer="0" w:header="0"/>
        </w:sectPr>
      </w:pPr>
    </w:p>
    <w:bookmarkStart w:id="29" w:name="page30"/>
    <w:bookmarkEnd w:id="29"/>
    <w:p>
      <w:pPr>
        <w:jc w:val="both"/>
        <w:ind w:left="1080"/>
        <w:spacing w:after="0" w:line="288" w:lineRule="auto"/>
        <w:rPr>
          <w:sz w:val="20"/>
          <w:szCs w:val="20"/>
          <w:color w:val="auto"/>
        </w:rPr>
      </w:pPr>
      <w:r>
        <w:rPr>
          <w:rFonts w:ascii="Arial" w:cs="Arial" w:eastAsia="Arial" w:hAnsi="Arial"/>
          <w:sz w:val="16"/>
          <w:szCs w:val="16"/>
          <w:color w:val="auto"/>
        </w:rPr>
        <w:t>shall become vested if the actual Adjusted ROIC is less than the threshold level of performance; and provided, further, that the maximum number of Target PSUs that satisfy the Performance Condition shall not exceed 200% of the Target PSUs. The Committee shall determine the level at which the Performance Condition is satisfied following the completion of calendar year [____] and on or before March 15,</w:t>
      </w:r>
    </w:p>
    <w:p>
      <w:pPr>
        <w:ind w:left="1080"/>
        <w:spacing w:after="0"/>
        <w:rPr>
          <w:sz w:val="20"/>
          <w:szCs w:val="20"/>
          <w:color w:val="auto"/>
        </w:rPr>
      </w:pPr>
      <w:r>
        <w:rPr>
          <w:rFonts w:ascii="Arial" w:cs="Arial" w:eastAsia="Arial" w:hAnsi="Arial"/>
          <w:sz w:val="18"/>
          <w:szCs w:val="18"/>
          <w:color w:val="auto"/>
        </w:rPr>
        <w:t>[____] (such date referred to herein as the “</w:t>
      </w:r>
      <w:r>
        <w:rPr>
          <w:rFonts w:ascii="Arial" w:cs="Arial" w:eastAsia="Arial" w:hAnsi="Arial"/>
          <w:sz w:val="18"/>
          <w:szCs w:val="18"/>
          <w:u w:val="single" w:color="auto"/>
          <w:color w:val="auto"/>
        </w:rPr>
        <w:t>Certification Date</w:t>
      </w:r>
      <w:r>
        <w:rPr>
          <w:rFonts w:ascii="Arial" w:cs="Arial" w:eastAsia="Arial" w:hAnsi="Arial"/>
          <w:sz w:val="18"/>
          <w:szCs w:val="18"/>
          <w:color w:val="auto"/>
        </w:rPr>
        <w:t>”).</w:t>
      </w:r>
    </w:p>
    <w:p>
      <w:pPr>
        <w:spacing w:after="0" w:line="229" w:lineRule="exact"/>
        <w:rPr>
          <w:sz w:val="20"/>
          <w:szCs w:val="20"/>
          <w:color w:val="auto"/>
        </w:rPr>
      </w:pPr>
    </w:p>
    <w:p>
      <w:pPr>
        <w:ind w:left="1520" w:hanging="435"/>
        <w:spacing w:after="0"/>
        <w:tabs>
          <w:tab w:leader="none" w:pos="1520" w:val="left"/>
        </w:tabs>
        <w:numPr>
          <w:ilvl w:val="0"/>
          <w:numId w:val="32"/>
        </w:numPr>
        <w:rPr>
          <w:rFonts w:ascii="Arial" w:cs="Arial" w:eastAsia="Arial" w:hAnsi="Arial"/>
          <w:sz w:val="22"/>
          <w:szCs w:val="22"/>
          <w:color w:val="010000"/>
        </w:rPr>
      </w:pPr>
      <w:r>
        <w:rPr>
          <w:rFonts w:ascii="Arial" w:cs="Arial" w:eastAsia="Arial" w:hAnsi="Arial"/>
          <w:sz w:val="18"/>
          <w:szCs w:val="18"/>
          <w:u w:val="single" w:color="auto"/>
          <w:color w:val="auto"/>
        </w:rPr>
        <w:t>Certain Terminations</w:t>
      </w:r>
      <w:r>
        <w:rPr>
          <w:rFonts w:ascii="Arial" w:cs="Arial" w:eastAsia="Arial" w:hAnsi="Arial"/>
          <w:sz w:val="18"/>
          <w:szCs w:val="18"/>
          <w:color w:val="auto"/>
        </w:rPr>
        <w:t>. Notwithstanding the foregoing,</w:t>
      </w:r>
    </w:p>
    <w:p>
      <w:pPr>
        <w:spacing w:after="0" w:line="255" w:lineRule="exact"/>
        <w:rPr>
          <w:rFonts w:ascii="Arial" w:cs="Arial" w:eastAsia="Arial" w:hAnsi="Arial"/>
          <w:sz w:val="22"/>
          <w:szCs w:val="22"/>
          <w:color w:val="010000"/>
        </w:rPr>
      </w:pPr>
    </w:p>
    <w:p>
      <w:pPr>
        <w:jc w:val="both"/>
        <w:ind w:left="1080" w:firstLine="653"/>
        <w:spacing w:after="0" w:line="311" w:lineRule="auto"/>
        <w:tabs>
          <w:tab w:leader="none" w:pos="2218" w:val="left"/>
        </w:tabs>
        <w:numPr>
          <w:ilvl w:val="1"/>
          <w:numId w:val="32"/>
        </w:numPr>
        <w:rPr>
          <w:rFonts w:ascii="Arial" w:cs="Arial" w:eastAsia="Arial" w:hAnsi="Arial"/>
          <w:sz w:val="21"/>
          <w:szCs w:val="21"/>
          <w:color w:val="010000"/>
        </w:rPr>
      </w:pPr>
      <w:r>
        <w:rPr>
          <w:rFonts w:ascii="Arial" w:cs="Arial" w:eastAsia="Arial" w:hAnsi="Arial"/>
          <w:sz w:val="17"/>
          <w:szCs w:val="17"/>
          <w:color w:val="auto"/>
        </w:rPr>
        <w:t xml:space="preserve">In the event of the Participant’s termination of service with the Company and its Subsidiaries pursuant to a Qualifying Termination (as defined in </w:t>
      </w:r>
      <w:r>
        <w:rPr>
          <w:rFonts w:ascii="Arial" w:cs="Arial" w:eastAsia="Arial" w:hAnsi="Arial"/>
          <w:sz w:val="17"/>
          <w:szCs w:val="17"/>
          <w:u w:val="single" w:color="auto"/>
          <w:color w:val="auto"/>
        </w:rPr>
        <w:t>Section 3(e)</w:t>
      </w:r>
      <w:r>
        <w:rPr>
          <w:rFonts w:ascii="Arial" w:cs="Arial" w:eastAsia="Arial" w:hAnsi="Arial"/>
          <w:sz w:val="17"/>
          <w:szCs w:val="17"/>
          <w:color w:val="auto"/>
        </w:rPr>
        <w:t xml:space="preserve"> below), then the Time-Based Condition shall be deemed satisfied with respect to an additional number of Target PSUs in an amount equal to the product of (A) the number of Target PSUs that would have satisfied the Time-Based Condition upon the next regularly scheduled time-based vesting date had the Participant’s service with the Company or any of its Subsidiaries continued through such time, and (B) a fraction, the numerator of which is the number of days that have elapsed since the most recent time-based vesting date prior to such Qualifying Termination (or, if the Qualifying Termination occurs prior to the First Vesting Date, since [_____]) and the denominator of which is 365. For the avoidance of doubt, in the event that such Qualifying Termination occurs prior to the Certification Date, the number of Target PSUs that satisfied the Time-Based Condition pursuant to this paragraph shall remain outstanding until the Certification Date and shall fully vest upon the Certification Date based upon the level at which the Performance Condition is satisfied at such time.</w:t>
      </w:r>
    </w:p>
    <w:p>
      <w:pPr>
        <w:spacing w:after="0" w:line="202" w:lineRule="exact"/>
        <w:rPr>
          <w:rFonts w:ascii="Arial" w:cs="Arial" w:eastAsia="Arial" w:hAnsi="Arial"/>
          <w:sz w:val="21"/>
          <w:szCs w:val="21"/>
          <w:color w:val="010000"/>
        </w:rPr>
      </w:pPr>
    </w:p>
    <w:p>
      <w:pPr>
        <w:jc w:val="both"/>
        <w:ind w:left="1080" w:firstLine="653"/>
        <w:spacing w:after="0" w:line="312" w:lineRule="auto"/>
        <w:tabs>
          <w:tab w:leader="none" w:pos="2207" w:val="left"/>
        </w:tabs>
        <w:numPr>
          <w:ilvl w:val="1"/>
          <w:numId w:val="32"/>
        </w:numPr>
        <w:rPr>
          <w:rFonts w:ascii="Arial" w:cs="Arial" w:eastAsia="Arial" w:hAnsi="Arial"/>
          <w:sz w:val="21"/>
          <w:szCs w:val="21"/>
          <w:color w:val="010000"/>
        </w:rPr>
      </w:pPr>
      <w:r>
        <w:rPr>
          <w:rFonts w:ascii="Arial" w:cs="Arial" w:eastAsia="Arial" w:hAnsi="Arial"/>
          <w:sz w:val="17"/>
          <w:szCs w:val="17"/>
          <w:color w:val="auto"/>
        </w:rPr>
        <w:t xml:space="preserve">If the Participant dies or is deemed to be “permanently and totally disabled” (as defined herein) while in the employ of the Company or any Subsidiary following the First Vesting Date, and such event terminates the Participant’s service relationship with the Company or any of its Affiliates, then the Time-Based Condition shall be deemed fully satisfied with respect to any PSUs outstanding at the time of such termination. For purposes of this </w:t>
      </w:r>
      <w:r>
        <w:rPr>
          <w:rFonts w:ascii="Arial" w:cs="Arial" w:eastAsia="Arial" w:hAnsi="Arial"/>
          <w:sz w:val="17"/>
          <w:szCs w:val="17"/>
          <w:u w:val="single" w:color="auto"/>
          <w:color w:val="auto"/>
        </w:rPr>
        <w:t>Section 3(b)(ii)</w:t>
      </w:r>
      <w:r>
        <w:rPr>
          <w:rFonts w:ascii="Arial" w:cs="Arial" w:eastAsia="Arial" w:hAnsi="Arial"/>
          <w:sz w:val="17"/>
          <w:szCs w:val="17"/>
          <w:color w:val="auto"/>
        </w:rPr>
        <w:t>, the Participant shall be considered "permanently and totally disabled" if the Participant is unable to engage in any substantial gainful activity by reason of any medically determinable physical or mental impairment that can be expected to result in death or can be expected to last for a continuous period of not less than 12 months or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Participant's employer. The existence of a permanent and total disability shall be evidenced by such medical certification as the Secretary of the Company shall require and as the Committee approves. For the avoidance of doubt, if the Participant dies or is deemed to be “permanently and totally disabled” (as defined herein) while in the employ of the Company or any Subsidiary and prior to the First Vesting Date, all PSUs shall be immediately forfeited upon such termination and the Participant shall have no further rights to such PSUs hereunder.</w:t>
      </w:r>
    </w:p>
    <w:p>
      <w:pPr>
        <w:spacing w:after="0" w:line="202" w:lineRule="exact"/>
        <w:rPr>
          <w:rFonts w:ascii="Arial" w:cs="Arial" w:eastAsia="Arial" w:hAnsi="Arial"/>
          <w:sz w:val="21"/>
          <w:szCs w:val="21"/>
          <w:color w:val="010000"/>
        </w:rPr>
      </w:pPr>
    </w:p>
    <w:p>
      <w:pPr>
        <w:jc w:val="both"/>
        <w:ind w:left="440" w:firstLine="645"/>
        <w:spacing w:after="0" w:line="334" w:lineRule="auto"/>
        <w:tabs>
          <w:tab w:leader="none" w:pos="1535" w:val="left"/>
        </w:tabs>
        <w:numPr>
          <w:ilvl w:val="0"/>
          <w:numId w:val="32"/>
        </w:numPr>
        <w:rPr>
          <w:rFonts w:ascii="Arial" w:cs="Arial" w:eastAsia="Arial" w:hAnsi="Arial"/>
          <w:sz w:val="19"/>
          <w:szCs w:val="19"/>
          <w:color w:val="010000"/>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Notwithstanding the foregoing, in the event of a Participant’s Qualifying Termination within twelve (12) months following a Change in Control, the Time-Based Condition shall be deemed fully satisfied with respect to any PSUs outstanding at such time. Furthermore, in the event that such Qualifying Termination occurs prior to December 31, [____], the Performance Condition for such Participant shall be deemed satisfied at the target level. For the avoidance of doubt, a Change in Control shall not result in the accelerated vesting of either the Time-Based Condition or the Performance Condition except as otherwise expressly provided in this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or the Plan.</w:t>
      </w:r>
    </w:p>
    <w:p>
      <w:pPr>
        <w:spacing w:after="0" w:line="184" w:lineRule="exact"/>
        <w:rPr>
          <w:rFonts w:ascii="Arial" w:cs="Arial" w:eastAsia="Arial" w:hAnsi="Arial"/>
          <w:sz w:val="19"/>
          <w:szCs w:val="19"/>
          <w:color w:val="010000"/>
        </w:rPr>
      </w:pPr>
    </w:p>
    <w:p>
      <w:pPr>
        <w:jc w:val="both"/>
        <w:ind w:left="440" w:firstLine="645"/>
        <w:spacing w:after="0" w:line="301" w:lineRule="auto"/>
        <w:tabs>
          <w:tab w:leader="none" w:pos="1520" w:val="left"/>
        </w:tabs>
        <w:numPr>
          <w:ilvl w:val="0"/>
          <w:numId w:val="32"/>
        </w:numPr>
        <w:rPr>
          <w:rFonts w:ascii="Arial" w:cs="Arial" w:eastAsia="Arial" w:hAnsi="Arial"/>
          <w:sz w:val="21"/>
          <w:szCs w:val="21"/>
          <w:color w:val="010000"/>
        </w:rPr>
      </w:pPr>
      <w:r>
        <w:rPr>
          <w:rFonts w:ascii="Arial" w:cs="Arial" w:eastAsia="Arial" w:hAnsi="Arial"/>
          <w:sz w:val="17"/>
          <w:szCs w:val="17"/>
          <w:u w:val="single" w:color="auto"/>
          <w:color w:val="auto"/>
        </w:rPr>
        <w:t>Forfeiture</w:t>
      </w:r>
      <w:r>
        <w:rPr>
          <w:rFonts w:ascii="Arial" w:cs="Arial" w:eastAsia="Arial" w:hAnsi="Arial"/>
          <w:sz w:val="17"/>
          <w:szCs w:val="17"/>
          <w:color w:val="auto"/>
        </w:rPr>
        <w:t xml:space="preserve">. All PSUs for which both the Time-Based Condition and the Performance Condition have not been satisfied, or that are not fully vested, prior to a Participant’s termination of service with the Company and its Subsidiaries for any reason (after taking into account any accelerated vesting on account of such termination as provided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3(c)</w:t>
      </w:r>
      <w:r>
        <w:rPr>
          <w:rFonts w:ascii="Arial" w:cs="Arial" w:eastAsia="Arial" w:hAnsi="Arial"/>
          <w:sz w:val="17"/>
          <w:szCs w:val="17"/>
          <w:color w:val="auto"/>
        </w:rPr>
        <w:t>) shall be immediately forfeited upon such</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460" w:top="368" w:right="239" w:bottom="1440" w:gutter="0" w:footer="0" w:header="0"/>
        </w:sectPr>
      </w:pPr>
    </w:p>
    <w:bookmarkStart w:id="30" w:name="page31"/>
    <w:bookmarkEnd w:id="30"/>
    <w:p>
      <w:pPr>
        <w:jc w:val="both"/>
        <w:ind w:left="440"/>
        <w:spacing w:after="0" w:line="255" w:lineRule="auto"/>
        <w:rPr>
          <w:sz w:val="20"/>
          <w:szCs w:val="20"/>
          <w:color w:val="auto"/>
        </w:rPr>
      </w:pPr>
      <w:r>
        <w:rPr>
          <w:rFonts w:ascii="Arial" w:cs="Arial" w:eastAsia="Arial" w:hAnsi="Arial"/>
          <w:sz w:val="18"/>
          <w:szCs w:val="18"/>
          <w:color w:val="auto"/>
        </w:rPr>
        <w:t xml:space="preserve">termination and the Participant shall have no further rights to such PSUs hereunder, provided, however, that in the event of the Participant’s termination following the First Vesting Date (or, if earlier, pursuant to a Qualifying Termination as provided in </w:t>
      </w:r>
      <w:r>
        <w:rPr>
          <w:rFonts w:ascii="Arial" w:cs="Arial" w:eastAsia="Arial" w:hAnsi="Arial"/>
          <w:sz w:val="18"/>
          <w:szCs w:val="18"/>
          <w:u w:val="single" w:color="auto"/>
          <w:color w:val="auto"/>
        </w:rPr>
        <w:t>Section 3(b)</w:t>
      </w:r>
      <w:r>
        <w:rPr>
          <w:rFonts w:ascii="Arial" w:cs="Arial" w:eastAsia="Arial" w:hAnsi="Arial"/>
          <w:sz w:val="18"/>
          <w:szCs w:val="18"/>
          <w:color w:val="auto"/>
        </w:rPr>
        <w:t>) but prior to the Certification Date, the PSUs that satisfied the Time-Based Condition shall remain outstanding until the Certification Date and have the opportunity to satisfy the Performance Condition upon the Certification Date, to the extent that Performance Conditions are satisfied. The number of PSUs that do not satisfy the Performance Condition as of the Certification Date shall immediately expire upon the Certification Date and the Participant shall have no further rights hereunder.</w:t>
      </w:r>
    </w:p>
    <w:p>
      <w:pPr>
        <w:spacing w:after="0" w:line="211" w:lineRule="exact"/>
        <w:rPr>
          <w:sz w:val="20"/>
          <w:szCs w:val="20"/>
          <w:color w:val="auto"/>
        </w:rPr>
      </w:pPr>
    </w:p>
    <w:p>
      <w:pPr>
        <w:ind w:left="1500" w:hanging="415"/>
        <w:spacing w:after="0"/>
        <w:tabs>
          <w:tab w:leader="none" w:pos="1500" w:val="left"/>
        </w:tabs>
        <w:numPr>
          <w:ilvl w:val="0"/>
          <w:numId w:val="33"/>
        </w:numPr>
        <w:rPr>
          <w:rFonts w:ascii="Arial" w:cs="Arial" w:eastAsia="Arial" w:hAnsi="Arial"/>
          <w:sz w:val="22"/>
          <w:szCs w:val="22"/>
          <w:color w:val="010000"/>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terms shall have the meanings provided below:</w:t>
      </w:r>
    </w:p>
    <w:p>
      <w:pPr>
        <w:spacing w:after="0" w:line="255" w:lineRule="exact"/>
        <w:rPr>
          <w:rFonts w:ascii="Arial" w:cs="Arial" w:eastAsia="Arial" w:hAnsi="Arial"/>
          <w:sz w:val="22"/>
          <w:szCs w:val="22"/>
          <w:color w:val="010000"/>
        </w:rPr>
      </w:pPr>
    </w:p>
    <w:p>
      <w:pPr>
        <w:jc w:val="both"/>
        <w:ind w:left="1080" w:firstLine="653"/>
        <w:spacing w:after="0" w:line="292" w:lineRule="auto"/>
        <w:tabs>
          <w:tab w:leader="none" w:pos="2139" w:val="left"/>
        </w:tabs>
        <w:numPr>
          <w:ilvl w:val="1"/>
          <w:numId w:val="33"/>
        </w:numPr>
        <w:rPr>
          <w:rFonts w:ascii="Arial" w:cs="Arial" w:eastAsia="Arial" w:hAnsi="Arial"/>
          <w:sz w:val="22"/>
          <w:szCs w:val="22"/>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(i) the Participant’s willful misconduct or gross negligence in the performance of the Participant’s duties to the Company; (ii) the Participant’s continued refusal to substantially perform the Participant’s material duties to the Company or to follow the lawful directives of the Company’s Board of Directors (other than as a result of death or physical or mental incapacity) that continues after written notice from the Company; (iii) the Participant’s indictment for, conviction of, or pleading of guilty or nolo contendere to, a felony or any crime involving moral turpitude; (iv) the Participant’s performance of any material act of theft, embezzlement, fraud, malfeasance, dishonesty or misappropriation of the Company’s property; or (v) material breach of this Agreement or any other agreement with the Company, or a material violation of the Company’s code of conduct or other written policy that is not cured within ten (10) days of notice from the Company.</w:t>
      </w:r>
    </w:p>
    <w:p>
      <w:pPr>
        <w:spacing w:after="0" w:line="189" w:lineRule="exact"/>
        <w:rPr>
          <w:rFonts w:ascii="Arial" w:cs="Arial" w:eastAsia="Arial" w:hAnsi="Arial"/>
          <w:sz w:val="22"/>
          <w:szCs w:val="22"/>
          <w:color w:val="010000"/>
        </w:rPr>
      </w:pPr>
    </w:p>
    <w:p>
      <w:pPr>
        <w:ind w:left="2180" w:hanging="447"/>
        <w:spacing w:after="0"/>
        <w:tabs>
          <w:tab w:leader="none" w:pos="2180" w:val="left"/>
        </w:tabs>
        <w:numPr>
          <w:ilvl w:val="1"/>
          <w:numId w:val="33"/>
        </w:numPr>
        <w:rPr>
          <w:rFonts w:ascii="Arial" w:cs="Arial" w:eastAsia="Arial" w:hAnsi="Arial"/>
          <w:sz w:val="22"/>
          <w:szCs w:val="22"/>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the occurrence of one of the following:</w:t>
      </w:r>
    </w:p>
    <w:p>
      <w:pPr>
        <w:spacing w:after="0" w:line="255" w:lineRule="exact"/>
        <w:rPr>
          <w:rFonts w:ascii="Arial" w:cs="Arial" w:eastAsia="Arial" w:hAnsi="Arial"/>
          <w:sz w:val="22"/>
          <w:szCs w:val="22"/>
          <w:color w:val="010000"/>
        </w:rPr>
      </w:pPr>
    </w:p>
    <w:p>
      <w:pPr>
        <w:jc w:val="both"/>
        <w:ind w:left="1740" w:firstLine="641"/>
        <w:spacing w:after="0" w:line="310" w:lineRule="auto"/>
        <w:tabs>
          <w:tab w:leader="none" w:pos="2834" w:val="left"/>
        </w:tabs>
        <w:numPr>
          <w:ilvl w:val="2"/>
          <w:numId w:val="33"/>
        </w:numPr>
        <w:rPr>
          <w:rFonts w:ascii="Arial" w:cs="Arial" w:eastAsia="Arial" w:hAnsi="Arial"/>
          <w:sz w:val="21"/>
          <w:szCs w:val="21"/>
          <w:color w:val="010000"/>
        </w:rPr>
      </w:pPr>
      <w:r>
        <w:rPr>
          <w:rFonts w:ascii="Arial" w:cs="Arial" w:eastAsia="Arial" w:hAnsi="Arial"/>
          <w:sz w:val="17"/>
          <w:szCs w:val="17"/>
          <w:color w:val="auto"/>
        </w:rPr>
        <w:t>any “person,” as such term is used in Sections 13(d) and 14(d)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(other than the Company, any trustee or other fiduciary holding securities under any employee benefit plan of the Company or any company owned, directly or indirectly, by the stockholders of the Company in substantially the same proportions as their ownership of Common Stock of the Company (“</w:t>
      </w:r>
      <w:r>
        <w:rPr>
          <w:rFonts w:ascii="Arial" w:cs="Arial" w:eastAsia="Arial" w:hAnsi="Arial"/>
          <w:sz w:val="17"/>
          <w:szCs w:val="17"/>
          <w:u w:val="single" w:color="auto"/>
          <w:color w:val="auto"/>
        </w:rPr>
        <w:t>Excluded Persons</w:t>
      </w:r>
      <w:r>
        <w:rPr>
          <w:rFonts w:ascii="Arial" w:cs="Arial" w:eastAsia="Arial" w:hAnsi="Arial"/>
          <w:sz w:val="17"/>
          <w:szCs w:val="17"/>
          <w:color w:val="auto"/>
        </w:rPr>
        <w:t>”)) becoming the beneficial owner (as defined in Rule 13d-3 under the Exchange Act), directly or indirectly, of securities of the Company representing 50% or more of the combined voting power of the Company’s then outstanding securities, excluding an acquisition pursuant to a Business Transaction (as defined below) that does not constitute a “Change in Control” thereunder;</w:t>
      </w:r>
    </w:p>
    <w:p>
      <w:pPr>
        <w:spacing w:after="0" w:line="198" w:lineRule="exact"/>
        <w:rPr>
          <w:rFonts w:ascii="Arial" w:cs="Arial" w:eastAsia="Arial" w:hAnsi="Arial"/>
          <w:sz w:val="21"/>
          <w:szCs w:val="21"/>
          <w:color w:val="010000"/>
        </w:rPr>
      </w:pPr>
    </w:p>
    <w:p>
      <w:pPr>
        <w:jc w:val="both"/>
        <w:ind w:left="1740" w:firstLine="641"/>
        <w:spacing w:after="0" w:line="310" w:lineRule="auto"/>
        <w:tabs>
          <w:tab w:leader="none" w:pos="2859" w:val="left"/>
        </w:tabs>
        <w:numPr>
          <w:ilvl w:val="2"/>
          <w:numId w:val="33"/>
        </w:numPr>
        <w:rPr>
          <w:rFonts w:ascii="Arial" w:cs="Arial" w:eastAsia="Arial" w:hAnsi="Arial"/>
          <w:sz w:val="21"/>
          <w:szCs w:val="21"/>
          <w:color w:val="010000"/>
        </w:rPr>
      </w:pPr>
      <w:r>
        <w:rPr>
          <w:rFonts w:ascii="Arial" w:cs="Arial" w:eastAsia="Arial" w:hAnsi="Arial"/>
          <w:sz w:val="17"/>
          <w:szCs w:val="17"/>
          <w:color w:val="auto"/>
        </w:rPr>
        <w:t>during any period of two consecutive years, individuals who at the beginning of such period constitute the Board, and any new director (other than a director whose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 whose election by the Board or nomination for election by the Company’s stockholders was approved by a vote of at least two thirds of the directors then still in office who either were directors at the beginning of the two year period or whose election or nomination for election was previously so approved, cease for any reason to constitute at least a majority of the Board;</w:t>
      </w:r>
    </w:p>
    <w:p>
      <w:pPr>
        <w:spacing w:after="0" w:line="198" w:lineRule="exact"/>
        <w:rPr>
          <w:rFonts w:ascii="Arial" w:cs="Arial" w:eastAsia="Arial" w:hAnsi="Arial"/>
          <w:sz w:val="21"/>
          <w:szCs w:val="21"/>
          <w:color w:val="010000"/>
        </w:rPr>
      </w:pPr>
    </w:p>
    <w:p>
      <w:pPr>
        <w:jc w:val="both"/>
        <w:ind w:left="1740" w:firstLine="641"/>
        <w:spacing w:after="0" w:line="288" w:lineRule="auto"/>
        <w:tabs>
          <w:tab w:leader="none" w:pos="2944" w:val="left"/>
        </w:tabs>
        <w:numPr>
          <w:ilvl w:val="2"/>
          <w:numId w:val="33"/>
        </w:numPr>
        <w:rPr>
          <w:rFonts w:ascii="Arial" w:cs="Arial" w:eastAsia="Arial" w:hAnsi="Arial"/>
          <w:sz w:val="22"/>
          <w:szCs w:val="22"/>
          <w:color w:val="010000"/>
        </w:rPr>
      </w:pPr>
      <w:r>
        <w:rPr>
          <w:rFonts w:ascii="Arial" w:cs="Arial" w:eastAsia="Arial" w:hAnsi="Arial"/>
          <w:sz w:val="18"/>
          <w:szCs w:val="18"/>
          <w:color w:val="auto"/>
        </w:rPr>
        <w:t>a merger or consolidation of the Company or any direct or indirect subsidiary of the Company (a “</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with any other entity,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its successor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460" w:top="368" w:right="239" w:bottom="1440" w:gutter="0" w:footer="0" w:header="0"/>
        </w:sectPr>
      </w:pPr>
    </w:p>
    <w:bookmarkStart w:id="31" w:name="page32"/>
    <w:bookmarkEnd w:id="31"/>
    <w:p>
      <w:pPr>
        <w:jc w:val="both"/>
        <w:ind w:left="1952"/>
        <w:spacing w:after="0" w:line="279" w:lineRule="auto"/>
        <w:rPr>
          <w:sz w:val="20"/>
          <w:szCs w:val="20"/>
          <w:color w:val="auto"/>
        </w:rPr>
      </w:pPr>
      <w:r>
        <w:rPr>
          <w:rFonts w:ascii="Arial" w:cs="Arial" w:eastAsia="Arial" w:hAnsi="Arial"/>
          <w:sz w:val="17"/>
          <w:szCs w:val="17"/>
          <w:color w:val="auto"/>
        </w:rPr>
        <w:t>(or the ultimate parent company of the Company or its successor) outstanding immediately after such merger or consolidation; provided, however, that a merger or consolidation effected to implement a recapitalization of the Company (or similar transaction) in which no person (other than Excluded Persons) acquires more than 50% of the combined voting power of the Company’s then outstanding securities shall not constitute a Change in Control of the Company; or</w:t>
      </w:r>
    </w:p>
    <w:p>
      <w:pPr>
        <w:spacing w:after="0" w:line="212" w:lineRule="exact"/>
        <w:rPr>
          <w:sz w:val="20"/>
          <w:szCs w:val="20"/>
          <w:color w:val="auto"/>
        </w:rPr>
      </w:pPr>
    </w:p>
    <w:p>
      <w:pPr>
        <w:jc w:val="both"/>
        <w:ind w:left="1952" w:firstLine="641"/>
        <w:spacing w:after="0" w:line="334" w:lineRule="auto"/>
        <w:tabs>
          <w:tab w:leader="none" w:pos="3044" w:val="left"/>
        </w:tabs>
        <w:numPr>
          <w:ilvl w:val="3"/>
          <w:numId w:val="34"/>
        </w:numPr>
        <w:rPr>
          <w:rFonts w:ascii="Arial" w:cs="Arial" w:eastAsia="Arial" w:hAnsi="Arial"/>
          <w:sz w:val="19"/>
          <w:szCs w:val="19"/>
          <w:color w:val="010000"/>
        </w:rPr>
      </w:pPr>
      <w:r>
        <w:rPr>
          <w:rFonts w:ascii="Arial" w:cs="Arial" w:eastAsia="Arial" w:hAnsi="Arial"/>
          <w:sz w:val="16"/>
          <w:szCs w:val="16"/>
          <w:color w:val="auto"/>
        </w:rPr>
        <w:t>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 (or to an entity controlled by such person or persons).</w:t>
      </w:r>
    </w:p>
    <w:p>
      <w:pPr>
        <w:spacing w:after="0" w:line="183" w:lineRule="exact"/>
        <w:rPr>
          <w:rFonts w:ascii="Arial" w:cs="Arial" w:eastAsia="Arial" w:hAnsi="Arial"/>
          <w:sz w:val="19"/>
          <w:szCs w:val="19"/>
          <w:color w:val="010000"/>
        </w:rPr>
      </w:pPr>
    </w:p>
    <w:p>
      <w:pPr>
        <w:jc w:val="both"/>
        <w:ind w:left="1292" w:firstLine="653"/>
        <w:spacing w:after="0" w:line="311" w:lineRule="auto"/>
        <w:tabs>
          <w:tab w:leader="none" w:pos="2512" w:val="left"/>
        </w:tabs>
        <w:numPr>
          <w:ilvl w:val="2"/>
          <w:numId w:val="35"/>
        </w:numPr>
        <w:rPr>
          <w:rFonts w:ascii="Arial" w:cs="Arial" w:eastAsia="Arial" w:hAnsi="Arial"/>
          <w:sz w:val="21"/>
          <w:szCs w:val="21"/>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the occurrence of any of the following events: (i) reduction in Participant’s base salary or target bonus, (ii) any material diminution in Participant’s titles, duties or responsibilities or the assignment to Participant of duties or responsibilities that materially impairs Participant’s ability to perform the duties or responsibilities then assigned to the Participant or normally assigned to someone in the Participant’s role of an enterprise of the size and structure of the Company, (iii) the assignment of duties to the Participant that are materially inconsistent with the Participant’s position with the Company, or (iv) a material breach of this Agreement or any other material, written agreement with Participant. For purposes of this Agreement, Participant shall have Good Reason to terminate employment if, within thirty (30) days after Participant knows (or has reason to know) of the occurrence of any of the events described above, Participant provides written notice requesting cure to the Board of such events, and the Board fails to cure, if curable, such events within thirty (30) days following receipt of such notice, and the Participant actually terminates employment within ninety (90) days following the expiration of such cure period.</w:t>
      </w:r>
    </w:p>
    <w:p>
      <w:pPr>
        <w:spacing w:after="0" w:line="202" w:lineRule="exact"/>
        <w:rPr>
          <w:rFonts w:ascii="Arial" w:cs="Arial" w:eastAsia="Arial" w:hAnsi="Arial"/>
          <w:sz w:val="21"/>
          <w:szCs w:val="21"/>
          <w:color w:val="010000"/>
        </w:rPr>
      </w:pPr>
    </w:p>
    <w:p>
      <w:pPr>
        <w:ind w:left="1292" w:firstLine="653"/>
        <w:spacing w:after="0" w:line="271" w:lineRule="auto"/>
        <w:tabs>
          <w:tab w:leader="none" w:pos="2608" w:val="left"/>
        </w:tabs>
        <w:numPr>
          <w:ilvl w:val="2"/>
          <w:numId w:val="35"/>
        </w:numPr>
        <w:rPr>
          <w:rFonts w:ascii="Arial" w:cs="Arial" w:eastAsia="Arial" w:hAnsi="Arial"/>
          <w:sz w:val="22"/>
          <w:szCs w:val="22"/>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means a termination of the Participant’s service by the Company without “Cause” or a termination of the Participant’s service by the Participant for Good Reason</w:t>
      </w:r>
      <w:r>
        <w:rPr>
          <w:rFonts w:ascii="Arial" w:cs="Arial" w:eastAsia="Arial" w:hAnsi="Arial"/>
          <w:sz w:val="18"/>
          <w:szCs w:val="18"/>
          <w:b w:val="1"/>
          <w:bCs w:val="1"/>
          <w:color w:val="auto"/>
        </w:rPr>
        <w:t>.</w:t>
      </w:r>
    </w:p>
    <w:p>
      <w:pPr>
        <w:spacing w:after="0" w:line="219" w:lineRule="exact"/>
        <w:rPr>
          <w:rFonts w:ascii="Arial" w:cs="Arial" w:eastAsia="Arial" w:hAnsi="Arial"/>
          <w:sz w:val="22"/>
          <w:szCs w:val="22"/>
          <w:color w:val="010000"/>
        </w:rPr>
      </w:pPr>
    </w:p>
    <w:p>
      <w:pPr>
        <w:jc w:val="both"/>
        <w:ind w:left="-8" w:firstLine="656"/>
        <w:spacing w:after="0" w:line="325" w:lineRule="auto"/>
        <w:tabs>
          <w:tab w:leader="none" w:pos="1009" w:val="left"/>
        </w:tabs>
        <w:numPr>
          <w:ilvl w:val="1"/>
          <w:numId w:val="36"/>
        </w:numPr>
        <w:rPr>
          <w:rFonts w:ascii="Arial" w:cs="Arial" w:eastAsia="Arial" w:hAnsi="Arial"/>
          <w:sz w:val="19"/>
          <w:szCs w:val="19"/>
          <w:color w:val="010000"/>
        </w:rPr>
      </w:pPr>
      <w:r>
        <w:rPr>
          <w:rFonts w:ascii="Arial" w:cs="Arial" w:eastAsia="Arial" w:hAnsi="Arial"/>
          <w:sz w:val="16"/>
          <w:szCs w:val="16"/>
          <w:b w:val="1"/>
          <w:bCs w:val="1"/>
          <w:u w:val="single" w:color="auto"/>
          <w:color w:val="auto"/>
        </w:rPr>
        <w:t>Delivery of Cash for Vested PSUs</w:t>
      </w:r>
      <w:r>
        <w:rPr>
          <w:rFonts w:ascii="Arial" w:cs="Arial" w:eastAsia="Arial" w:hAnsi="Arial"/>
          <w:sz w:val="16"/>
          <w:szCs w:val="16"/>
          <w:color w:val="auto"/>
        </w:rPr>
        <w:t>. Following the satisfaction of both the Time-Based Condition and the Performance Condition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any part of the PSUs granted hereunder, the Participant shall receive an amount of cash equal to the Fair Market Value of the number of shares of Common Stock that correspond to the number of such PSUs, which shall be delivered within five (5) business days of the satisfaction of both conditions, and, for purposes of compliance with Section 409A of the Code, in no event later than March 15 of the calendar year following the calendar year in which or with respect to which both the Time-Based Condition and the Performance Condition for such PSU is satisfied. The amount of cash delivered shall be based upon the Fair Market Value of a share of Common Stock as of the later of the (y) the date that the applicable tranche of RSUs satisfies the Time-Based Condition or</w:t>
      </w:r>
    </w:p>
    <w:p>
      <w:pPr>
        <w:spacing w:after="0" w:line="1" w:lineRule="exact"/>
        <w:rPr>
          <w:rFonts w:ascii="Arial" w:cs="Arial" w:eastAsia="Arial" w:hAnsi="Arial"/>
          <w:sz w:val="19"/>
          <w:szCs w:val="19"/>
          <w:color w:val="010000"/>
        </w:rPr>
      </w:pPr>
    </w:p>
    <w:p>
      <w:pPr>
        <w:ind w:left="-8" w:firstLine="8"/>
        <w:spacing w:after="0" w:line="324" w:lineRule="auto"/>
        <w:tabs>
          <w:tab w:leader="none" w:pos="2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Certification Date. For the avoidance of doubt, the portion of the PSUs that have satisfied both the Time-Based Condition and the Performance Condition as of the Certification Date shall be settled with the applicable amount of cash no later than March 15, [____].</w:t>
      </w:r>
    </w:p>
    <w:p>
      <w:pPr>
        <w:spacing w:after="0" w:line="179" w:lineRule="exact"/>
        <w:rPr>
          <w:rFonts w:ascii="Arial" w:cs="Arial" w:eastAsia="Arial" w:hAnsi="Arial"/>
          <w:sz w:val="18"/>
          <w:szCs w:val="18"/>
          <w:color w:val="auto"/>
        </w:rPr>
      </w:pPr>
    </w:p>
    <w:p>
      <w:pPr>
        <w:ind w:left="-8" w:firstLine="656"/>
        <w:spacing w:after="0" w:line="276" w:lineRule="auto"/>
        <w:tabs>
          <w:tab w:leader="none" w:pos="1063" w:val="left"/>
        </w:tabs>
        <w:numPr>
          <w:ilvl w:val="1"/>
          <w:numId w:val="37"/>
        </w:numPr>
        <w:rPr>
          <w:rFonts w:ascii="Arial" w:cs="Arial" w:eastAsia="Arial" w:hAnsi="Arial"/>
          <w:sz w:val="22"/>
          <w:szCs w:val="22"/>
          <w:color w:val="010000"/>
        </w:rPr>
      </w:pPr>
      <w:r>
        <w:rPr>
          <w:rFonts w:ascii="Arial" w:cs="Arial" w:eastAsia="Arial" w:hAnsi="Arial"/>
          <w:sz w:val="18"/>
          <w:szCs w:val="18"/>
          <w:b w:val="1"/>
          <w:bCs w:val="1"/>
          <w:u w:val="single" w:color="auto"/>
          <w:color w:val="auto"/>
        </w:rPr>
        <w:t>No Rights as Stockholder</w:t>
      </w:r>
      <w:r>
        <w:rPr>
          <w:rFonts w:ascii="Arial" w:cs="Arial" w:eastAsia="Arial" w:hAnsi="Arial"/>
          <w:sz w:val="18"/>
          <w:szCs w:val="18"/>
          <w:color w:val="auto"/>
        </w:rPr>
        <w:t>. The Participant shall have no rights as a stockholder (including, without limitation, voting rights and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with respect to any shares of Common Stock covered by any PSU.</w:t>
      </w:r>
    </w:p>
    <w:p>
      <w:pPr>
        <w:spacing w:after="0" w:line="213" w:lineRule="exact"/>
        <w:rPr>
          <w:rFonts w:ascii="Arial" w:cs="Arial" w:eastAsia="Arial" w:hAnsi="Arial"/>
          <w:sz w:val="22"/>
          <w:szCs w:val="22"/>
          <w:color w:val="010000"/>
        </w:rPr>
      </w:pPr>
    </w:p>
    <w:p>
      <w:pPr>
        <w:jc w:val="both"/>
        <w:ind w:left="-8" w:firstLine="656"/>
        <w:spacing w:after="0" w:line="336" w:lineRule="auto"/>
        <w:tabs>
          <w:tab w:leader="none" w:pos="982" w:val="left"/>
        </w:tabs>
        <w:numPr>
          <w:ilvl w:val="1"/>
          <w:numId w:val="37"/>
        </w:numPr>
        <w:rPr>
          <w:rFonts w:ascii="Arial" w:cs="Arial" w:eastAsia="Arial" w:hAnsi="Arial"/>
          <w:sz w:val="19"/>
          <w:szCs w:val="19"/>
          <w:color w:val="010000"/>
        </w:rPr>
      </w:pPr>
      <w:r>
        <w:rPr>
          <w:rFonts w:ascii="Arial" w:cs="Arial" w:eastAsia="Arial" w:hAnsi="Arial"/>
          <w:sz w:val="16"/>
          <w:szCs w:val="16"/>
          <w:b w:val="1"/>
          <w:bCs w:val="1"/>
          <w:u w:val="single" w:color="auto"/>
          <w:color w:val="auto"/>
        </w:rPr>
        <w:t>Non-Transferability</w:t>
      </w:r>
      <w:r>
        <w:rPr>
          <w:rFonts w:ascii="Arial" w:cs="Arial" w:eastAsia="Arial" w:hAnsi="Arial"/>
          <w:sz w:val="16"/>
          <w:szCs w:val="16"/>
          <w:color w:val="auto"/>
        </w:rPr>
        <w:t>. No portion of the PSUs may be sold, assigned, transferred, encumbered, hypothecated or pledged by the Participant,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to the Company as a result of forfeiture of the PSUs as provided herein, unless and until payment is made in respect of vested PSUs in accordance with the provisions hereof and the Participant has become the holder of record of the vested shares of Common Stock issuable hereunder.</w:t>
      </w:r>
    </w:p>
    <w:p>
      <w:pPr>
        <w:spacing w:after="0" w:line="391" w:lineRule="exact"/>
        <w:rPr>
          <w:sz w:val="20"/>
          <w:szCs w:val="20"/>
          <w:color w:val="auto"/>
        </w:rPr>
      </w:pPr>
    </w:p>
    <w:p>
      <w:pPr>
        <w:ind w:left="2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12"/>
          </w:cols>
          <w:pgMar w:left="248" w:top="368" w:right="239" w:bottom="1440" w:gutter="0" w:footer="0" w:header="0"/>
        </w:sectPr>
      </w:pPr>
    </w:p>
    <w:bookmarkStart w:id="32" w:name="page33"/>
    <w:bookmarkEnd w:id="32"/>
    <w:p>
      <w:pPr>
        <w:ind w:left="-220" w:firstLine="656"/>
        <w:spacing w:after="0" w:line="276" w:lineRule="auto"/>
        <w:tabs>
          <w:tab w:leader="none" w:pos="770" w:val="left"/>
        </w:tabs>
        <w:numPr>
          <w:ilvl w:val="0"/>
          <w:numId w:val="38"/>
        </w:numPr>
        <w:rPr>
          <w:rFonts w:ascii="Arial" w:cs="Arial" w:eastAsia="Arial" w:hAnsi="Arial"/>
          <w:sz w:val="22"/>
          <w:szCs w:val="22"/>
          <w:color w:val="010000"/>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All questions concerning the construction, validity and interpretation of this Agreement shall be governed by, and construed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State of Delaware, without regard to the choice of law principles thereof.</w:t>
      </w:r>
    </w:p>
    <w:p>
      <w:pPr>
        <w:spacing w:after="0" w:line="213" w:lineRule="exact"/>
        <w:rPr>
          <w:rFonts w:ascii="Arial" w:cs="Arial" w:eastAsia="Arial" w:hAnsi="Arial"/>
          <w:sz w:val="22"/>
          <w:szCs w:val="22"/>
          <w:color w:val="010000"/>
        </w:rPr>
      </w:pPr>
    </w:p>
    <w:p>
      <w:pPr>
        <w:jc w:val="both"/>
        <w:ind w:left="-220" w:firstLine="656"/>
        <w:spacing w:after="0" w:line="306" w:lineRule="auto"/>
        <w:tabs>
          <w:tab w:leader="none" w:pos="770" w:val="left"/>
        </w:tabs>
        <w:numPr>
          <w:ilvl w:val="0"/>
          <w:numId w:val="38"/>
        </w:numPr>
        <w:rPr>
          <w:rFonts w:ascii="Arial" w:cs="Arial" w:eastAsia="Arial" w:hAnsi="Arial"/>
          <w:sz w:val="21"/>
          <w:szCs w:val="21"/>
          <w:color w:val="010000"/>
        </w:rPr>
      </w:pP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To the extent the Participant has taxable income in connection with the grant, vesting or payment of the PSUs or the delivery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the Company is authorized to withhold from any compensation payable to Participant, including shares of Common Stock that the Company is to deliver to the Participant, or require the Participant to remit to the Company any taxes required to be withheld by foreign, federal, state, provincial or local law. By executing this Agreement, the Participant authorizes the Company to withhold any applicable taxes.</w:t>
      </w:r>
    </w:p>
    <w:p>
      <w:pPr>
        <w:spacing w:after="0" w:line="200" w:lineRule="exact"/>
        <w:rPr>
          <w:rFonts w:ascii="Arial" w:cs="Arial" w:eastAsia="Arial" w:hAnsi="Arial"/>
          <w:sz w:val="21"/>
          <w:szCs w:val="21"/>
          <w:color w:val="010000"/>
        </w:rPr>
      </w:pPr>
    </w:p>
    <w:p>
      <w:pPr>
        <w:ind w:left="-220" w:firstLine="656"/>
        <w:spacing w:after="0" w:line="276" w:lineRule="auto"/>
        <w:tabs>
          <w:tab w:leader="none" w:pos="797" w:val="left"/>
        </w:tabs>
        <w:numPr>
          <w:ilvl w:val="0"/>
          <w:numId w:val="38"/>
        </w:numPr>
        <w:rPr>
          <w:rFonts w:ascii="Arial" w:cs="Arial" w:eastAsia="Arial" w:hAnsi="Arial"/>
          <w:sz w:val="22"/>
          <w:szCs w:val="22"/>
          <w:color w:val="010000"/>
        </w:rPr>
      </w:pPr>
      <w:r>
        <w:rPr>
          <w:rFonts w:ascii="Arial" w:cs="Arial" w:eastAsia="Arial" w:hAnsi="Arial"/>
          <w:sz w:val="18"/>
          <w:szCs w:val="18"/>
          <w:b w:val="1"/>
          <w:bCs w:val="1"/>
          <w:u w:val="single" w:color="auto"/>
          <w:color w:val="auto"/>
        </w:rPr>
        <w:t>Securities Representations</w:t>
      </w:r>
      <w:r>
        <w:rPr>
          <w:rFonts w:ascii="Arial" w:cs="Arial" w:eastAsia="Arial" w:hAnsi="Arial"/>
          <w:sz w:val="18"/>
          <w:szCs w:val="18"/>
          <w:color w:val="auto"/>
        </w:rPr>
        <w:t>. This Agreement is being entered into by the Company in reliance upon the following express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of the Participant. The Participant hereby acknowledges, represents and warrants that:</w:t>
      </w:r>
    </w:p>
    <w:p>
      <w:pPr>
        <w:spacing w:after="0" w:line="217" w:lineRule="exact"/>
        <w:rPr>
          <w:rFonts w:ascii="Arial" w:cs="Arial" w:eastAsia="Arial" w:hAnsi="Arial"/>
          <w:sz w:val="22"/>
          <w:szCs w:val="22"/>
          <w:color w:val="010000"/>
        </w:rPr>
      </w:pPr>
    </w:p>
    <w:p>
      <w:pPr>
        <w:jc w:val="both"/>
        <w:ind w:left="440" w:firstLine="645"/>
        <w:spacing w:after="0" w:line="280" w:lineRule="auto"/>
        <w:tabs>
          <w:tab w:leader="none" w:pos="1515" w:val="left"/>
        </w:tabs>
        <w:numPr>
          <w:ilvl w:val="1"/>
          <w:numId w:val="38"/>
        </w:numPr>
        <w:rPr>
          <w:rFonts w:ascii="Arial" w:cs="Arial" w:eastAsia="Arial" w:hAnsi="Arial"/>
          <w:sz w:val="22"/>
          <w:szCs w:val="22"/>
          <w:color w:val="010000"/>
        </w:rPr>
      </w:pPr>
      <w:r>
        <w:rPr>
          <w:rFonts w:ascii="Arial" w:cs="Arial" w:eastAsia="Arial" w:hAnsi="Arial"/>
          <w:sz w:val="18"/>
          <w:szCs w:val="18"/>
          <w:color w:val="auto"/>
        </w:rPr>
        <w:t>The Participant has been advised that the Participant may be an “affiliate” within the meaning of Rule 144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and in this connection the Company is relying in part on the Participant’s representations set forth in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221" w:lineRule="exact"/>
        <w:rPr>
          <w:rFonts w:ascii="Arial" w:cs="Arial" w:eastAsia="Arial" w:hAnsi="Arial"/>
          <w:sz w:val="22"/>
          <w:szCs w:val="22"/>
          <w:color w:val="010000"/>
        </w:rPr>
      </w:pPr>
    </w:p>
    <w:p>
      <w:pPr>
        <w:jc w:val="both"/>
        <w:ind w:left="440" w:firstLine="645"/>
        <w:spacing w:after="0" w:line="285" w:lineRule="auto"/>
        <w:tabs>
          <w:tab w:leader="none" w:pos="1558" w:val="left"/>
        </w:tabs>
        <w:numPr>
          <w:ilvl w:val="1"/>
          <w:numId w:val="38"/>
        </w:numPr>
        <w:rPr>
          <w:rFonts w:ascii="Arial" w:cs="Arial" w:eastAsia="Arial" w:hAnsi="Arial"/>
          <w:sz w:val="22"/>
          <w:szCs w:val="22"/>
          <w:color w:val="010000"/>
        </w:rPr>
      </w:pPr>
      <w:r>
        <w:rPr>
          <w:rFonts w:ascii="Arial" w:cs="Arial" w:eastAsia="Arial" w:hAnsi="Arial"/>
          <w:sz w:val="18"/>
          <w:szCs w:val="18"/>
          <w:color w:val="auto"/>
        </w:rPr>
        <w:t>If the Participant is deemed an affiliate within the meaning of Rule 144 of the Securities Act, the shares of Common Stock issuable hereunder must be held indefinitely unless an exemption from any applicable resale restrictions is available or the Company files an additional registration statement (or a “re-offer prospectus”) with regard to such shares of Common Stock and the Company is under no obligation to register such shares of Common Stock (or to file a “re-offer prospectus”).</w:t>
      </w:r>
    </w:p>
    <w:p>
      <w:pPr>
        <w:spacing w:after="0" w:line="218" w:lineRule="exact"/>
        <w:rPr>
          <w:rFonts w:ascii="Arial" w:cs="Arial" w:eastAsia="Arial" w:hAnsi="Arial"/>
          <w:sz w:val="22"/>
          <w:szCs w:val="22"/>
          <w:color w:val="010000"/>
        </w:rPr>
      </w:pPr>
    </w:p>
    <w:p>
      <w:pPr>
        <w:jc w:val="both"/>
        <w:ind w:left="440" w:firstLine="645"/>
        <w:spacing w:after="0" w:line="288" w:lineRule="auto"/>
        <w:tabs>
          <w:tab w:leader="none" w:pos="1541" w:val="left"/>
        </w:tabs>
        <w:numPr>
          <w:ilvl w:val="1"/>
          <w:numId w:val="38"/>
        </w:numPr>
        <w:rPr>
          <w:rFonts w:ascii="Arial" w:cs="Arial" w:eastAsia="Arial" w:hAnsi="Arial"/>
          <w:sz w:val="22"/>
          <w:szCs w:val="22"/>
          <w:color w:val="010000"/>
        </w:rPr>
      </w:pPr>
      <w:r>
        <w:rPr>
          <w:rFonts w:ascii="Arial" w:cs="Arial" w:eastAsia="Arial" w:hAnsi="Arial"/>
          <w:sz w:val="18"/>
          <w:szCs w:val="18"/>
          <w:color w:val="auto"/>
        </w:rPr>
        <w:t>If the Participant is deemed an affiliate within the meaning of Rule 144 of the Securities Act, the Participant understands that (i) the exemption from registration under Rule 144 will not be available unless (A) a public trading market then exists for the Common Stock of the Company, (B) adequate information concerning the Company is then available to the public, and (C) other terms and conditions of Rule 144 or any exemption therefrom are complied with, and (ii) any sale of the shares of Common Stock issuable hereunder may be made only in limited amounts in accordance with the terms and conditions of Rule 144 or any exemption therefrom.</w:t>
      </w:r>
    </w:p>
    <w:p>
      <w:pPr>
        <w:spacing w:after="0" w:line="211" w:lineRule="exact"/>
        <w:rPr>
          <w:rFonts w:ascii="Arial" w:cs="Arial" w:eastAsia="Arial" w:hAnsi="Arial"/>
          <w:sz w:val="22"/>
          <w:szCs w:val="22"/>
          <w:color w:val="010000"/>
        </w:rPr>
      </w:pPr>
    </w:p>
    <w:p>
      <w:pPr>
        <w:jc w:val="both"/>
        <w:ind w:left="-220" w:firstLine="656"/>
        <w:spacing w:after="0" w:line="310" w:lineRule="auto"/>
        <w:tabs>
          <w:tab w:leader="none" w:pos="959" w:val="left"/>
        </w:tabs>
        <w:numPr>
          <w:ilvl w:val="0"/>
          <w:numId w:val="38"/>
        </w:numPr>
        <w:rPr>
          <w:rFonts w:ascii="Arial" w:cs="Arial" w:eastAsia="Arial" w:hAnsi="Arial"/>
          <w:sz w:val="21"/>
          <w:szCs w:val="21"/>
          <w:color w:val="010000"/>
        </w:rPr>
      </w:pPr>
      <w:r>
        <w:rPr>
          <w:rFonts w:ascii="Arial" w:cs="Arial" w:eastAsia="Arial" w:hAnsi="Arial"/>
          <w:sz w:val="17"/>
          <w:szCs w:val="17"/>
          <w:b w:val="1"/>
          <w:bCs w:val="1"/>
          <w:u w:val="single" w:color="auto"/>
          <w:color w:val="auto"/>
        </w:rPr>
        <w:t>Entire Agreement; Amendment</w:t>
      </w:r>
      <w:r>
        <w:rPr>
          <w:rFonts w:ascii="Arial" w:cs="Arial" w:eastAsia="Arial" w:hAnsi="Arial"/>
          <w:sz w:val="17"/>
          <w:szCs w:val="17"/>
          <w:color w:val="auto"/>
        </w:rPr>
        <w:t>. This Agreement, together with the Plan, contains the entire agreement between the parties hereto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the subject matter contained herein, and supersedes all prior agreements or prior understandings, whether written or oral, between the parties relating to such subject matter. For the avoidance of doubt, the vesting terms in this Agreement shall supersede the vesting terms that may be provided in any employment agreement or severance agreement to which the Participant may be a party. The Committee shall have the right, in its sole discretion, to modify or amend this Agreement from time to time in accordance with and as provided in the Plan. This Agreement may also be modified or amended by a writing signed by both the Company and the Participant. The Company shall give written notice to the Participant of any such modification or amendment of this Agreement as soon as practicable after the adoption thereof.</w:t>
      </w:r>
    </w:p>
    <w:p>
      <w:pPr>
        <w:spacing w:after="0" w:line="198" w:lineRule="exact"/>
        <w:rPr>
          <w:rFonts w:ascii="Arial" w:cs="Arial" w:eastAsia="Arial" w:hAnsi="Arial"/>
          <w:sz w:val="21"/>
          <w:szCs w:val="21"/>
          <w:color w:val="010000"/>
        </w:rPr>
      </w:pPr>
    </w:p>
    <w:p>
      <w:pPr>
        <w:jc w:val="both"/>
        <w:ind w:left="-220" w:firstLine="656"/>
        <w:spacing w:after="0" w:line="286" w:lineRule="auto"/>
        <w:tabs>
          <w:tab w:leader="none" w:pos="897" w:val="left"/>
        </w:tabs>
        <w:numPr>
          <w:ilvl w:val="0"/>
          <w:numId w:val="38"/>
        </w:numPr>
        <w:rPr>
          <w:rFonts w:ascii="Arial" w:cs="Arial" w:eastAsia="Arial" w:hAnsi="Arial"/>
          <w:sz w:val="22"/>
          <w:szCs w:val="22"/>
          <w:color w:val="010000"/>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hereunder by the Participant shall be given to the Company in writing and such notice shall be deemed duly given only</w:t>
      </w:r>
      <w:r>
        <w:rPr>
          <w:rFonts w:ascii="Arial" w:cs="Arial" w:eastAsia="Arial" w:hAnsi="Arial"/>
          <w:sz w:val="18"/>
          <w:szCs w:val="18"/>
          <w:b w:val="1"/>
          <w:bCs w:val="1"/>
          <w:color w:val="auto"/>
        </w:rPr>
        <w:t xml:space="preserve"> </w:t>
      </w:r>
      <w:r>
        <w:rPr>
          <w:rFonts w:ascii="Arial" w:cs="Arial" w:eastAsia="Arial" w:hAnsi="Arial"/>
          <w:sz w:val="18"/>
          <w:szCs w:val="18"/>
          <w:color w:val="auto"/>
        </w:rPr>
        <w:t>upon receipt thereof by the General Counsel (or its designee) of the Company, or, if not available, the Board. Any notice hereunder by the Company shall be given to the Participant in writing and such notice shall be deemed duly given only upon receipt thereof at such address as the Participant may have on file with the Company.</w:t>
      </w:r>
    </w:p>
    <w:p>
      <w:pPr>
        <w:spacing w:after="0" w:line="214" w:lineRule="exact"/>
        <w:rPr>
          <w:rFonts w:ascii="Arial" w:cs="Arial" w:eastAsia="Arial" w:hAnsi="Arial"/>
          <w:sz w:val="22"/>
          <w:szCs w:val="22"/>
          <w:color w:val="010000"/>
        </w:rPr>
      </w:pPr>
    </w:p>
    <w:p>
      <w:pPr>
        <w:ind w:left="-220" w:firstLine="656"/>
        <w:spacing w:after="0" w:line="276" w:lineRule="auto"/>
        <w:tabs>
          <w:tab w:leader="none" w:pos="959" w:val="left"/>
        </w:tabs>
        <w:numPr>
          <w:ilvl w:val="0"/>
          <w:numId w:val="38"/>
        </w:numPr>
        <w:rPr>
          <w:rFonts w:ascii="Arial" w:cs="Arial" w:eastAsia="Arial" w:hAnsi="Arial"/>
          <w:sz w:val="22"/>
          <w:szCs w:val="22"/>
          <w:color w:val="010000"/>
        </w:rPr>
      </w:pPr>
      <w:r>
        <w:rPr>
          <w:rFonts w:ascii="Arial" w:cs="Arial" w:eastAsia="Arial" w:hAnsi="Arial"/>
          <w:sz w:val="18"/>
          <w:szCs w:val="18"/>
          <w:b w:val="1"/>
          <w:bCs w:val="1"/>
          <w:u w:val="single" w:color="auto"/>
          <w:color w:val="auto"/>
        </w:rPr>
        <w:t>No Right to Service</w:t>
      </w:r>
      <w:r>
        <w:rPr>
          <w:rFonts w:ascii="Arial" w:cs="Arial" w:eastAsia="Arial" w:hAnsi="Arial"/>
          <w:sz w:val="18"/>
          <w:szCs w:val="18"/>
          <w:color w:val="auto"/>
        </w:rPr>
        <w:t>. Nothing in this Agreement shall interfere with or limit in any way the right of the Company or its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the Participant’s service at any time, for any reason and with or without Cause.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460" w:top="405" w:right="239" w:bottom="1440" w:gutter="0" w:footer="0" w:header="0"/>
        </w:sectPr>
      </w:pPr>
    </w:p>
    <w:bookmarkStart w:id="33" w:name="page34"/>
    <w:bookmarkEnd w:id="33"/>
    <w:p>
      <w:pPr>
        <w:jc w:val="both"/>
        <w:ind w:left="-220" w:firstLine="656"/>
        <w:spacing w:after="0" w:line="282" w:lineRule="auto"/>
        <w:tabs>
          <w:tab w:leader="none" w:pos="959" w:val="left"/>
        </w:tabs>
        <w:numPr>
          <w:ilvl w:val="0"/>
          <w:numId w:val="39"/>
        </w:numPr>
        <w:rPr>
          <w:rFonts w:ascii="Arial" w:cs="Arial" w:eastAsia="Arial" w:hAnsi="Arial"/>
          <w:sz w:val="22"/>
          <w:szCs w:val="22"/>
          <w:color w:val="010000"/>
        </w:rPr>
      </w:pPr>
      <w:r>
        <w:rPr>
          <w:rFonts w:ascii="Arial" w:cs="Arial" w:eastAsia="Arial" w:hAnsi="Arial"/>
          <w:sz w:val="18"/>
          <w:szCs w:val="18"/>
          <w:b w:val="1"/>
          <w:bCs w:val="1"/>
          <w:u w:val="single" w:color="auto"/>
          <w:color w:val="auto"/>
        </w:rPr>
        <w:t>Transfer of Personal Data</w:t>
      </w:r>
      <w:r>
        <w:rPr>
          <w:rFonts w:ascii="Arial" w:cs="Arial" w:eastAsia="Arial" w:hAnsi="Arial"/>
          <w:sz w:val="18"/>
          <w:szCs w:val="18"/>
          <w:color w:val="auto"/>
        </w:rPr>
        <w:t>. The Participant authorizes, agrees and unambiguously consents to the transmission by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any personal data information related to the PSUs awarded under this Agreement for legitimate business purposes. This authorization and consent is freely given by the Participant.</w:t>
      </w:r>
    </w:p>
    <w:p>
      <w:pPr>
        <w:spacing w:after="0" w:line="215" w:lineRule="exact"/>
        <w:rPr>
          <w:rFonts w:ascii="Arial" w:cs="Arial" w:eastAsia="Arial" w:hAnsi="Arial"/>
          <w:sz w:val="22"/>
          <w:szCs w:val="22"/>
          <w:color w:val="010000"/>
        </w:rPr>
      </w:pPr>
    </w:p>
    <w:p>
      <w:pPr>
        <w:jc w:val="both"/>
        <w:ind w:left="-220" w:firstLine="656"/>
        <w:spacing w:after="0" w:line="290" w:lineRule="auto"/>
        <w:tabs>
          <w:tab w:leader="none" w:pos="905" w:val="left"/>
        </w:tabs>
        <w:numPr>
          <w:ilvl w:val="0"/>
          <w:numId w:val="39"/>
        </w:numPr>
        <w:rPr>
          <w:rFonts w:ascii="Arial" w:cs="Arial" w:eastAsia="Arial" w:hAnsi="Arial"/>
          <w:sz w:val="22"/>
          <w:szCs w:val="22"/>
          <w:color w:val="010000"/>
        </w:rPr>
      </w:pP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The grant of PSUs shall be subject to, and shall comply with, any applicable requirements of any foreign and U.S.</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and state securities laws, rules and regulations (including, without limitation, the provisions of the Securities Act, the Exchange Act and in each case any respective rules and regulations promulgated thereunder) and any other law, rule regulation or exchange requirement applicable thereto. The Company shall not be obligated to issue the PSUs pursuant to this Agreement if any such issuance would violate any such requirements. As a condition to the settlement of the PSUs, the Company may require the Participant to satisfy any qualifications that may be necessary or appropriate to evidence compliance with any applicable law or regulation.</w:t>
      </w:r>
    </w:p>
    <w:p>
      <w:pPr>
        <w:spacing w:after="0" w:line="212" w:lineRule="exact"/>
        <w:rPr>
          <w:rFonts w:ascii="Arial" w:cs="Arial" w:eastAsia="Arial" w:hAnsi="Arial"/>
          <w:sz w:val="22"/>
          <w:szCs w:val="22"/>
          <w:color w:val="010000"/>
        </w:rPr>
      </w:pPr>
    </w:p>
    <w:p>
      <w:pPr>
        <w:jc w:val="both"/>
        <w:ind w:left="-220" w:firstLine="656"/>
        <w:spacing w:after="0" w:line="282" w:lineRule="auto"/>
        <w:tabs>
          <w:tab w:leader="none" w:pos="973" w:val="left"/>
        </w:tabs>
        <w:numPr>
          <w:ilvl w:val="0"/>
          <w:numId w:val="39"/>
        </w:numPr>
        <w:rPr>
          <w:rFonts w:ascii="Arial" w:cs="Arial" w:eastAsia="Arial" w:hAnsi="Arial"/>
          <w:sz w:val="22"/>
          <w:szCs w:val="22"/>
          <w:color w:val="010000"/>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Notwithstanding anything herein or in the Plan to the contrary, the PSUs are intended to be exempt from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Section 409A of the Code and shall be limited, construed and interpreted in accordance with such intent as is reasonable under the circumstances.</w:t>
      </w:r>
    </w:p>
    <w:p>
      <w:pPr>
        <w:spacing w:after="0" w:line="215" w:lineRule="exact"/>
        <w:rPr>
          <w:rFonts w:ascii="Arial" w:cs="Arial" w:eastAsia="Arial" w:hAnsi="Arial"/>
          <w:sz w:val="22"/>
          <w:szCs w:val="22"/>
          <w:color w:val="010000"/>
        </w:rPr>
      </w:pPr>
    </w:p>
    <w:p>
      <w:pPr>
        <w:jc w:val="both"/>
        <w:ind w:left="-220" w:firstLine="656"/>
        <w:spacing w:after="0" w:line="282" w:lineRule="auto"/>
        <w:tabs>
          <w:tab w:leader="none" w:pos="892" w:val="left"/>
        </w:tabs>
        <w:numPr>
          <w:ilvl w:val="0"/>
          <w:numId w:val="39"/>
        </w:numPr>
        <w:rPr>
          <w:rFonts w:ascii="Arial" w:cs="Arial" w:eastAsia="Arial" w:hAnsi="Arial"/>
          <w:sz w:val="22"/>
          <w:szCs w:val="22"/>
          <w:color w:val="010000"/>
        </w:rPr>
      </w:pPr>
      <w:r>
        <w:rPr>
          <w:rFonts w:ascii="Arial" w:cs="Arial" w:eastAsia="Arial" w:hAnsi="Arial"/>
          <w:sz w:val="18"/>
          <w:szCs w:val="18"/>
          <w:b w:val="1"/>
          <w:bCs w:val="1"/>
          <w:u w:val="single" w:color="auto"/>
          <w:color w:val="auto"/>
        </w:rPr>
        <w:t>Binding Agreement; Assignment</w:t>
      </w:r>
      <w:r>
        <w:rPr>
          <w:rFonts w:ascii="Arial" w:cs="Arial" w:eastAsia="Arial" w:hAnsi="Arial"/>
          <w:sz w:val="18"/>
          <w:szCs w:val="18"/>
          <w:color w:val="auto"/>
        </w:rPr>
        <w:t>. This Agreement shall inure to the benefit of, be binding upon, and be enforceable by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successors and assigns. The Participant shall not assign (except in accordance with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any part of this Agreement without the prior express written consent of the Company.</w:t>
      </w:r>
    </w:p>
    <w:p>
      <w:pPr>
        <w:spacing w:after="0" w:line="215" w:lineRule="exact"/>
        <w:rPr>
          <w:rFonts w:ascii="Arial" w:cs="Arial" w:eastAsia="Arial" w:hAnsi="Arial"/>
          <w:sz w:val="22"/>
          <w:szCs w:val="22"/>
          <w:color w:val="010000"/>
        </w:rPr>
      </w:pPr>
    </w:p>
    <w:p>
      <w:pPr>
        <w:ind w:left="-220" w:right="20" w:firstLine="656"/>
        <w:spacing w:after="0" w:line="276" w:lineRule="auto"/>
        <w:tabs>
          <w:tab w:leader="none" w:pos="878" w:val="left"/>
        </w:tabs>
        <w:numPr>
          <w:ilvl w:val="0"/>
          <w:numId w:val="39"/>
        </w:numPr>
        <w:rPr>
          <w:rFonts w:ascii="Arial" w:cs="Arial" w:eastAsia="Arial" w:hAnsi="Arial"/>
          <w:sz w:val="22"/>
          <w:szCs w:val="22"/>
          <w:color w:val="010000"/>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titles and headings of the various sections of this Agreement have been inserted for convenience of reference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a part of this Agreement.</w:t>
      </w:r>
    </w:p>
    <w:p>
      <w:pPr>
        <w:spacing w:after="0" w:line="213" w:lineRule="exact"/>
        <w:rPr>
          <w:rFonts w:ascii="Arial" w:cs="Arial" w:eastAsia="Arial" w:hAnsi="Arial"/>
          <w:sz w:val="22"/>
          <w:szCs w:val="22"/>
          <w:color w:val="010000"/>
        </w:rPr>
      </w:pPr>
    </w:p>
    <w:p>
      <w:pPr>
        <w:ind w:left="-220" w:firstLine="656"/>
        <w:spacing w:after="0" w:line="276" w:lineRule="auto"/>
        <w:tabs>
          <w:tab w:leader="none" w:pos="946" w:val="left"/>
        </w:tabs>
        <w:numPr>
          <w:ilvl w:val="0"/>
          <w:numId w:val="39"/>
        </w:numPr>
        <w:rPr>
          <w:rFonts w:ascii="Arial" w:cs="Arial" w:eastAsia="Arial" w:hAnsi="Arial"/>
          <w:sz w:val="22"/>
          <w:szCs w:val="22"/>
          <w:color w:val="010000"/>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constitute one and the same instrument.</w:t>
      </w:r>
    </w:p>
    <w:p>
      <w:pPr>
        <w:spacing w:after="0" w:line="213" w:lineRule="exact"/>
        <w:rPr>
          <w:rFonts w:ascii="Arial" w:cs="Arial" w:eastAsia="Arial" w:hAnsi="Arial"/>
          <w:sz w:val="22"/>
          <w:szCs w:val="22"/>
          <w:color w:val="010000"/>
        </w:rPr>
      </w:pPr>
    </w:p>
    <w:p>
      <w:pPr>
        <w:jc w:val="both"/>
        <w:ind w:left="-220" w:right="20" w:firstLine="656"/>
        <w:spacing w:after="0" w:line="303" w:lineRule="auto"/>
        <w:tabs>
          <w:tab w:leader="none" w:pos="892" w:val="left"/>
        </w:tabs>
        <w:numPr>
          <w:ilvl w:val="0"/>
          <w:numId w:val="39"/>
        </w:numPr>
        <w:rPr>
          <w:rFonts w:ascii="Arial" w:cs="Arial" w:eastAsia="Arial" w:hAnsi="Arial"/>
          <w:sz w:val="21"/>
          <w:szCs w:val="21"/>
          <w:color w:val="010000"/>
        </w:rPr>
      </w:pP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Each party hereto shall do and perform (or shall cause to be done and performed) all such further acts and shall execute</w:t>
      </w:r>
      <w:r>
        <w:rPr>
          <w:rFonts w:ascii="Arial" w:cs="Arial" w:eastAsia="Arial" w:hAnsi="Arial"/>
          <w:sz w:val="17"/>
          <w:szCs w:val="17"/>
          <w:b w:val="1"/>
          <w:bCs w:val="1"/>
          <w:color w:val="auto"/>
        </w:rPr>
        <w:t xml:space="preserve"> </w:t>
      </w:r>
      <w:r>
        <w:rPr>
          <w:rFonts w:ascii="Arial" w:cs="Arial" w:eastAsia="Arial" w:hAnsi="Arial"/>
          <w:sz w:val="17"/>
          <w:szCs w:val="17"/>
          <w:color w:val="auto"/>
        </w:rPr>
        <w:t>and deliver all such other 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200" w:lineRule="exact"/>
        <w:rPr>
          <w:rFonts w:ascii="Arial" w:cs="Arial" w:eastAsia="Arial" w:hAnsi="Arial"/>
          <w:sz w:val="21"/>
          <w:szCs w:val="21"/>
          <w:color w:val="010000"/>
        </w:rPr>
      </w:pPr>
    </w:p>
    <w:p>
      <w:pPr>
        <w:jc w:val="both"/>
        <w:ind w:left="-220" w:firstLine="656"/>
        <w:spacing w:after="0" w:line="303" w:lineRule="auto"/>
        <w:tabs>
          <w:tab w:leader="none" w:pos="892" w:val="left"/>
        </w:tabs>
        <w:numPr>
          <w:ilvl w:val="0"/>
          <w:numId w:val="39"/>
        </w:numPr>
        <w:rPr>
          <w:rFonts w:ascii="Arial" w:cs="Arial" w:eastAsia="Arial" w:hAnsi="Arial"/>
          <w:sz w:val="21"/>
          <w:szCs w:val="21"/>
          <w:color w:val="010000"/>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The invalidity or unenforceability of any provisions of this Agreement in any jurisdiction shall not affect the validity, legality or</w:t>
      </w:r>
      <w:r>
        <w:rPr>
          <w:rFonts w:ascii="Arial" w:cs="Arial" w:eastAsia="Arial" w:hAnsi="Arial"/>
          <w:sz w:val="17"/>
          <w:szCs w:val="17"/>
          <w:b w:val="1"/>
          <w:bCs w:val="1"/>
          <w:color w:val="auto"/>
        </w:rPr>
        <w:t xml:space="preserve"> </w:t>
      </w:r>
      <w:r>
        <w:rPr>
          <w:rFonts w:ascii="Arial" w:cs="Arial" w:eastAsia="Arial" w:hAnsi="Arial"/>
          <w:sz w:val="17"/>
          <w:szCs w:val="17"/>
          <w:color w:val="auto"/>
        </w:rPr>
        <w:t>enforceability of the remainder of this Agreement in such jurisdiction or the validity, legality or enforceability of any provision of this Agreement in any other jurisdiction, it being intended that all rights and obligations of the parties hereunder shall be enforceable to the fullest extent permitted by law.</w:t>
      </w:r>
    </w:p>
    <w:p>
      <w:pPr>
        <w:spacing w:after="0" w:line="200" w:lineRule="exact"/>
        <w:rPr>
          <w:rFonts w:ascii="Arial" w:cs="Arial" w:eastAsia="Arial" w:hAnsi="Arial"/>
          <w:sz w:val="21"/>
          <w:szCs w:val="21"/>
          <w:color w:val="010000"/>
        </w:rPr>
      </w:pPr>
    </w:p>
    <w:p>
      <w:pPr>
        <w:jc w:val="both"/>
        <w:ind w:left="-220" w:firstLine="656"/>
        <w:spacing w:after="0" w:line="308" w:lineRule="auto"/>
        <w:tabs>
          <w:tab w:leader="none" w:pos="878" w:val="left"/>
        </w:tabs>
        <w:numPr>
          <w:ilvl w:val="0"/>
          <w:numId w:val="39"/>
        </w:numPr>
        <w:rPr>
          <w:rFonts w:ascii="Arial" w:cs="Arial" w:eastAsia="Arial" w:hAnsi="Arial"/>
          <w:sz w:val="21"/>
          <w:szCs w:val="21"/>
          <w:color w:val="010000"/>
        </w:rPr>
      </w:pPr>
      <w:r>
        <w:rPr>
          <w:rFonts w:ascii="Arial" w:cs="Arial" w:eastAsia="Arial" w:hAnsi="Arial"/>
          <w:sz w:val="17"/>
          <w:szCs w:val="17"/>
          <w:b w:val="1"/>
          <w:bCs w:val="1"/>
          <w:u w:val="single" w:color="auto"/>
          <w:color w:val="auto"/>
        </w:rPr>
        <w:t>Acquired Rights</w:t>
      </w:r>
      <w:r>
        <w:rPr>
          <w:rFonts w:ascii="Arial" w:cs="Arial" w:eastAsia="Arial" w:hAnsi="Arial"/>
          <w:sz w:val="17"/>
          <w:szCs w:val="17"/>
          <w:color w:val="auto"/>
        </w:rPr>
        <w:t>. The Participant acknowledges and agrees that: (a) the Company may terminate or amend the Plan at any time,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limitations contained in the Plan or this Agreement; (b) the Award of PSUs made under this Agreement is completely independent of any other award or grant and is made at the sole discretion of the Company; (c) no past grants or awards (including, without limitation, the PSUs awarded hereunder) give the Participant any right to any grants or awards in the future whatsoever; and (d) any benefits granted under this Agreement are not part of the Participant’s ordinary salary, and shall not be considered as part of such salary in the event of severance, redundancy or resignation.</w:t>
      </w:r>
    </w:p>
    <w:p>
      <w:pPr>
        <w:spacing w:after="0" w:line="162" w:lineRule="exact"/>
        <w:rPr>
          <w:rFonts w:ascii="Arial" w:cs="Arial" w:eastAsia="Arial" w:hAnsi="Arial"/>
          <w:sz w:val="21"/>
          <w:szCs w:val="21"/>
          <w:color w:val="010000"/>
        </w:rPr>
      </w:pPr>
    </w:p>
    <w:p>
      <w:pPr>
        <w:ind w:left="5180"/>
        <w:spacing w:after="0"/>
        <w:rPr>
          <w:rFonts w:ascii="Arial" w:cs="Arial" w:eastAsia="Arial" w:hAnsi="Arial"/>
          <w:sz w:val="21"/>
          <w:szCs w:val="21"/>
          <w:color w:val="010000"/>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460" w:top="405"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YRC WORLDWIDE INC.</w:t>
      </w:r>
    </w:p>
    <w:p>
      <w:pPr>
        <w:spacing w:after="0" w:line="225" w:lineRule="exact"/>
        <w:rPr>
          <w:sz w:val="20"/>
          <w:szCs w:val="20"/>
          <w:color w:val="auto"/>
        </w:rPr>
      </w:pPr>
    </w:p>
    <w:p>
      <w:pPr>
        <w:ind w:left="4540"/>
        <w:spacing w:after="0"/>
        <w:tabs>
          <w:tab w:leader="none" w:pos="5020" w:val="left"/>
        </w:tabs>
        <w:rPr>
          <w:sz w:val="20"/>
          <w:szCs w:val="20"/>
          <w:color w:val="auto"/>
        </w:rPr>
      </w:pPr>
      <w:r>
        <w:rPr>
          <w:rFonts w:ascii="Arial" w:cs="Arial" w:eastAsia="Arial" w:hAnsi="Arial"/>
          <w:sz w:val="17"/>
          <w:szCs w:val="17"/>
          <w:color w:val="auto"/>
        </w:rPr>
        <w:t>By:</w:t>
        <w:tab/>
        <w:t>_________________________________</w:t>
      </w:r>
    </w:p>
    <w:p>
      <w:pPr>
        <w:spacing w:after="0" w:line="237" w:lineRule="exact"/>
        <w:rPr>
          <w:sz w:val="20"/>
          <w:szCs w:val="20"/>
          <w:color w:val="auto"/>
        </w:rPr>
      </w:pPr>
    </w:p>
    <w:p>
      <w:pPr>
        <w:ind w:left="4540"/>
        <w:spacing w:after="0"/>
        <w:tabs>
          <w:tab w:leader="none" w:pos="5240" w:val="left"/>
        </w:tabs>
        <w:rPr>
          <w:sz w:val="20"/>
          <w:szCs w:val="20"/>
          <w:color w:val="auto"/>
        </w:rPr>
      </w:pPr>
      <w:r>
        <w:rPr>
          <w:rFonts w:ascii="Arial" w:cs="Arial" w:eastAsia="Arial" w:hAnsi="Arial"/>
          <w:sz w:val="16"/>
          <w:szCs w:val="16"/>
          <w:color w:val="auto"/>
        </w:rPr>
        <w:t>Name:</w:t>
        <w:tab/>
        <w:t>_________________________________</w:t>
      </w:r>
    </w:p>
    <w:p>
      <w:pPr>
        <w:spacing w:after="0" w:line="248"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auto"/>
        </w:rPr>
        <w:t>Signature Page to Performance Stock Unit Agreement</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19"/>
          </w:cols>
          <w:pgMar w:left="240" w:top="625"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28, 2016</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Jamie G. Pierson, certify that:</w:t>
      </w:r>
    </w:p>
    <w:p>
      <w:pPr>
        <w:spacing w:after="0" w:line="9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28, 2016</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March 31, 2016,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28, 2016</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March 31, 2016,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28, 2016</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lvl w:ilvl="1">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lowerLetter"/>
      <w:start w:val="1"/>
    </w:lvl>
    <w:lvl w:ilvl="1">
      <w:lvlJc w:val="left"/>
      <w:lvlText w:val="(*)"/>
      <w:numFmt w:val="bullet"/>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lvl w:ilvl="1">
      <w:lvlJc w:val="left"/>
      <w:lvlText w:val="(%2)"/>
      <w:numFmt w:val="lowerLetter"/>
      <w:start w:val="1"/>
    </w:lvl>
  </w:abstractNum>
  <w:abstractNum w:abstractNumId="28">
    <w:nsid w:val="5072367"/>
    <w:multiLevelType w:val="hybridMultilevel"/>
    <w:lvl w:ilvl="0">
      <w:lvlJc w:val="left"/>
      <w:lvlText w:val="(%1)"/>
      <w:numFmt w:val="lowerRoman"/>
      <w:start w:val="1"/>
    </w:lvl>
  </w:abstractNum>
  <w:abstractNum w:abstractNumId="29">
    <w:nsid w:val="3804823E"/>
    <w:multiLevelType w:val="hybridMultilevel"/>
    <w:lvl w:ilvl="0">
      <w:lvlJc w:val="left"/>
      <w:lvlText w:val="(%1)"/>
      <w:numFmt w:val="lowerRoman"/>
      <w:start w:val="2"/>
    </w:lvl>
  </w:abstractNum>
  <w:abstractNum w:abstractNumId="30">
    <w:nsid w:val="77465F01"/>
    <w:multiLevelType w:val="hybridMultilevel"/>
    <w:lvl w:ilvl="0">
      <w:lvlJc w:val="left"/>
      <w:lvlText w:val="(%1)"/>
      <w:numFmt w:val="lowerRoman"/>
      <w:start w:val="2"/>
    </w:lvl>
  </w:abstractNum>
  <w:abstractNum w:abstractNumId="31">
    <w:nsid w:val="7724C67E"/>
    <w:multiLevelType w:val="hybridMultilevel"/>
    <w:lvl w:ilvl="0">
      <w:lvlJc w:val="left"/>
      <w:lvlText w:val="(%1)"/>
      <w:numFmt w:val="lowerLetter"/>
      <w:start w:val="2"/>
    </w:lvl>
    <w:lvl w:ilvl="1">
      <w:lvlJc w:val="left"/>
      <w:lvlText w:val="(%2)"/>
      <w:numFmt w:val="lowerRoman"/>
      <w:start w:val="1"/>
    </w:lvl>
  </w:abstractNum>
  <w:abstractNum w:abstractNumId="32">
    <w:nsid w:val="5C482A97"/>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33">
    <w:nsid w:val="2463B9E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decimal"/>
      <w:start w:val="4"/>
    </w:lvl>
  </w:abstractNum>
  <w:abstractNum w:abstractNumId="34">
    <w:nsid w:val="5E884AD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lvl w:ilvl="3">
      <w:lvlJc w:val="left"/>
      <w:lvlText w:val="%4"/>
      <w:numFmt w:val="decimal"/>
      <w:start w:val="1"/>
    </w:lvl>
  </w:abstractNum>
  <w:abstractNum w:abstractNumId="35">
    <w:nsid w:val="51EAD36B"/>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lvl w:ilvl="3">
      <w:lvlJc w:val="left"/>
      <w:lvlText w:val="%4"/>
      <w:numFmt w:val="decimal"/>
      <w:start w:val="1"/>
    </w:lvl>
  </w:abstractNum>
  <w:abstractNum w:abstractNumId="36">
    <w:nsid w:val="2D517796"/>
    <w:multiLevelType w:val="hybridMultilevel"/>
    <w:lvl w:ilvl="0">
      <w:lvlJc w:val="left"/>
      <w:lvlText w:val="(%1)"/>
      <w:numFmt w:val="lowerLetter"/>
      <w:start w:val="25"/>
    </w:lvl>
    <w:lvl w:ilvl="1">
      <w:lvlJc w:val="left"/>
      <w:lvlText w:val="%2."/>
      <w:numFmt w:val="decimal"/>
      <w:start w:val="5"/>
    </w:lvl>
    <w:lvl w:ilvl="2">
      <w:lvlJc w:val="left"/>
      <w:lvlText w:val="%3"/>
      <w:numFmt w:val="lowerRoman"/>
      <w:start w:val="1"/>
    </w:lvl>
    <w:lvl w:ilvl="3">
      <w:lvlJc w:val="left"/>
      <w:lvlText w:val="%4"/>
      <w:numFmt w:val="decimal"/>
      <w:start w:val="1"/>
    </w:lvl>
  </w:abstractNum>
  <w:abstractNum w:abstractNumId="37">
    <w:nsid w:val="580BD78F"/>
    <w:multiLevelType w:val="hybridMultilevel"/>
    <w:lvl w:ilvl="0">
      <w:lvlJc w:val="left"/>
      <w:lvlText w:val="%1."/>
      <w:numFmt w:val="decimal"/>
      <w:start w:val="7"/>
    </w:lvl>
    <w:lvl w:ilvl="1">
      <w:lvlJc w:val="left"/>
      <w:lvlText w:val="(%2)"/>
      <w:numFmt w:val="lowerLetter"/>
      <w:start w:val="1"/>
    </w:lvl>
  </w:abstractNum>
  <w:abstractNum w:abstractNumId="38">
    <w:nsid w:val="153EA438"/>
    <w:multiLevelType w:val="hybridMultilevel"/>
    <w:lvl w:ilvl="0">
      <w:lvlJc w:val="left"/>
      <w:lvlText w:val="%1."/>
      <w:numFmt w:val="decimal"/>
      <w:start w:val="13"/>
    </w:lvl>
    <w:lvl w:ilvl="1">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2019-12-29T11:50:14Z</dcterms:created>
  <dcterms:modified xsi:type="dcterms:W3CDTF">2019-12-29T11:50:14Z</dcterms:modified>
</cp:coreProperties>
</file>