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3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Yellow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985510106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160" w:hanging="208"/>
        <w:spacing w:after="0"/>
        <w:tabs>
          <w:tab w:leader="none" w:pos="2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160" w:hanging="208"/>
        <w:spacing w:after="0"/>
        <w:tabs>
          <w:tab w:leader="none" w:pos="21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160" w:hanging="208"/>
        <w:spacing w:after="0"/>
        <w:tabs>
          <w:tab w:leader="none" w:pos="216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57"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No.985510106</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5"/>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The Conversant Opportunity Master Fund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tcBorders>
            <w:gridSpan w:val="5"/>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4460" w:type="dxa"/>
            <w:vAlign w:val="bottom"/>
            <w:tcBorders>
              <w:right w:val="single" w:sz="8" w:color="BFBFBF"/>
            </w:tcBorders>
            <w:shd w:val="clear" w:color="auto" w:fill="BFBFBF"/>
          </w:tcPr>
          <w:p>
            <w:pPr>
              <w:spacing w:after="0"/>
              <w:rPr>
                <w:sz w:val="20"/>
                <w:szCs w:val="20"/>
                <w:color w:val="auto"/>
              </w:rPr>
            </w:pPr>
          </w:p>
        </w:tc>
        <w:tc>
          <w:tcPr>
            <w:tcW w:w="39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60" w:type="dxa"/>
            <w:vAlign w:val="bottom"/>
            <w:tcBorders>
              <w:right w:val="single" w:sz="8" w:color="BFBFBF"/>
            </w:tcBorders>
            <w:shd w:val="clear" w:color="auto" w:fill="BFBFBF"/>
          </w:tcPr>
          <w:p>
            <w:pPr>
              <w:spacing w:after="0"/>
              <w:rPr>
                <w:sz w:val="24"/>
                <w:szCs w:val="24"/>
                <w:color w:val="auto"/>
              </w:rPr>
            </w:pPr>
          </w:p>
        </w:tc>
        <w:tc>
          <w:tcPr>
            <w:tcW w:w="39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60" w:type="dxa"/>
            <w:vAlign w:val="bottom"/>
            <w:tcBorders>
              <w:bottom w:val="single" w:sz="8" w:color="auto"/>
              <w:right w:val="single" w:sz="8" w:color="BFBFBF"/>
            </w:tcBorders>
            <w:shd w:val="clear" w:color="auto" w:fill="BFBFBF"/>
          </w:tcPr>
          <w:p>
            <w:pPr>
              <w:spacing w:after="0"/>
              <w:rPr>
                <w:sz w:val="23"/>
                <w:szCs w:val="23"/>
                <w:color w:val="auto"/>
              </w:rPr>
            </w:pPr>
          </w:p>
        </w:tc>
        <w:tc>
          <w:tcPr>
            <w:tcW w:w="39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Cayman Islands</w:t>
            </w: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2,617,489</w:t>
            </w:r>
          </w:p>
        </w:tc>
        <w:tc>
          <w:tcPr>
            <w:tcW w:w="3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2,617,489</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2,617,489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right w:val="single" w:sz="8" w:color="auto"/>
            </w:tcBorders>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985510106</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5"/>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Conversant GP Holdings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tcBorders>
            <w:gridSpan w:val="5"/>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4460" w:type="dxa"/>
            <w:vAlign w:val="bottom"/>
            <w:tcBorders>
              <w:right w:val="single" w:sz="8" w:color="BFBFBF"/>
            </w:tcBorders>
            <w:shd w:val="clear" w:color="auto" w:fill="BFBFBF"/>
          </w:tcPr>
          <w:p>
            <w:pPr>
              <w:spacing w:after="0"/>
              <w:rPr>
                <w:sz w:val="20"/>
                <w:szCs w:val="20"/>
                <w:color w:val="auto"/>
              </w:rPr>
            </w:pPr>
          </w:p>
        </w:tc>
        <w:tc>
          <w:tcPr>
            <w:tcW w:w="39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60" w:type="dxa"/>
            <w:vAlign w:val="bottom"/>
            <w:tcBorders>
              <w:right w:val="single" w:sz="8" w:color="BFBFBF"/>
            </w:tcBorders>
            <w:shd w:val="clear" w:color="auto" w:fill="BFBFBF"/>
          </w:tcPr>
          <w:p>
            <w:pPr>
              <w:spacing w:after="0"/>
              <w:rPr>
                <w:sz w:val="24"/>
                <w:szCs w:val="24"/>
                <w:color w:val="auto"/>
              </w:rPr>
            </w:pPr>
          </w:p>
        </w:tc>
        <w:tc>
          <w:tcPr>
            <w:tcW w:w="39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60" w:type="dxa"/>
            <w:vAlign w:val="bottom"/>
            <w:tcBorders>
              <w:bottom w:val="single" w:sz="8" w:color="auto"/>
              <w:right w:val="single" w:sz="8" w:color="BFBFBF"/>
            </w:tcBorders>
            <w:shd w:val="clear" w:color="auto" w:fill="BFBFBF"/>
          </w:tcPr>
          <w:p>
            <w:pPr>
              <w:spacing w:after="0"/>
              <w:rPr>
                <w:sz w:val="23"/>
                <w:szCs w:val="23"/>
                <w:color w:val="auto"/>
              </w:rPr>
            </w:pPr>
          </w:p>
        </w:tc>
        <w:tc>
          <w:tcPr>
            <w:tcW w:w="39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2,617,489</w:t>
            </w:r>
          </w:p>
        </w:tc>
        <w:tc>
          <w:tcPr>
            <w:tcW w:w="3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2,617,489</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2,617,489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right w:val="single" w:sz="8" w:color="auto"/>
            </w:tcBorders>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5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985510106</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5"/>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Conversant Capital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tcBorders>
            <w:gridSpan w:val="5"/>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4460" w:type="dxa"/>
            <w:vAlign w:val="bottom"/>
            <w:tcBorders>
              <w:right w:val="single" w:sz="8" w:color="BFBFBF"/>
            </w:tcBorders>
            <w:shd w:val="clear" w:color="auto" w:fill="BFBFBF"/>
          </w:tcPr>
          <w:p>
            <w:pPr>
              <w:spacing w:after="0"/>
              <w:rPr>
                <w:sz w:val="20"/>
                <w:szCs w:val="20"/>
                <w:color w:val="auto"/>
              </w:rPr>
            </w:pPr>
          </w:p>
        </w:tc>
        <w:tc>
          <w:tcPr>
            <w:tcW w:w="39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60" w:type="dxa"/>
            <w:vAlign w:val="bottom"/>
            <w:tcBorders>
              <w:right w:val="single" w:sz="8" w:color="BFBFBF"/>
            </w:tcBorders>
            <w:shd w:val="clear" w:color="auto" w:fill="BFBFBF"/>
          </w:tcPr>
          <w:p>
            <w:pPr>
              <w:spacing w:after="0"/>
              <w:rPr>
                <w:sz w:val="24"/>
                <w:szCs w:val="24"/>
                <w:color w:val="auto"/>
              </w:rPr>
            </w:pPr>
          </w:p>
        </w:tc>
        <w:tc>
          <w:tcPr>
            <w:tcW w:w="39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60" w:type="dxa"/>
            <w:vAlign w:val="bottom"/>
            <w:tcBorders>
              <w:bottom w:val="single" w:sz="8" w:color="auto"/>
              <w:right w:val="single" w:sz="8" w:color="BFBFBF"/>
            </w:tcBorders>
            <w:shd w:val="clear" w:color="auto" w:fill="BFBFBF"/>
          </w:tcPr>
          <w:p>
            <w:pPr>
              <w:spacing w:after="0"/>
              <w:rPr>
                <w:sz w:val="23"/>
                <w:szCs w:val="23"/>
                <w:color w:val="auto"/>
              </w:rPr>
            </w:pPr>
          </w:p>
        </w:tc>
        <w:tc>
          <w:tcPr>
            <w:tcW w:w="39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2,617,489</w:t>
            </w:r>
          </w:p>
        </w:tc>
        <w:tc>
          <w:tcPr>
            <w:tcW w:w="3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2,617,489</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2,617,489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 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985510106</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5"/>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Michael Simanovsky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tcBorders>
            <w:gridSpan w:val="5"/>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4460" w:type="dxa"/>
            <w:vAlign w:val="bottom"/>
            <w:tcBorders>
              <w:right w:val="single" w:sz="8" w:color="BFBFBF"/>
            </w:tcBorders>
            <w:shd w:val="clear" w:color="auto" w:fill="BFBFBF"/>
          </w:tcPr>
          <w:p>
            <w:pPr>
              <w:spacing w:after="0"/>
              <w:rPr>
                <w:sz w:val="20"/>
                <w:szCs w:val="20"/>
                <w:color w:val="auto"/>
              </w:rPr>
            </w:pPr>
          </w:p>
        </w:tc>
        <w:tc>
          <w:tcPr>
            <w:tcW w:w="39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60" w:type="dxa"/>
            <w:vAlign w:val="bottom"/>
            <w:tcBorders>
              <w:right w:val="single" w:sz="8" w:color="BFBFBF"/>
            </w:tcBorders>
            <w:shd w:val="clear" w:color="auto" w:fill="BFBFBF"/>
          </w:tcPr>
          <w:p>
            <w:pPr>
              <w:spacing w:after="0"/>
              <w:rPr>
                <w:sz w:val="24"/>
                <w:szCs w:val="24"/>
                <w:color w:val="auto"/>
              </w:rPr>
            </w:pPr>
          </w:p>
        </w:tc>
        <w:tc>
          <w:tcPr>
            <w:tcW w:w="39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60" w:type="dxa"/>
            <w:vAlign w:val="bottom"/>
            <w:tcBorders>
              <w:bottom w:val="single" w:sz="8" w:color="auto"/>
              <w:right w:val="single" w:sz="8" w:color="BFBFBF"/>
            </w:tcBorders>
            <w:shd w:val="clear" w:color="auto" w:fill="BFBFBF"/>
          </w:tcPr>
          <w:p>
            <w:pPr>
              <w:spacing w:after="0"/>
              <w:rPr>
                <w:sz w:val="23"/>
                <w:szCs w:val="23"/>
                <w:color w:val="auto"/>
              </w:rPr>
            </w:pPr>
          </w:p>
        </w:tc>
        <w:tc>
          <w:tcPr>
            <w:tcW w:w="39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United States</w:t>
            </w: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2,617,489</w:t>
            </w:r>
          </w:p>
        </w:tc>
        <w:tc>
          <w:tcPr>
            <w:tcW w:w="3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2,617,489</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2,617,489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5" w:name="page6"/>
    <w:bookmarkEnd w:id="5"/>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 (a)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issuer is Yellow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 (b)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principal executive offices are located at 11500 Outlook Street, Overland Park, Kansas, 66211.</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 (a)</w:t>
        <w:tab/>
        <w:t>Name of Person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statement is filed by:</w:t>
      </w:r>
    </w:p>
    <w:p>
      <w:pPr>
        <w:spacing w:after="0" w:line="225" w:lineRule="exact"/>
        <w:rPr>
          <w:sz w:val="20"/>
          <w:szCs w:val="20"/>
          <w:color w:val="auto"/>
        </w:rPr>
      </w:pPr>
    </w:p>
    <w:p>
      <w:pPr>
        <w:ind w:left="540" w:hanging="303"/>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Conversant Opportunity Master Fund LP, a Cayman Islands exempted limited partnership (“Opportunity Master”);</w:t>
      </w:r>
    </w:p>
    <w:p>
      <w:pPr>
        <w:spacing w:after="0" w:line="27" w:lineRule="exact"/>
        <w:rPr>
          <w:rFonts w:ascii="Times New Roman" w:cs="Times New Roman" w:eastAsia="Times New Roman" w:hAnsi="Times New Roman"/>
          <w:sz w:val="18"/>
          <w:szCs w:val="18"/>
          <w:color w:val="auto"/>
        </w:rPr>
      </w:pPr>
    </w:p>
    <w:p>
      <w:pPr>
        <w:ind w:left="540" w:right="580" w:hanging="303"/>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Conversant GP Holdings LLC, a Delaware limited liability company (“Conversant GP”), which serves as the general partner of Opportunity Master;</w:t>
      </w:r>
    </w:p>
    <w:p>
      <w:pPr>
        <w:ind w:left="540" w:right="360" w:hanging="303"/>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Conversant Capital LLC, a Delaware limited liability company (“Conversant Capital”), which serves as the investment manager to Opportunity Master; and</w:t>
      </w:r>
    </w:p>
    <w:p>
      <w:pPr>
        <w:ind w:left="540" w:hanging="303"/>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Simanovsky, an individual, who serves as sole managing member of Conversant GP and Conversant Capital.</w:t>
      </w:r>
    </w:p>
    <w:p>
      <w:pPr>
        <w:spacing w:after="0" w:line="200" w:lineRule="exact"/>
        <w:rPr>
          <w:sz w:val="20"/>
          <w:szCs w:val="20"/>
          <w:color w:val="auto"/>
        </w:rPr>
      </w:pPr>
    </w:p>
    <w:p>
      <w:pPr>
        <w:spacing w:after="0" w:line="22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Opportunity Master, Conversant GP, Conversant Capital, and Mr. Simanovsky are hereinafter sometimes collectively referred to as the “Reporting Persons.” Any disclosures herein with respect to persons other than the Reporting Persons are made on information and belief after making inquiry to the appropriate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are filing this statement jointly with respect to the same securities as contemplated by Rule 13d-1(k)(1), not as members of a group.</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 (b)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address for each of the Reporting Persons is 25 Deforest Avenue, 3rd Floor, Summit, New Jersey 07901.</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 (c)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Opportunity Master is organized under the laws of the Cayman Islands. Conversant GP and Conversant Capital are organized under the laws of the State of Delaware. Mr. Simanovsky is a citizen of the United States of America.</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 (d)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 (e)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CUSIP number for the Common Stock is 985510106.</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Items 5 through 9 and Item 11 on the cover pages to this Schedule 13G/A is hereby incorporated by reference.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percentages used herein are calculated based upon 52,128,887 shares of Common Stock as of July 28, 2023 as represented in the Company's 10-Q filed with the Securities and Exchange Commission ("SEC") on August 14, 2023.</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Items 2 and 4 is hereby incorporated by reference.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7" w:name="page8"/>
    <w:bookmarkEnd w:id="7"/>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OPPORTUNITY MASTER FUND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Conversant GP Holdings LLC</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Chief Compliance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GP HOLDINGS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4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tab/>
        <w:t>General Counsel and Chief Compliance Officer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CAPITAL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4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tab/>
        <w:t>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MICHAEL SIMANOVSKY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Attorney-in-Fact for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in respect of the Common Stock of Yellow Corporation is filed on behalf of each of the undersigned and that all subsequent amendments to this statement on Schedule 13G/A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February 14, 2024</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OPPORTUNITY MASTER FUND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Conversant GP Holdings LLC</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Chief Compliance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GP HOLDINGS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General Counsel and Chief Compliance Officer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CAPITAL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MICHAEL SIMANOVSKY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Attorney-in-Fact for Michael Simanovsky</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2024-02-14T12:30:13Z</dcterms:created>
  <dcterms:modified xsi:type="dcterms:W3CDTF">2024-02-14T12:30:13Z</dcterms:modified>
</cp:coreProperties>
</file>