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81915</wp:posOffset>
            </wp:positionV>
            <wp:extent cx="1766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109855</wp:posOffset>
            </wp:positionV>
            <wp:extent cx="1766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380" w:hanging="345"/>
        <w:spacing w:after="0"/>
        <w:tabs>
          <w:tab w:leader="none" w:pos="38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06"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86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r>
      <w:tr>
        <w:trPr>
          <w:trHeight w:val="318"/>
        </w:trPr>
        <w:tc>
          <w:tcPr>
            <w:tcW w:w="3460" w:type="dxa"/>
            <w:vAlign w:val="bottom"/>
            <w:gridSpan w:val="3"/>
          </w:tcPr>
          <w:p>
            <w:pPr>
              <w:ind w:left="860"/>
              <w:spacing w:after="0"/>
              <w:rPr>
                <w:sz w:val="20"/>
                <w:szCs w:val="20"/>
                <w:color w:val="auto"/>
              </w:rPr>
            </w:pPr>
            <w:r>
              <w:rPr>
                <w:rFonts w:ascii="Arial" w:cs="Arial" w:eastAsia="Arial" w:hAnsi="Arial"/>
                <w:sz w:val="18"/>
                <w:szCs w:val="18"/>
                <w:b w:val="1"/>
                <w:bCs w:val="1"/>
                <w:color w:val="auto"/>
                <w:w w:val="89"/>
              </w:rPr>
              <w:t>Commission file number: 0-12255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4457700</wp:posOffset>
            </wp:positionH>
            <wp:positionV relativeFrom="paragraph">
              <wp:posOffset>-213995</wp:posOffset>
            </wp:positionV>
            <wp:extent cx="542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2925"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YRC Worldwide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-282575</wp:posOffset>
            </wp:positionV>
            <wp:extent cx="1766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97790</wp:posOffset>
            </wp:positionV>
            <wp:extent cx="1766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860" w:type="dxa"/>
            <w:vAlign w:val="bottom"/>
          </w:tcPr>
          <w:p>
            <w:pPr>
              <w:jc w:val="center"/>
              <w:ind w:right="358"/>
              <w:spacing w:after="0"/>
              <w:rPr>
                <w:sz w:val="20"/>
                <w:szCs w:val="20"/>
                <w:color w:val="auto"/>
              </w:rPr>
            </w:pPr>
            <w:r>
              <w:rPr>
                <w:rFonts w:ascii="Arial" w:cs="Arial" w:eastAsia="Arial" w:hAnsi="Arial"/>
                <w:sz w:val="18"/>
                <w:szCs w:val="18"/>
                <w:b w:val="1"/>
                <w:bCs w:val="1"/>
                <w:color w:val="auto"/>
                <w:w w:val="93"/>
              </w:rPr>
              <w:t>Delaware</w:t>
            </w:r>
          </w:p>
        </w:tc>
        <w:tc>
          <w:tcPr>
            <w:tcW w:w="5360" w:type="dxa"/>
            <w:vAlign w:val="bottom"/>
            <w:gridSpan w:val="3"/>
          </w:tcPr>
          <w:p>
            <w:pPr>
              <w:jc w:val="right"/>
              <w:ind w:right="1241"/>
              <w:spacing w:after="0"/>
              <w:rPr>
                <w:sz w:val="20"/>
                <w:szCs w:val="20"/>
                <w:color w:val="auto"/>
              </w:rPr>
            </w:pPr>
            <w:r>
              <w:rPr>
                <w:rFonts w:ascii="Arial" w:cs="Arial" w:eastAsia="Arial" w:hAnsi="Arial"/>
                <w:sz w:val="18"/>
                <w:szCs w:val="18"/>
                <w:b w:val="1"/>
                <w:bCs w:val="1"/>
                <w:color w:val="auto"/>
              </w:rPr>
              <w:t>48-0948788</w:t>
            </w:r>
          </w:p>
        </w:tc>
      </w:tr>
      <w:tr>
        <w:trPr>
          <w:trHeight w:val="218"/>
        </w:trPr>
        <w:tc>
          <w:tcPr>
            <w:tcW w:w="3860" w:type="dxa"/>
            <w:vAlign w:val="bottom"/>
          </w:tcPr>
          <w:p>
            <w:pPr>
              <w:jc w:val="center"/>
              <w:ind w:right="358"/>
              <w:spacing w:after="0"/>
              <w:rPr>
                <w:sz w:val="20"/>
                <w:szCs w:val="20"/>
                <w:color w:val="auto"/>
              </w:rPr>
            </w:pPr>
            <w:r>
              <w:rPr>
                <w:rFonts w:ascii="Arial" w:cs="Arial" w:eastAsia="Arial" w:hAnsi="Arial"/>
                <w:sz w:val="14"/>
                <w:szCs w:val="14"/>
                <w:b w:val="1"/>
                <w:bCs w:val="1"/>
                <w:color w:val="auto"/>
                <w:w w:val="92"/>
              </w:rPr>
              <w:t>(State or other jurisdiction of</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20" w:type="dxa"/>
            <w:vAlign w:val="bottom"/>
          </w:tcPr>
          <w:p>
            <w:pPr>
              <w:jc w:val="center"/>
              <w:ind w:left="761"/>
              <w:spacing w:after="0"/>
              <w:rPr>
                <w:sz w:val="20"/>
                <w:szCs w:val="20"/>
                <w:color w:val="auto"/>
              </w:rPr>
            </w:pPr>
            <w:r>
              <w:rPr>
                <w:rFonts w:ascii="Arial" w:cs="Arial" w:eastAsia="Arial" w:hAnsi="Arial"/>
                <w:sz w:val="14"/>
                <w:szCs w:val="14"/>
                <w:b w:val="1"/>
                <w:bCs w:val="1"/>
                <w:color w:val="auto"/>
                <w:w w:val="96"/>
              </w:rPr>
              <w:t>(I.R.S. Employer</w:t>
            </w:r>
          </w:p>
        </w:tc>
      </w:tr>
      <w:tr>
        <w:trPr>
          <w:trHeight w:val="270"/>
        </w:trPr>
        <w:tc>
          <w:tcPr>
            <w:tcW w:w="3860" w:type="dxa"/>
            <w:vAlign w:val="bottom"/>
          </w:tcPr>
          <w:p>
            <w:pPr>
              <w:jc w:val="center"/>
              <w:ind w:right="358"/>
              <w:spacing w:after="0"/>
              <w:rPr>
                <w:sz w:val="20"/>
                <w:szCs w:val="20"/>
                <w:color w:val="auto"/>
              </w:rPr>
            </w:pPr>
            <w:r>
              <w:rPr>
                <w:rFonts w:ascii="Arial" w:cs="Arial" w:eastAsia="Arial" w:hAnsi="Arial"/>
                <w:sz w:val="14"/>
                <w:szCs w:val="14"/>
                <w:b w:val="1"/>
                <w:bCs w:val="1"/>
                <w:color w:val="auto"/>
                <w:w w:val="93"/>
              </w:rPr>
              <w:t>incorporation or organization)</w:t>
            </w: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320" w:type="dxa"/>
            <w:vAlign w:val="bottom"/>
          </w:tcPr>
          <w:p>
            <w:pPr>
              <w:jc w:val="center"/>
              <w:ind w:left="741"/>
              <w:spacing w:after="0"/>
              <w:rPr>
                <w:sz w:val="20"/>
                <w:szCs w:val="20"/>
                <w:color w:val="auto"/>
              </w:rPr>
            </w:pPr>
            <w:r>
              <w:rPr>
                <w:rFonts w:ascii="Arial" w:cs="Arial" w:eastAsia="Arial" w:hAnsi="Arial"/>
                <w:sz w:val="14"/>
                <w:szCs w:val="14"/>
                <w:b w:val="1"/>
                <w:bCs w:val="1"/>
                <w:color w:val="auto"/>
                <w:w w:val="96"/>
              </w:rPr>
              <w:t>Identification No.)</w:t>
            </w:r>
          </w:p>
        </w:tc>
      </w:tr>
      <w:tr>
        <w:trPr>
          <w:trHeight w:val="444"/>
        </w:trPr>
        <w:tc>
          <w:tcPr>
            <w:tcW w:w="3860" w:type="dxa"/>
            <w:vAlign w:val="bottom"/>
          </w:tcPr>
          <w:p>
            <w:pPr>
              <w:jc w:val="center"/>
              <w:ind w:right="358"/>
              <w:spacing w:after="0"/>
              <w:rPr>
                <w:sz w:val="20"/>
                <w:szCs w:val="20"/>
                <w:color w:val="auto"/>
              </w:rPr>
            </w:pPr>
            <w:r>
              <w:rPr>
                <w:rFonts w:ascii="Arial" w:cs="Arial" w:eastAsia="Arial" w:hAnsi="Arial"/>
                <w:sz w:val="18"/>
                <w:szCs w:val="18"/>
                <w:b w:val="1"/>
                <w:bCs w:val="1"/>
                <w:color w:val="auto"/>
                <w:w w:val="90"/>
              </w:rPr>
              <w:t>10990 Roe Avenue, Overland Park, Kansas</w:t>
            </w:r>
          </w:p>
        </w:tc>
        <w:tc>
          <w:tcPr>
            <w:tcW w:w="5360" w:type="dxa"/>
            <w:vAlign w:val="bottom"/>
            <w:gridSpan w:val="3"/>
          </w:tcPr>
          <w:p>
            <w:pPr>
              <w:jc w:val="right"/>
              <w:ind w:right="1441"/>
              <w:spacing w:after="0"/>
              <w:rPr>
                <w:sz w:val="20"/>
                <w:szCs w:val="20"/>
                <w:color w:val="auto"/>
              </w:rPr>
            </w:pPr>
            <w:r>
              <w:rPr>
                <w:rFonts w:ascii="Arial" w:cs="Arial" w:eastAsia="Arial" w:hAnsi="Arial"/>
                <w:sz w:val="18"/>
                <w:szCs w:val="18"/>
                <w:b w:val="1"/>
                <w:bCs w:val="1"/>
                <w:color w:val="auto"/>
              </w:rPr>
              <w:t>66211</w:t>
            </w:r>
          </w:p>
        </w:tc>
      </w:tr>
      <w:tr>
        <w:trPr>
          <w:trHeight w:val="218"/>
        </w:trPr>
        <w:tc>
          <w:tcPr>
            <w:tcW w:w="3860" w:type="dxa"/>
            <w:vAlign w:val="bottom"/>
          </w:tcPr>
          <w:p>
            <w:pPr>
              <w:jc w:val="center"/>
              <w:ind w:right="3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20" w:type="dxa"/>
            <w:vAlign w:val="bottom"/>
          </w:tcPr>
          <w:p>
            <w:pPr>
              <w:jc w:val="center"/>
              <w:ind w:left="741"/>
              <w:spacing w:after="0"/>
              <w:rPr>
                <w:sz w:val="20"/>
                <w:szCs w:val="20"/>
                <w:color w:val="auto"/>
              </w:rPr>
            </w:pPr>
            <w:r>
              <w:rPr>
                <w:rFonts w:ascii="Arial" w:cs="Arial" w:eastAsia="Arial" w:hAnsi="Arial"/>
                <w:sz w:val="14"/>
                <w:szCs w:val="14"/>
                <w:b w:val="1"/>
                <w:bCs w:val="1"/>
                <w:color w:val="auto"/>
                <w:w w:val="95"/>
              </w:rPr>
              <w:t>(Zip Code)</w:t>
            </w:r>
          </w:p>
        </w:tc>
      </w:tr>
      <w:tr>
        <w:trPr>
          <w:trHeight w:val="273"/>
        </w:trPr>
        <w:tc>
          <w:tcPr>
            <w:tcW w:w="3860" w:type="dxa"/>
            <w:vAlign w:val="bottom"/>
          </w:tcPr>
          <w:p>
            <w:pPr>
              <w:spacing w:after="0"/>
              <w:rPr>
                <w:sz w:val="23"/>
                <w:szCs w:val="23"/>
                <w:color w:val="auto"/>
              </w:rPr>
            </w:pPr>
          </w:p>
        </w:tc>
        <w:tc>
          <w:tcPr>
            <w:tcW w:w="5360" w:type="dxa"/>
            <w:vAlign w:val="bottom"/>
            <w:gridSpan w:val="3"/>
          </w:tcPr>
          <w:p>
            <w:pPr>
              <w:jc w:val="center"/>
              <w:ind w:right="3761"/>
              <w:spacing w:after="0"/>
              <w:rPr>
                <w:sz w:val="20"/>
                <w:szCs w:val="20"/>
                <w:color w:val="auto"/>
              </w:rPr>
            </w:pPr>
            <w:r>
              <w:rPr>
                <w:rFonts w:ascii="Arial" w:cs="Arial" w:eastAsia="Arial" w:hAnsi="Arial"/>
                <w:sz w:val="18"/>
                <w:szCs w:val="18"/>
                <w:b w:val="1"/>
                <w:bCs w:val="1"/>
                <w:color w:val="auto"/>
                <w:w w:val="90"/>
              </w:rPr>
              <w:t>(913) 696-6100</w:t>
            </w:r>
          </w:p>
        </w:tc>
      </w:tr>
      <w:tr>
        <w:trPr>
          <w:trHeight w:val="186"/>
        </w:trPr>
        <w:tc>
          <w:tcPr>
            <w:tcW w:w="9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77"/>
        </w:trPr>
        <w:tc>
          <w:tcPr>
            <w:tcW w:w="9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378"/>
        </w:trPr>
        <w:tc>
          <w:tcPr>
            <w:tcW w:w="3860" w:type="dxa"/>
            <w:vAlign w:val="bottom"/>
          </w:tcPr>
          <w:p>
            <w:pPr>
              <w:jc w:val="center"/>
              <w:ind w:left="398"/>
              <w:spacing w:after="0"/>
              <w:rPr>
                <w:sz w:val="20"/>
                <w:szCs w:val="20"/>
                <w:color w:val="auto"/>
              </w:rPr>
            </w:pPr>
            <w:r>
              <w:rPr>
                <w:rFonts w:ascii="Arial" w:cs="Arial" w:eastAsia="Arial" w:hAnsi="Arial"/>
                <w:sz w:val="18"/>
                <w:szCs w:val="18"/>
                <w:color w:val="auto"/>
                <w:w w:val="90"/>
              </w:rPr>
              <w:t>Title of each class</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jc w:val="center"/>
              <w:ind w:left="378"/>
              <w:spacing w:after="0"/>
              <w:rPr>
                <w:sz w:val="20"/>
                <w:szCs w:val="20"/>
                <w:color w:val="auto"/>
              </w:rPr>
            </w:pPr>
            <w:r>
              <w:rPr>
                <w:rFonts w:ascii="Arial" w:cs="Arial" w:eastAsia="Arial" w:hAnsi="Arial"/>
                <w:sz w:val="18"/>
                <w:szCs w:val="18"/>
                <w:color w:val="auto"/>
                <w:w w:val="89"/>
              </w:rPr>
              <w:t>Common Stock, $0.01 par value per share</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-130175</wp:posOffset>
            </wp:positionV>
            <wp:extent cx="17665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3" w:lineRule="exact"/>
        <w:rPr>
          <w:sz w:val="24"/>
          <w:szCs w:val="24"/>
          <w:color w:val="auto"/>
        </w:rPr>
      </w:pPr>
    </w:p>
    <w:p>
      <w:pPr>
        <w:ind w:left="660"/>
        <w:spacing w:after="0" w:line="207" w:lineRule="exact"/>
        <w:tabs>
          <w:tab w:leader="none" w:pos="12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78" w:lineRule="exact"/>
        <w:rPr>
          <w:sz w:val="24"/>
          <w:szCs w:val="24"/>
          <w:color w:val="auto"/>
        </w:rPr>
      </w:pPr>
    </w:p>
    <w:p>
      <w:pPr>
        <w:spacing w:after="0" w:line="196" w:lineRule="exact"/>
        <w:tabs>
          <w:tab w:leader="none" w:pos="9440" w:val="left"/>
        </w:tabs>
        <w:rPr>
          <w:sz w:val="20"/>
          <w:szCs w:val="20"/>
          <w:color w:val="auto"/>
        </w:rPr>
      </w:pPr>
      <w:r>
        <w:rPr>
          <w:rFonts w:ascii="Arial" w:cs="Arial" w:eastAsia="Arial" w:hAnsi="Arial"/>
          <w:sz w:val="17"/>
          <w:szCs w:val="17"/>
          <w:color w:val="auto"/>
        </w:rPr>
        <w:t>Indicate by check mark if the registrant is not required to file reports pursuant to Section 13 or 15(d) of the Exchange Act. Yes o</w:t>
        <w:tab/>
        <w:t xml:space="preserve">No </w:t>
      </w:r>
      <w:r>
        <w:rPr>
          <w:rFonts w:ascii="MS PGothic" w:cs="MS PGothic" w:eastAsia="MS PGothic" w:hAnsi="MS PGothic"/>
          <w:sz w:val="17"/>
          <w:szCs w:val="17"/>
          <w:color w:val="auto"/>
        </w:rPr>
        <w:t>☒</w:t>
      </w:r>
    </w:p>
    <w:p>
      <w:pPr>
        <w:spacing w:after="0" w:line="269"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660"/>
        <w:spacing w:after="0" w:line="207" w:lineRule="exact"/>
        <w:tabs>
          <w:tab w:leader="none" w:pos="1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o</w:t>
      </w:r>
    </w:p>
    <w:p>
      <w:pPr>
        <w:spacing w:after="0" w:line="216"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660"/>
        <w:spacing w:after="0" w:line="207" w:lineRule="exact"/>
        <w:tabs>
          <w:tab w:leader="none" w:pos="1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o</w:t>
      </w:r>
    </w:p>
    <w:p>
      <w:pPr>
        <w:sectPr>
          <w:pgSz w:w="11900" w:h="16838" w:orient="portrait"/>
          <w:cols w:equalWidth="0" w:num="1">
            <w:col w:w="11420"/>
          </w:cols>
          <w:pgMar w:left="240" w:top="220" w:right="239" w:bottom="1440" w:gutter="0" w:footer="0" w:header="0"/>
        </w:sectPr>
      </w:pPr>
    </w:p>
    <w:bookmarkStart w:id="1" w:name="page2"/>
    <w:bookmarkEnd w:id="1"/>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referenced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240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4900" w:type="dxa"/>
            <w:vAlign w:val="bottom"/>
          </w:tcPr>
          <w:p>
            <w:pPr>
              <w:ind w:left="800"/>
              <w:spacing w:after="0"/>
              <w:rPr>
                <w:sz w:val="20"/>
                <w:szCs w:val="20"/>
                <w:color w:val="auto"/>
              </w:rPr>
            </w:pPr>
            <w:r>
              <w:rPr>
                <w:rFonts w:ascii="Arial" w:cs="Arial" w:eastAsia="Arial" w:hAnsi="Arial"/>
                <w:sz w:val="18"/>
                <w:szCs w:val="18"/>
                <w:color w:val="auto"/>
              </w:rPr>
              <w:t>o</w:t>
            </w:r>
          </w:p>
        </w:tc>
        <w:tc>
          <w:tcPr>
            <w:tcW w:w="3160" w:type="dxa"/>
            <w:vAlign w:val="bottom"/>
            <w:vMerge w:val="restart"/>
          </w:tcPr>
          <w:p>
            <w:pPr>
              <w:ind w:left="58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4900" w:type="dxa"/>
            <w:vAlign w:val="bottom"/>
          </w:tcPr>
          <w:p>
            <w:pPr>
              <w:spacing w:after="0"/>
              <w:rPr>
                <w:sz w:val="17"/>
                <w:szCs w:val="17"/>
                <w:color w:val="auto"/>
              </w:rPr>
            </w:pPr>
          </w:p>
        </w:tc>
        <w:tc>
          <w:tcPr>
            <w:tcW w:w="31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4900" w:type="dxa"/>
            <w:vAlign w:val="bottom"/>
          </w:tcPr>
          <w:p>
            <w:pPr>
              <w:ind w:left="800"/>
              <w:spacing w:after="0"/>
              <w:rPr>
                <w:sz w:val="20"/>
                <w:szCs w:val="20"/>
                <w:color w:val="auto"/>
              </w:rPr>
            </w:pPr>
            <w:r>
              <w:rPr>
                <w:rFonts w:ascii="Arial" w:cs="Arial" w:eastAsia="Arial" w:hAnsi="Arial"/>
                <w:sz w:val="18"/>
                <w:szCs w:val="18"/>
                <w:color w:val="auto"/>
              </w:rPr>
              <w:t>o (Do not check if a smaller reporting company)</w:t>
            </w:r>
          </w:p>
        </w:tc>
        <w:tc>
          <w:tcPr>
            <w:tcW w:w="3160" w:type="dxa"/>
            <w:vAlign w:val="bottom"/>
          </w:tcPr>
          <w:p>
            <w:pPr>
              <w:ind w:left="58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6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392"/>
        </w:trPr>
        <w:tc>
          <w:tcPr>
            <w:tcW w:w="24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160" w:type="dxa"/>
            <w:vAlign w:val="bottom"/>
          </w:tcPr>
          <w:p>
            <w:pPr>
              <w:ind w:left="580"/>
              <w:spacing w:after="0"/>
              <w:rPr>
                <w:sz w:val="20"/>
                <w:szCs w:val="20"/>
                <w:color w:val="auto"/>
              </w:rPr>
            </w:pPr>
            <w:r>
              <w:rPr>
                <w:rFonts w:ascii="Arial" w:cs="Arial" w:eastAsia="Arial" w:hAnsi="Arial"/>
                <w:sz w:val="18"/>
                <w:szCs w:val="18"/>
                <w:color w:val="auto"/>
              </w:rPr>
              <w:t>Emerging growth company</w:t>
            </w:r>
          </w:p>
        </w:tc>
        <w:tc>
          <w:tcPr>
            <w:tcW w:w="780" w:type="dxa"/>
            <w:vAlign w:val="bottom"/>
          </w:tcPr>
          <w:p>
            <w:pPr>
              <w:ind w:left="6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0"/>
          <w:szCs w:val="20"/>
          <w:color w:val="auto"/>
        </w:rPr>
      </w:pPr>
    </w:p>
    <w:p>
      <w:pPr>
        <w:ind w:left="1300"/>
        <w:spacing w:after="0" w:line="207" w:lineRule="exact"/>
        <w:tabs>
          <w:tab w:leader="none" w:pos="1900" w:val="left"/>
        </w:tabs>
        <w:rPr>
          <w:sz w:val="20"/>
          <w:szCs w:val="20"/>
          <w:color w:val="auto"/>
        </w:rPr>
      </w:pPr>
      <w:r>
        <w:rPr>
          <w:rFonts w:ascii="Arial" w:cs="Arial" w:eastAsia="Arial" w:hAnsi="Arial"/>
          <w:sz w:val="18"/>
          <w:szCs w:val="18"/>
          <w:color w:val="auto"/>
        </w:rPr>
        <w:t>Yes o</w:t>
        <w:tab/>
        <w:t xml:space="preserve">No </w:t>
      </w:r>
      <w:r>
        <w:rPr>
          <w:rFonts w:ascii="MS PGothic" w:cs="MS PGothic" w:eastAsia="MS PGothic" w:hAnsi="MS PGothic"/>
          <w:sz w:val="18"/>
          <w:szCs w:val="18"/>
          <w:color w:val="auto"/>
        </w:rPr>
        <w:t>☒</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2017, the aggregate market value of the registrant’s common stock held by non-affiliates of the registrant was $363.8 million based on the closing price as reported on the NASDAQ Global Select Market.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3320" w:type="dxa"/>
            <w:vAlign w:val="bottom"/>
            <w:gridSpan w:val="2"/>
          </w:tcPr>
          <w:p>
            <w:pPr>
              <w:jc w:val="center"/>
              <w:ind w:right="3020"/>
              <w:spacing w:after="0"/>
              <w:rPr>
                <w:sz w:val="20"/>
                <w:szCs w:val="20"/>
                <w:color w:val="auto"/>
              </w:rPr>
            </w:pPr>
            <w:r>
              <w:rPr>
                <w:rFonts w:ascii="Arial" w:cs="Arial" w:eastAsia="Arial" w:hAnsi="Arial"/>
                <w:sz w:val="14"/>
                <w:szCs w:val="14"/>
                <w:color w:val="auto"/>
                <w:w w:val="85"/>
              </w:rPr>
              <w:t>Class</w:t>
            </w:r>
          </w:p>
        </w:tc>
        <w:tc>
          <w:tcPr>
            <w:tcW w:w="3520" w:type="dxa"/>
            <w:vAlign w:val="bottom"/>
            <w:gridSpan w:val="2"/>
          </w:tcPr>
          <w:p>
            <w:pPr>
              <w:jc w:val="center"/>
              <w:ind w:left="1588"/>
              <w:spacing w:after="0"/>
              <w:rPr>
                <w:sz w:val="20"/>
                <w:szCs w:val="20"/>
                <w:color w:val="auto"/>
              </w:rPr>
            </w:pPr>
            <w:r>
              <w:rPr>
                <w:rFonts w:ascii="Arial" w:cs="Arial" w:eastAsia="Arial" w:hAnsi="Arial"/>
                <w:sz w:val="14"/>
                <w:szCs w:val="14"/>
                <w:color w:val="auto"/>
                <w:w w:val="92"/>
              </w:rPr>
              <w:t>Outstanding at February 9, 2018</w:t>
            </w:r>
          </w:p>
        </w:tc>
      </w:tr>
      <w:tr>
        <w:trPr>
          <w:trHeight w:val="20"/>
        </w:trPr>
        <w:tc>
          <w:tcPr>
            <w:tcW w:w="1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r>
        <w:trPr>
          <w:trHeight w:val="264"/>
        </w:trPr>
        <w:tc>
          <w:tcPr>
            <w:tcW w:w="4680" w:type="dxa"/>
            <w:vAlign w:val="bottom"/>
            <w:gridSpan w:val="3"/>
          </w:tcPr>
          <w:p>
            <w:pPr>
              <w:jc w:val="center"/>
              <w:ind w:right="1660"/>
              <w:spacing w:after="0"/>
              <w:rPr>
                <w:sz w:val="20"/>
                <w:szCs w:val="20"/>
                <w:color w:val="auto"/>
              </w:rPr>
            </w:pPr>
            <w:r>
              <w:rPr>
                <w:rFonts w:ascii="Arial" w:cs="Arial" w:eastAsia="Arial" w:hAnsi="Arial"/>
                <w:sz w:val="18"/>
                <w:szCs w:val="18"/>
                <w:color w:val="auto"/>
                <w:w w:val="89"/>
              </w:rPr>
              <w:t>Common Stock, $0.01 par value per share</w:t>
            </w:r>
          </w:p>
        </w:tc>
        <w:tc>
          <w:tcPr>
            <w:tcW w:w="1660" w:type="dxa"/>
            <w:vAlign w:val="bottom"/>
          </w:tcPr>
          <w:p>
            <w:pPr>
              <w:spacing w:after="0"/>
              <w:rPr>
                <w:sz w:val="22"/>
                <w:szCs w:val="22"/>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33,510,860 shares</w:t>
            </w: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General Instruction G to Form 10-K, information required by Part III of this Form 10-K, either is incorporated herein by reference to a definitive proxy statement filed with the SEC no later than 120 days after the end of the fiscal year covered by this Form 10-K or will be included in an amendment to this Form 10-K filed with the SEC no later than 120 days after the end of the fiscal year covered by this Form 10-K.</w:t>
      </w:r>
    </w:p>
    <w:p>
      <w:pPr>
        <w:sectPr>
          <w:pgSz w:w="11900" w:h="16838" w:orient="portrait"/>
          <w:cols w:equalWidth="0" w:num="1">
            <w:col w:w="11420"/>
          </w:cols>
          <w:pgMar w:left="240" w:top="36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80" w:type="dxa"/>
            <w:vAlign w:val="bottom"/>
            <w:gridSpan w:val="6"/>
          </w:tcPr>
          <w:p>
            <w:pPr>
              <w:jc w:val="center"/>
              <w:ind w:right="4400"/>
              <w:spacing w:after="0"/>
              <w:rPr>
                <w:sz w:val="20"/>
                <w:szCs w:val="20"/>
                <w:color w:val="auto"/>
              </w:rPr>
            </w:pPr>
            <w:r>
              <w:rPr>
                <w:rFonts w:ascii="Arial" w:cs="Arial" w:eastAsia="Arial" w:hAnsi="Arial"/>
                <w:sz w:val="18"/>
                <w:szCs w:val="18"/>
                <w:color w:val="auto"/>
              </w:rPr>
              <w:t>INDEX</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8"/>
        </w:trPr>
        <w:tc>
          <w:tcPr>
            <w:tcW w:w="580" w:type="dxa"/>
            <w:vAlign w:val="bottom"/>
          </w:tcPr>
          <w:p>
            <w:pPr>
              <w:spacing w:after="0"/>
              <w:rPr>
                <w:sz w:val="20"/>
                <w:szCs w:val="20"/>
                <w:color w:val="auto"/>
              </w:rPr>
            </w:pPr>
            <w:r>
              <w:rPr>
                <w:rFonts w:ascii="Arial" w:cs="Arial" w:eastAsia="Arial" w:hAnsi="Arial"/>
                <w:sz w:val="14"/>
                <w:szCs w:val="14"/>
                <w:color w:val="auto"/>
              </w:rPr>
              <w:t>Item</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Page</w:t>
            </w:r>
          </w:p>
        </w:tc>
      </w:tr>
      <w:tr>
        <w:trPr>
          <w:trHeight w:val="230"/>
        </w:trPr>
        <w:tc>
          <w:tcPr>
            <w:tcW w:w="580" w:type="dxa"/>
            <w:vAlign w:val="bottom"/>
          </w:tcPr>
          <w:p>
            <w:pPr>
              <w:spacing w:after="0"/>
              <w:rPr>
                <w:sz w:val="19"/>
                <w:szCs w:val="19"/>
                <w:color w:val="auto"/>
              </w:rPr>
            </w:pPr>
          </w:p>
        </w:tc>
        <w:tc>
          <w:tcPr>
            <w:tcW w:w="10240" w:type="dxa"/>
            <w:vAlign w:val="bottom"/>
            <w:gridSpan w:val="20"/>
          </w:tcPr>
          <w:p>
            <w:pPr>
              <w:spacing w:after="0"/>
              <w:rPr>
                <w:sz w:val="20"/>
                <w:szCs w:val="20"/>
                <w:color w:val="auto"/>
              </w:rPr>
            </w:pPr>
            <w:r>
              <w:rPr>
                <w:rFonts w:ascii="Arial" w:cs="Arial" w:eastAsia="Arial" w:hAnsi="Arial"/>
                <w:sz w:val="18"/>
                <w:szCs w:val="18"/>
                <w:b w:val="1"/>
                <w:bCs w:val="1"/>
                <w:color w:val="auto"/>
              </w:rPr>
              <w:t>PART I</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1</w:t>
            </w: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9600" w:type="dxa"/>
            <w:vAlign w:val="bottom"/>
            <w:gridSpan w:val="19"/>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1A</w:t>
            </w:r>
          </w:p>
        </w:tc>
        <w:tc>
          <w:tcPr>
            <w:tcW w:w="10240" w:type="dxa"/>
            <w:vAlign w:val="bottom"/>
            <w:gridSpan w:val="20"/>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Risk Factors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10">
              <w:r>
                <w:rPr>
                  <w:rFonts w:ascii="Arial" w:cs="Arial" w:eastAsia="Arial" w:hAnsi="Arial"/>
                  <w:sz w:val="18"/>
                  <w:szCs w:val="18"/>
                  <w:color w:val="0000FF"/>
                </w:rPr>
                <w:t>10</w:t>
              </w:r>
            </w:hyperlink>
          </w:p>
        </w:tc>
      </w:tr>
      <w:tr>
        <w:trPr>
          <w:trHeight w:val="20"/>
        </w:trPr>
        <w:tc>
          <w:tcPr>
            <w:tcW w:w="5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1B</w:t>
            </w:r>
          </w:p>
        </w:tc>
        <w:tc>
          <w:tcPr>
            <w:tcW w:w="10240" w:type="dxa"/>
            <w:vAlign w:val="bottom"/>
            <w:gridSpan w:val="20"/>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Unresolved Staff Comments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5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2</w:t>
            </w:r>
          </w:p>
        </w:tc>
        <w:tc>
          <w:tcPr>
            <w:tcW w:w="2040" w:type="dxa"/>
            <w:vAlign w:val="bottom"/>
            <w:gridSpan w:val="10"/>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Properties</w:t>
              </w:r>
            </w:hyperlink>
          </w:p>
        </w:tc>
        <w:tc>
          <w:tcPr>
            <w:tcW w:w="8200" w:type="dxa"/>
            <w:vAlign w:val="bottom"/>
            <w:gridSpan w:val="10"/>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3</w:t>
            </w:r>
          </w:p>
        </w:tc>
        <w:tc>
          <w:tcPr>
            <w:tcW w:w="1340" w:type="dxa"/>
            <w:vAlign w:val="bottom"/>
            <w:gridSpan w:val="6"/>
          </w:tcPr>
          <w:p>
            <w:pPr>
              <w:spacing w:after="0"/>
              <w:rPr>
                <w:rFonts w:ascii="Arial" w:cs="Arial" w:eastAsia="Arial" w:hAnsi="Arial"/>
                <w:sz w:val="18"/>
                <w:szCs w:val="18"/>
                <w:color w:val="0000FF"/>
                <w:w w:val="87"/>
              </w:rPr>
            </w:pPr>
            <w:hyperlink w:anchor="page19">
              <w:r>
                <w:rPr>
                  <w:rFonts w:ascii="Arial" w:cs="Arial" w:eastAsia="Arial" w:hAnsi="Arial"/>
                  <w:sz w:val="18"/>
                  <w:szCs w:val="18"/>
                  <w:color w:val="0000FF"/>
                  <w:w w:val="87"/>
                </w:rPr>
                <w:t>Legal Proceedings</w:t>
              </w:r>
            </w:hyperlink>
          </w:p>
        </w:tc>
        <w:tc>
          <w:tcPr>
            <w:tcW w:w="8900" w:type="dxa"/>
            <w:vAlign w:val="bottom"/>
            <w:gridSpan w:val="1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4</w:t>
            </w:r>
          </w:p>
        </w:tc>
        <w:tc>
          <w:tcPr>
            <w:tcW w:w="10240" w:type="dxa"/>
            <w:vAlign w:val="bottom"/>
            <w:gridSpan w:val="20"/>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Mine Safety Disclosures</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1700" w:type="dxa"/>
            <w:vAlign w:val="bottom"/>
            <w:gridSpan w:val="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Executive Officers</w:t>
              </w:r>
            </w:hyperlink>
          </w:p>
        </w:tc>
        <w:tc>
          <w:tcPr>
            <w:tcW w:w="854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615"/>
        </w:trPr>
        <w:tc>
          <w:tcPr>
            <w:tcW w:w="580" w:type="dxa"/>
            <w:vAlign w:val="bottom"/>
          </w:tcPr>
          <w:p>
            <w:pPr>
              <w:spacing w:after="0"/>
              <w:rPr>
                <w:sz w:val="24"/>
                <w:szCs w:val="24"/>
                <w:color w:val="auto"/>
              </w:rPr>
            </w:pPr>
          </w:p>
        </w:tc>
        <w:tc>
          <w:tcPr>
            <w:tcW w:w="1340" w:type="dxa"/>
            <w:vAlign w:val="bottom"/>
            <w:tcBorders>
              <w:top w:val="single" w:sz="8" w:color="0000EE"/>
            </w:tcBorders>
            <w:gridSpan w:val="6"/>
          </w:tcPr>
          <w:p>
            <w:pPr>
              <w:spacing w:after="0"/>
              <w:rPr>
                <w:sz w:val="20"/>
                <w:szCs w:val="20"/>
                <w:color w:val="auto"/>
              </w:rPr>
            </w:pPr>
            <w:r>
              <w:rPr>
                <w:rFonts w:ascii="Arial" w:cs="Arial" w:eastAsia="Arial" w:hAnsi="Arial"/>
                <w:sz w:val="18"/>
                <w:szCs w:val="18"/>
                <w:b w:val="1"/>
                <w:bCs w:val="1"/>
                <w:color w:val="auto"/>
              </w:rPr>
              <w:t>PART II</w:t>
            </w:r>
          </w:p>
        </w:tc>
        <w:tc>
          <w:tcPr>
            <w:tcW w:w="8900" w:type="dxa"/>
            <w:vAlign w:val="bottom"/>
            <w:gridSpan w:val="14"/>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5</w:t>
            </w:r>
          </w:p>
        </w:tc>
        <w:tc>
          <w:tcPr>
            <w:tcW w:w="8060" w:type="dxa"/>
            <w:vAlign w:val="bottom"/>
            <w:gridSpan w:val="19"/>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Market for Registrant's Common Equity, Related Stockholder Matters and Issuer Purchases of Equity Securities</w:t>
              </w:r>
            </w:hyperlink>
          </w:p>
        </w:tc>
        <w:tc>
          <w:tcPr>
            <w:tcW w:w="2180" w:type="dxa"/>
            <w:vAlign w:val="bottom"/>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6</w:t>
            </w:r>
          </w:p>
        </w:tc>
        <w:tc>
          <w:tcPr>
            <w:tcW w:w="8060" w:type="dxa"/>
            <w:vAlign w:val="bottom"/>
            <w:gridSpan w:val="19"/>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Selected Financial Data</w:t>
              </w:r>
            </w:hyperlink>
          </w:p>
        </w:tc>
        <w:tc>
          <w:tcPr>
            <w:tcW w:w="2180" w:type="dxa"/>
            <w:vAlign w:val="bottom"/>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3">
              <w:r>
                <w:rPr>
                  <w:rFonts w:ascii="Arial" w:cs="Arial" w:eastAsia="Arial" w:hAnsi="Arial"/>
                  <w:sz w:val="18"/>
                  <w:szCs w:val="18"/>
                  <w:color w:val="0000FF"/>
                </w:rPr>
                <w:t>23</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7</w:t>
            </w:r>
          </w:p>
        </w:tc>
        <w:tc>
          <w:tcPr>
            <w:tcW w:w="6460" w:type="dxa"/>
            <w:vAlign w:val="bottom"/>
            <w:gridSpan w:val="17"/>
          </w:tcPr>
          <w:p>
            <w:pPr>
              <w:spacing w:after="0"/>
              <w:rPr>
                <w:rFonts w:ascii="Arial" w:cs="Arial" w:eastAsia="Arial" w:hAnsi="Arial"/>
                <w:sz w:val="18"/>
                <w:szCs w:val="18"/>
                <w:color w:val="0000FF"/>
                <w:w w:val="90"/>
              </w:rPr>
            </w:pPr>
            <w:hyperlink w:anchor="page24">
              <w:r>
                <w:rPr>
                  <w:rFonts w:ascii="Arial" w:cs="Arial" w:eastAsia="Arial" w:hAnsi="Arial"/>
                  <w:sz w:val="18"/>
                  <w:szCs w:val="18"/>
                  <w:color w:val="0000FF"/>
                  <w:w w:val="90"/>
                </w:rPr>
                <w:t>Management’s Discussion and Analysis of Financial Condition and Results of Operations</w:t>
              </w:r>
            </w:hyperlink>
          </w:p>
        </w:tc>
        <w:tc>
          <w:tcPr>
            <w:tcW w:w="37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7A</w:t>
            </w:r>
          </w:p>
        </w:tc>
        <w:tc>
          <w:tcPr>
            <w:tcW w:w="4360" w:type="dxa"/>
            <w:vAlign w:val="bottom"/>
            <w:gridSpan w:val="14"/>
          </w:tcPr>
          <w:p>
            <w:pPr>
              <w:spacing w:after="0"/>
              <w:rPr>
                <w:rFonts w:ascii="Arial" w:cs="Arial" w:eastAsia="Arial" w:hAnsi="Arial"/>
                <w:sz w:val="18"/>
                <w:szCs w:val="18"/>
                <w:color w:val="0000FF"/>
                <w:w w:val="92"/>
              </w:rPr>
            </w:pPr>
            <w:hyperlink w:anchor="page45">
              <w:r>
                <w:rPr>
                  <w:rFonts w:ascii="Arial" w:cs="Arial" w:eastAsia="Arial" w:hAnsi="Arial"/>
                  <w:sz w:val="18"/>
                  <w:szCs w:val="18"/>
                  <w:color w:val="0000FF"/>
                  <w:w w:val="92"/>
                </w:rPr>
                <w:t>Quantitative and Qualitative Disclosures About Market Risk</w:t>
              </w:r>
            </w:hyperlink>
          </w:p>
        </w:tc>
        <w:tc>
          <w:tcPr>
            <w:tcW w:w="2100" w:type="dxa"/>
            <w:vAlign w:val="bottom"/>
            <w:gridSpan w:val="3"/>
          </w:tcPr>
          <w:p>
            <w:pPr>
              <w:spacing w:after="0"/>
              <w:rPr>
                <w:sz w:val="21"/>
                <w:szCs w:val="21"/>
                <w:color w:val="auto"/>
              </w:rPr>
            </w:pPr>
          </w:p>
        </w:tc>
        <w:tc>
          <w:tcPr>
            <w:tcW w:w="3780" w:type="dxa"/>
            <w:vAlign w:val="bottom"/>
            <w:gridSpan w:val="3"/>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8</w:t>
            </w:r>
          </w:p>
        </w:tc>
        <w:tc>
          <w:tcPr>
            <w:tcW w:w="4360" w:type="dxa"/>
            <w:vAlign w:val="bottom"/>
            <w:gridSpan w:val="1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5880" w:type="dxa"/>
            <w:vAlign w:val="bottom"/>
            <w:gridSpan w:val="6"/>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46</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9</w:t>
            </w:r>
          </w:p>
        </w:tc>
        <w:tc>
          <w:tcPr>
            <w:tcW w:w="10240" w:type="dxa"/>
            <w:vAlign w:val="bottom"/>
            <w:gridSpan w:val="20"/>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Changes in and Disagreements With Accountants on Accounting and Financial Disclosure</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9A</w:t>
            </w:r>
          </w:p>
        </w:tc>
        <w:tc>
          <w:tcPr>
            <w:tcW w:w="6500" w:type="dxa"/>
            <w:vAlign w:val="bottom"/>
            <w:gridSpan w:val="18"/>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Controls and Procedures</w:t>
              </w:r>
            </w:hyperlink>
          </w:p>
        </w:tc>
        <w:tc>
          <w:tcPr>
            <w:tcW w:w="3740" w:type="dxa"/>
            <w:vAlign w:val="bottom"/>
            <w:gridSpan w:val="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9B</w:t>
            </w:r>
          </w:p>
        </w:tc>
        <w:tc>
          <w:tcPr>
            <w:tcW w:w="1340" w:type="dxa"/>
            <w:vAlign w:val="bottom"/>
            <w:gridSpan w:val="6"/>
          </w:tcPr>
          <w:p>
            <w:pPr>
              <w:spacing w:after="0"/>
              <w:rPr>
                <w:rFonts w:ascii="Arial" w:cs="Arial" w:eastAsia="Arial" w:hAnsi="Arial"/>
                <w:sz w:val="18"/>
                <w:szCs w:val="18"/>
                <w:color w:val="0000FF"/>
                <w:w w:val="92"/>
              </w:rPr>
            </w:pPr>
            <w:hyperlink w:anchor="page83">
              <w:r>
                <w:rPr>
                  <w:rFonts w:ascii="Arial" w:cs="Arial" w:eastAsia="Arial" w:hAnsi="Arial"/>
                  <w:sz w:val="18"/>
                  <w:szCs w:val="18"/>
                  <w:color w:val="0000FF"/>
                  <w:w w:val="92"/>
                </w:rPr>
                <w:t>Other Information</w:t>
              </w:r>
            </w:hyperlink>
          </w:p>
        </w:tc>
        <w:tc>
          <w:tcPr>
            <w:tcW w:w="360" w:type="dxa"/>
            <w:vAlign w:val="bottom"/>
            <w:gridSpan w:val="2"/>
          </w:tcPr>
          <w:p>
            <w:pPr>
              <w:spacing w:after="0"/>
              <w:rPr>
                <w:sz w:val="21"/>
                <w:szCs w:val="21"/>
                <w:color w:val="auto"/>
              </w:rPr>
            </w:pPr>
          </w:p>
        </w:tc>
        <w:tc>
          <w:tcPr>
            <w:tcW w:w="8540" w:type="dxa"/>
            <w:vAlign w:val="bottom"/>
            <w:gridSpan w:val="12"/>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r>
      <w:tr>
        <w:trPr>
          <w:trHeight w:val="615"/>
        </w:trPr>
        <w:tc>
          <w:tcPr>
            <w:tcW w:w="580" w:type="dxa"/>
            <w:vAlign w:val="bottom"/>
          </w:tcPr>
          <w:p>
            <w:pPr>
              <w:spacing w:after="0"/>
              <w:rPr>
                <w:sz w:val="24"/>
                <w:szCs w:val="24"/>
                <w:color w:val="auto"/>
              </w:rPr>
            </w:pPr>
          </w:p>
        </w:tc>
        <w:tc>
          <w:tcPr>
            <w:tcW w:w="1340" w:type="dxa"/>
            <w:vAlign w:val="bottom"/>
            <w:tcBorders>
              <w:top w:val="single" w:sz="8" w:color="0000FF"/>
            </w:tcBorders>
            <w:gridSpan w:val="6"/>
          </w:tcPr>
          <w:p>
            <w:pPr>
              <w:spacing w:after="0"/>
              <w:rPr>
                <w:sz w:val="20"/>
                <w:szCs w:val="20"/>
                <w:color w:val="auto"/>
              </w:rPr>
            </w:pPr>
            <w:r>
              <w:rPr>
                <w:rFonts w:ascii="Arial" w:cs="Arial" w:eastAsia="Arial" w:hAnsi="Arial"/>
                <w:sz w:val="18"/>
                <w:szCs w:val="18"/>
                <w:b w:val="1"/>
                <w:bCs w:val="1"/>
                <w:color w:val="auto"/>
              </w:rPr>
              <w:t>PART III</w:t>
            </w:r>
          </w:p>
        </w:tc>
        <w:tc>
          <w:tcPr>
            <w:tcW w:w="8900" w:type="dxa"/>
            <w:vAlign w:val="bottom"/>
            <w:gridSpan w:val="14"/>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10</w:t>
            </w:r>
          </w:p>
        </w:tc>
        <w:tc>
          <w:tcPr>
            <w:tcW w:w="4100" w:type="dxa"/>
            <w:vAlign w:val="bottom"/>
            <w:gridSpan w:val="13"/>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Directors, Executive Officers and Corporate Governance</w:t>
              </w:r>
            </w:hyperlink>
          </w:p>
        </w:tc>
        <w:tc>
          <w:tcPr>
            <w:tcW w:w="6140" w:type="dxa"/>
            <w:vAlign w:val="bottom"/>
            <w:gridSpan w:val="7"/>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4">
              <w:r>
                <w:rPr>
                  <w:rFonts w:ascii="Arial" w:cs="Arial" w:eastAsia="Arial" w:hAnsi="Arial"/>
                  <w:sz w:val="18"/>
                  <w:szCs w:val="18"/>
                  <w:color w:val="0000FF"/>
                </w:rPr>
                <w:t>84</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11</w:t>
            </w:r>
          </w:p>
        </w:tc>
        <w:tc>
          <w:tcPr>
            <w:tcW w:w="4100" w:type="dxa"/>
            <w:vAlign w:val="bottom"/>
            <w:gridSpan w:val="13"/>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Executive Compensation</w:t>
              </w:r>
            </w:hyperlink>
          </w:p>
        </w:tc>
        <w:tc>
          <w:tcPr>
            <w:tcW w:w="6140" w:type="dxa"/>
            <w:vAlign w:val="bottom"/>
            <w:gridSpan w:val="7"/>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4">
              <w:r>
                <w:rPr>
                  <w:rFonts w:ascii="Arial" w:cs="Arial" w:eastAsia="Arial" w:hAnsi="Arial"/>
                  <w:sz w:val="18"/>
                  <w:szCs w:val="18"/>
                  <w:color w:val="0000FF"/>
                </w:rPr>
                <w:t>84</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12</w:t>
            </w:r>
          </w:p>
        </w:tc>
        <w:tc>
          <w:tcPr>
            <w:tcW w:w="4880" w:type="dxa"/>
            <w:vAlign w:val="bottom"/>
            <w:gridSpan w:val="15"/>
          </w:tcPr>
          <w:p>
            <w:pPr>
              <w:spacing w:after="0"/>
              <w:rPr>
                <w:rFonts w:ascii="Arial" w:cs="Arial" w:eastAsia="Arial" w:hAnsi="Arial"/>
                <w:sz w:val="18"/>
                <w:szCs w:val="18"/>
                <w:color w:val="0000FF"/>
                <w:w w:val="90"/>
              </w:rPr>
            </w:pPr>
            <w:hyperlink w:anchor="page84">
              <w:r>
                <w:rPr>
                  <w:rFonts w:ascii="Arial" w:cs="Arial" w:eastAsia="Arial" w:hAnsi="Arial"/>
                  <w:sz w:val="18"/>
                  <w:szCs w:val="18"/>
                  <w:color w:val="0000FF"/>
                  <w:w w:val="90"/>
                </w:rPr>
                <w:t>Security Ownership of Certain Beneficial Owners and Management</w:t>
              </w:r>
            </w:hyperlink>
          </w:p>
        </w:tc>
        <w:tc>
          <w:tcPr>
            <w:tcW w:w="5360" w:type="dxa"/>
            <w:vAlign w:val="bottom"/>
            <w:gridSpan w:val="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4">
              <w:r>
                <w:rPr>
                  <w:rFonts w:ascii="Arial" w:cs="Arial" w:eastAsia="Arial" w:hAnsi="Arial"/>
                  <w:sz w:val="18"/>
                  <w:szCs w:val="18"/>
                  <w:color w:val="0000FF"/>
                </w:rPr>
                <w:t>84</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13</w:t>
            </w:r>
          </w:p>
        </w:tc>
        <w:tc>
          <w:tcPr>
            <w:tcW w:w="10240" w:type="dxa"/>
            <w:vAlign w:val="bottom"/>
            <w:gridSpan w:val="20"/>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Certain Relationships and Related Transactions, and Director Independence</w:t>
              </w:r>
            </w:hyperlink>
          </w:p>
        </w:tc>
        <w:tc>
          <w:tcPr>
            <w:tcW w:w="560" w:type="dxa"/>
            <w:vAlign w:val="bottom"/>
            <w:gridSpan w:val="4"/>
          </w:tcPr>
          <w:p>
            <w:pPr>
              <w:jc w:val="right"/>
              <w:ind w:right="20"/>
              <w:spacing w:after="0"/>
              <w:rPr>
                <w:rFonts w:ascii="Arial" w:cs="Arial" w:eastAsia="Arial" w:hAnsi="Arial"/>
                <w:sz w:val="18"/>
                <w:szCs w:val="18"/>
                <w:color w:val="0000FF"/>
              </w:rPr>
            </w:pPr>
            <w:hyperlink w:anchor="page84">
              <w:r>
                <w:rPr>
                  <w:rFonts w:ascii="Arial" w:cs="Arial" w:eastAsia="Arial" w:hAnsi="Arial"/>
                  <w:sz w:val="18"/>
                  <w:szCs w:val="18"/>
                  <w:color w:val="0000FF"/>
                </w:rPr>
                <w:t>84</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14</w:t>
            </w:r>
          </w:p>
        </w:tc>
        <w:tc>
          <w:tcPr>
            <w:tcW w:w="2900" w:type="dxa"/>
            <w:vAlign w:val="bottom"/>
            <w:gridSpan w:val="11"/>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Principal Accountant Fees and Services</w:t>
              </w:r>
            </w:hyperlink>
          </w:p>
        </w:tc>
        <w:tc>
          <w:tcPr>
            <w:tcW w:w="2540" w:type="dxa"/>
            <w:vAlign w:val="bottom"/>
            <w:gridSpan w:val="5"/>
          </w:tcPr>
          <w:p>
            <w:pPr>
              <w:spacing w:after="0"/>
              <w:rPr>
                <w:sz w:val="21"/>
                <w:szCs w:val="21"/>
                <w:color w:val="auto"/>
              </w:rPr>
            </w:pPr>
          </w:p>
        </w:tc>
        <w:tc>
          <w:tcPr>
            <w:tcW w:w="4800" w:type="dxa"/>
            <w:vAlign w:val="bottom"/>
            <w:gridSpan w:val="4"/>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4">
              <w:r>
                <w:rPr>
                  <w:rFonts w:ascii="Arial" w:cs="Arial" w:eastAsia="Arial" w:hAnsi="Arial"/>
                  <w:sz w:val="18"/>
                  <w:szCs w:val="18"/>
                  <w:color w:val="0000FF"/>
                </w:rPr>
                <w:t>84</w:t>
              </w:r>
            </w:hyperlink>
          </w:p>
        </w:tc>
      </w:tr>
      <w:tr>
        <w:trPr>
          <w:trHeight w:val="615"/>
        </w:trPr>
        <w:tc>
          <w:tcPr>
            <w:tcW w:w="580" w:type="dxa"/>
            <w:vAlign w:val="bottom"/>
          </w:tcPr>
          <w:p>
            <w:pPr>
              <w:spacing w:after="0"/>
              <w:rPr>
                <w:sz w:val="24"/>
                <w:szCs w:val="24"/>
                <w:color w:val="auto"/>
              </w:rPr>
            </w:pPr>
          </w:p>
        </w:tc>
        <w:tc>
          <w:tcPr>
            <w:tcW w:w="2900" w:type="dxa"/>
            <w:vAlign w:val="bottom"/>
            <w:tcBorders>
              <w:top w:val="single" w:sz="8" w:color="0000EE"/>
            </w:tcBorders>
            <w:gridSpan w:val="11"/>
          </w:tcPr>
          <w:p>
            <w:pPr>
              <w:spacing w:after="0"/>
              <w:rPr>
                <w:sz w:val="20"/>
                <w:szCs w:val="20"/>
                <w:color w:val="auto"/>
              </w:rPr>
            </w:pPr>
            <w:r>
              <w:rPr>
                <w:rFonts w:ascii="Arial" w:cs="Arial" w:eastAsia="Arial" w:hAnsi="Arial"/>
                <w:sz w:val="18"/>
                <w:szCs w:val="18"/>
                <w:b w:val="1"/>
                <w:bCs w:val="1"/>
                <w:color w:val="auto"/>
              </w:rPr>
              <w:t>PART IV</w:t>
            </w:r>
          </w:p>
        </w:tc>
        <w:tc>
          <w:tcPr>
            <w:tcW w:w="7340" w:type="dxa"/>
            <w:vAlign w:val="bottom"/>
            <w:gridSpan w:val="9"/>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15</w:t>
            </w:r>
          </w:p>
        </w:tc>
        <w:tc>
          <w:tcPr>
            <w:tcW w:w="2900" w:type="dxa"/>
            <w:vAlign w:val="bottom"/>
            <w:gridSpan w:val="11"/>
          </w:tcPr>
          <w:p>
            <w:pPr>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Exhibits, Financial Statement Schedules</w:t>
              </w:r>
            </w:hyperlink>
          </w:p>
        </w:tc>
        <w:tc>
          <w:tcPr>
            <w:tcW w:w="7340" w:type="dxa"/>
            <w:vAlign w:val="bottom"/>
            <w:gridSpan w:val="9"/>
          </w:tcPr>
          <w:p>
            <w:pPr>
              <w:spacing w:after="0"/>
              <w:rPr>
                <w:sz w:val="19"/>
                <w:szCs w:val="19"/>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5">
              <w:r>
                <w:rPr>
                  <w:rFonts w:ascii="Arial" w:cs="Arial" w:eastAsia="Arial" w:hAnsi="Arial"/>
                  <w:sz w:val="18"/>
                  <w:szCs w:val="18"/>
                  <w:color w:val="0000FF"/>
                </w:rPr>
                <w:t>85</w:t>
              </w:r>
            </w:hyperlink>
          </w:p>
        </w:tc>
      </w:tr>
      <w:tr>
        <w:trPr>
          <w:trHeight w:val="20"/>
        </w:trPr>
        <w:tc>
          <w:tcPr>
            <w:tcW w:w="5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Arial" w:cs="Arial" w:eastAsia="Arial" w:hAnsi="Arial"/>
                <w:sz w:val="18"/>
                <w:szCs w:val="18"/>
                <w:color w:val="auto"/>
              </w:rPr>
              <w:t>16</w:t>
            </w:r>
          </w:p>
        </w:tc>
        <w:tc>
          <w:tcPr>
            <w:tcW w:w="2900" w:type="dxa"/>
            <w:vAlign w:val="bottom"/>
            <w:gridSpan w:val="11"/>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Form 10-K Summary</w:t>
              </w:r>
            </w:hyperlink>
          </w:p>
        </w:tc>
        <w:tc>
          <w:tcPr>
            <w:tcW w:w="7340" w:type="dxa"/>
            <w:vAlign w:val="bottom"/>
            <w:gridSpan w:val="9"/>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89">
              <w:r>
                <w:rPr>
                  <w:rFonts w:ascii="Arial" w:cs="Arial" w:eastAsia="Arial" w:hAnsi="Arial"/>
                  <w:sz w:val="18"/>
                  <w:szCs w:val="18"/>
                  <w:color w:val="0000EE"/>
                </w:rPr>
                <w:t>89</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700" w:type="dxa"/>
            <w:vAlign w:val="bottom"/>
            <w:gridSpan w:val="1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580" w:type="dxa"/>
            <w:vAlign w:val="bottom"/>
          </w:tcPr>
          <w:p>
            <w:pPr>
              <w:spacing w:after="0"/>
              <w:rPr>
                <w:sz w:val="24"/>
                <w:szCs w:val="24"/>
                <w:color w:val="auto"/>
              </w:rPr>
            </w:pPr>
          </w:p>
        </w:tc>
        <w:tc>
          <w:tcPr>
            <w:tcW w:w="1060" w:type="dxa"/>
            <w:vAlign w:val="bottom"/>
            <w:gridSpan w:val="5"/>
          </w:tcPr>
          <w:p>
            <w:pPr>
              <w:spacing w:after="0"/>
              <w:rPr>
                <w:rFonts w:ascii="Arial" w:cs="Arial" w:eastAsia="Arial" w:hAnsi="Arial"/>
                <w:sz w:val="18"/>
                <w:szCs w:val="18"/>
                <w:color w:val="0000FF"/>
                <w:w w:val="92"/>
              </w:rPr>
            </w:pPr>
            <w:hyperlink w:anchor="page85">
              <w:r>
                <w:rPr>
                  <w:rFonts w:ascii="Arial" w:cs="Arial" w:eastAsia="Arial" w:hAnsi="Arial"/>
                  <w:sz w:val="18"/>
                  <w:szCs w:val="18"/>
                  <w:color w:val="0000FF"/>
                  <w:w w:val="92"/>
                </w:rPr>
                <w:t>Exhibits Index</w:t>
              </w:r>
            </w:hyperlink>
          </w:p>
        </w:tc>
        <w:tc>
          <w:tcPr>
            <w:tcW w:w="480" w:type="dxa"/>
            <w:vAlign w:val="bottom"/>
            <w:gridSpan w:val="2"/>
          </w:tcPr>
          <w:p>
            <w:pPr>
              <w:spacing w:after="0"/>
              <w:rPr>
                <w:sz w:val="24"/>
                <w:szCs w:val="24"/>
                <w:color w:val="auto"/>
              </w:rPr>
            </w:pPr>
          </w:p>
        </w:tc>
        <w:tc>
          <w:tcPr>
            <w:tcW w:w="8700" w:type="dxa"/>
            <w:vAlign w:val="bottom"/>
            <w:gridSpan w:val="13"/>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5">
              <w:r>
                <w:rPr>
                  <w:rFonts w:ascii="Arial" w:cs="Arial" w:eastAsia="Arial" w:hAnsi="Arial"/>
                  <w:sz w:val="18"/>
                  <w:szCs w:val="18"/>
                  <w:color w:val="0000FF"/>
                </w:rPr>
                <w:t>85</w:t>
              </w:r>
            </w:hyperlink>
          </w:p>
        </w:tc>
      </w:tr>
      <w:tr>
        <w:trPr>
          <w:trHeight w:val="20"/>
        </w:trPr>
        <w:tc>
          <w:tcPr>
            <w:tcW w:w="5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180" w:type="dxa"/>
            <w:vAlign w:val="bottom"/>
            <w:gridSpan w:val="1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FF"/>
                <w:w w:val="85"/>
              </w:rPr>
            </w:pPr>
            <w:hyperlink w:anchor="page89">
              <w:r>
                <w:rPr>
                  <w:rFonts w:ascii="Arial" w:cs="Arial" w:eastAsia="Arial" w:hAnsi="Arial"/>
                  <w:sz w:val="18"/>
                  <w:szCs w:val="18"/>
                  <w:color w:val="0000FF"/>
                  <w:w w:val="85"/>
                </w:rPr>
                <w:t>Signatures</w:t>
              </w:r>
            </w:hyperlink>
          </w:p>
        </w:tc>
        <w:tc>
          <w:tcPr>
            <w:tcW w:w="300" w:type="dxa"/>
            <w:vAlign w:val="bottom"/>
            <w:gridSpan w:val="2"/>
          </w:tcPr>
          <w:p>
            <w:pPr>
              <w:spacing w:after="0"/>
              <w:rPr>
                <w:sz w:val="21"/>
                <w:szCs w:val="21"/>
                <w:color w:val="auto"/>
              </w:rPr>
            </w:pPr>
          </w:p>
        </w:tc>
        <w:tc>
          <w:tcPr>
            <w:tcW w:w="9180" w:type="dxa"/>
            <w:vAlign w:val="bottom"/>
            <w:gridSpan w:val="15"/>
          </w:tcPr>
          <w:p>
            <w:pPr>
              <w:spacing w:after="0"/>
              <w:rPr>
                <w:sz w:val="21"/>
                <w:szCs w:val="21"/>
                <w:color w:val="auto"/>
              </w:rPr>
            </w:pPr>
          </w:p>
        </w:tc>
        <w:tc>
          <w:tcPr>
            <w:tcW w:w="560" w:type="dxa"/>
            <w:vAlign w:val="bottom"/>
            <w:gridSpan w:val="4"/>
          </w:tcPr>
          <w:p>
            <w:pPr>
              <w:jc w:val="right"/>
              <w:ind w:right="20"/>
              <w:spacing w:after="0"/>
              <w:rPr>
                <w:rFonts w:ascii="Arial" w:cs="Arial" w:eastAsia="Arial" w:hAnsi="Arial"/>
                <w:sz w:val="18"/>
                <w:szCs w:val="18"/>
                <w:color w:val="0000FF"/>
              </w:rPr>
            </w:pPr>
            <w:hyperlink w:anchor="page89">
              <w:r>
                <w:rPr>
                  <w:rFonts w:ascii="Arial" w:cs="Arial" w:eastAsia="Arial" w:hAnsi="Arial"/>
                  <w:sz w:val="18"/>
                  <w:szCs w:val="18"/>
                  <w:color w:val="0000FF"/>
                </w:rPr>
                <w:t>89</w:t>
              </w:r>
            </w:hyperlink>
          </w:p>
        </w:tc>
      </w:tr>
      <w:tr>
        <w:trPr>
          <w:trHeight w:val="723"/>
        </w:trPr>
        <w:tc>
          <w:tcPr>
            <w:tcW w:w="58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680" w:type="dxa"/>
            <w:vAlign w:val="bottom"/>
            <w:gridSpan w:val="13"/>
          </w:tcPr>
          <w:p>
            <w:pPr>
              <w:jc w:val="right"/>
              <w:ind w:right="300"/>
              <w:spacing w:after="0"/>
              <w:rPr>
                <w:sz w:val="20"/>
                <w:szCs w:val="20"/>
                <w:color w:val="auto"/>
              </w:rPr>
            </w:pPr>
            <w:r>
              <w:rPr>
                <w:rFonts w:ascii="Arial" w:cs="Arial" w:eastAsia="Arial" w:hAnsi="Arial"/>
                <w:sz w:val="18"/>
                <w:szCs w:val="18"/>
                <w:color w:val="auto"/>
              </w:rPr>
              <w:t>3</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530" w:right="239" w:bottom="1440" w:gutter="0" w:footer="0" w:header="0"/>
        </w:sectPr>
      </w:pPr>
    </w:p>
    <w:bookmarkStart w:id="3" w:name="page4"/>
    <w:bookmarkEnd w:id="3"/>
    <w:p>
      <w:pPr>
        <w:spacing w:after="0"/>
        <w:rPr>
          <w:sz w:val="20"/>
          <w:szCs w:val="20"/>
          <w:color w:val="auto"/>
        </w:rPr>
      </w:pPr>
      <w:r>
        <w:rPr>
          <w:rFonts w:ascii="Arial" w:cs="Arial" w:eastAsia="Arial" w:hAnsi="Arial"/>
          <w:sz w:val="20"/>
          <w:szCs w:val="20"/>
          <w:b w:val="1"/>
          <w:bCs w:val="1"/>
          <w:color w:val="auto"/>
        </w:rPr>
        <w:t>Note on Forward-Looking Statements</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This entire report, including (among other items) Item 1, “Business,” Item 1A, “Risk Factors,” and Item 7, “Management’s Discussion and Analysis of Financial Condition and Results of Operations” and other documents incorporated herein by reference includes forward-looking statements (each a “forward-looking statement”) within the meaning of Section 27A of the Securities Act of 1933, as amended (the “Securities Act”), and Section 21E of the Securities Exchange Act of 1934, as amended (the “Exchange Act”). Forward-looking statements include those preceded by, followed by or including the words “will,” “may,” “should,” “expect,” “intend,” “anticipate,” “believe,” “project,” “forecast,” “propose,” “plan,” “designed,” “estimate,” “enable” and similar expressions. Those forward-looking statements speak only as of the date of this report. We disclaim any obligation to update those statements, except as applicable law may require us to do so, and we caution you not to rely unduly on them. We have based those forward-looking statements on our current expectations and assumptions about future events, which may prove to be inaccurate. While our management considers those expectations and assumptions to be reasonable, they are inherently subject to significant business, economic, competitive, regulatory (including environmental), legal and other risks, contingencies and uncertainties, most of which are difficult to predict and many of which are beyond our control. Therefore, actual results may differ materially and adversely from those expressed in any forward-looking statements. Factors that might cause or contribute to such differences include, but are not limited to, those we discuss in this report under the section entitled “Risk Factors” in Item 1A and the section entitled “Liquidity and Capital Resources” in Item 7, “Management’s Discussion and Analysis of Financial Condition and Results of Operations,” and in other reports we file with the Securities and Exchange Commission (the “SEC”). The factors we discuss in this report are not necessarily all the important factors that could affect us. Unpredictable or unknown factors we have not discussed in this report also could have material adverse effects on actual results of matters that are the subject of our forward-looking statements. We do not intend to update our description of important factors each time a potentially important factor arises. We advise our existing and potential security holders that they should (1) be aware that important factors to which we do not refer in this report could affect the accuracy of our forward-looking statements and (2) use caution and common sense when considering our forward-looking statements.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 I</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Business</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General Description of the Business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YRC Worldwide Inc. (also referred to as “YRC Worldwide,” the “Company,” “we,” “us” or “our”) is a holding company that, through its operating subsidiaries, offers its customers a wide range of transportation services. We have one of the largest, most comprehensive less-than-truckload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88" w:lineRule="exact"/>
        <w:rPr>
          <w:sz w:val="20"/>
          <w:szCs w:val="20"/>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YRC Inc. (doing business as, and hereinafter referred to as, “YRC Freight”), our LTL subsidiary, and Reimer Express Lines Ltd. (“YRC Reimer”), a subsidiary located in Canada that specializes in shipments into, across and out of Canada. In addition to the United States and Canada, YRC Freight also serves parts of Mexico and Puerto Rico.</w:t>
      </w:r>
    </w:p>
    <w:p>
      <w:pPr>
        <w:spacing w:after="0" w:line="188"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Transportation is the reporting segment for our transportation service providers focused on business opportunities in the regional and next-day delivery markets. Regional Transportation is comprised of USF Holland LLC (“Holland”), New Penn Motor Express LLC (“New Penn”) and USF Reddaway Inc. (“Reddaway”). These companies each provide regional, next-day ground services in their respective regions through a network of facilities located across the United States, Canada, and Puerto Rico.</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revenue and other information regarding our reporting segments, see the “Business Segments” footnote of our consolidated financial statements included in this Annual Report on Form 10-K.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Incorporated in Delaware in 1983 and headquartered in Overland Park, Kansas, we employed approximately 32,000 people as of December 31, 2017. The mailing address of our headquarters is 10990 Roe Avenue, Overland Park, Kansas 66211, and our telephone number is (913) 696-6100. Our website is www.yrcw.com. Through the “SEC Filings” link on our website, we make available the following filings as soon as reasonably practicable after they are electronically filed with or furnished to the SEC: our Annual Report on Form 10-K, Quarterly Reports on Form 10-Q, Current Reports on Form 8-K, and any amendments to those reports filed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22"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or furnished pursuant to Section 13(a) or 15(d) of the Exchange Act. All of these filings may be viewed or printed from our website free of charge.</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Narrative Description of the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YRC Freight offers a full range of services for the transportation of industrial, commercial and retail goods in national, regional and international markets, primarily through the operation of owned or leased equipment in its North American ground distribution network. Transportation services are provided for various categories of goods, which may include (among others) apparel, appliances, automotive parts, chemicals, food, furniture, glass, machinery, metal, metal products, non-bulk petroleum products, rubber, textiles, wood and other manufactured products or components. YRC Freight provides both LTL services, which combine shipments from multiple customers on a single trailer, and truckload services. Deliveries are predominately LTL shipments with truckload services offered to maximize equipment utilization and reduce empty miles (the distance empty or partially full trailers travel to balance the network). YRC Freight also provides higher-margin specialized services, including guaranteed expedited services, time-specific deliveries, cross-border services, coast-to-coast air delivery, product returns, temperature-sensitive shipment protection and government material shipments.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YRC Freight serves manufacturing, wholesale, retail and government customers throughout North America. YRC Freight’s approximate 19,000 employees are dedicated to operating its extensive network which supports approximately 10.5 million shipments annually. YRC Freight shipments have an average shipment size of approximately1,200 pounds and travel an average distance of roughly 1,300 miles. Operations research and engineering teams coordinate the equipment, routing, sequencing and timing necessary to efficiently transport shipments through our distribution network. On December 31, 2017, YRC Freight’s revenue fleet was comprised of approximately 7,600 tractors, including approximately 5,900 owned tractors and 1,700 leased tractors, and approximately 30,900 trailers, including approximately 23,800 owned trailers and 7,100 leased trailers. The YRC Freight network includes 260 strategically located service facilities including 125 owned facilities with approximately 8,300 doors and 135 leased facilities with approximately 6,000 doors.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YRC Freight provides services throughout North America, has one of the largest networks of LTL service centers, equipment and transportation professionals and provides flexible and efficient supply chain solutions including:</w:t>
      </w:r>
    </w:p>
    <w:p>
      <w:pPr>
        <w:spacing w:after="0" w:line="166" w:lineRule="exact"/>
        <w:rPr>
          <w:sz w:val="20"/>
          <w:szCs w:val="20"/>
          <w:color w:val="auto"/>
        </w:rPr>
      </w:pPr>
    </w:p>
    <w:p>
      <w:pPr>
        <w:ind w:left="660" w:hanging="328"/>
        <w:spacing w:after="0" w:line="31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Standard LTL: </w:t>
      </w:r>
      <w:r>
        <w:rPr>
          <w:rFonts w:ascii="Arial" w:cs="Arial" w:eastAsia="Arial" w:hAnsi="Arial"/>
          <w:sz w:val="17"/>
          <w:szCs w:val="17"/>
          <w:color w:val="auto"/>
        </w:rPr>
        <w:t>one-stop shopping for all big-shipment national LTL freight needs with centralized customer service for LTL shipping among the</w:t>
      </w:r>
      <w:r>
        <w:rPr>
          <w:rFonts w:ascii="Arial" w:cs="Arial" w:eastAsia="Arial" w:hAnsi="Arial"/>
          <w:sz w:val="17"/>
          <w:szCs w:val="17"/>
          <w:b w:val="1"/>
          <w:bCs w:val="1"/>
          <w:color w:val="auto"/>
        </w:rPr>
        <w:t xml:space="preserve"> </w:t>
      </w:r>
      <w:r>
        <w:rPr>
          <w:rFonts w:ascii="Arial" w:cs="Arial" w:eastAsia="Arial" w:hAnsi="Arial"/>
          <w:sz w:val="17"/>
          <w:szCs w:val="17"/>
          <w:color w:val="auto"/>
        </w:rPr>
        <w:t>countries of North America. YRC Freight offers flexibility, convenience and reliability that comes with one national freight shipping provider.</w:t>
      </w:r>
    </w:p>
    <w:p>
      <w:pPr>
        <w:spacing w:after="0" w:line="138" w:lineRule="exact"/>
        <w:rPr>
          <w:rFonts w:ascii="Arial" w:cs="Arial" w:eastAsia="Arial" w:hAnsi="Arial"/>
          <w:sz w:val="17"/>
          <w:szCs w:val="17"/>
          <w:color w:val="auto"/>
        </w:rPr>
      </w:pPr>
    </w:p>
    <w:p>
      <w:pPr>
        <w:ind w:left="660" w:hanging="328"/>
        <w:spacing w:after="0" w:line="282"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Guaranteed Standard: </w:t>
      </w:r>
      <w:r>
        <w:rPr>
          <w:rFonts w:ascii="Arial" w:cs="Arial" w:eastAsia="Arial" w:hAnsi="Arial"/>
          <w:sz w:val="18"/>
          <w:szCs w:val="18"/>
          <w:color w:val="auto"/>
        </w:rPr>
        <w:t>services moving on our Standard network, with guaranteed on-time delivery by a specific day or within a multi-day</w:t>
      </w:r>
      <w:r>
        <w:rPr>
          <w:rFonts w:ascii="Arial" w:cs="Arial" w:eastAsia="Arial" w:hAnsi="Arial"/>
          <w:sz w:val="18"/>
          <w:szCs w:val="18"/>
          <w:b w:val="1"/>
          <w:bCs w:val="1"/>
          <w:color w:val="auto"/>
        </w:rPr>
        <w:t xml:space="preserve"> </w:t>
      </w:r>
      <w:r>
        <w:rPr>
          <w:rFonts w:ascii="Arial" w:cs="Arial" w:eastAsia="Arial" w:hAnsi="Arial"/>
          <w:sz w:val="18"/>
          <w:szCs w:val="18"/>
          <w:color w:val="auto"/>
        </w:rPr>
        <w:t>window. Our guaranteed multiple-day window service is designed to meet retail industry needs to reduce chargeback fees.</w:t>
      </w:r>
    </w:p>
    <w:p>
      <w:pPr>
        <w:spacing w:after="0" w:line="161"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Accelerated: </w:t>
      </w:r>
      <w:r>
        <w:rPr>
          <w:rFonts w:ascii="Arial" w:cs="Arial" w:eastAsia="Arial" w:hAnsi="Arial"/>
          <w:sz w:val="16"/>
          <w:szCs w:val="16"/>
          <w:color w:val="auto"/>
        </w:rPr>
        <w:t>a faster option to our Standard service that moves through YRC Freight’s faster network to increase our customers’ speed to market.</w:t>
      </w:r>
    </w:p>
    <w:p>
      <w:pPr>
        <w:spacing w:after="0" w:line="248"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Time-Critical: </w:t>
      </w:r>
      <w:r>
        <w:rPr>
          <w:rFonts w:ascii="Arial" w:cs="Arial" w:eastAsia="Arial" w:hAnsi="Arial"/>
          <w:sz w:val="18"/>
          <w:szCs w:val="18"/>
          <w:color w:val="auto"/>
        </w:rPr>
        <w:t>for expedited and specialized shipments including emergency and window deliveries via ground or air anywhere in North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with shipment arrival timed to the hour or day, proactive notification and a 100% on-time guarantee.</w:t>
      </w:r>
    </w:p>
    <w:p>
      <w:pPr>
        <w:spacing w:after="0" w:line="161" w:lineRule="exact"/>
        <w:rPr>
          <w:rFonts w:ascii="Arial" w:cs="Arial" w:eastAsia="Arial" w:hAnsi="Arial"/>
          <w:sz w:val="18"/>
          <w:szCs w:val="18"/>
          <w:b w:val="1"/>
          <w:bCs w:val="1"/>
          <w:color w:val="auto"/>
        </w:rPr>
      </w:pPr>
    </w:p>
    <w:p>
      <w:pPr>
        <w:ind w:left="660" w:hanging="328"/>
        <w:spacing w:after="0" w:line="28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Logistics Solutions: </w:t>
      </w:r>
      <w:r>
        <w:rPr>
          <w:rFonts w:ascii="Arial" w:cs="Arial" w:eastAsia="Arial" w:hAnsi="Arial"/>
          <w:sz w:val="18"/>
          <w:szCs w:val="18"/>
          <w:color w:val="auto"/>
        </w:rPr>
        <w:t>includes a variety of services to meet industry and customer-specific needs with offerings such as Custom Projects,</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Consolidation and Distribution, Reverse Logistics, Residential White Glove, and Exhibit Services.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yrcfreight.com: </w:t>
      </w:r>
      <w:r>
        <w:rPr>
          <w:rFonts w:ascii="Arial" w:cs="Arial" w:eastAsia="Arial" w:hAnsi="Arial"/>
          <w:sz w:val="17"/>
          <w:szCs w:val="17"/>
          <w:color w:val="auto"/>
        </w:rPr>
        <w:t>a secure e-commerce website offering online resources for supply chain visibility and shipment management in real time.</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Freight includes the operations of its wholly owned Canadian subsidiary, YRC Reimer. Founded in 1952, YRC Reimer offers Canadian shippers a selection of direct connections within Canada and throughout North America. YRC Reimer’s operating network and information systems are completely integrated with those of YRC Freight, enabling YRC Reimer to provide seamless cross-border services between Canada, Mexico and the United States and markets overseas.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YRC Freight represented 63% of our consolidated operating revenue in 2017, 2016 and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3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Regional Transportation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Regional Transportation is comprised of Holland, New Penn and Reddaway:</w:t>
      </w:r>
    </w:p>
    <w:p>
      <w:pPr>
        <w:spacing w:after="0" w:line="221" w:lineRule="exact"/>
        <w:rPr>
          <w:sz w:val="20"/>
          <w:szCs w:val="20"/>
          <w:color w:val="auto"/>
        </w:rPr>
      </w:pPr>
    </w:p>
    <w:p>
      <w:pPr>
        <w:ind w:left="660" w:hanging="328"/>
        <w:spacing w:after="0" w:line="347"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Holland: </w:t>
      </w:r>
      <w:r>
        <w:rPr>
          <w:rFonts w:ascii="Arial" w:cs="Arial" w:eastAsia="Arial" w:hAnsi="Arial"/>
          <w:sz w:val="16"/>
          <w:szCs w:val="16"/>
          <w:color w:val="auto"/>
        </w:rPr>
        <w:t>headquartered in Holland, Michigan, provides local next-day, regional and expedited services through a network located in 21 states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Midwestern and Southeastern portions of the United States. Holland also provides service to the provinces of Ontario and Quebec, Canada.</w:t>
      </w:r>
    </w:p>
    <w:p>
      <w:pPr>
        <w:spacing w:after="0" w:line="116"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New Penn: </w:t>
      </w:r>
      <w:r>
        <w:rPr>
          <w:rFonts w:ascii="Arial" w:cs="Arial" w:eastAsia="Arial" w:hAnsi="Arial"/>
          <w:sz w:val="18"/>
          <w:szCs w:val="18"/>
          <w:color w:val="auto"/>
        </w:rPr>
        <w:t>headquartered in Lebanon, Pennsylvania, provides local next-day, day-definite, and time-definite services through a network located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Northeastern United States; Quebec, Canada; and Puerto Rico.</w:t>
      </w:r>
    </w:p>
    <w:p>
      <w:pPr>
        <w:spacing w:after="0" w:line="16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Reddaway: </w:t>
      </w:r>
      <w:r>
        <w:rPr>
          <w:rFonts w:ascii="Arial" w:cs="Arial" w:eastAsia="Arial" w:hAnsi="Arial"/>
          <w:sz w:val="18"/>
          <w:szCs w:val="18"/>
          <w:color w:val="auto"/>
        </w:rPr>
        <w:t>headquartered in Tualatin, Oregon, provides local next-day, regional and expedited services through a network located in 12 western</w:t>
      </w:r>
      <w:r>
        <w:rPr>
          <w:rFonts w:ascii="Arial" w:cs="Arial" w:eastAsia="Arial" w:hAnsi="Arial"/>
          <w:sz w:val="18"/>
          <w:szCs w:val="18"/>
          <w:b w:val="1"/>
          <w:bCs w:val="1"/>
          <w:color w:val="auto"/>
        </w:rPr>
        <w:t xml:space="preserve"> </w:t>
      </w:r>
      <w:r>
        <w:rPr>
          <w:rFonts w:ascii="Arial" w:cs="Arial" w:eastAsia="Arial" w:hAnsi="Arial"/>
          <w:sz w:val="18"/>
          <w:szCs w:val="18"/>
          <w:color w:val="auto"/>
        </w:rPr>
        <w:t>states spanning California, the Pacific Northwest, the Rocky Mountain States and the Southwest. Additionally, Reddaway provides services to Alaska, Hawaii and to the province of British Columbia, Canada.</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Together, the Regional Transportation companies deliver services in the next-day, second-day and time-sensitive markets, which are among the fastest-growing transportation segments. The Regional Transportation service portfolio includes:</w:t>
      </w:r>
    </w:p>
    <w:p>
      <w:pPr>
        <w:spacing w:after="0" w:line="166" w:lineRule="exact"/>
        <w:rPr>
          <w:sz w:val="20"/>
          <w:szCs w:val="20"/>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Regional delivery: </w:t>
      </w:r>
      <w:r>
        <w:rPr>
          <w:rFonts w:ascii="Arial" w:cs="Arial" w:eastAsia="Arial" w:hAnsi="Arial"/>
          <w:sz w:val="18"/>
          <w:szCs w:val="18"/>
          <w:color w:val="auto"/>
        </w:rPr>
        <w:t>including next-day local area delivery and second-day services; consolidation/distribution services; protect-from-freezing and</w:t>
      </w:r>
      <w:r>
        <w:rPr>
          <w:rFonts w:ascii="Arial" w:cs="Arial" w:eastAsia="Arial" w:hAnsi="Arial"/>
          <w:sz w:val="18"/>
          <w:szCs w:val="18"/>
          <w:b w:val="1"/>
          <w:bCs w:val="1"/>
          <w:color w:val="auto"/>
        </w:rPr>
        <w:t xml:space="preserve"> </w:t>
      </w:r>
      <w:r>
        <w:rPr>
          <w:rFonts w:ascii="Arial" w:cs="Arial" w:eastAsia="Arial" w:hAnsi="Arial"/>
          <w:sz w:val="18"/>
          <w:szCs w:val="18"/>
          <w:color w:val="auto"/>
        </w:rPr>
        <w:t>hazardous materials handling; truckload and a variety of other specialized offerings.</w:t>
      </w:r>
    </w:p>
    <w:p>
      <w:pPr>
        <w:spacing w:after="0" w:line="16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Guaranteed and expedited delivery: </w:t>
      </w:r>
      <w:r>
        <w:rPr>
          <w:rFonts w:ascii="Arial" w:cs="Arial" w:eastAsia="Arial" w:hAnsi="Arial"/>
          <w:sz w:val="18"/>
          <w:szCs w:val="18"/>
          <w:color w:val="auto"/>
        </w:rPr>
        <w:t>including day-definite, hour-definite and time-definite capabilities.</w:t>
      </w:r>
    </w:p>
    <w:p>
      <w:pPr>
        <w:spacing w:after="0" w:line="225"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Interregional delivery: </w:t>
      </w:r>
      <w:r>
        <w:rPr>
          <w:rFonts w:ascii="Arial" w:cs="Arial" w:eastAsia="Arial" w:hAnsi="Arial"/>
          <w:sz w:val="18"/>
          <w:szCs w:val="18"/>
          <w:color w:val="auto"/>
        </w:rPr>
        <w:t>combining our best-in-class regional networks, Regional Transportation provides reliable, high-value services between our</w:t>
      </w:r>
      <w:r>
        <w:rPr>
          <w:rFonts w:ascii="Arial" w:cs="Arial" w:eastAsia="Arial" w:hAnsi="Arial"/>
          <w:sz w:val="18"/>
          <w:szCs w:val="18"/>
          <w:b w:val="1"/>
          <w:bCs w:val="1"/>
          <w:color w:val="auto"/>
        </w:rPr>
        <w:t xml:space="preserve"> </w:t>
      </w:r>
      <w:r>
        <w:rPr>
          <w:rFonts w:ascii="Arial" w:cs="Arial" w:eastAsia="Arial" w:hAnsi="Arial"/>
          <w:sz w:val="18"/>
          <w:szCs w:val="18"/>
          <w:color w:val="auto"/>
        </w:rPr>
        <w:t>regional operations.</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Cross-border delivery: </w:t>
      </w:r>
      <w:r>
        <w:rPr>
          <w:rFonts w:ascii="Arial" w:cs="Arial" w:eastAsia="Arial" w:hAnsi="Arial"/>
          <w:sz w:val="18"/>
          <w:szCs w:val="18"/>
          <w:color w:val="auto"/>
        </w:rPr>
        <w:t>through strategic partnerships, the Regional Transportation companies provide full-service capabilities between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Canada, and Puerto Rico.</w:t>
      </w:r>
    </w:p>
    <w:p>
      <w:pPr>
        <w:spacing w:after="0" w:line="161"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hollandregional.com, newpenn.com, and reddawayregional.com: </w:t>
      </w:r>
      <w:r>
        <w:rPr>
          <w:rFonts w:ascii="Arial" w:cs="Arial" w:eastAsia="Arial" w:hAnsi="Arial"/>
          <w:sz w:val="18"/>
          <w:szCs w:val="18"/>
          <w:color w:val="auto"/>
        </w:rPr>
        <w:t>our e-commerce websites offering secure and customized online resources to</w:t>
      </w:r>
      <w:r>
        <w:rPr>
          <w:rFonts w:ascii="Arial" w:cs="Arial" w:eastAsia="Arial" w:hAnsi="Arial"/>
          <w:sz w:val="18"/>
          <w:szCs w:val="18"/>
          <w:b w:val="1"/>
          <w:bCs w:val="1"/>
          <w:color w:val="auto"/>
        </w:rPr>
        <w:t xml:space="preserve"> </w:t>
      </w:r>
      <w:r>
        <w:rPr>
          <w:rFonts w:ascii="Arial" w:cs="Arial" w:eastAsia="Arial" w:hAnsi="Arial"/>
          <w:sz w:val="18"/>
          <w:szCs w:val="18"/>
          <w:color w:val="auto"/>
        </w:rPr>
        <w:t>manage transportation activity.</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approximate 12,000 employees of our Regional Transportation companies serve and support manufacturing, wholesale, retail and government customers throughout North America and transport approximately 10.4 million shipments annually. Regional Transportation shipments have an average shipment size of approximately 1,500 pounds and travel an average distance of roughly 400 miles. As of December 31, 2017, the Regional Transportation network includes 124 service facilities including 62 owned facilities with approximately 3,950 doors and 62 leased facilities with approximately 2,800 doors. The Regional Transportation revenue fleet includes approximately 6,500 tractors including approximately 4,700 owned and 1,800 leased and approximately 13,700 trailers including approximately 10,500 owned and 3,200 leased.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Regional Transportation companies accounted for 37% of our consolidated operating revenue in 2017,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YRC Worldwide, headquartered in Overland Park, Kansas, has approximately 400 employees. The parent company provides centrally-managed support to our operating companies that spans a variety of functions, including components of finance, legal, risk management, sales, and security.</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Each of our shared services organizations charges the operating companies for their services, either based upon usage or on an overhead allocation basis.</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companies operate in a highly competitive environment. Our competitors include global, integrated freight transportation services providers; global freight forwarders; national freight services providers (including intermodal providers); regional or interregional carriers; third party logistics providers; and small, intraregional transportation companies. The entire trucking industry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962"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8"/>
          <w:szCs w:val="18"/>
          <w:color w:val="auto"/>
        </w:rPr>
        <w:t>also faces emerging competition from online technology firms that specialize in load-matching services and large customers that may use their significant scale advantages to offer transportation solutions to their suppliers and customers.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companies also have competitors within several different modes of transportation including: LTL, truckload, air and ocean cargo, intermodal rail, parcel and package companies, transportation consolidators, reverse logistics firms, and privately-owned fleets.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Ground-based transportation includes private fleets and “for-hire” provider groups. The private provider segment consists of fleets owned by companies that move their own goods and materials. The “for-hire” groups are classified based on the typical shipment sizes that they handle. Truckload refers to providers transporting shipments that generally fill an entire van, and LTL refers to providers transporting goods from multiple shippers in a single trailer.</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LTL transportation providers consolidate numerous shipments (generally ranging from 100 to 20,000 pounds) from varying businesses at service centers within close proximity to where those shipments originated. Utilizing expansive networks of pickup and delivery operations around local service centers, shipments are moved between origin and destination using distribution centers when necessary, where consolidation and deconsolidation of shipments occur. Depending on the distance shipped, shared load providers are often classified into one of four sub-groups:</w:t>
      </w:r>
    </w:p>
    <w:p>
      <w:pPr>
        <w:spacing w:after="0" w:line="171"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Regional - Average distance is typically fewer than 500 miles with a focus on one- and two-day delivery times. Regional transportation companies can move shipments directly to their respective destination centers, which increases service reliability and avoids costs associated with intermediate handling.</w:t>
      </w:r>
    </w:p>
    <w:p>
      <w:pPr>
        <w:spacing w:after="0" w:line="14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Interregional - Average distance is usually between 500 and 1,000 miles with a focus on two- and three-day delivery times. There is a competitive overlap between regional and national providers in this category, as each group sees the interregional segment as a growth opportunity, and few providers focus exclusively on this sector.</w:t>
      </w:r>
    </w:p>
    <w:p>
      <w:pPr>
        <w:spacing w:after="0" w:line="140"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National - Average distance is typically in excess of 1,000 miles with focus on two- to five-day delivery times. National providers rely on intermediate shipment handling through a network of facilities, which require numerous satellite service centers, multiple distribution centers and a relay network. To gain service and cost advantages, they often ship directly between service centers, minimizing intermediate handling.</w:t>
      </w:r>
    </w:p>
    <w:p>
      <w:pPr>
        <w:spacing w:after="0" w:line="12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 Providing freight forwarding and final-mile delivery services to companies shipping to and from multiple regions around the world. This service can be offered through a combination of owned assets or through a purchased transportation model and may involve just one leg of a shipment’s movement between countries.</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YRC Freight provides services in all four sub-groups in North America. Holland, New Penn and Reddaway compete in the regional, interregional and national transportation marketplace. Each brand competes against a number of providers in these markets, from small firms with one or two vehicles to global competitors with thousands of physical assets. While we have competitors with a similar multi-dimensional approach, there are few in the traditional LTL segment with as comprehensive an offering in those categories as our family of companies provides.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Asset-based LTL carriers depend on Third Party Logistics (“3PL”) firms. These non-asset based service providers are both our customers and competitors. As clients, these firms aggregate truck shipment demand and distribute that demand across the transportation sector. Asset-based LTL carriers are the primary providers of shipping capacity to these companies and benefit from the relationship. As competitors, 3PLs often control shipper relationships and can shift shipment volumes away from specific carriers. Certain 3PLs have completed purchases of asset-based LTL carriers, which might alter the competitive landscape in the future.</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technology firms have introduced, or are in the process of introducing, load-matching technologies for heavyweight freight. Whereas these firms operate similar to a third-party logistics firm, they allow any carrier to bid on specific shipment opportunities. Successfully winning a bid opportunity could be based on a truck’s proximity to the pick-up location, price, or other factors. Just as in the 3PL scenario, we view these as potential opportunities as well as a competitive risk.</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Large shippers with significant scale and advanced technologies could offer transportation management services to their suppliers and customers. These companies often operate their own private fleets and can merge asset and non-asset based transportation solutions to create a market-facing offer.</w:t>
      </w:r>
    </w:p>
    <w:p>
      <w:pPr>
        <w:spacing w:after="0" w:line="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Competitive cost of entry into the asset-based LTL sector on a small scale, within a limited service area, is relatively low (although more so than in other sectors of the transportation industry). The larger the service area, the greater the barriers to entry, due primarily to the need for additional equipment and facilities associated with broader geographic service coverage. Broader market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30" w:right="2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coverage in the competitive transportation landscape also requires increased technology investment and the ability to capture cost efficiencies from shipment density (scale), making entry on a national basis more difficult. Further development of density-based pricing strategies will require carriers to continue to make investments in scanning and measuring technologies. We have already taken significant steps toward implementing these technologies, and other competitors in our industry are also making investments in this technology at varying speeds.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operating companies and other interstate carriers were substantially deregulated following the enactment of the Motor Carrier Act of 1980, the Trucking Industry Regulatory Reform Act of 1994, the Federal Aviation Administration Authorization of 1994 and the ICC Termination Act of 1995. Prices and services are now largely free of regulatory controls, although the states retained the right to require compliance with safety and insurance requirements, and interstate motor carriers remain subject to regulatory controls imposed by agencies within the U.S. Department of Transportation.</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companies are subject to regulatory and legislative changes, which can affect our economics and those of our competitors. Some regulatory changes could potentially impact the pool of available drivers. Various federal and state agencies regulate us and our operations are also subject to various federal, foreign, state, provincial and local environmental laws and regulations dealing with transportation, storage, presence, use, disposal and handling of hazardous materials, emissions related to the use of petroleum-based fuels, fuel efficiency, discharge of storm-water and underground fuel storage tanks. Our drivers and facility employees are protected by occupational safety and health regulations and our drivers are subject to hours of service regulations. Some regulatory changes could potentially impact the pool of available drivers. We are also subject to security regulations intended to combat terrorism imposed by the U.S. Department of Homeland Security and other federal and state agencies. See the Risk Factors section related to our compliance with laws and regulations in Item 1A of this report.</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operations are subject to U.S. federal, foreign, state, provincial and local regulations with regard to air and water quality and other environmental matters. We believe that we are in substantial compliance with these regulations. Regulation in this area continues to evolve and changes in standards of enforcement of existing regulations, as well as the enactment and enforcement of new legislation or regulation, may require us and our customers to modify, supplement or replace equipment or facilities or to change or discontinue present methods of operation.</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operating companies store fuel for use in our revenue equipment in approximately 246 underground storage tanks (“USTs”) located throughout the United States. Maintenance of such USTs is regulated at the federal and, in some cases, state level. The USTs are required to have leak detection systems and are required to be extracted upon our exiting the property.</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2017, we spent approximately $8.7 million to comply with U.S. federal, state and local provisions regulating the discharge of materials into the environment or otherwise relating to the protection of the environment (collectively, “Environmental Regulations”). In 2018, we expect to spend approximately $8.8 million to comply with the Environmental Regulations. Based upon current information, we believe that our compliance with Environmental Regulations will not have a material adverse effect upon our capital expenditures, results of operations and competitive position because we have either made adequate reserves for such compliance expenditures or the cost for such compliance is expected to be small in comparison with our overall expenses.</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Comprehensive Environmental Response, Compensation and Liability Act (known as the “Superfund Act”) imposes liability for the release of a “hazardous substance” into the environment. Superfund liability is imposed without regard to fault and even if the waste disposal was in compliance with then-current laws and regulations. With the joint and several liabilities imposed under the Superfund Act, a potentially responsible party (“PRP”) may be required to pay more than its proportional share of any required environmental remediation. Several of our subsidiaries have been identified as PRPs at various sites discussed below. The U.S. Environmental Protection Agency (the “EPA”) and appropriate state agencies are supervising investigative and cleanup activities at these sites.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former Yellow Transportation (now a part of YRC Freight) has been alleged to be a PRP for two locations: Angeles Chemical Co., Santa Fe Springs, CA and Alburn Incinerator, Inc., Chicago, IL, which is included in the Lake Calumet Cluster Site. With respect to these sites, there is little, if any evidence that YRC Freight contributed to any contamination and these allegations are not believed to present material exposure. The former Roadway Express (now a part of YRC Freight) has been alleged to be a PRP for three locations: Ward Transformer, Raleigh, NC, Roosevelt Irrigation District, Phoenix, AZ and Berry's Creek, Carlstadt, NJ. There is scant evidence connecting YRC Freight with either the Ward Transformer site or to the Roosevelt Irrigation District’s contaminated groundwater wells and any potential exposure is believed to be immaterial. The EPA has notified YRC Freight and 140 other potential parties of their possible responsibility at the Berry's Creek site where YRC Freight operates a service center.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30" w:right="239" w:bottom="1440" w:gutter="0" w:footer="0" w:header="0"/>
        </w:sectPr>
      </w:pPr>
    </w:p>
    <w:bookmarkStart w:id="8" w:name="page9"/>
    <w:bookmarkEnd w:id="8"/>
    <w:p>
      <w:pPr>
        <w:jc w:val="both"/>
        <w:spacing w:after="0" w:line="276" w:lineRule="auto"/>
        <w:rPr>
          <w:sz w:val="20"/>
          <w:szCs w:val="20"/>
          <w:color w:val="auto"/>
        </w:rPr>
      </w:pPr>
      <w:r>
        <w:rPr>
          <w:rFonts w:ascii="Arial" w:cs="Arial" w:eastAsia="Arial" w:hAnsi="Arial"/>
          <w:sz w:val="17"/>
          <w:szCs w:val="17"/>
          <w:color w:val="auto"/>
        </w:rPr>
        <w:t>The EPA has issued YRC Worldwide a Request for Information (“RFI”) regarding current and former Yellow Transportation and Roadway Express (now YRC Freight) facilities adjacent to or in close proximity of Newtown Creek, NY and its tributaries. None of YRC Worldwide’s operating companies have been named as a PRP in this matter, but YRC Freight has entered into a tolling agreement with the Newtown Creek Group (“NCG”). The NCG is comprised of five companies and the City of New York who, per Consent Order, have agreed to perform a Remedial Investigation (RI) and Feasibility Study (FS) under the supervision of the EPA. The EPA’s website regarding this matter provides status updates of site investigations and study.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USF RedStar LLC a non-operating subsidiary, has been alleged to be a PRP at three locations: Booth Oil, N. Tonawanda, NY and two separate landfills in Byron, NY, and Moira, NY. Holland has been alleged to be a PRP in an RFI for one location, Horton Sales Piedmont Site, Greenville County, SC. Although the outcome of any legal matter is subject to uncertainties, based on our current knowledge, we believe the potential combined costs at all of the above sites will not be significant.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PRPs in Superfund actions have joint and several liabilities for all costs of remediation, it is not possible at this time to quantify our ultimate exposure because the projects are either in the investigative or early remediation stage. Based upon current information, we do not believe that probable or reasonably possible expenditures in connection with the sites described above are likely to have a material adverse effect on our financial condition or results of operations because:</w:t>
      </w:r>
    </w:p>
    <w:p>
      <w:pPr>
        <w:spacing w:after="0" w:line="187"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necessary, we have established adequate reserves to cover the estimate we presently believe will be our liability with respect to the matter;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and our subsidiaries have only limited or de minimis involvement in the sites based upon volumetric calculations;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PRPs involved in the sites have substantial assets and may reasonably be expected to pay a larger share of the cost of remediation; and</w:t>
      </w:r>
    </w:p>
    <w:p>
      <w:pPr>
        <w:spacing w:after="0" w:line="196"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that our ultimate liability is relatively small compared with our overall expenses.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various other governmental proceedings and regulations, including foreign regulations, relating to environmental matters, and are investigating potential violations of Environmental Regulations with respect to certain sites, but we do not believe that any of these matters or investigations is likely to have a material adverse effect on our business, financial condition, liquidity or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Economic Factors and Seasonality</w:t>
      </w:r>
    </w:p>
    <w:p>
      <w:pPr>
        <w:spacing w:after="0" w:line="2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business is subject to a number of general economic factors that may have a material adverse effect on the results of our operations, many of which are largely out of our control. These include the impact of recessionary economic cycles and downturns in our customers’ business cycles, particularly in market segments and industries, such as retail and manufacturing, where we have a significant concentration of customers. Economic conditions may adversely affect our customers’ business levels, the amount of transportation services they need and their ability to pay for our services. We operate in a highly price-sensitive and competitive industry, making industry pricing actions, quality of customer service, effective asset utilization and cost control major competitive factors.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of our revenues are subject to seasonal variations which are common in the trucking industry. Customers tend to reduce shipments just prior to and after the winter holiday season. Operating expenses as a percent of revenue tend to be higher, and operating cash flows as a percent of revenue tend to be lower in the winter months, primarily due to colder weather and seasonally lower levels of shipments and the seasonal timing of expenditures. Generally, most of the first quarter and the latter part of the fourth quarter are the seasonally weakest while the second and third quarters are the seasonally strongest. The availability and cost of labor and other operating cost inputs, such as fuel, equipment maintenance and equipment replacements, can significantly impact our overall cost, competitive position within our industry and our resulting earnings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Information About Geographic Areas</w:t>
      </w:r>
    </w:p>
    <w:p>
      <w:pPr>
        <w:spacing w:after="0" w:line="2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revenue from foreign sources is mainly derived from Canada and, to a lesser extent, Mexico. We have certain long-lived assets located in these areas as well. We discuss this information in the “Business Segments” footnote of our consolidated financial statements included in this Annual Report on Form 10-K.</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addition to the risks and uncertainties described elsewhere in this report or in our other SEC filings, the following risk factors should be considered carefully in evaluating us. These risks could have a material adverse effect on our business, financial condition and results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Risks</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general economic factors that are largely out of our control, any of which could have a material adverse effect on our business, financial condition and results of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subject to a number of general economic factors that may adversely affect our business, financial condition and results of operations, many of which are largely out of our control. These factors include recessionary economic cycles and downturns in customers’ business cycles and changes in their business practices, particularly in market segments and industries, such as retail and manufacturing, where we have a significant concentration of customers. Economic conditions may adversely affect our customers’ business levels, the amount of transportation services they need and their ability to pay for our services. Because a portion of our costs are fixed, it may be difficult for us to quickly adjust our cost structure proportionally with fluctuations in volume levels. Customers encountering adverse economic conditions represent a greater potential for loss, and we may be required to increase our reserve for bad-debt losses. Further, we depend on our suppliers for equipment, parts and services that are critical to our business. A disruption in the availability of these supplies or a material increase in their cost due to adverse economic conditions or financial constraints of our suppliers could adversely impact our business, results of operations and liquidity.</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business risks and increasing costs associated with the transportation industry that are largely out of our control, any of which could have a material adverse effect on our business, financial condition and results of operations.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business risks and increasing costs associated with the transportation industry that are largely out of our control, any of which could adversely affect our business, financial condition and results of operations. The factors contributing to these risks and costs include weather, excess capacity in the transportation industry, fuel prices, interest rates, license and registration fees, insurance premiums, self-insurance levels, letters of credit required to support outstanding claims, and increasing equipment and operational costs, as well as the other factors discussed in this risk factor section. Further, the future availability and support available for our current technology may make it necessary for us to upgrade or change these systems, which may be costly and could disrupt or reduce the efficiency of our operations.</w:t>
      </w:r>
    </w:p>
    <w:p>
      <w:pPr>
        <w:spacing w:after="0" w:line="189"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operate in a highly competitive industry, and our business will suffer if we are unable to adequately address potential downward pricing pressures and other factors that could have a material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Numerous competitive factors could adversely affect our business, financial condition and results of operations. These factors include the following:</w:t>
      </w:r>
    </w:p>
    <w:p>
      <w:pPr>
        <w:spacing w:after="0" w:line="237" w:lineRule="exact"/>
        <w:rPr>
          <w:sz w:val="20"/>
          <w:szCs w:val="20"/>
          <w:color w:val="auto"/>
        </w:rPr>
      </w:pPr>
    </w:p>
    <w:p>
      <w:pPr>
        <w:ind w:left="660" w:right="2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compete with many other transportation service providers of varying sizes and types, some of which have a lower cost structure, more and/or newer equipment and greater capital resources than we do or have other competitive advantages;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Some of our competitors periodically reduce their prices to gain business, especially during times of reduced growth rates in the economy, which limits our ability to maintain or increase prices or maintain or grow our business;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customers may negotiate rates or contracts that minimize or eliminate our ability to offset fuel prices through fuel surcharges;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Many customers reduce the number of carriers they use by selecting so-called “core carriers” as approved transportation service providers, and in some instances, we may not be selected;</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Many customers periodically accept bids from multiple carriers for their shipping needs, which may depress prices or result in the loss of some business to competitors;</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trend towards consolidation in the ground transportation industry may create other large carriers with greater financial resources and other competitive advantages relating to their size;</w:t>
      </w: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Advances in technology require increased investments to remain competitive, and our customers may not be willing to accept higher prices to cover the cost of these investments;</w:t>
      </w: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Competition from non-asset-based logistics and freight brokerage companies may adversely affect our customer relationships and prices;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As a union carrier, we may have a competitive disadvantage compared to non-union carriers with lower costs and greater operating flexibility.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10" w:name="page11"/>
    <w:bookmarkEnd w:id="10"/>
    <w:p>
      <w:pPr>
        <w:jc w:val="both"/>
        <w:spacing w:after="0" w:line="266" w:lineRule="auto"/>
        <w:rPr>
          <w:sz w:val="20"/>
          <w:szCs w:val="20"/>
          <w:color w:val="auto"/>
        </w:rPr>
      </w:pPr>
      <w:r>
        <w:rPr>
          <w:rFonts w:ascii="Arial" w:cs="Arial" w:eastAsia="Arial" w:hAnsi="Arial"/>
          <w:sz w:val="18"/>
          <w:szCs w:val="18"/>
          <w:b w:val="1"/>
          <w:bCs w:val="1"/>
          <w:color w:val="auto"/>
        </w:rPr>
        <w:t>If our relationship with our employees and unions were to deteriorate, we may be faced with labor disruptions or stoppages, which could have a material adverse effect on our business, financial condition and results of operations and place us at a disadvantage relative to non-union competitors.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operating subsidiaries has employees who are represented by the International Brotherhood of Teamsters (“IBT”). These employees represent 78% of our workforce at December 31, 2017. Salaries, wages and employee benefits for both union and non-union employees compose over half of our operating costs.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Each of our YRC Freight, New Penn, and Holland subsidiaries employ most of their unionized employees under the terms of a common national master freight agreement with the IBT, as supplemented by additional regional supplements and local agreements, a significant majority of which will expire on March 31, 2019. Failure to renew or enter into a new collective bargaining agreement could significantly impact our ability to staff our business and, thus, have a material adverse effect on our operations. The IBT also represents a number of employees at Reddaway and YRC Reimer under more localized agreements, which have wages, benefit contributions and other terms and conditions that better fit the cost structure and operating models of these business units. Our subsidiaries are regularly subject to grievances, arbitration proceedings and other claims concerning alleged past and current non-compliance with applicable labor law and collective bargaining agreements.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cannot predict the outcome of any of these matters. These matters, if resolved in a manner unfavorable to us, could have a material adverse effect on our business, financial condition, liquidity and results of operations.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pension expense and funding obligations could increase significantly and have a material adverse effect on our business, financial condition and results of operations.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future funding obligations for our U.S. single-employer defined benefit pension plans qualified with the Internal Revenue Service (“IRS”) depend upon their funded status, the future performance of assets set aside in trusts for these plans, the level of interest rates used to determine funding levels and actuarial experience, and any changes in government laws and regulations.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subsidiaries began making contributions to most of the multi-employer pension funds (the “funds”) beginning June 1, 2011 at the rate of 25% of the contribution rate in effect on July 1, 2009. Any fund that did not allow our subsidiaries to begin making contributions at a reduced rate elected to either (i) apply the amount of the contributions toward paying down previously deferred contributions under our Contribution Deferral Agreement, or (ii) have the amount of the contributions placed in escrow until such time when the fund is able to accept re-entry at the reduced rate.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contributions to the funds do not reach certain goals (including those required not to enter endangered or critical status or those required by a fund’s funding improvement or rehabilitation plan), our pension expenses and required cash contributions could further increase upon the expiration of our collective bargaining agreements and, as a result, could materially adversely affect our business, financial condition and results of operations. Decreases in investment returns that are not offset by contributions could also increase our obligations under such plans.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information obtained from public filings and from plan administrators and trustees, we believe our portion of the contingent liability in the case of a full withdrawal from or termination of all of the multi-employer pension plans would be an estimated $9 billion on a pre-tax basis. If we were subject to withdrawal liability with respect to a plan, the Employment Retirement Income Security Act of 1974, as amended (“ERISA”), provides that a withdrawing employer can pay the obligation in a lump sum or over time based upon an annual payment that is the highest contribution rate to the relevant plan multiplied by the average of the three highest consecutive years measured in contribution base units, which, in some cases, could be up to 20 years. Even so, our applicable subsidiaries have no current intention of taking any action that would subject us to payment of material withdrawal obligations; however, we cannot provide any assurance that such obligations will not arise in the future which would have a material adverse effect on our business, financial condition, liquidity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Ongoing self-insurance and claims expenses could have a material adverse effect on our business, financial condition and results of operations.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future insurance and claims expenses might exceed historical levels. We currently self-insure for a majority of our claims exposure resulting from workers’ compensation, property damage and liability claims, and cargo, supplemented by large deductible purchased insurance. If the number or severity of claims for which we are self-insured increases, our business, financial condition and results of operations could be adversely affected, and we may have to post additional letters of credit or cash collateral to state workers’ compensation authorities or insurers to support our insurance policies, which may adversely affect our liquidity. Although we have significantly reduced our letter of credit expense in recent years, there is no assurance this trend will continue. If we lose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our ability to self-insure, our insurance costs could materially increase, and we may find it difficult to obtain adequate levels of insurance coverage.</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self-insured retention limits can make our insurance and claims expense higher and/or more volatile. We accrue for the costs of the uninsured portion of pending claims, based on the nature and severity of individual claims and historical claims development trends. Estimating the number and severity of claims, as well as related judgment or settlement amounts is inherently difficult. This, along with legal expenses, incurred but not reported claims, and other uncertainties can cause unfavorable differences between actual self-insurance costs and our reserve estimates.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general, our insurance coverage with respect to each of workers’ compensation, property damage and liability claims, and cargo claims is subject to policy limits. Although we believe our aggregate insurance policy limits are sufficient to cover reasonably expected claims, it is possible that one or more claims could exceed those limits. In this case, we would bear the excess expense, in addition to the amount of self-insurance. Our insurance and claims expense could increase, or we could find it necessary to raise our self-insured retention or decrease our aggregate coverage limits when our policies are renewed or replaced.</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significant ongoing capital expenditure requirements that could have a material adverse effect on our business, financial condition and results of operations if we are unable to generate sufficient cash from operations.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capital intensive. Our capital expenditures focus primarily on revenue equipment replacement, land and structures and investments in information technology. Our capital expenditures for the years ended December 31, 2017 and 2016 were $103.3 million and $100.6 million, respectively. These amounts were principally used to fund the purchase of used tractors and trailers, to refurbish engines for our revenue fleet, and capitalized costs for our network facilities and technology infrastructure. We will need to continue to update our fleet periodically. If we are unable to generate sufficient cash from operations to fund our capital requirements, we may have to limit our growth, utilize our existing liquidity, or enter into additional financing arrangements, including leasing arrangements, or operate our revenue equipment (including tractors and trailers) for longer periods resulting in increased maintenance costs, any of which could reduce our operating income. If our cash from operations and existing financing arrangements are not sufficient to fund our capital expenditure requirements, we may not be able to obtain additional financing at all or on terms acceptable to us. In addition, our credit facilities contain provisions that limit our level of annual capital expenditures.</w:t>
      </w:r>
    </w:p>
    <w:p>
      <w:pPr>
        <w:spacing w:after="0" w:line="1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operate in an industry subject to extensive government regulations, and costs of compliance with, or liability for violation of, existing or future regulations could significantly increase our costs of doing business.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 Departments of Transportation and Homeland Security and various federal, state, local and foreign agencies exercise broad powers over our business, generally governing such activities as authorization to engage in motor carrier operations, safety and permits to conduct transportation business. Our drivers are also subject to hours-of-service rules from the Federal Motor Carrier Safety Administration (“FMCSA”). In the future, we may become subject to new or more restrictive regulations that the FMCSA, Departments of Transportation and Homeland Security, the Occupational Safety and Health Administration, the Environmental Protection Agency or other authorities impose, including regulations relating to engine exhaust emissions, the hours of service that our drivers may provide in any one-time period, security and other matters. Compliance with these regulations could substantially impair productivity and increase our costs.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2010, the FMCSA established the Compliance Safety Accountability (“CSA”) motor carrier oversight program under which drivers and fleets are evaluated based on certain safety-related standards. Carriers’ safety and fitness ratings under CSA include the on-road safety performance of the carriers’ drivers. The FMCSA has also implemented changes to the hours of service (“HOS”) regulations which govern the work hours of commercial drivers and most recently, adopted a rule that requires commercial drivers who currently use paper log books to maintain hours-of-service records with electronic logging devices (“ELDs”) by December 2017 and commercial drivers who use automatic on-board recording devices (“AOBRDs”) to record HOS to use ELDs by December 2019. The vast majority of our companies’ fleets utilize AOBRDs, and we are currently in the process of updating our fleet to meet the ELD requirement deadline of December 2019. At any given time, there are also other proposals for safety-related standards that are pending legislative or administrative approval or adoption. If additional or more stringent standards are adopted, such may result in a reduction of the pool of qualified drivers available for employment by us. If we experience safety and fitness violations, our fleet could be ranked poorly as compared to our peers, and our safety and fitness scores could be adversely impacted. A reduction in our safety and fitness scores or those of our drivers could also reduce our competitiveness in relation to other companies that have higher scores. Additionally, competition for qualified drivers with favorable safety ratings may increase and thus result in increases in driver-related compensation costs.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Like many trucking companies, we compensate our drivers based primarily on mileage rate and activity-based formulas. California adopted legislation that sets forth requirements for the payment of a separate hourly wage for “nonproductive” time worked by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30" w:right="239" w:bottom="1440" w:gutter="0" w:footer="0" w:header="0"/>
        </w:sectPr>
      </w:pPr>
    </w:p>
    <w:bookmarkStart w:id="12" w:name="page13"/>
    <w:bookmarkEnd w:id="12"/>
    <w:p>
      <w:pPr>
        <w:jc w:val="both"/>
        <w:spacing w:after="0" w:line="293" w:lineRule="auto"/>
        <w:rPr>
          <w:sz w:val="20"/>
          <w:szCs w:val="20"/>
          <w:color w:val="auto"/>
        </w:rPr>
      </w:pPr>
      <w:r>
        <w:rPr>
          <w:rFonts w:ascii="Arial" w:cs="Arial" w:eastAsia="Arial" w:hAnsi="Arial"/>
          <w:sz w:val="16"/>
          <w:szCs w:val="16"/>
          <w:color w:val="auto"/>
        </w:rPr>
        <w:t>piece-rate employees, and separate payment for compensable rest and recovery periods to those employees. Specifically, the new legislation, which became effective January 1, 2016, codified three basic statutory requirements for the payment of employees on a piece-rate basis: (i) employees must be separately compensated for the time during which they take rest and recovery breaks; (ii) employees must be separately compensated for “other nonproductive time,” which is defined as “time under the employer’s control, exclusive of rest and recovery periods, that is not directly related to the activity being compensated on a piece-rate basis;” and (iii) that this “other nonproduction time” time must be compensated at an hourly rate no less than the applicable minimum wage. The application of this legislation to the Company and its operations could increase our operating costs, including labor costs and legal exposure.</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various Environmental Regulations, and costs of compliance with, or liabilities for violations of, existing or future laws and regulations could significantly increase our costs of doing business.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operations are subject to Environmental Regulations dealing with, among other things, the handling of hazardous materials, underground fuel storage tanks and discharge and retention of storm water. We operate in industrial areas, where truck terminals and other industrial activities are located, and where groundwater or other forms of environmental contamination may have occurred. Our operations involve the risks of fuel spillage or seepage, environmental damage and hazardous waste disposal, among others. If we are involved in a spill or other accident involving hazardous substances, or if we are found to be in violation of applicable environmental laws or regulations, it could significantly increase our cost of doing business. Under specific environmental laws and regulations, we could be held responsible for all of the costs relating to any contamination at our past or present terminals and at third-party waste disposal sites. If we fail to comply with applicable environmental laws and regulations, we could be subject to substantial fines or penalties and to civil and criminal liability.</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as climate change initiatives become more prevalent, federal, state and local governments and our customers are beginning to promulgate solutions for these issues. This increased focus on greenhouse gas emission reductions and corporate environmental sustainability may result in new regulations and customer requirements that could negatively affect us. This could cause us to incur additional direct costs or to make changes to our operations in order to comply with any new regulations and customer requirements. We could also lose revenue if our customers divert business from us because we have not complied with their sustainability requirements. These costs, changes and loss of revenue could have a material adverse effect on our business, financial condition, liquidity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be harmed by anti-terrorism measures.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aftermath of terrorist attacks on the United States, federal, state and municipal authorities have implemented and continue to implement security measures, including checkpoints and travel restrictions on large trucks. Although many companies would be adversely affected by any slowdown in the availability of freight transportation, the negative impact could affect our business disproportionately. For example, we offer specialized services that guarantee on-time delivery. If the security measures disrupt or impede the timing of our deliveries, we may fail to meet the needs of our customers, or may incur increased expenses to do so. We cannot assure you that these measures will not significantly increase our costs and reduce our operating margins and income.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or future litigation may adversely affect our business, financial condition, liquidity or results of operations.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been and continue to be involved in legal proceedings, claims and other litigation that arise in the ordinary course of business. Litigation may be related to labor and employment, competitive matters, property damage and liability claims, safety and contract compliance, environmental liability, our past financial restructurings and other matters. We discuss legal proceedings in the “Commitments, Contingencies, and Uncertainties” footnote to our consolidated financial statements included elsewhere in this Annual Report on Form 10-K. Some or all of our expenditures to defend, settle or litigate these matters may not be covered by insurance or could impact our cost and ability to obtain insurance in the future. Litigation can be expensive, lengthy and disruptive to normal business operations, including to our management due to the increased time and resources required to respond to and address the litigation. The results of complex legal proceedings are often uncertain and difficult to predict. An unfavorable outcome of any particular matter or any future legal proceedings could have a material adverse effect on our business, financial condition, liquidity or results of operations. In the future, we could incur judgments or enter into settlements of claims that could harm our financial position, liquidity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the expected benefits and cost savings from operational changes and performance improvement initiatives.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initiate operational changes and process improvements to reduce costs and improve financial performance. These changes and initiatives typically include evaluating management talent, reducing overhead costs, closing facilities, making upgrades to our technology, eliminating non-core assets and unnecessary activities and implementing changes of operations under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13" w:name="page14"/>
    <w:bookmarkEnd w:id="13"/>
    <w:p>
      <w:pPr>
        <w:jc w:val="both"/>
        <w:spacing w:after="0" w:line="342" w:lineRule="auto"/>
        <w:rPr>
          <w:sz w:val="20"/>
          <w:szCs w:val="20"/>
          <w:color w:val="auto"/>
        </w:rPr>
      </w:pPr>
      <w:r>
        <w:rPr>
          <w:rFonts w:ascii="Arial" w:cs="Arial" w:eastAsia="Arial" w:hAnsi="Arial"/>
          <w:sz w:val="16"/>
          <w:szCs w:val="16"/>
          <w:color w:val="auto"/>
        </w:rPr>
        <w:t>our labor agreements. There is no assurance that any changes and improvements will be successful, that their implementation may not have an adverse impact on our operating results or that we will not have to initiate additional changes and improvements in order to achieve the projected benefits and cost savings.</w:t>
      </w:r>
    </w:p>
    <w:p>
      <w:pPr>
        <w:spacing w:after="0" w:line="12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Difficulties attracting and retaining qualified drivers could result in increases in driver compensation and purchased transportation costs and could adversely affect our profitability and our ability to maintain or grow our fleet.</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Should our shipping volumes increase, we may need to attract new qualified drivers and may face difficulty doing so. Like many in the trucking industry, it is important to our business that we retain the necessary number of qualified drivers to operate efficiently. Regulatory requirements, including the CSA program of the FMCSA, have reduced the number of eligible employee drivers and independent contractors and may continue to do so in the future. Future Company driver shortages may result in less than optimal use of rail and over-the-road purchased transportation, which may result in higher costs to the Company and which use is limited under our Memorandum of Understanding (“MOU”) with the IBT. The compensation we offer our drivers is subject to market conditions, and we may find it necessary to increase driver compensation in future periods if we must attract new drivers. In addition, we and our industry suffer from a high driver turnover rate. Driver turnover requires us to continually recruit a substantial number of drivers in order to operate existing revenue equipment. If we are unable to continue to retain drivers and attract new drivers when needed, we could be required to adjust our compensation packages, increase our use of purchased transportation, let tractors sit idle, or operate with fewer tractors and face difficulty meeting customer demands, any of which would adversely affect our growth and profitability.</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significant privacy breach or IT system disruption could adversely affect our business and we may be required to increase our spending on data and system security.</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rely on information technology networks and systems, including the Internet, to process, transmit and store electronic information, and to manage or support a variety of business processes and activities. In addition, the provision of service to our customers and the operation of our networks and systems involve the storage and transmission of proprietary information and sensitive or confidential data, including personal information of customers, employees and others. Our information technology systems, some of which are managed by third-parties, may be susceptible to damage, disruptions or shutdowns due to failures during the process of upgrading or replacing software, databases or components thereof, power outages, hardware failures, computer viruses, attacks by computer hackers, malicious insiders, telecommunication failures, user errors or catastrophic events. Hackers, acting individually or in coordinated groups, may also launch distributed denial of service attacks or ransom or other coordinated attacks that may cause service outages or other interruptions in our business and access to our data. In addition, breaches in security could expose us, our customers, or the individuals affected, to a risk of loss or misuse of proprietary information and sensitive or confidential data. The techniques used to obtain unauthorized access, disable or degrade service or sabotage systems change frequently, may be difficult to detect for a long time and often are not recognized until launched against a target. As a result, we may be unable to anticipate these techniques or to implement adequate preventative measures.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of these occurrences could result in disruptions in our operations, the loss of existing or potential customers, damage to our brand and reputation, and litigation and potential liability for the Company. In addition, the cost and operational consequences of implementing further data or system protection measures could be significant and our efforts to deter, identify, mitigate and/or eliminate any security breaches may not be successful.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associated with doing business in foreign countries.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a portion of our operations in Canada and, to a lesser extent, Mexico. Our revenue from foreign sources totaled $99.3 million, $101.0 million, and $116.5 million in 2017, 2016 and 2015, respectively, and our long-lived assets located in foreign countries totaled $5.3 million, $5.2 million and $6.5 million at December 31, 2017, 2016, and 2015, respectively. As a participating carrier in the Customs and Trade Partnership Against Terrorism (“C-TPAT”) program, we and our contractors are able to cross into these countries more efficiently, thereby avoiding substantial delays. If we should lose the ability to participate in the C-TPAT program, we could experience significant border delays which could have a negative impact on our ability to remain competitive and operate efficiently in those countries. In addition, our foreign operations are subject to certain risks inherent in doing business in jurisdictions outside of the United States, including:</w:t>
      </w:r>
    </w:p>
    <w:p>
      <w:pPr>
        <w:spacing w:after="0" w:line="18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exposure to local economic, political and labor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changes in laws, regulations, trade, monetary or fiscal policy;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interest rates, foreign currency exchange rates and changes in the rate of inflation;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tariffs, quotas, customs and other import or export restrictions and other trade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of enforcing agreements, collecting receivables and protecting assets through non-U.S. legal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withholding and other taxes on remittances and other payments by subsidiaries;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4" w:name="page15"/>
    <w:bookmarkEnd w:id="14"/>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violence and civil unrest in foreign countries;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the requirements of applicable anti-bribery laws, including the U.S. Foreign Corrupt Practices 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tax law;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controls on the repatriation of cash, including the imposition or increase of withholding and other taxes on remittances and other payments by our subsidiaries.</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dependent on the services of key employees and the loss of any substantial number of these individuals or an inability to hire additional personnel could adversely affect us.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success is dependent upon our ability to attract and retain skilled employees, particularly personnel with significant management and leadership skills. If we are unable to attract and retain skilled key employees, we may be unable to accomplish the objectives set forth in our business and strategic plans.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the impact of weather affect our operations and profitability.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is common in the trucking industry, our revenues are subject to seasonal variations. During late fourth quarter and early first quarter each year, we expect operating expenses as a percent of revenue to increase and operating cash flows as a percent of revenue to decrease as compared to the rest of the year. The seasonal impact is primarily due to inclement weather, seasonally lower levels of shipments, and the seasonal timing of expenditures. We anticipate these seasonal trends will continue to impact our financial results and liquidity.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fuel prices and shortages of fuel can have a material adverse effect on the results of operations and profitability.</w:t>
      </w:r>
    </w:p>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lessen the effect of fluctuating fuel prices on our margins, we utilize a fuel surcharge program with our customers. These programs are common in the trucking industry and involve adjusting amounts charged to customers as fuel prices fluctuate. In the short term, under our present fuel surcharge program, rising fuel costs generally benefit us while falling fuel costs have a negative impact on our results of operations, though these effects are typically moderated over time. However, rapid material changes in the index upon which we base our program or our cost of fuel could significantly impact our revenue and operating income, resulting in a material adverse effect on our financial condition.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addition, fuel shortages and petroleum product rationing could have a material adverse impact on our operations and profitability.</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and Liquidity Risks</w:t>
      </w:r>
    </w:p>
    <w:p>
      <w:pPr>
        <w:spacing w:after="0" w:line="22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failure to comply with the covenants in the documents governing our existing and future indebtedness could materially adversely affect our financial condition and liquidity.</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documents governing our indebtedness contain financial covenants, affirmative covenants requiring us to take certain actions and negative covenants restricting our ability to take certain actions. In particular, our agreement (the “Term Loan Agreement”) for our $600 million term loan facility (“Term Loan”) has certain financial covenants that, among other things, restrict certain capital expenditures and require us to not exceed a maximum total leverage ratio. These covenants were last modified as part of the Term Loan amendment on July 26, 2017. For the four consecutive fiscal quarters ending December 31, 2017, our maximum total leverage ratio was 3.50 to 1.00, and our actual total leverage ratio during this period 3.38 to 1.00. The maximum total leverage ratio under the Term Loan remains at 3.50 to 1.00 throughout 2018 and then begins decreasing, first to 3.25 for the four consecutive fiscal quarters ending March 31, 2019. For additional information, see the “Debt and Financing” footnote to the consolidated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current internal projections reflect that our maximum total leverage ratio will be below the ratio of 3.50 to 1.00 for the remainder of 2018. Our ability to satisfy our liquidity needs and meet future stepped-up covenants beyond the next twelve months is dependent upon our ability to achieve operating results that reflect improvement over our 2017 results.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going forward we are unsuccessful in meeting our financial covenants, we will need to seek an amendment or waiver from our lenders, or take other remedial measures; otherwise, we will be in default under our credit facilities, which would enable lenders thereunder to accelerate the repayment of amounts outstanding and exercise remedies with respect to the collateral. If our lenders under our credit facilities demand payment, we will not have sufficient cash to repay such indebtedness. In addition, a default under our credit facilities or the lenders exercising their remedies thereunder could trigger cross-default provisions in our other indebtedness and certain other operating agreements. Our ability to amend our credit facilities or otherwise obtain waivers from our lenders depends on matters that are outside of our control and there can be no assurance that we will be successful in that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0"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regard. In addition, any covenant breach or event of default could harm our credit rating and our ability to obtain financing on acceptable terms. The occurrence of any of these events could have a material adverse effect on our financial condition and liquidity.</w:t>
      </w:r>
    </w:p>
    <w:p>
      <w:pPr>
        <w:spacing w:after="0" w:line="16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indebtedness and cash interest payment obligations, lease obligations and pension funding obligations, as well as our liquidity position, could adversely affect our financial flexibility and our competitive position.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December 31, 2017, we had $926.1 million in aggregate principal amount of outstanding indebtedness. We also have, and will continue to have, substantial lease obligations. We currently plan to procure a portion of our new revenue equipment using operating leases in 2018 and beyond. As of December 31, 2017, our expected minimum cash payments for our operating leases for 2018 are $116.5 million, and our total operating lease obligations payable through 2030 are $352.5 million. We expect our funding obligations in 2018 under our single-employer pension plans and the multi-employer pension funds will be approximately $130.0 million. Our indebtedness, lease obligations and pension funding obligations could continue to have an impact on our business. Our principal sources of liquidity are cash and cash equivalents, available borrowings under our asset-based loan facility (“ABL Facility”) and any prospective cash flow from operations. As of December 31, 2017, our availability under our ABL facility was $68.9 million and our managed accessibility was $26.7 million. (“Managed Accessibility”) is the measure of availability management uses based on the ABL requirement to maintain availability in an amount at least equal to or above 10% of the collateral line cap if the fixed charge coverage ratio falls below 1.10. Our cash and cash equivalents and managed accessibility totaled $118.3 million at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For example, these obligations and liquidity limitations could:</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vulnerability to adverse changes or persistent slow growth in general economic, industry and competitive conditions;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dedicate a portion of our cash flow from operations to make principal and interest payments on our indebtedness, leases and pension funding obligations, thereby reducing the availability of our cash flow to fund working capital, capital expenditures and other general corporate purposes;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 us from taking advantage of business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it more difficult to satisfy our financial obligations and meet future stepped up financial covenants in our credit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debt, lease obligations, and pension funding obligations; and</w:t>
      </w:r>
    </w:p>
    <w:p>
      <w:pPr>
        <w:spacing w:after="0" w:line="32"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debt service requirements, execution of our business strategy or other general corporate purposes on satisfactory terms or at all.</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ability to service all of our indebtedness and satisfy all of other obligations depends on many factors beyond our control, and if we cannot generate enough cash to service our indebtedness and satisfy such other obligations, we may be forced to take one or more actions, which may not be successful.</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Cash flows from operations are the principal source of funding for us. Our business may not generate cash flow from operations in an amount sufficient to fund our liquidity needs. If our cash flows are insufficient to service our indebtedness and satisfy our other obligations, we may be forced to reduce or delay capital expenditures, sell assets, seek additional capital or restructure or refinance our indebtedness or other financial obligations. Our ability to restructure or refinance our indebtedness will depend on the condition of the capital and credit markets and our financial condition at such time. Any refinancing of our indebtedness could be at higher interest rates. In addition, any refinancing of our indebtedness or restructuring of our other obligations may require us to comply with more onerous covenants, which could further restrict our business operations and limit our financial flexibility. In addition, the terms of existing or future debt agreements may restrict us from adopting some of these alternatives. Any failure to make payments of interest and principal on our outstanding indebtedness or satisfy our other financial obligations on a timely basis would likely result in a lowering of our credit rating, which could harm our ability to incur additional indebtedness. These alternative measures may not be successful and, as a result, our liquidity and financial condition could be adversely affected and we may not be able to meet our scheduled debt service obligations. If for any reason we are unable to meet our debt service obligations, we would be in default under the terms of the agreements governing our outstanding debt.</w:t>
      </w:r>
    </w:p>
    <w:p>
      <w:pPr>
        <w:spacing w:after="0" w:line="17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Restrictive covenants in the documents governing our existing and future indebtedness may limit our current and future operations, particularly our ability to respond to changes in our business or to pursue our business strategies.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documents governing our existing indebtedness contain, and the documents governing any future indebtedness will likely contain, a number of restrictive covenants that impose significant operating and financial restrictions, including restrictions 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our ability to take actions that we believe may be in our interest. The documents governing our existing indebtedness, among other things, limit our ability to:</w:t>
      </w:r>
    </w:p>
    <w:p>
      <w:pPr>
        <w:spacing w:after="0" w:line="24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certain restricted payments or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restricted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or otherwise dispose of assets, including capital stock of restricted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merge, consolidate or sell substantially all of our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certain investments and acquire certain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restrictions could adversely affect our ability to:</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finance our operations;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alliances;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withstand a future downturn in our business or the economy in general;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interest;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plan for or react to market conditions or otherwise execute our business strategies.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ability to obtain future financing or to sell assets could be adversely affected because substantially all of our assets have been pledged as collateral for the benefit of the holders of our indebtedness.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Common Stock</w:t>
      </w:r>
    </w:p>
    <w:p>
      <w:pPr>
        <w:spacing w:after="0" w:line="22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price of our Common Stock may fluctuate significantly, and this may make it difficult to resell our Common Stock when holders want or at prices they find attractive.</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market price for our Common Stock has been highly volatile and subject to significant fluctuations. We expect the market price of our Common Stock to continue to be volatile and subject to these fluctuations in response to a wide variety of factors, including the following:</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financial guidance, if any, or securities analysts’ estimates of our financial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commentary about us or our stock price by the financial press and in online investor communities.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stock markets from time to time experience price and volume fluctuations that may be unrelated or disproportionate to the operating performance of companies and that may be extreme. These fluctuations may adversely affect the trading price of our Common Stock, regardless of our actual operating performance.</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issuances of our Common Stock or equity-related securities in the public market could adversely affect the trading price of our Common Stock and our ability to raise funds in new stock offerings.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future, we may issue additional shares of our Common Stock to raise capital or in connection with a restructuring or refinancing of our indebtedness. In addition, shares of our Common Stock are reserved for issuance, exercise of outstanding stock options and vesting of outstanding share units. As of December 31, 2017, we had outstanding options to purchase an aggregate of approximately 33,000 shares of Common Stock, outstanding vested restricted stock and share units and performance based share units representing the right to receive a total of approximately 1.4 million shares of Common Stock upon vesting, and an aggregate of approximately 1.9 million shares of our Common Stock was reserved for future issuance under our Amended and Restated 2011 Incentive and Equity Award Plan (the “Amended 2011 Plan”). We have registered under the Securities Act all of the shares of Common Stock that we may issue upon the exercise of our outstanding options and the vesting of outstanding share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30" w:right="239" w:bottom="1440" w:gutter="0" w:footer="0" w:header="0"/>
        </w:sectPr>
      </w:pPr>
    </w:p>
    <w:bookmarkStart w:id="17" w:name="page18"/>
    <w:bookmarkEnd w:id="17"/>
    <w:p>
      <w:pPr>
        <w:jc w:val="both"/>
        <w:ind w:right="20"/>
        <w:spacing w:after="0" w:line="308" w:lineRule="auto"/>
        <w:rPr>
          <w:sz w:val="20"/>
          <w:szCs w:val="20"/>
          <w:color w:val="auto"/>
        </w:rPr>
      </w:pPr>
      <w:r>
        <w:rPr>
          <w:rFonts w:ascii="Arial" w:cs="Arial" w:eastAsia="Arial" w:hAnsi="Arial"/>
          <w:sz w:val="17"/>
          <w:szCs w:val="17"/>
          <w:color w:val="auto"/>
        </w:rPr>
        <w:t>units and on account of future awards made under the Amended 2011 Plan. All of these registered shares generally can be freely sold in the public market upon issuance. If a large number of these shares are sold in the public market, the sales could reduce the trading price of our Common Stock.</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cannot predict the size of future issuances or the effect, if any, that such issuances may have on the market price for our Common Stock. Sales of significant amounts of our Common Stock or equity-related securities in the public market, or the perception that such sales may occur, could adversely affect prevailing trading prices of our Common Stock and could impair our ability to raise capital through future offerings of equity or equity-related securities. Further sales of shares of our Common Stock or the availability of shares of our Common Stock for future sale or in connection with hedging and arbitrage activity that may develop with respect to our Common Stock, could adversely affect the trading price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 in the foreseeable future.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anticipate that we will pay any dividends on shares of our Common Stock in the foreseeable future. We intend to retain any future earnings to fund operations, invest in new revenue equipment, to service debt and other obligations, such as lease and pension funding requirements, and to use for other corporate needs. Further, our credit facilities limit our ability to pay cash dividends.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 issue shares of preferred stock that may adversely affect the rights of holders of our Common Stock.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certificate of incorporation currently authorizes the issuance of 5.0 million shares of preferred stock. Our Board of Directors is authorized to approve the issuance of one or more series of preferred stock without further authorization of our shareholders and to fix the number of shares, the designations, the relative rights and the limitations of any series of preferred stock. As a result, our Board, without shareholder approval, could authorize the issuance of preferred stock with voting, conversion and other rights that could proportionately reduce, minimize or otherwise adversely affect the voting power and other rights of holders of our Common Stock or other series of preferred stock or that could have the effect of delaying, deferring or preventing a change in our control.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3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Item 2. Properties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December 31, 2017, we operated a total of 384 transportation service facilities located in 50 states, Puerto Rico and Canada. Of this total, we own 187 and we lease 197, generally with lease terms ranging from one month to ten years with right of renewal options. The number of customer freight servicing doors totaled approximately 21,050, of which approximately 12,250 are at owned facilities and approximately 8,800 are at leased facilities. The transportation service centers vary in size ranging from one to three doors at small local facilities to 425 doors at the largest consolidation and distribution facility. In addition, we and our subsidiaries own and occupy a general office building in Lebanon, Pennsylvania. We also lease and occupy general office buildings in Holland, Michigan, Overland Park, Kansas, Sioux Falls, South Dakota, Tualatin, Oregon and Winnipeg, Manitoba. Our owned transportation service facilities and office buildings serve as collateral under our credit agreements.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facilities and equipment are adequate to meet current business requirements in 2018. Refer to “Item 7. Management’s Discussion and Analysis of Financial Condition and Results of Operations” for a more detailed discussion of expectations regarding capital spending in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gridSpan w:val="3"/>
          </w:tcPr>
          <w:p>
            <w:pPr>
              <w:spacing w:after="0"/>
              <w:rPr>
                <w:sz w:val="20"/>
                <w:szCs w:val="20"/>
                <w:color w:val="auto"/>
              </w:rPr>
            </w:pPr>
            <w:r>
              <w:rPr>
                <w:rFonts w:ascii="Arial" w:cs="Arial" w:eastAsia="Arial" w:hAnsi="Arial"/>
                <w:sz w:val="18"/>
                <w:szCs w:val="18"/>
                <w:b w:val="1"/>
                <w:bCs w:val="1"/>
                <w:color w:val="auto"/>
                <w:w w:val="93"/>
              </w:rPr>
              <w:t>Top 10 YRCW Service Facilities by Number of Doors at December 31, 2017</w:t>
            </w:r>
          </w:p>
        </w:tc>
        <w:tc>
          <w:tcPr>
            <w:tcW w:w="218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378"/>
        </w:trPr>
        <w:tc>
          <w:tcPr>
            <w:tcW w:w="60" w:type="dxa"/>
            <w:vAlign w:val="bottom"/>
          </w:tcPr>
          <w:p>
            <w:pPr>
              <w:spacing w:after="0"/>
              <w:rPr>
                <w:sz w:val="24"/>
                <w:szCs w:val="24"/>
                <w:color w:val="auto"/>
              </w:rPr>
            </w:pPr>
          </w:p>
        </w:tc>
        <w:tc>
          <w:tcPr>
            <w:tcW w:w="3340" w:type="dxa"/>
            <w:vAlign w:val="bottom"/>
          </w:tcPr>
          <w:p>
            <w:pPr>
              <w:ind w:left="1520"/>
              <w:spacing w:after="0"/>
              <w:rPr>
                <w:sz w:val="20"/>
                <w:szCs w:val="20"/>
                <w:color w:val="auto"/>
              </w:rPr>
            </w:pPr>
            <w:r>
              <w:rPr>
                <w:rFonts w:ascii="Arial" w:cs="Arial" w:eastAsia="Arial" w:hAnsi="Arial"/>
                <w:sz w:val="18"/>
                <w:szCs w:val="18"/>
                <w:b w:val="1"/>
                <w:bCs w:val="1"/>
                <w:color w:val="auto"/>
              </w:rPr>
              <w:t>Location</w:t>
            </w:r>
          </w:p>
        </w:tc>
        <w:tc>
          <w:tcPr>
            <w:tcW w:w="2560" w:type="dxa"/>
            <w:vAlign w:val="bottom"/>
          </w:tcPr>
          <w:p>
            <w:pPr>
              <w:jc w:val="center"/>
              <w:ind w:left="90"/>
              <w:spacing w:after="0"/>
              <w:rPr>
                <w:sz w:val="20"/>
                <w:szCs w:val="20"/>
                <w:color w:val="auto"/>
              </w:rPr>
            </w:pPr>
            <w:r>
              <w:rPr>
                <w:rFonts w:ascii="Arial" w:cs="Arial" w:eastAsia="Arial" w:hAnsi="Arial"/>
                <w:sz w:val="18"/>
                <w:szCs w:val="18"/>
                <w:b w:val="1"/>
                <w:bCs w:val="1"/>
                <w:color w:val="auto"/>
                <w:w w:val="88"/>
              </w:rPr>
              <w:t>Doors</w:t>
            </w:r>
          </w:p>
        </w:tc>
        <w:tc>
          <w:tcPr>
            <w:tcW w:w="2180" w:type="dxa"/>
            <w:vAlign w:val="bottom"/>
          </w:tcPr>
          <w:p>
            <w:pPr>
              <w:jc w:val="center"/>
              <w:ind w:right="630"/>
              <w:spacing w:after="0"/>
              <w:rPr>
                <w:sz w:val="20"/>
                <w:szCs w:val="20"/>
                <w:color w:val="auto"/>
              </w:rPr>
            </w:pPr>
            <w:r>
              <w:rPr>
                <w:rFonts w:ascii="Arial" w:cs="Arial" w:eastAsia="Arial" w:hAnsi="Arial"/>
                <w:sz w:val="18"/>
                <w:szCs w:val="18"/>
                <w:b w:val="1"/>
                <w:bCs w:val="1"/>
                <w:color w:val="auto"/>
                <w:w w:val="89"/>
              </w:rPr>
              <w:t>Owned/Leased</w:t>
            </w:r>
          </w:p>
        </w:tc>
        <w:tc>
          <w:tcPr>
            <w:tcW w:w="3240" w:type="dxa"/>
            <w:vAlign w:val="bottom"/>
          </w:tcPr>
          <w:p>
            <w:pPr>
              <w:jc w:val="center"/>
              <w:ind w:right="410"/>
              <w:spacing w:after="0"/>
              <w:rPr>
                <w:sz w:val="20"/>
                <w:szCs w:val="20"/>
                <w:color w:val="auto"/>
              </w:rPr>
            </w:pPr>
            <w:r>
              <w:rPr>
                <w:rFonts w:ascii="Arial" w:cs="Arial" w:eastAsia="Arial" w:hAnsi="Arial"/>
                <w:sz w:val="18"/>
                <w:szCs w:val="18"/>
                <w:b w:val="1"/>
                <w:bCs w:val="1"/>
                <w:color w:val="auto"/>
                <w:w w:val="86"/>
              </w:rPr>
              <w:t>Segment</w:t>
            </w:r>
          </w:p>
        </w:tc>
      </w:tr>
      <w:tr>
        <w:trPr>
          <w:trHeight w:val="27"/>
        </w:trPr>
        <w:tc>
          <w:tcPr>
            <w:tcW w:w="6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Chicago Height, IL</w:t>
            </w:r>
          </w:p>
        </w:tc>
        <w:tc>
          <w:tcPr>
            <w:tcW w:w="2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426</w:t>
            </w:r>
          </w:p>
        </w:tc>
        <w:tc>
          <w:tcPr>
            <w:tcW w:w="2180" w:type="dxa"/>
            <w:vAlign w:val="bottom"/>
            <w:tcBorders>
              <w:bottom w:val="single" w:sz="8" w:color="CCEEFF"/>
            </w:tcBorders>
            <w:shd w:val="clear" w:color="auto" w:fill="CCEEFF"/>
          </w:tcPr>
          <w:p>
            <w:pPr>
              <w:jc w:val="center"/>
              <w:ind w:right="650"/>
              <w:spacing w:after="0"/>
              <w:rPr>
                <w:sz w:val="20"/>
                <w:szCs w:val="20"/>
                <w:color w:val="auto"/>
              </w:rPr>
            </w:pPr>
            <w:r>
              <w:rPr>
                <w:rFonts w:ascii="Arial" w:cs="Arial" w:eastAsia="Arial" w:hAnsi="Arial"/>
                <w:sz w:val="18"/>
                <w:szCs w:val="18"/>
                <w:color w:val="auto"/>
                <w:w w:val="91"/>
              </w:rPr>
              <w:t>Owned</w:t>
            </w:r>
          </w:p>
        </w:tc>
        <w:tc>
          <w:tcPr>
            <w:tcW w:w="324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4"/>
              </w:rPr>
              <w:t>YRC Freight</w:t>
            </w:r>
          </w:p>
        </w:tc>
      </w:tr>
      <w:tr>
        <w:trPr>
          <w:trHeight w:val="243"/>
        </w:trPr>
        <w:tc>
          <w:tcPr>
            <w:tcW w:w="6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Carlisle, PA</w:t>
            </w:r>
          </w:p>
        </w:tc>
        <w:tc>
          <w:tcPr>
            <w:tcW w:w="2560" w:type="dxa"/>
            <w:vAlign w:val="bottom"/>
          </w:tcPr>
          <w:p>
            <w:pPr>
              <w:jc w:val="center"/>
              <w:ind w:left="70"/>
              <w:spacing w:after="0"/>
              <w:rPr>
                <w:sz w:val="20"/>
                <w:szCs w:val="20"/>
                <w:color w:val="auto"/>
              </w:rPr>
            </w:pPr>
            <w:r>
              <w:rPr>
                <w:rFonts w:ascii="Arial" w:cs="Arial" w:eastAsia="Arial" w:hAnsi="Arial"/>
                <w:sz w:val="18"/>
                <w:szCs w:val="18"/>
                <w:color w:val="auto"/>
                <w:w w:val="93"/>
              </w:rPr>
              <w:t>408</w:t>
            </w:r>
          </w:p>
        </w:tc>
        <w:tc>
          <w:tcPr>
            <w:tcW w:w="2180" w:type="dxa"/>
            <w:vAlign w:val="bottom"/>
          </w:tcPr>
          <w:p>
            <w:pPr>
              <w:jc w:val="center"/>
              <w:ind w:right="650"/>
              <w:spacing w:after="0"/>
              <w:rPr>
                <w:sz w:val="20"/>
                <w:szCs w:val="20"/>
                <w:color w:val="auto"/>
              </w:rPr>
            </w:pPr>
            <w:r>
              <w:rPr>
                <w:rFonts w:ascii="Arial" w:cs="Arial" w:eastAsia="Arial" w:hAnsi="Arial"/>
                <w:sz w:val="18"/>
                <w:szCs w:val="18"/>
                <w:color w:val="auto"/>
                <w:w w:val="91"/>
              </w:rPr>
              <w:t>Owned</w:t>
            </w:r>
          </w:p>
        </w:tc>
        <w:tc>
          <w:tcPr>
            <w:tcW w:w="3240" w:type="dxa"/>
            <w:vAlign w:val="bottom"/>
          </w:tcPr>
          <w:p>
            <w:pPr>
              <w:jc w:val="center"/>
              <w:ind w:right="410"/>
              <w:spacing w:after="0"/>
              <w:rPr>
                <w:sz w:val="20"/>
                <w:szCs w:val="20"/>
                <w:color w:val="auto"/>
              </w:rPr>
            </w:pPr>
            <w:r>
              <w:rPr>
                <w:rFonts w:ascii="Arial" w:cs="Arial" w:eastAsia="Arial" w:hAnsi="Arial"/>
                <w:sz w:val="18"/>
                <w:szCs w:val="18"/>
                <w:color w:val="auto"/>
                <w:w w:val="94"/>
              </w:rPr>
              <w:t>YRC Freight</w:t>
            </w:r>
          </w:p>
        </w:tc>
      </w:tr>
      <w:tr>
        <w:trPr>
          <w:trHeight w:val="27"/>
        </w:trPr>
        <w:tc>
          <w:tcPr>
            <w:tcW w:w="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Kernersville, NC</w:t>
            </w:r>
          </w:p>
        </w:tc>
        <w:tc>
          <w:tcPr>
            <w:tcW w:w="2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349</w:t>
            </w:r>
          </w:p>
        </w:tc>
        <w:tc>
          <w:tcPr>
            <w:tcW w:w="2180" w:type="dxa"/>
            <w:vAlign w:val="bottom"/>
            <w:tcBorders>
              <w:bottom w:val="single" w:sz="8" w:color="CCEEFF"/>
            </w:tcBorders>
            <w:shd w:val="clear" w:color="auto" w:fill="CCEEFF"/>
          </w:tcPr>
          <w:p>
            <w:pPr>
              <w:jc w:val="center"/>
              <w:ind w:right="650"/>
              <w:spacing w:after="0"/>
              <w:rPr>
                <w:sz w:val="20"/>
                <w:szCs w:val="20"/>
                <w:color w:val="auto"/>
              </w:rPr>
            </w:pPr>
            <w:r>
              <w:rPr>
                <w:rFonts w:ascii="Arial" w:cs="Arial" w:eastAsia="Arial" w:hAnsi="Arial"/>
                <w:sz w:val="18"/>
                <w:szCs w:val="18"/>
                <w:color w:val="auto"/>
                <w:w w:val="91"/>
              </w:rPr>
              <w:t>Owned</w:t>
            </w:r>
          </w:p>
        </w:tc>
        <w:tc>
          <w:tcPr>
            <w:tcW w:w="324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4"/>
              </w:rPr>
              <w:t>YRC Freight</w:t>
            </w:r>
          </w:p>
        </w:tc>
      </w:tr>
      <w:tr>
        <w:trPr>
          <w:trHeight w:val="243"/>
        </w:trPr>
        <w:tc>
          <w:tcPr>
            <w:tcW w:w="6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Bloomington, CA</w:t>
            </w:r>
          </w:p>
        </w:tc>
        <w:tc>
          <w:tcPr>
            <w:tcW w:w="2560" w:type="dxa"/>
            <w:vAlign w:val="bottom"/>
          </w:tcPr>
          <w:p>
            <w:pPr>
              <w:jc w:val="center"/>
              <w:ind w:left="70"/>
              <w:spacing w:after="0"/>
              <w:rPr>
                <w:sz w:val="20"/>
                <w:szCs w:val="20"/>
                <w:color w:val="auto"/>
              </w:rPr>
            </w:pPr>
            <w:r>
              <w:rPr>
                <w:rFonts w:ascii="Arial" w:cs="Arial" w:eastAsia="Arial" w:hAnsi="Arial"/>
                <w:sz w:val="18"/>
                <w:szCs w:val="18"/>
                <w:color w:val="auto"/>
                <w:w w:val="93"/>
              </w:rPr>
              <w:t>325</w:t>
            </w:r>
          </w:p>
        </w:tc>
        <w:tc>
          <w:tcPr>
            <w:tcW w:w="2180" w:type="dxa"/>
            <w:vAlign w:val="bottom"/>
          </w:tcPr>
          <w:p>
            <w:pPr>
              <w:jc w:val="center"/>
              <w:ind w:right="630"/>
              <w:spacing w:after="0"/>
              <w:rPr>
                <w:sz w:val="20"/>
                <w:szCs w:val="20"/>
                <w:color w:val="auto"/>
              </w:rPr>
            </w:pPr>
            <w:r>
              <w:rPr>
                <w:rFonts w:ascii="Arial" w:cs="Arial" w:eastAsia="Arial" w:hAnsi="Arial"/>
                <w:sz w:val="18"/>
                <w:szCs w:val="18"/>
                <w:color w:val="auto"/>
                <w:w w:val="84"/>
              </w:rPr>
              <w:t>Leased</w:t>
            </w:r>
          </w:p>
        </w:tc>
        <w:tc>
          <w:tcPr>
            <w:tcW w:w="3240" w:type="dxa"/>
            <w:vAlign w:val="bottom"/>
          </w:tcPr>
          <w:p>
            <w:pPr>
              <w:jc w:val="center"/>
              <w:ind w:right="410"/>
              <w:spacing w:after="0"/>
              <w:rPr>
                <w:sz w:val="20"/>
                <w:szCs w:val="20"/>
                <w:color w:val="auto"/>
              </w:rPr>
            </w:pPr>
            <w:r>
              <w:rPr>
                <w:rFonts w:ascii="Arial" w:cs="Arial" w:eastAsia="Arial" w:hAnsi="Arial"/>
                <w:sz w:val="18"/>
                <w:szCs w:val="18"/>
                <w:color w:val="auto"/>
                <w:w w:val="94"/>
              </w:rPr>
              <w:t>YRC Freight</w:t>
            </w:r>
          </w:p>
        </w:tc>
      </w:tr>
      <w:tr>
        <w:trPr>
          <w:trHeight w:val="27"/>
        </w:trPr>
        <w:tc>
          <w:tcPr>
            <w:tcW w:w="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Maybrook, NY</w:t>
            </w:r>
          </w:p>
        </w:tc>
        <w:tc>
          <w:tcPr>
            <w:tcW w:w="2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304</w:t>
            </w:r>
          </w:p>
        </w:tc>
        <w:tc>
          <w:tcPr>
            <w:tcW w:w="2180" w:type="dxa"/>
            <w:vAlign w:val="bottom"/>
            <w:tcBorders>
              <w:bottom w:val="single" w:sz="8" w:color="CCEEFF"/>
            </w:tcBorders>
            <w:shd w:val="clear" w:color="auto" w:fill="CCEEFF"/>
          </w:tcPr>
          <w:p>
            <w:pPr>
              <w:jc w:val="center"/>
              <w:ind w:right="650"/>
              <w:spacing w:after="0"/>
              <w:rPr>
                <w:sz w:val="20"/>
                <w:szCs w:val="20"/>
                <w:color w:val="auto"/>
              </w:rPr>
            </w:pPr>
            <w:r>
              <w:rPr>
                <w:rFonts w:ascii="Arial" w:cs="Arial" w:eastAsia="Arial" w:hAnsi="Arial"/>
                <w:sz w:val="18"/>
                <w:szCs w:val="18"/>
                <w:color w:val="auto"/>
                <w:w w:val="91"/>
              </w:rPr>
              <w:t>Owned</w:t>
            </w:r>
          </w:p>
        </w:tc>
        <w:tc>
          <w:tcPr>
            <w:tcW w:w="324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4"/>
              </w:rPr>
              <w:t>YRC Freight</w:t>
            </w:r>
          </w:p>
        </w:tc>
      </w:tr>
      <w:tr>
        <w:trPr>
          <w:trHeight w:val="243"/>
        </w:trPr>
        <w:tc>
          <w:tcPr>
            <w:tcW w:w="6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Charlotte, NC</w:t>
            </w:r>
          </w:p>
        </w:tc>
        <w:tc>
          <w:tcPr>
            <w:tcW w:w="2560" w:type="dxa"/>
            <w:vAlign w:val="bottom"/>
          </w:tcPr>
          <w:p>
            <w:pPr>
              <w:jc w:val="center"/>
              <w:ind w:left="70"/>
              <w:spacing w:after="0"/>
              <w:rPr>
                <w:sz w:val="20"/>
                <w:szCs w:val="20"/>
                <w:color w:val="auto"/>
              </w:rPr>
            </w:pPr>
            <w:r>
              <w:rPr>
                <w:rFonts w:ascii="Arial" w:cs="Arial" w:eastAsia="Arial" w:hAnsi="Arial"/>
                <w:sz w:val="18"/>
                <w:szCs w:val="18"/>
                <w:color w:val="auto"/>
                <w:w w:val="93"/>
              </w:rPr>
              <w:t>274</w:t>
            </w:r>
          </w:p>
        </w:tc>
        <w:tc>
          <w:tcPr>
            <w:tcW w:w="2180" w:type="dxa"/>
            <w:vAlign w:val="bottom"/>
          </w:tcPr>
          <w:p>
            <w:pPr>
              <w:jc w:val="center"/>
              <w:ind w:right="630"/>
              <w:spacing w:after="0"/>
              <w:rPr>
                <w:sz w:val="20"/>
                <w:szCs w:val="20"/>
                <w:color w:val="auto"/>
              </w:rPr>
            </w:pPr>
            <w:r>
              <w:rPr>
                <w:rFonts w:ascii="Arial" w:cs="Arial" w:eastAsia="Arial" w:hAnsi="Arial"/>
                <w:sz w:val="18"/>
                <w:szCs w:val="18"/>
                <w:color w:val="auto"/>
                <w:w w:val="84"/>
              </w:rPr>
              <w:t>Leased</w:t>
            </w:r>
          </w:p>
        </w:tc>
        <w:tc>
          <w:tcPr>
            <w:tcW w:w="3240" w:type="dxa"/>
            <w:vAlign w:val="bottom"/>
          </w:tcPr>
          <w:p>
            <w:pPr>
              <w:jc w:val="center"/>
              <w:ind w:right="410"/>
              <w:spacing w:after="0"/>
              <w:rPr>
                <w:sz w:val="20"/>
                <w:szCs w:val="20"/>
                <w:color w:val="auto"/>
              </w:rPr>
            </w:pPr>
            <w:r>
              <w:rPr>
                <w:rFonts w:ascii="Arial" w:cs="Arial" w:eastAsia="Arial" w:hAnsi="Arial"/>
                <w:sz w:val="18"/>
                <w:szCs w:val="18"/>
                <w:color w:val="auto"/>
                <w:w w:val="94"/>
              </w:rPr>
              <w:t>YRC Freight</w:t>
            </w:r>
          </w:p>
        </w:tc>
      </w:tr>
      <w:tr>
        <w:trPr>
          <w:trHeight w:val="27"/>
        </w:trPr>
        <w:tc>
          <w:tcPr>
            <w:tcW w:w="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Irving, TX</w:t>
            </w:r>
          </w:p>
        </w:tc>
        <w:tc>
          <w:tcPr>
            <w:tcW w:w="2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261</w:t>
            </w:r>
          </w:p>
        </w:tc>
        <w:tc>
          <w:tcPr>
            <w:tcW w:w="2180" w:type="dxa"/>
            <w:vAlign w:val="bottom"/>
            <w:tcBorders>
              <w:bottom w:val="single" w:sz="8" w:color="CCEEFF"/>
            </w:tcBorders>
            <w:shd w:val="clear" w:color="auto" w:fill="CCEEFF"/>
          </w:tcPr>
          <w:p>
            <w:pPr>
              <w:jc w:val="center"/>
              <w:ind w:right="650"/>
              <w:spacing w:after="0"/>
              <w:rPr>
                <w:sz w:val="20"/>
                <w:szCs w:val="20"/>
                <w:color w:val="auto"/>
              </w:rPr>
            </w:pPr>
            <w:r>
              <w:rPr>
                <w:rFonts w:ascii="Arial" w:cs="Arial" w:eastAsia="Arial" w:hAnsi="Arial"/>
                <w:sz w:val="18"/>
                <w:szCs w:val="18"/>
                <w:color w:val="auto"/>
                <w:w w:val="91"/>
              </w:rPr>
              <w:t>Owned</w:t>
            </w:r>
          </w:p>
        </w:tc>
        <w:tc>
          <w:tcPr>
            <w:tcW w:w="324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4"/>
              </w:rPr>
              <w:t>YRC Freight</w:t>
            </w:r>
          </w:p>
        </w:tc>
      </w:tr>
      <w:tr>
        <w:trPr>
          <w:trHeight w:val="243"/>
        </w:trPr>
        <w:tc>
          <w:tcPr>
            <w:tcW w:w="6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Marietta, GA</w:t>
            </w:r>
          </w:p>
        </w:tc>
        <w:tc>
          <w:tcPr>
            <w:tcW w:w="2560" w:type="dxa"/>
            <w:vAlign w:val="bottom"/>
          </w:tcPr>
          <w:p>
            <w:pPr>
              <w:jc w:val="center"/>
              <w:ind w:left="70"/>
              <w:spacing w:after="0"/>
              <w:rPr>
                <w:sz w:val="20"/>
                <w:szCs w:val="20"/>
                <w:color w:val="auto"/>
              </w:rPr>
            </w:pPr>
            <w:r>
              <w:rPr>
                <w:rFonts w:ascii="Arial" w:cs="Arial" w:eastAsia="Arial" w:hAnsi="Arial"/>
                <w:sz w:val="18"/>
                <w:szCs w:val="18"/>
                <w:color w:val="auto"/>
                <w:w w:val="93"/>
              </w:rPr>
              <w:t>227</w:t>
            </w:r>
          </w:p>
        </w:tc>
        <w:tc>
          <w:tcPr>
            <w:tcW w:w="2180" w:type="dxa"/>
            <w:vAlign w:val="bottom"/>
          </w:tcPr>
          <w:p>
            <w:pPr>
              <w:jc w:val="center"/>
              <w:ind w:right="630"/>
              <w:spacing w:after="0"/>
              <w:rPr>
                <w:sz w:val="20"/>
                <w:szCs w:val="20"/>
                <w:color w:val="auto"/>
              </w:rPr>
            </w:pPr>
            <w:r>
              <w:rPr>
                <w:rFonts w:ascii="Arial" w:cs="Arial" w:eastAsia="Arial" w:hAnsi="Arial"/>
                <w:sz w:val="18"/>
                <w:szCs w:val="18"/>
                <w:color w:val="auto"/>
                <w:w w:val="84"/>
              </w:rPr>
              <w:t>Leased</w:t>
            </w:r>
          </w:p>
        </w:tc>
        <w:tc>
          <w:tcPr>
            <w:tcW w:w="3240" w:type="dxa"/>
            <w:vAlign w:val="bottom"/>
          </w:tcPr>
          <w:p>
            <w:pPr>
              <w:jc w:val="center"/>
              <w:ind w:right="410"/>
              <w:spacing w:after="0"/>
              <w:rPr>
                <w:sz w:val="20"/>
                <w:szCs w:val="20"/>
                <w:color w:val="auto"/>
              </w:rPr>
            </w:pPr>
            <w:r>
              <w:rPr>
                <w:rFonts w:ascii="Arial" w:cs="Arial" w:eastAsia="Arial" w:hAnsi="Arial"/>
                <w:sz w:val="18"/>
                <w:szCs w:val="18"/>
                <w:color w:val="auto"/>
                <w:w w:val="94"/>
              </w:rPr>
              <w:t>YRC Freight</w:t>
            </w:r>
          </w:p>
        </w:tc>
      </w:tr>
      <w:tr>
        <w:trPr>
          <w:trHeight w:val="27"/>
        </w:trPr>
        <w:tc>
          <w:tcPr>
            <w:tcW w:w="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Cincinnati,OH</w:t>
            </w:r>
          </w:p>
        </w:tc>
        <w:tc>
          <w:tcPr>
            <w:tcW w:w="25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3"/>
              </w:rPr>
              <w:t>216</w:t>
            </w:r>
          </w:p>
        </w:tc>
        <w:tc>
          <w:tcPr>
            <w:tcW w:w="2180" w:type="dxa"/>
            <w:vAlign w:val="bottom"/>
            <w:tcBorders>
              <w:bottom w:val="single" w:sz="8" w:color="CCEEFF"/>
            </w:tcBorders>
            <w:shd w:val="clear" w:color="auto" w:fill="CCEEFF"/>
          </w:tcPr>
          <w:p>
            <w:pPr>
              <w:jc w:val="center"/>
              <w:ind w:right="650"/>
              <w:spacing w:after="0"/>
              <w:rPr>
                <w:sz w:val="20"/>
                <w:szCs w:val="20"/>
                <w:color w:val="auto"/>
              </w:rPr>
            </w:pPr>
            <w:r>
              <w:rPr>
                <w:rFonts w:ascii="Arial" w:cs="Arial" w:eastAsia="Arial" w:hAnsi="Arial"/>
                <w:sz w:val="18"/>
                <w:szCs w:val="18"/>
                <w:color w:val="auto"/>
                <w:w w:val="91"/>
              </w:rPr>
              <w:t>Owned</w:t>
            </w:r>
          </w:p>
        </w:tc>
        <w:tc>
          <w:tcPr>
            <w:tcW w:w="3240" w:type="dxa"/>
            <w:vAlign w:val="bottom"/>
            <w:tcBorders>
              <w:bottom w:val="single" w:sz="8" w:color="CCEEFF"/>
            </w:tcBorders>
            <w:shd w:val="clear" w:color="auto" w:fill="CCEEFF"/>
          </w:tcPr>
          <w:p>
            <w:pPr>
              <w:jc w:val="center"/>
              <w:ind w:right="410"/>
              <w:spacing w:after="0"/>
              <w:rPr>
                <w:sz w:val="20"/>
                <w:szCs w:val="20"/>
                <w:color w:val="auto"/>
              </w:rPr>
            </w:pPr>
            <w:r>
              <w:rPr>
                <w:rFonts w:ascii="Arial" w:cs="Arial" w:eastAsia="Arial" w:hAnsi="Arial"/>
                <w:sz w:val="18"/>
                <w:szCs w:val="18"/>
                <w:color w:val="auto"/>
                <w:w w:val="94"/>
              </w:rPr>
              <w:t>YRC Freight</w:t>
            </w:r>
          </w:p>
        </w:tc>
      </w:tr>
      <w:tr>
        <w:trPr>
          <w:trHeight w:val="243"/>
        </w:trPr>
        <w:tc>
          <w:tcPr>
            <w:tcW w:w="6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Piedmont, SC</w:t>
            </w:r>
          </w:p>
        </w:tc>
        <w:tc>
          <w:tcPr>
            <w:tcW w:w="2560" w:type="dxa"/>
            <w:vAlign w:val="bottom"/>
          </w:tcPr>
          <w:p>
            <w:pPr>
              <w:jc w:val="center"/>
              <w:ind w:left="70"/>
              <w:spacing w:after="0"/>
              <w:rPr>
                <w:sz w:val="20"/>
                <w:szCs w:val="20"/>
                <w:color w:val="auto"/>
              </w:rPr>
            </w:pPr>
            <w:r>
              <w:rPr>
                <w:rFonts w:ascii="Arial" w:cs="Arial" w:eastAsia="Arial" w:hAnsi="Arial"/>
                <w:sz w:val="18"/>
                <w:szCs w:val="18"/>
                <w:color w:val="auto"/>
                <w:w w:val="93"/>
              </w:rPr>
              <w:t>214</w:t>
            </w:r>
          </w:p>
        </w:tc>
        <w:tc>
          <w:tcPr>
            <w:tcW w:w="2180" w:type="dxa"/>
            <w:vAlign w:val="bottom"/>
          </w:tcPr>
          <w:p>
            <w:pPr>
              <w:jc w:val="center"/>
              <w:ind w:right="650"/>
              <w:spacing w:after="0"/>
              <w:rPr>
                <w:sz w:val="20"/>
                <w:szCs w:val="20"/>
                <w:color w:val="auto"/>
              </w:rPr>
            </w:pPr>
            <w:r>
              <w:rPr>
                <w:rFonts w:ascii="Arial" w:cs="Arial" w:eastAsia="Arial" w:hAnsi="Arial"/>
                <w:sz w:val="18"/>
                <w:szCs w:val="18"/>
                <w:color w:val="auto"/>
                <w:w w:val="91"/>
              </w:rPr>
              <w:t>Owned</w:t>
            </w:r>
          </w:p>
        </w:tc>
        <w:tc>
          <w:tcPr>
            <w:tcW w:w="3240" w:type="dxa"/>
            <w:vAlign w:val="bottom"/>
          </w:tcPr>
          <w:p>
            <w:pPr>
              <w:jc w:val="center"/>
              <w:ind w:right="410"/>
              <w:spacing w:after="0"/>
              <w:rPr>
                <w:sz w:val="20"/>
                <w:szCs w:val="20"/>
                <w:color w:val="auto"/>
              </w:rPr>
            </w:pPr>
            <w:r>
              <w:rPr>
                <w:rFonts w:ascii="Arial" w:cs="Arial" w:eastAsia="Arial" w:hAnsi="Arial"/>
                <w:sz w:val="18"/>
                <w:szCs w:val="18"/>
                <w:color w:val="auto"/>
                <w:w w:val="94"/>
              </w:rPr>
              <w:t>YRC Freight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Legal Proceedings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discuss legal proceedings in the “Commitments, Contingencies and Uncertainties” footnote of our consolidated financial statements included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3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are our executive officers, each of whom serves until his or her successor has been elected and qualified or until his or her earlier resignation or removal:</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1960" w:type="dxa"/>
            <w:vAlign w:val="bottom"/>
          </w:tcPr>
          <w:p>
            <w:pPr>
              <w:spacing w:after="0"/>
              <w:rPr>
                <w:sz w:val="14"/>
                <w:szCs w:val="14"/>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Age</w:t>
            </w:r>
          </w:p>
        </w:tc>
        <w:tc>
          <w:tcPr>
            <w:tcW w:w="8120" w:type="dxa"/>
            <w:vAlign w:val="bottom"/>
            <w:gridSpan w:val="2"/>
          </w:tcPr>
          <w:p>
            <w:pPr>
              <w:spacing w:after="0"/>
              <w:rPr>
                <w:sz w:val="20"/>
                <w:szCs w:val="20"/>
                <w:color w:val="auto"/>
              </w:rPr>
            </w:pPr>
            <w:r>
              <w:rPr>
                <w:rFonts w:ascii="Arial" w:cs="Arial" w:eastAsia="Arial" w:hAnsi="Arial"/>
                <w:sz w:val="14"/>
                <w:szCs w:val="14"/>
                <w:b w:val="1"/>
                <w:bCs w:val="1"/>
                <w:color w:val="auto"/>
              </w:rPr>
              <w:t>Position(s) Held</w:t>
            </w:r>
          </w:p>
        </w:tc>
      </w:tr>
      <w:tr>
        <w:trPr>
          <w:trHeight w:val="20"/>
        </w:trPr>
        <w:tc>
          <w:tcPr>
            <w:tcW w:w="3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r>
      <w:tr>
        <w:trPr>
          <w:trHeight w:val="249"/>
        </w:trPr>
        <w:tc>
          <w:tcPr>
            <w:tcW w:w="2320" w:type="dxa"/>
            <w:vAlign w:val="bottom"/>
            <w:gridSpan w:val="2"/>
          </w:tcPr>
          <w:p>
            <w:pPr>
              <w:spacing w:after="0"/>
              <w:rPr>
                <w:sz w:val="20"/>
                <w:szCs w:val="20"/>
                <w:color w:val="auto"/>
              </w:rPr>
            </w:pPr>
            <w:r>
              <w:rPr>
                <w:rFonts w:ascii="Arial" w:cs="Arial" w:eastAsia="Arial" w:hAnsi="Arial"/>
                <w:sz w:val="18"/>
                <w:szCs w:val="18"/>
                <w:color w:val="auto"/>
              </w:rPr>
              <w:t>James L. Welch</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63</w:t>
            </w:r>
          </w:p>
        </w:tc>
        <w:tc>
          <w:tcPr>
            <w:tcW w:w="8120" w:type="dxa"/>
            <w:vAlign w:val="bottom"/>
            <w:gridSpan w:val="2"/>
          </w:tcPr>
          <w:p>
            <w:pPr>
              <w:spacing w:after="0"/>
              <w:rPr>
                <w:sz w:val="20"/>
                <w:szCs w:val="20"/>
                <w:color w:val="auto"/>
              </w:rPr>
            </w:pPr>
            <w:r>
              <w:rPr>
                <w:rFonts w:ascii="Arial" w:cs="Arial" w:eastAsia="Arial" w:hAnsi="Arial"/>
                <w:sz w:val="18"/>
                <w:szCs w:val="18"/>
                <w:color w:val="auto"/>
                <w:w w:val="91"/>
              </w:rPr>
              <w:t>Chief Executive Officer of the Company (since July 2011); Dynamex Inc. (transportation and logistics services):</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9"/>
              </w:rPr>
              <w:t>President and Chief Executive Officer (2008 - 2011); JHT Holdings (truck transportation): Interim Chief</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7"/>
              </w:rPr>
              <w:t>Executive Officer (2007 - 2008); Yellow Transportation (subsidiary of our Company): President and Chief</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6"/>
              </w:rPr>
              <w:t>Executive Officer (2000 - 2007), and various other positions (1978 - 2000); Current Director: SkyWest Inc.</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7"/>
              </w:rPr>
              <w:t>(regional airline); Former Director: Dynamex Inc., Spirit AeroSystems Holdings Inc. (commercial airplane</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2"/>
              </w:rPr>
              <w:t>assemblies and components), Roadrunner Transportation (transportation and logistics services), and Erickson</w:t>
            </w:r>
          </w:p>
        </w:tc>
      </w:tr>
      <w:tr>
        <w:trPr>
          <w:trHeight w:val="230"/>
        </w:trPr>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Air Crane, Inc. (heavy lift helicopter company).</w:t>
            </w:r>
          </w:p>
        </w:tc>
      </w:tr>
      <w:tr>
        <w:trPr>
          <w:trHeight w:val="607"/>
        </w:trPr>
        <w:tc>
          <w:tcPr>
            <w:tcW w:w="2320" w:type="dxa"/>
            <w:vAlign w:val="bottom"/>
            <w:gridSpan w:val="2"/>
          </w:tcPr>
          <w:p>
            <w:pPr>
              <w:spacing w:after="0"/>
              <w:rPr>
                <w:sz w:val="20"/>
                <w:szCs w:val="20"/>
                <w:color w:val="auto"/>
              </w:rPr>
            </w:pPr>
            <w:r>
              <w:rPr>
                <w:rFonts w:ascii="Arial" w:cs="Arial" w:eastAsia="Arial" w:hAnsi="Arial"/>
                <w:sz w:val="18"/>
                <w:szCs w:val="18"/>
                <w:color w:val="auto"/>
              </w:rPr>
              <w:t>Darren D. Hawkins</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48</w:t>
            </w:r>
          </w:p>
        </w:tc>
        <w:tc>
          <w:tcPr>
            <w:tcW w:w="8120" w:type="dxa"/>
            <w:vAlign w:val="bottom"/>
            <w:gridSpan w:val="2"/>
          </w:tcPr>
          <w:p>
            <w:pPr>
              <w:spacing w:after="0"/>
              <w:rPr>
                <w:sz w:val="20"/>
                <w:szCs w:val="20"/>
                <w:color w:val="auto"/>
              </w:rPr>
            </w:pPr>
            <w:r>
              <w:rPr>
                <w:rFonts w:ascii="Arial" w:cs="Arial" w:eastAsia="Arial" w:hAnsi="Arial"/>
                <w:sz w:val="18"/>
                <w:szCs w:val="18"/>
                <w:color w:val="auto"/>
                <w:w w:val="98"/>
              </w:rPr>
              <w:t>President and Chief Operating Officer of the Company (since January 2018), President (February 2014-</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2"/>
              </w:rPr>
              <w:t>December 2017), Senior Vice President - Sales and Marketing (January 2013-February 2014) of YRC Freight;</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0"/>
              </w:rPr>
              <w:t>Director of Operations (December 2011-January 2013) and Director of Sales (January 2009-December 2011) for</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6"/>
              </w:rPr>
              <w:t>Con-Way Freight, a subsidiary of Con-Way, Inc.; various positions of increasing responsibility with Yellow</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2"/>
              </w:rPr>
              <w:t>Transportation, Inc. (former subsidiary of the Company) (1991-2009). Member of the American Transportation</w:t>
            </w:r>
          </w:p>
        </w:tc>
      </w:tr>
      <w:tr>
        <w:trPr>
          <w:trHeight w:val="230"/>
        </w:trPr>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Research Institute Board of Directors (2018).</w:t>
            </w:r>
          </w:p>
        </w:tc>
      </w:tr>
      <w:tr>
        <w:trPr>
          <w:trHeight w:val="607"/>
        </w:trPr>
        <w:tc>
          <w:tcPr>
            <w:tcW w:w="2320" w:type="dxa"/>
            <w:vAlign w:val="bottom"/>
            <w:gridSpan w:val="2"/>
          </w:tcPr>
          <w:p>
            <w:pPr>
              <w:spacing w:after="0"/>
              <w:rPr>
                <w:sz w:val="20"/>
                <w:szCs w:val="20"/>
                <w:color w:val="auto"/>
              </w:rPr>
            </w:pPr>
            <w:r>
              <w:rPr>
                <w:rFonts w:ascii="Arial" w:cs="Arial" w:eastAsia="Arial" w:hAnsi="Arial"/>
                <w:sz w:val="18"/>
                <w:szCs w:val="18"/>
                <w:color w:val="auto"/>
              </w:rPr>
              <w:t>Stephanie D. Fisher</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41</w:t>
            </w:r>
          </w:p>
        </w:tc>
        <w:tc>
          <w:tcPr>
            <w:tcW w:w="8120" w:type="dxa"/>
            <w:vAlign w:val="bottom"/>
            <w:gridSpan w:val="2"/>
          </w:tcPr>
          <w:p>
            <w:pPr>
              <w:spacing w:after="0"/>
              <w:rPr>
                <w:sz w:val="20"/>
                <w:szCs w:val="20"/>
                <w:color w:val="auto"/>
              </w:rPr>
            </w:pPr>
            <w:r>
              <w:rPr>
                <w:rFonts w:ascii="Arial" w:cs="Arial" w:eastAsia="Arial" w:hAnsi="Arial"/>
                <w:sz w:val="18"/>
                <w:szCs w:val="18"/>
                <w:color w:val="auto"/>
                <w:w w:val="94"/>
              </w:rPr>
              <w:t>Chief Financial Officer of the Company (since May 2017); Acting Chief Financial Officer (January 2017-May</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5"/>
              </w:rPr>
              <w:t>2017); Vice President and Controller of the Company (May 2012-May 2017); Director - Financial Reporting</w:t>
            </w:r>
          </w:p>
        </w:tc>
      </w:tr>
      <w:tr>
        <w:trPr>
          <w:trHeight w:val="230"/>
        </w:trPr>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and various positions in the Company’s Corporate Accounting department (2004-2012).</w:t>
            </w:r>
          </w:p>
        </w:tc>
      </w:tr>
      <w:tr>
        <w:trPr>
          <w:trHeight w:val="391"/>
        </w:trPr>
        <w:tc>
          <w:tcPr>
            <w:tcW w:w="2320" w:type="dxa"/>
            <w:vAlign w:val="bottom"/>
            <w:gridSpan w:val="2"/>
          </w:tcPr>
          <w:p>
            <w:pPr>
              <w:spacing w:after="0"/>
              <w:rPr>
                <w:sz w:val="20"/>
                <w:szCs w:val="20"/>
                <w:color w:val="auto"/>
              </w:rPr>
            </w:pPr>
            <w:r>
              <w:rPr>
                <w:rFonts w:ascii="Arial" w:cs="Arial" w:eastAsia="Arial" w:hAnsi="Arial"/>
                <w:sz w:val="18"/>
                <w:szCs w:val="18"/>
                <w:color w:val="auto"/>
              </w:rPr>
              <w:t>Justin Hall</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38</w:t>
            </w:r>
          </w:p>
        </w:tc>
        <w:tc>
          <w:tcPr>
            <w:tcW w:w="8120" w:type="dxa"/>
            <w:vAlign w:val="bottom"/>
            <w:gridSpan w:val="2"/>
          </w:tcPr>
          <w:p>
            <w:pPr>
              <w:spacing w:after="0"/>
              <w:rPr>
                <w:sz w:val="20"/>
                <w:szCs w:val="20"/>
                <w:color w:val="auto"/>
              </w:rPr>
            </w:pPr>
            <w:r>
              <w:rPr>
                <w:rFonts w:ascii="Arial" w:cs="Arial" w:eastAsia="Arial" w:hAnsi="Arial"/>
                <w:sz w:val="18"/>
                <w:szCs w:val="18"/>
                <w:color w:val="auto"/>
              </w:rPr>
              <w:t>Chief Customer Officer of the Company (since June 2016); President of Logistics Planning Services</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4"/>
              </w:rPr>
              <w:t>(transportation management and logistics software) (2006-2016); Principal of LP Projects International, LLC</w:t>
            </w:r>
          </w:p>
        </w:tc>
      </w:tr>
      <w:tr>
        <w:trPr>
          <w:trHeight w:val="230"/>
        </w:trPr>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3"/>
              </w:rPr>
              <w:t>(2003-2016).</w:t>
            </w:r>
          </w:p>
        </w:tc>
        <w:tc>
          <w:tcPr>
            <w:tcW w:w="7140" w:type="dxa"/>
            <w:vAlign w:val="bottom"/>
          </w:tcPr>
          <w:p>
            <w:pPr>
              <w:spacing w:after="0"/>
              <w:rPr>
                <w:sz w:val="20"/>
                <w:szCs w:val="20"/>
                <w:color w:val="auto"/>
              </w:rPr>
            </w:pPr>
          </w:p>
        </w:tc>
      </w:tr>
      <w:tr>
        <w:trPr>
          <w:trHeight w:val="391"/>
        </w:trPr>
        <w:tc>
          <w:tcPr>
            <w:tcW w:w="2320" w:type="dxa"/>
            <w:vAlign w:val="bottom"/>
            <w:gridSpan w:val="2"/>
          </w:tcPr>
          <w:p>
            <w:pPr>
              <w:spacing w:after="0"/>
              <w:rPr>
                <w:sz w:val="20"/>
                <w:szCs w:val="20"/>
                <w:color w:val="auto"/>
              </w:rPr>
            </w:pPr>
            <w:r>
              <w:rPr>
                <w:rFonts w:ascii="Arial" w:cs="Arial" w:eastAsia="Arial" w:hAnsi="Arial"/>
                <w:sz w:val="18"/>
                <w:szCs w:val="18"/>
                <w:color w:val="auto"/>
              </w:rPr>
              <w:t>James A. Fry</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56</w:t>
            </w:r>
          </w:p>
        </w:tc>
        <w:tc>
          <w:tcPr>
            <w:tcW w:w="8120" w:type="dxa"/>
            <w:vAlign w:val="bottom"/>
            <w:gridSpan w:val="2"/>
          </w:tcPr>
          <w:p>
            <w:pPr>
              <w:spacing w:after="0"/>
              <w:rPr>
                <w:sz w:val="20"/>
                <w:szCs w:val="20"/>
                <w:color w:val="auto"/>
              </w:rPr>
            </w:pPr>
            <w:r>
              <w:rPr>
                <w:rFonts w:ascii="Arial" w:cs="Arial" w:eastAsia="Arial" w:hAnsi="Arial"/>
                <w:sz w:val="18"/>
                <w:szCs w:val="18"/>
                <w:color w:val="auto"/>
                <w:w w:val="94"/>
              </w:rPr>
              <w:t>Vice  President,  General  Counsel  and  Corporate  Secretary  of  the  Company  (since  April  2015);  Swift</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5"/>
              </w:rPr>
              <w:t>Transportation Company: Executive Vice President and General Counsel (2010-2015), Corporate Counsel</w:t>
            </w:r>
          </w:p>
        </w:tc>
      </w:tr>
      <w:tr>
        <w:trPr>
          <w:trHeight w:val="230"/>
        </w:trPr>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(2008-2010); General Counsel of Global Aircraft Solutions, Inc. (2003-2008).</w:t>
            </w:r>
          </w:p>
        </w:tc>
      </w:tr>
      <w:tr>
        <w:trPr>
          <w:trHeight w:val="391"/>
        </w:trPr>
        <w:tc>
          <w:tcPr>
            <w:tcW w:w="2320" w:type="dxa"/>
            <w:vAlign w:val="bottom"/>
            <w:gridSpan w:val="2"/>
          </w:tcPr>
          <w:p>
            <w:pPr>
              <w:spacing w:after="0"/>
              <w:rPr>
                <w:sz w:val="20"/>
                <w:szCs w:val="20"/>
                <w:color w:val="auto"/>
              </w:rPr>
            </w:pPr>
            <w:r>
              <w:rPr>
                <w:rFonts w:ascii="Arial" w:cs="Arial" w:eastAsia="Arial" w:hAnsi="Arial"/>
                <w:sz w:val="18"/>
                <w:szCs w:val="18"/>
                <w:color w:val="auto"/>
              </w:rPr>
              <w:t>Jason T. Ringgenberg</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52</w:t>
            </w:r>
          </w:p>
        </w:tc>
        <w:tc>
          <w:tcPr>
            <w:tcW w:w="8120" w:type="dxa"/>
            <w:vAlign w:val="bottom"/>
            <w:gridSpan w:val="2"/>
          </w:tcPr>
          <w:p>
            <w:pPr>
              <w:spacing w:after="0"/>
              <w:rPr>
                <w:sz w:val="20"/>
                <w:szCs w:val="20"/>
                <w:color w:val="auto"/>
              </w:rPr>
            </w:pPr>
            <w:r>
              <w:rPr>
                <w:rFonts w:ascii="Arial" w:cs="Arial" w:eastAsia="Arial" w:hAnsi="Arial"/>
                <w:sz w:val="18"/>
                <w:szCs w:val="18"/>
                <w:color w:val="auto"/>
                <w:w w:val="92"/>
              </w:rPr>
              <w:t>Chief Information Officer of the Company (since March 2017); Sr. Vice President and Chief Information Officer</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for YRC Freight (subsidiary of the Company) (April 2014-March 2017); various positions of increasing</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5"/>
              </w:rPr>
              <w:t>responsibility with Accenture, most recently Managing Director of North American Freight (June 1992-April</w:t>
            </w:r>
          </w:p>
        </w:tc>
      </w:tr>
      <w:tr>
        <w:trPr>
          <w:trHeight w:val="230"/>
        </w:trPr>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2014).</w:t>
            </w:r>
          </w:p>
        </w:tc>
        <w:tc>
          <w:tcPr>
            <w:tcW w:w="7140" w:type="dxa"/>
            <w:vAlign w:val="bottom"/>
          </w:tcPr>
          <w:p>
            <w:pPr>
              <w:spacing w:after="0"/>
              <w:rPr>
                <w:sz w:val="20"/>
                <w:szCs w:val="20"/>
                <w:color w:val="auto"/>
              </w:rPr>
            </w:pPr>
          </w:p>
        </w:tc>
      </w:tr>
      <w:tr>
        <w:trPr>
          <w:trHeight w:val="391"/>
        </w:trPr>
        <w:tc>
          <w:tcPr>
            <w:tcW w:w="2320" w:type="dxa"/>
            <w:vAlign w:val="bottom"/>
            <w:gridSpan w:val="2"/>
          </w:tcPr>
          <w:p>
            <w:pPr>
              <w:spacing w:after="0"/>
              <w:rPr>
                <w:sz w:val="20"/>
                <w:szCs w:val="20"/>
                <w:color w:val="auto"/>
              </w:rPr>
            </w:pPr>
            <w:r>
              <w:rPr>
                <w:rFonts w:ascii="Arial" w:cs="Arial" w:eastAsia="Arial" w:hAnsi="Arial"/>
                <w:sz w:val="18"/>
                <w:szCs w:val="18"/>
                <w:color w:val="auto"/>
              </w:rPr>
              <w:t>Mark D. Boehmer</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57</w:t>
            </w:r>
          </w:p>
        </w:tc>
        <w:tc>
          <w:tcPr>
            <w:tcW w:w="8120" w:type="dxa"/>
            <w:vAlign w:val="bottom"/>
            <w:gridSpan w:val="2"/>
          </w:tcPr>
          <w:p>
            <w:pPr>
              <w:spacing w:after="0"/>
              <w:rPr>
                <w:sz w:val="20"/>
                <w:szCs w:val="20"/>
                <w:color w:val="auto"/>
              </w:rPr>
            </w:pPr>
            <w:r>
              <w:rPr>
                <w:rFonts w:ascii="Arial" w:cs="Arial" w:eastAsia="Arial" w:hAnsi="Arial"/>
                <w:sz w:val="18"/>
                <w:szCs w:val="18"/>
                <w:color w:val="auto"/>
                <w:w w:val="98"/>
              </w:rPr>
              <w:t>Vice President and Treasurer of the Company (since July 2013); Vice President and Treasurer of Sealy</w:t>
            </w:r>
          </w:p>
        </w:tc>
      </w:tr>
      <w:tr>
        <w:trPr>
          <w:trHeight w:val="230"/>
        </w:trPr>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Corporation (bedding manufacturer) (2003-2013).</w:t>
            </w:r>
          </w:p>
        </w:tc>
      </w:tr>
      <w:tr>
        <w:trPr>
          <w:trHeight w:val="391"/>
        </w:trPr>
        <w:tc>
          <w:tcPr>
            <w:tcW w:w="2320" w:type="dxa"/>
            <w:vAlign w:val="bottom"/>
            <w:gridSpan w:val="2"/>
          </w:tcPr>
          <w:p>
            <w:pPr>
              <w:spacing w:after="0"/>
              <w:rPr>
                <w:sz w:val="20"/>
                <w:szCs w:val="20"/>
                <w:color w:val="auto"/>
              </w:rPr>
            </w:pPr>
            <w:r>
              <w:rPr>
                <w:rFonts w:ascii="Arial" w:cs="Arial" w:eastAsia="Arial" w:hAnsi="Arial"/>
                <w:sz w:val="18"/>
                <w:szCs w:val="18"/>
                <w:color w:val="auto"/>
              </w:rPr>
              <w:t>Brianne L. Simoneau</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39</w:t>
            </w:r>
          </w:p>
        </w:tc>
        <w:tc>
          <w:tcPr>
            <w:tcW w:w="8120" w:type="dxa"/>
            <w:vAlign w:val="bottom"/>
            <w:gridSpan w:val="2"/>
          </w:tcPr>
          <w:p>
            <w:pPr>
              <w:spacing w:after="0"/>
              <w:rPr>
                <w:sz w:val="20"/>
                <w:szCs w:val="20"/>
                <w:color w:val="auto"/>
              </w:rPr>
            </w:pPr>
            <w:r>
              <w:rPr>
                <w:rFonts w:ascii="Arial" w:cs="Arial" w:eastAsia="Arial" w:hAnsi="Arial"/>
                <w:sz w:val="18"/>
                <w:szCs w:val="18"/>
                <w:color w:val="auto"/>
                <w:w w:val="95"/>
              </w:rPr>
              <w:t>Vice President and Controller of the Company (since May 2017); Director, Financial Reporting (April 2015-</w:t>
            </w:r>
          </w:p>
        </w:tc>
      </w:tr>
      <w:tr>
        <w:trPr>
          <w:trHeight w:val="230"/>
        </w:trPr>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May 2017); Controller for Freightquote.com (March 2009-April 2015).</w:t>
            </w:r>
          </w:p>
        </w:tc>
      </w:tr>
      <w:tr>
        <w:trPr>
          <w:trHeight w:val="391"/>
        </w:trPr>
        <w:tc>
          <w:tcPr>
            <w:tcW w:w="2320" w:type="dxa"/>
            <w:vAlign w:val="bottom"/>
            <w:gridSpan w:val="2"/>
          </w:tcPr>
          <w:p>
            <w:pPr>
              <w:spacing w:after="0"/>
              <w:rPr>
                <w:sz w:val="20"/>
                <w:szCs w:val="20"/>
                <w:color w:val="auto"/>
              </w:rPr>
            </w:pPr>
            <w:r>
              <w:rPr>
                <w:rFonts w:ascii="Arial" w:cs="Arial" w:eastAsia="Arial" w:hAnsi="Arial"/>
                <w:sz w:val="18"/>
                <w:szCs w:val="18"/>
                <w:color w:val="auto"/>
              </w:rPr>
              <w:t>Thomas J. O’Connor</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57</w:t>
            </w:r>
          </w:p>
        </w:tc>
        <w:tc>
          <w:tcPr>
            <w:tcW w:w="8120" w:type="dxa"/>
            <w:vAlign w:val="bottom"/>
            <w:gridSpan w:val="2"/>
          </w:tcPr>
          <w:p>
            <w:pPr>
              <w:spacing w:after="0"/>
              <w:rPr>
                <w:sz w:val="20"/>
                <w:szCs w:val="20"/>
                <w:color w:val="auto"/>
              </w:rPr>
            </w:pPr>
            <w:r>
              <w:rPr>
                <w:rFonts w:ascii="Arial" w:cs="Arial" w:eastAsia="Arial" w:hAnsi="Arial"/>
                <w:sz w:val="18"/>
                <w:szCs w:val="18"/>
                <w:color w:val="auto"/>
                <w:w w:val="94"/>
              </w:rPr>
              <w:t>President of YRC Freight (since January 2018); President of USF Reddaway Inc. (January 2007-December</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2"/>
              </w:rPr>
              <w:t>2017); President of USF Bestway (subsidiary of the Company) (2005-2007); Vice President - Western Division</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3"/>
              </w:rPr>
              <w:t>and officer of Roadway Express, Inc. (subsidiary of the Company) (1999-2005), District Manager (1995-1999)</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3"/>
              </w:rPr>
              <w:t>and  various  management  positions  of  increasing  responsibility  (1982-1995)  of  Roadway  Express,  Inc.</w:t>
            </w:r>
          </w:p>
        </w:tc>
      </w:tr>
      <w:tr>
        <w:trPr>
          <w:trHeight w:val="230"/>
        </w:trPr>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(subsidiary of the Company).</w:t>
            </w:r>
          </w:p>
        </w:tc>
      </w:tr>
      <w:tr>
        <w:trPr>
          <w:trHeight w:val="607"/>
        </w:trPr>
        <w:tc>
          <w:tcPr>
            <w:tcW w:w="2320" w:type="dxa"/>
            <w:vAlign w:val="bottom"/>
            <w:gridSpan w:val="2"/>
          </w:tcPr>
          <w:p>
            <w:pPr>
              <w:spacing w:after="0"/>
              <w:rPr>
                <w:sz w:val="20"/>
                <w:szCs w:val="20"/>
                <w:color w:val="auto"/>
              </w:rPr>
            </w:pPr>
            <w:r>
              <w:rPr>
                <w:rFonts w:ascii="Arial" w:cs="Arial" w:eastAsia="Arial" w:hAnsi="Arial"/>
                <w:sz w:val="18"/>
                <w:szCs w:val="18"/>
                <w:color w:val="auto"/>
              </w:rPr>
              <w:t>Scott D. Ware</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57</w:t>
            </w:r>
          </w:p>
        </w:tc>
        <w:tc>
          <w:tcPr>
            <w:tcW w:w="8120" w:type="dxa"/>
            <w:vAlign w:val="bottom"/>
            <w:gridSpan w:val="2"/>
          </w:tcPr>
          <w:p>
            <w:pPr>
              <w:spacing w:after="0"/>
              <w:rPr>
                <w:sz w:val="20"/>
                <w:szCs w:val="20"/>
                <w:color w:val="auto"/>
              </w:rPr>
            </w:pPr>
            <w:r>
              <w:rPr>
                <w:rFonts w:ascii="Arial" w:cs="Arial" w:eastAsia="Arial" w:hAnsi="Arial"/>
                <w:sz w:val="18"/>
                <w:szCs w:val="18"/>
                <w:color w:val="auto"/>
                <w:w w:val="94"/>
              </w:rPr>
              <w:t>President (since May 2012), Vice President Operations &amp; Linehaul (2009-2012) and Vice President Linehaul</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7"/>
              </w:rPr>
              <w:t>(2007-2009) of USF Holland (subsidiary of the Company); Director of Linehaul of SAIA Inc. (2002-2007);</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4"/>
              </w:rPr>
              <w:t>Director of Linehaul of JEVIC (2000-2002); various industry management roles with Preston, Overnite, Con-</w:t>
            </w:r>
          </w:p>
        </w:tc>
      </w:tr>
      <w:tr>
        <w:trPr>
          <w:trHeight w:val="230"/>
        </w:trPr>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Way and Spartan Express (1985-2000).</w:t>
            </w:r>
          </w:p>
        </w:tc>
      </w:tr>
      <w:tr>
        <w:trPr>
          <w:trHeight w:val="607"/>
        </w:trPr>
        <w:tc>
          <w:tcPr>
            <w:tcW w:w="2320" w:type="dxa"/>
            <w:vAlign w:val="bottom"/>
            <w:gridSpan w:val="2"/>
          </w:tcPr>
          <w:p>
            <w:pPr>
              <w:spacing w:after="0"/>
              <w:rPr>
                <w:sz w:val="20"/>
                <w:szCs w:val="20"/>
                <w:color w:val="auto"/>
              </w:rPr>
            </w:pPr>
            <w:r>
              <w:rPr>
                <w:rFonts w:ascii="Arial" w:cs="Arial" w:eastAsia="Arial" w:hAnsi="Arial"/>
                <w:sz w:val="18"/>
                <w:szCs w:val="18"/>
                <w:color w:val="auto"/>
              </w:rPr>
              <w:t>Loren Robert (“Bob”) Stone</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56</w:t>
            </w:r>
          </w:p>
        </w:tc>
        <w:tc>
          <w:tcPr>
            <w:tcW w:w="8120" w:type="dxa"/>
            <w:vAlign w:val="bottom"/>
            <w:gridSpan w:val="2"/>
          </w:tcPr>
          <w:p>
            <w:pPr>
              <w:spacing w:after="0"/>
              <w:rPr>
                <w:sz w:val="20"/>
                <w:szCs w:val="20"/>
                <w:color w:val="auto"/>
              </w:rPr>
            </w:pPr>
            <w:r>
              <w:rPr>
                <w:rFonts w:ascii="Arial" w:cs="Arial" w:eastAsia="Arial" w:hAnsi="Arial"/>
                <w:sz w:val="18"/>
                <w:szCs w:val="18"/>
                <w:color w:val="auto"/>
                <w:w w:val="92"/>
              </w:rPr>
              <w:t>President, (since January 2018); Vice President, Operations of USF Reddaway Inc. (December 2004-January</w:t>
            </w:r>
          </w:p>
        </w:tc>
      </w:tr>
      <w:tr>
        <w:trPr>
          <w:trHeight w:val="230"/>
        </w:trPr>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2018), various other positions with USF Reddaway Inc. and other affiliates of the Company.</w:t>
            </w:r>
          </w:p>
        </w:tc>
      </w:tr>
      <w:tr>
        <w:trPr>
          <w:trHeight w:val="391"/>
        </w:trPr>
        <w:tc>
          <w:tcPr>
            <w:tcW w:w="2320" w:type="dxa"/>
            <w:vAlign w:val="bottom"/>
            <w:gridSpan w:val="2"/>
          </w:tcPr>
          <w:p>
            <w:pPr>
              <w:spacing w:after="0"/>
              <w:rPr>
                <w:sz w:val="20"/>
                <w:szCs w:val="20"/>
                <w:color w:val="auto"/>
              </w:rPr>
            </w:pPr>
            <w:r>
              <w:rPr>
                <w:rFonts w:ascii="Arial" w:cs="Arial" w:eastAsia="Arial" w:hAnsi="Arial"/>
                <w:sz w:val="18"/>
                <w:szCs w:val="18"/>
                <w:color w:val="auto"/>
              </w:rPr>
              <w:t>Howard C. Moshier</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51</w:t>
            </w:r>
          </w:p>
        </w:tc>
        <w:tc>
          <w:tcPr>
            <w:tcW w:w="8120" w:type="dxa"/>
            <w:vAlign w:val="bottom"/>
            <w:gridSpan w:val="2"/>
          </w:tcPr>
          <w:p>
            <w:pPr>
              <w:spacing w:after="0"/>
              <w:rPr>
                <w:sz w:val="20"/>
                <w:szCs w:val="20"/>
                <w:color w:val="auto"/>
              </w:rPr>
            </w:pPr>
            <w:r>
              <w:rPr>
                <w:rFonts w:ascii="Arial" w:cs="Arial" w:eastAsia="Arial" w:hAnsi="Arial"/>
                <w:sz w:val="18"/>
                <w:szCs w:val="18"/>
                <w:color w:val="auto"/>
                <w:w w:val="94"/>
              </w:rPr>
              <w:t>President, New Penn Motor Express LLC (subsidiary of the Company) (since September 2017); Senior Vice</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2"/>
              </w:rPr>
              <w:t>President, Operations and Equipment Services for YRC Freight (subsidiary of the Company) (December 2016-</w:t>
            </w:r>
          </w:p>
        </w:tc>
      </w:tr>
      <w:tr>
        <w:trPr>
          <w:trHeight w:val="216"/>
        </w:trPr>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6"/>
              </w:rPr>
              <w:t>August 2017); Senior Vice President, Operations for YRC Freight (August 2014-December 2016); Division</w:t>
            </w:r>
          </w:p>
        </w:tc>
      </w:tr>
      <w:tr>
        <w:trPr>
          <w:trHeight w:val="230"/>
        </w:trPr>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w w:val="92"/>
              </w:rPr>
              <w:t>Vice President (March 2014-August 2014); Area Director of Operations for YRC Freight (2008-2014); Director,</w:t>
            </w:r>
          </w:p>
        </w:tc>
      </w:tr>
    </w:tbl>
    <w:p>
      <w:pPr>
        <w:ind w:left="3240" w:right="40"/>
        <w:spacing w:after="0" w:line="261" w:lineRule="auto"/>
        <w:rPr>
          <w:sz w:val="20"/>
          <w:szCs w:val="20"/>
          <w:color w:val="auto"/>
        </w:rPr>
      </w:pPr>
      <w:r>
        <w:rPr>
          <w:rFonts w:ascii="Arial" w:cs="Arial" w:eastAsia="Arial" w:hAnsi="Arial"/>
          <w:sz w:val="18"/>
          <w:szCs w:val="18"/>
          <w:color w:val="auto"/>
        </w:rPr>
        <w:t>Regional Operations for Roadway Express (2005-2008); various positions of increasing responsibility with Roadway Express, Inc. (subsidiary of the Company) (1988-2005).</w:t>
      </w:r>
    </w:p>
    <w:p>
      <w:pPr>
        <w:sectPr>
          <w:pgSz w:w="11900" w:h="16838" w:orient="portrait"/>
          <w:cols w:equalWidth="0" w:num="1">
            <w:col w:w="11400"/>
          </w:cols>
          <w:pgMar w:left="240" w:top="526" w:right="259" w:bottom="1440"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526" w:right="2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Market for Registrant’s Common Equity, Related Stockholder Matters and Issuer Purchases of Equity Securities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As of February 9, 2018, 363 stockholders of record held YRC Worldwide common stock. Trading activity averaged 708,192 shares per day during 2017, up from 706,869 per day in 2016. The NASDAQ Global Select Market quotes prices for our common stock under the symbol “YRCW.”</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Quarterly Financial Information (unaudited)</w:t>
      </w:r>
    </w:p>
    <w:p>
      <w:pPr>
        <w:spacing w:after="0" w:line="229"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9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and share data)</w:t>
            </w:r>
          </w:p>
        </w:tc>
        <w:tc>
          <w:tcPr>
            <w:tcW w:w="240" w:type="dxa"/>
            <w:vAlign w:val="bottom"/>
          </w:tcPr>
          <w:p>
            <w:pPr>
              <w:spacing w:after="0"/>
              <w:rPr>
                <w:sz w:val="13"/>
                <w:szCs w:val="13"/>
                <w:color w:val="auto"/>
              </w:rPr>
            </w:pPr>
          </w:p>
        </w:tc>
        <w:tc>
          <w:tcPr>
            <w:tcW w:w="98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8"/>
              </w:rPr>
              <w:t>First</w:t>
            </w:r>
          </w:p>
        </w:tc>
        <w:tc>
          <w:tcPr>
            <w:tcW w:w="140" w:type="dxa"/>
            <w:vAlign w:val="bottom"/>
          </w:tcPr>
          <w:p>
            <w:pPr>
              <w:spacing w:after="0"/>
              <w:rPr>
                <w:sz w:val="13"/>
                <w:szCs w:val="13"/>
                <w:color w:val="auto"/>
              </w:rPr>
            </w:pPr>
          </w:p>
        </w:tc>
        <w:tc>
          <w:tcPr>
            <w:tcW w:w="11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3"/>
              </w:rPr>
              <w:t>Second Quarter</w:t>
            </w:r>
          </w:p>
        </w:tc>
        <w:tc>
          <w:tcPr>
            <w:tcW w:w="260" w:type="dxa"/>
            <w:vAlign w:val="bottom"/>
          </w:tcPr>
          <w:p>
            <w:pPr>
              <w:spacing w:after="0"/>
              <w:rPr>
                <w:sz w:val="13"/>
                <w:szCs w:val="13"/>
                <w:color w:val="auto"/>
              </w:rPr>
            </w:pPr>
          </w:p>
        </w:tc>
        <w:tc>
          <w:tcPr>
            <w:tcW w:w="92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3"/>
                <w:szCs w:val="13"/>
                <w:color w:val="auto"/>
              </w:rPr>
            </w:pPr>
          </w:p>
        </w:tc>
        <w:tc>
          <w:tcPr>
            <w:tcW w:w="102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8"/>
              </w:rPr>
              <w:t>Quarter</w:t>
            </w:r>
            <w:r>
              <w:rPr>
                <w:rFonts w:ascii="Arial" w:cs="Arial" w:eastAsia="Arial" w:hAnsi="Arial"/>
                <w:sz w:val="8"/>
                <w:szCs w:val="8"/>
                <w:b w:val="1"/>
                <w:bCs w:val="1"/>
                <w:color w:val="auto"/>
                <w:w w:val="98"/>
              </w:rPr>
              <w:t>(b)</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1,260.6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1,251.2</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1,208.6</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(Gains) losses on property disposals, net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Diluted income (loss) per share</w:t>
            </w:r>
            <w:r>
              <w:rPr>
                <w:rFonts w:ascii="Arial" w:cs="Arial" w:eastAsia="Arial" w:hAnsi="Arial"/>
                <w:sz w:val="25"/>
                <w:szCs w:val="25"/>
                <w:color w:val="auto"/>
                <w:vertAlign w:val="superscript"/>
              </w:rPr>
              <w:t>(a)</w:t>
            </w: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0.57</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Market price of common stock per share:</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High</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11.35</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43"/>
        </w:trPr>
        <w:tc>
          <w:tcPr>
            <w:tcW w:w="5280" w:type="dxa"/>
            <w:vAlign w:val="bottom"/>
            <w:gridSpan w:val="2"/>
          </w:tcPr>
          <w:p>
            <w:pPr>
              <w:ind w:left="320"/>
              <w:spacing w:after="0"/>
              <w:rPr>
                <w:sz w:val="20"/>
                <w:szCs w:val="20"/>
                <w:color w:val="auto"/>
              </w:rPr>
            </w:pPr>
            <w:r>
              <w:rPr>
                <w:rFonts w:ascii="Arial" w:cs="Arial" w:eastAsia="Arial" w:hAnsi="Arial"/>
                <w:sz w:val="18"/>
                <w:szCs w:val="18"/>
                <w:color w:val="auto"/>
              </w:rPr>
              <w:t>Low</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10.36</w:t>
            </w: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7.36</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10.94</w:t>
            </w:r>
          </w:p>
        </w:tc>
        <w:tc>
          <w:tcPr>
            <w:tcW w:w="2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588"/>
        </w:trPr>
        <w:tc>
          <w:tcPr>
            <w:tcW w:w="22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and share data)</w:t>
            </w:r>
          </w:p>
        </w:tc>
        <w:tc>
          <w:tcPr>
            <w:tcW w:w="240" w:type="dxa"/>
            <w:vAlign w:val="bottom"/>
          </w:tcPr>
          <w:p>
            <w:pPr>
              <w:spacing w:after="0"/>
              <w:rPr>
                <w:sz w:val="13"/>
                <w:szCs w:val="13"/>
                <w:color w:val="auto"/>
              </w:rPr>
            </w:pPr>
          </w:p>
        </w:tc>
        <w:tc>
          <w:tcPr>
            <w:tcW w:w="98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8"/>
              </w:rPr>
              <w:t>First</w:t>
            </w:r>
          </w:p>
        </w:tc>
        <w:tc>
          <w:tcPr>
            <w:tcW w:w="140" w:type="dxa"/>
            <w:vAlign w:val="bottom"/>
          </w:tcPr>
          <w:p>
            <w:pPr>
              <w:spacing w:after="0"/>
              <w:rPr>
                <w:sz w:val="13"/>
                <w:szCs w:val="13"/>
                <w:color w:val="auto"/>
              </w:rPr>
            </w:pPr>
          </w:p>
        </w:tc>
        <w:tc>
          <w:tcPr>
            <w:tcW w:w="11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3"/>
              </w:rPr>
              <w:t>Second Quarter</w:t>
            </w:r>
          </w:p>
        </w:tc>
        <w:tc>
          <w:tcPr>
            <w:tcW w:w="260" w:type="dxa"/>
            <w:vAlign w:val="bottom"/>
          </w:tcPr>
          <w:p>
            <w:pPr>
              <w:spacing w:after="0"/>
              <w:rPr>
                <w:sz w:val="13"/>
                <w:szCs w:val="13"/>
                <w:color w:val="auto"/>
              </w:rPr>
            </w:pPr>
          </w:p>
        </w:tc>
        <w:tc>
          <w:tcPr>
            <w:tcW w:w="92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3"/>
                <w:szCs w:val="13"/>
                <w:color w:val="auto"/>
              </w:rPr>
            </w:pPr>
          </w:p>
        </w:tc>
        <w:tc>
          <w:tcPr>
            <w:tcW w:w="102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92"/>
        </w:trPr>
        <w:tc>
          <w:tcPr>
            <w:tcW w:w="52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1,207.6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1,148.3</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(Gains) losses on property disposals, net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27.1</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89"/>
                <w:shd w:val="clear" w:color="auto" w:fill="CCEEFF"/>
              </w:rPr>
              <w:t>Diluted income (loss) per share</w:t>
            </w: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(a)</w:t>
            </w: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0.83</w:t>
            </w:r>
          </w:p>
        </w:tc>
        <w:tc>
          <w:tcPr>
            <w:tcW w:w="26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77"/>
        </w:trPr>
        <w:tc>
          <w:tcPr>
            <w:tcW w:w="2280" w:type="dxa"/>
            <w:vAlign w:val="bottom"/>
            <w:tcBorders>
              <w:bottom w:val="single" w:sz="8" w:color="CCEEFF"/>
            </w:tcBorders>
            <w:vMerge w:val="continue"/>
            <w:shd w:val="clear" w:color="auto" w:fill="CCEEFF"/>
          </w:tcPr>
          <w:p>
            <w:pPr>
              <w:spacing w:after="0"/>
              <w:rPr>
                <w:sz w:val="6"/>
                <w:szCs w:val="6"/>
                <w:color w:val="auto"/>
              </w:rPr>
            </w:pPr>
          </w:p>
        </w:tc>
        <w:tc>
          <w:tcPr>
            <w:tcW w:w="3000" w:type="dxa"/>
            <w:vAlign w:val="bottom"/>
            <w:tcBorders>
              <w:bottom w:val="single" w:sz="8" w:color="CCEEFF"/>
            </w:tcBorders>
            <w:shd w:val="clear" w:color="auto" w:fill="CCEEFF"/>
          </w:tcPr>
          <w:p>
            <w:pPr>
              <w:spacing w:after="0"/>
              <w:rPr>
                <w:sz w:val="6"/>
                <w:szCs w:val="6"/>
                <w:color w:val="auto"/>
              </w:rPr>
            </w:pPr>
          </w:p>
        </w:tc>
        <w:tc>
          <w:tcPr>
            <w:tcW w:w="240" w:type="dxa"/>
            <w:vAlign w:val="bottom"/>
            <w:tcBorders>
              <w:bottom w:val="single" w:sz="8" w:color="CCEEFF"/>
            </w:tcBorders>
            <w:shd w:val="clear" w:color="auto" w:fill="CCEEFF"/>
          </w:tcPr>
          <w:p>
            <w:pPr>
              <w:spacing w:after="0"/>
              <w:rPr>
                <w:sz w:val="6"/>
                <w:szCs w:val="6"/>
                <w:color w:val="auto"/>
              </w:rPr>
            </w:pPr>
          </w:p>
        </w:tc>
        <w:tc>
          <w:tcPr>
            <w:tcW w:w="980" w:type="dxa"/>
            <w:vAlign w:val="bottom"/>
            <w:tcBorders>
              <w:bottom w:val="single" w:sz="8" w:color="CCEEFF"/>
            </w:tcBorders>
            <w:vMerge w:val="continue"/>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1100" w:type="dxa"/>
            <w:vAlign w:val="bottom"/>
            <w:tcBorders>
              <w:bottom w:val="single" w:sz="8" w:color="CCEEFF"/>
            </w:tcBorders>
            <w:vMerge w:val="continue"/>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260" w:type="dxa"/>
            <w:vAlign w:val="bottom"/>
            <w:tcBorders>
              <w:bottom w:val="single" w:sz="8" w:color="CCEEFF"/>
            </w:tcBorders>
            <w:shd w:val="clear" w:color="auto" w:fill="CCEEFF"/>
          </w:tcPr>
          <w:p>
            <w:pPr>
              <w:spacing w:after="0"/>
              <w:rPr>
                <w:sz w:val="6"/>
                <w:szCs w:val="6"/>
                <w:color w:val="auto"/>
              </w:rPr>
            </w:pPr>
          </w:p>
        </w:tc>
        <w:tc>
          <w:tcPr>
            <w:tcW w:w="102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Market price of common stock per share:</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High</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10.52</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43"/>
        </w:trPr>
        <w:tc>
          <w:tcPr>
            <w:tcW w:w="5280" w:type="dxa"/>
            <w:vAlign w:val="bottom"/>
            <w:gridSpan w:val="2"/>
          </w:tcPr>
          <w:p>
            <w:pPr>
              <w:ind w:left="320"/>
              <w:spacing w:after="0"/>
              <w:rPr>
                <w:sz w:val="20"/>
                <w:szCs w:val="20"/>
                <w:color w:val="auto"/>
              </w:rPr>
            </w:pPr>
            <w:r>
              <w:rPr>
                <w:rFonts w:ascii="Arial" w:cs="Arial" w:eastAsia="Arial" w:hAnsi="Arial"/>
                <w:sz w:val="18"/>
                <w:szCs w:val="18"/>
                <w:color w:val="auto"/>
              </w:rPr>
              <w:t>Low</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7.91</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8.56</w:t>
            </w:r>
          </w:p>
        </w:tc>
        <w:tc>
          <w:tcPr>
            <w:tcW w:w="26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 Diluted income (loss) per share amounts were computed independently for each of the quarters presented. The sum of the quarters may</w:t>
      </w:r>
    </w:p>
    <w:p>
      <w:pPr>
        <w:spacing w:after="0" w:line="13"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differ from the total annual amount primarily due to change in the number of outstanding shares in the year and the impact of the</w:t>
      </w:r>
    </w:p>
    <w:p>
      <w:pPr>
        <w:spacing w:after="0" w:line="1"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if-converted method used to calculate earnings per share.</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(b) During the fourth quarter of 2017, operating income and net loss included a non-union pension settlement charge of $7.6 million.</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 by the Issuer</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did not repurchase any shares of our Common Stock in 2017, 2016 or 2015. The Term Loan Agreement does not permit us to purchase shares of our Common Stock outside of limited exceptions.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did not declare any cash dividends on our Common Stock in 2017, 2016 or 2015. Our Term Loan Agreement limits our ability to declare dividends on any of our outstanding common stock.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2" w:right="239" w:bottom="144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Common Stock Performance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a line graph comparing the quarterly percentage change in the cumulative total stockholder return of the Company’s common stock against the cumulative total return of the S&amp;P Composite-500 Stock Index and the Dow Jones Transportation Average Stock Index for the period of five years commencing December 31, 2012 and ending December 31, 2017.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graph that was presented in 2016 Form 10-K reflected inaccurate information for the period March 31, 2015 through December 31, 2016. The data presented for that time period, for both the Company and the selected indices, represented the stockholder return activity for the period beginning December 31, 2011 through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261620</wp:posOffset>
            </wp:positionV>
            <wp:extent cx="5831840" cy="3430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3184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2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Item 6. Selected Financial Data</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selected financial data below should be read in conjunction with “Management’s Discussion and Analysis of Financial Condition and Results of Operations” and “Financial Statements and Supplementary Data” included in this Form10-K.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8"/>
              </w:rPr>
              <w:t>(dollars in millions, except per share data. shares in thousands)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2013</w:t>
            </w:r>
          </w:p>
        </w:tc>
      </w:tr>
      <w:tr>
        <w:trPr>
          <w:trHeight w:val="202"/>
        </w:trPr>
        <w:tc>
          <w:tcPr>
            <w:tcW w:w="4320" w:type="dxa"/>
            <w:vAlign w:val="bottom"/>
            <w:gridSpan w:val="6"/>
          </w:tcPr>
          <w:p>
            <w:pPr>
              <w:ind w:left="40"/>
              <w:spacing w:after="0" w:line="202" w:lineRule="exact"/>
              <w:rPr>
                <w:sz w:val="20"/>
                <w:szCs w:val="20"/>
                <w:color w:val="auto"/>
              </w:rPr>
            </w:pPr>
            <w:r>
              <w:rPr>
                <w:rFonts w:ascii="Arial" w:cs="Arial" w:eastAsia="Arial" w:hAnsi="Arial"/>
                <w:sz w:val="18"/>
                <w:szCs w:val="18"/>
                <w:b w:val="1"/>
                <w:bCs w:val="1"/>
                <w:color w:val="auto"/>
              </w:rPr>
              <w:t>For the Year</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4,891.0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4,697.5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4,832.4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5,068.8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4,865.4</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28.4</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(83.6)</w:t>
            </w:r>
          </w:p>
        </w:tc>
      </w:tr>
      <w:tr>
        <w:trPr>
          <w:trHeight w:val="229"/>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Amortization of beneficial conversion feature on</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preferred stock</w:t>
            </w:r>
          </w:p>
        </w:tc>
        <w:tc>
          <w:tcPr>
            <w:tcW w:w="3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w w:val="97"/>
              </w:rPr>
              <w:t>Net income (loss) attributable to common shareholders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(83.6)</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Acquisition of property and equipment</w:t>
            </w: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(66.9)</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Proceeds from disposal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12.1</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(21.0)</w:t>
            </w:r>
          </w:p>
        </w:tc>
      </w:tr>
      <w:tr>
        <w:trPr>
          <w:trHeight w:val="27"/>
        </w:trPr>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04"/>
        </w:trPr>
        <w:tc>
          <w:tcPr>
            <w:tcW w:w="4320" w:type="dxa"/>
            <w:vAlign w:val="bottom"/>
            <w:gridSpan w:val="6"/>
          </w:tcPr>
          <w:p>
            <w:pPr>
              <w:ind w:left="40"/>
              <w:spacing w:after="0"/>
              <w:rPr>
                <w:sz w:val="20"/>
                <w:szCs w:val="20"/>
                <w:color w:val="auto"/>
              </w:rPr>
            </w:pPr>
            <w:r>
              <w:rPr>
                <w:rFonts w:ascii="Arial" w:cs="Arial" w:eastAsia="Arial" w:hAnsi="Arial"/>
                <w:sz w:val="18"/>
                <w:szCs w:val="18"/>
                <w:b w:val="1"/>
                <w:bCs w:val="1"/>
                <w:color w:val="auto"/>
              </w:rPr>
              <w:t>At Year-End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70"/>
        </w:trPr>
        <w:tc>
          <w:tcPr>
            <w:tcW w:w="4320" w:type="dxa"/>
            <w:vAlign w:val="bottom"/>
            <w:gridSpan w:val="6"/>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5"/>
                <w:szCs w:val="25"/>
                <w:color w:val="auto"/>
                <w:vertAlign w:val="superscript"/>
              </w:rPr>
              <w:t>(a)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1,585.5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1,770.0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1,879.4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1,965.1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2,046.4</w:t>
            </w:r>
          </w:p>
        </w:tc>
      </w:tr>
      <w:tr>
        <w:trPr>
          <w:trHeight w:val="270"/>
        </w:trPr>
        <w:tc>
          <w:tcPr>
            <w:tcW w:w="4320" w:type="dxa"/>
            <w:vAlign w:val="bottom"/>
            <w:gridSpan w:val="6"/>
          </w:tcPr>
          <w:p>
            <w:pPr>
              <w:ind w:left="40"/>
              <w:spacing w:after="0" w:line="270" w:lineRule="exact"/>
              <w:rPr>
                <w:sz w:val="20"/>
                <w:szCs w:val="20"/>
                <w:color w:val="auto"/>
              </w:rPr>
            </w:pPr>
            <w:r>
              <w:rPr>
                <w:rFonts w:ascii="Arial" w:cs="Arial" w:eastAsia="Arial" w:hAnsi="Arial"/>
                <w:sz w:val="18"/>
                <w:szCs w:val="18"/>
                <w:color w:val="auto"/>
              </w:rPr>
              <w:t xml:space="preserve">Total debt </w:t>
            </w:r>
            <w:r>
              <w:rPr>
                <w:rFonts w:ascii="Arial" w:cs="Arial" w:eastAsia="Arial" w:hAnsi="Arial"/>
                <w:sz w:val="25"/>
                <w:szCs w:val="25"/>
                <w:color w:val="auto"/>
                <w:vertAlign w:val="superscript"/>
              </w:rPr>
              <w:t>(a)</w:t>
            </w:r>
          </w:p>
        </w:tc>
        <w:tc>
          <w:tcPr>
            <w:tcW w:w="320" w:type="dxa"/>
            <w:vAlign w:val="bottom"/>
          </w:tcPr>
          <w:p>
            <w:pPr>
              <w:spacing w:after="0"/>
              <w:rPr>
                <w:sz w:val="23"/>
                <w:szCs w:val="23"/>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906.1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997.1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1,062.4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1,090.0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1,344.9</w:t>
            </w:r>
          </w:p>
        </w:tc>
      </w:tr>
      <w:tr>
        <w:trPr>
          <w:trHeight w:val="275"/>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Total shareholders’ deficit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(597.4)</w:t>
            </w:r>
          </w:p>
        </w:tc>
      </w:tr>
      <w:tr>
        <w:trPr>
          <w:trHeight w:val="304"/>
        </w:trPr>
        <w:tc>
          <w:tcPr>
            <w:tcW w:w="4320" w:type="dxa"/>
            <w:vAlign w:val="bottom"/>
            <w:tcBorders>
              <w:top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Per Share Measurements</w:t>
            </w: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43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rPr>
              <w:t>Basic per share data: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80" w:type="dxa"/>
            <w:vAlign w:val="bottom"/>
            <w:gridSpan w:val="5"/>
          </w:tcPr>
          <w:p>
            <w:pPr>
              <w:ind w:left="240"/>
              <w:spacing w:after="0"/>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(8.96)</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Average common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32,685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32,416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31,736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28,592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9,332</w:t>
            </w:r>
          </w:p>
        </w:tc>
      </w:tr>
      <w:tr>
        <w:trPr>
          <w:trHeight w:val="243"/>
        </w:trPr>
        <w:tc>
          <w:tcPr>
            <w:tcW w:w="4320" w:type="dxa"/>
            <w:vAlign w:val="bottom"/>
            <w:gridSpan w:val="6"/>
          </w:tcPr>
          <w:p>
            <w:pPr>
              <w:ind w:left="40"/>
              <w:spacing w:after="0"/>
              <w:rPr>
                <w:sz w:val="20"/>
                <w:szCs w:val="20"/>
                <w:color w:val="auto"/>
              </w:rPr>
            </w:pPr>
            <w:r>
              <w:rPr>
                <w:rFonts w:ascii="Arial" w:cs="Arial" w:eastAsia="Arial" w:hAnsi="Arial"/>
                <w:sz w:val="18"/>
                <w:szCs w:val="18"/>
                <w:color w:val="auto"/>
              </w:rPr>
              <w:t>Diluted per share data:</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(8.96)</w:t>
            </w:r>
          </w:p>
        </w:tc>
      </w:tr>
      <w:tr>
        <w:trPr>
          <w:trHeight w:val="243"/>
        </w:trPr>
        <w:tc>
          <w:tcPr>
            <w:tcW w:w="40" w:type="dxa"/>
            <w:vAlign w:val="bottom"/>
          </w:tcPr>
          <w:p>
            <w:pPr>
              <w:spacing w:after="0"/>
              <w:rPr>
                <w:sz w:val="21"/>
                <w:szCs w:val="21"/>
                <w:color w:val="auto"/>
              </w:rPr>
            </w:pPr>
          </w:p>
        </w:tc>
        <w:tc>
          <w:tcPr>
            <w:tcW w:w="4280" w:type="dxa"/>
            <w:vAlign w:val="bottom"/>
            <w:gridSpan w:val="5"/>
          </w:tcPr>
          <w:p>
            <w:pPr>
              <w:ind w:left="220"/>
              <w:spacing w:after="0"/>
              <w:rPr>
                <w:sz w:val="20"/>
                <w:szCs w:val="20"/>
                <w:color w:val="auto"/>
              </w:rPr>
            </w:pPr>
            <w:r>
              <w:rPr>
                <w:rFonts w:ascii="Arial" w:cs="Arial" w:eastAsia="Arial" w:hAnsi="Arial"/>
                <w:sz w:val="18"/>
                <w:szCs w:val="18"/>
                <w:color w:val="auto"/>
              </w:rPr>
              <w:t>Average common shares outstanding</w:t>
            </w: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32,685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33,040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32,592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1"/>
              <w:spacing w:after="0"/>
              <w:rPr>
                <w:sz w:val="20"/>
                <w:szCs w:val="20"/>
                <w:color w:val="auto"/>
              </w:rPr>
            </w:pPr>
            <w:r>
              <w:rPr>
                <w:rFonts w:ascii="Arial" w:cs="Arial" w:eastAsia="Arial" w:hAnsi="Arial"/>
                <w:sz w:val="18"/>
                <w:szCs w:val="18"/>
                <w:color w:val="auto"/>
              </w:rPr>
              <w:t>28,592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9,332</w:t>
            </w:r>
          </w:p>
        </w:tc>
      </w:tr>
      <w:tr>
        <w:trPr>
          <w:trHeight w:val="27"/>
        </w:trPr>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04"/>
        </w:trPr>
        <w:tc>
          <w:tcPr>
            <w:tcW w:w="4320" w:type="dxa"/>
            <w:vAlign w:val="bottom"/>
            <w:gridSpan w:val="6"/>
          </w:tcPr>
          <w:p>
            <w:pPr>
              <w:ind w:left="40"/>
              <w:spacing w:after="0"/>
              <w:rPr>
                <w:sz w:val="20"/>
                <w:szCs w:val="20"/>
                <w:color w:val="auto"/>
              </w:rPr>
            </w:pPr>
            <w:r>
              <w:rPr>
                <w:rFonts w:ascii="Arial" w:cs="Arial" w:eastAsia="Arial" w:hAnsi="Arial"/>
                <w:sz w:val="18"/>
                <w:szCs w:val="18"/>
                <w:b w:val="1"/>
                <w:bCs w:val="1"/>
                <w:color w:val="auto"/>
              </w:rPr>
              <w:t>Other Data</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70"/>
        </w:trPr>
        <w:tc>
          <w:tcPr>
            <w:tcW w:w="4320" w:type="dxa"/>
            <w:vAlign w:val="bottom"/>
            <w:gridSpan w:val="6"/>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Number of employees </w:t>
            </w:r>
            <w:r>
              <w:rPr>
                <w:rFonts w:ascii="Arial" w:cs="Arial" w:eastAsia="Arial" w:hAnsi="Arial"/>
                <w:sz w:val="25"/>
                <w:szCs w:val="25"/>
                <w:color w:val="auto"/>
                <w:vertAlign w:val="superscript"/>
              </w:rPr>
              <w:t>(b)</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33,000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32,000</w:t>
            </w:r>
          </w:p>
        </w:tc>
      </w:tr>
      <w:tr>
        <w:trPr>
          <w:trHeight w:val="270"/>
        </w:trPr>
        <w:tc>
          <w:tcPr>
            <w:tcW w:w="4320" w:type="dxa"/>
            <w:vAlign w:val="bottom"/>
            <w:gridSpan w:val="6"/>
          </w:tcPr>
          <w:p>
            <w:pPr>
              <w:ind w:left="40"/>
              <w:spacing w:after="0" w:line="270" w:lineRule="exact"/>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(c)</w:t>
            </w: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gridSpan w:val="5"/>
            <w:shd w:val="clear" w:color="auto" w:fill="CCEEFF"/>
          </w:tcPr>
          <w:p>
            <w:pPr>
              <w:ind w:left="220"/>
              <w:spacing w:after="0"/>
              <w:rPr>
                <w:sz w:val="20"/>
                <w:szCs w:val="20"/>
                <w:color w:val="auto"/>
              </w:rPr>
            </w:pPr>
            <w:r>
              <w:rPr>
                <w:rFonts w:ascii="Arial" w:cs="Arial" w:eastAsia="Arial" w:hAnsi="Arial"/>
                <w:sz w:val="18"/>
                <w:szCs w:val="18"/>
                <w:color w:val="auto"/>
              </w:rPr>
              <w:t>YRC Freight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43"/>
        </w:trPr>
        <w:tc>
          <w:tcPr>
            <w:tcW w:w="40" w:type="dxa"/>
            <w:vAlign w:val="bottom"/>
          </w:tcPr>
          <w:p>
            <w:pPr>
              <w:spacing w:after="0"/>
              <w:rPr>
                <w:sz w:val="21"/>
                <w:szCs w:val="21"/>
                <w:color w:val="auto"/>
              </w:rPr>
            </w:pPr>
          </w:p>
        </w:tc>
        <w:tc>
          <w:tcPr>
            <w:tcW w:w="4280" w:type="dxa"/>
            <w:vAlign w:val="bottom"/>
            <w:gridSpan w:val="5"/>
          </w:tcPr>
          <w:p>
            <w:pPr>
              <w:ind w:left="220"/>
              <w:spacing w:after="0"/>
              <w:rPr>
                <w:sz w:val="20"/>
                <w:szCs w:val="20"/>
                <w:color w:val="auto"/>
              </w:rPr>
            </w:pPr>
            <w:r>
              <w:rPr>
                <w:rFonts w:ascii="Arial" w:cs="Arial" w:eastAsia="Arial" w:hAnsi="Arial"/>
                <w:sz w:val="18"/>
                <w:szCs w:val="18"/>
                <w:color w:val="auto"/>
              </w:rPr>
              <w:t>Regional Transportation</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95.4%</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4280" w:type="dxa"/>
            <w:vAlign w:val="bottom"/>
            <w:gridSpan w:val="5"/>
            <w:shd w:val="clear" w:color="auto" w:fill="CCEEFF"/>
          </w:tcPr>
          <w:p>
            <w:pPr>
              <w:ind w:left="240"/>
              <w:spacing w:after="0"/>
              <w:rPr>
                <w:sz w:val="20"/>
                <w:szCs w:val="20"/>
                <w:color w:val="auto"/>
              </w:rPr>
            </w:pPr>
            <w:r>
              <w:rPr>
                <w:rFonts w:ascii="Arial" w:cs="Arial" w:eastAsia="Arial" w:hAnsi="Arial"/>
                <w:sz w:val="18"/>
                <w:szCs w:val="18"/>
                <w:color w:val="auto"/>
              </w:rPr>
              <w:t>Consolidated</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r>
      <w:tr>
        <w:trPr>
          <w:trHeight w:val="27"/>
        </w:trPr>
        <w:tc>
          <w:tcPr>
            <w:tcW w:w="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340" w:hanging="332"/>
        <w:spacing w:after="0" w:line="250"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Due to the adoption of Accounting Standards Update (“ASU”) 2015-03, </w:t>
      </w:r>
      <w:r>
        <w:rPr>
          <w:rFonts w:ascii="Arial" w:cs="Arial" w:eastAsia="Arial" w:hAnsi="Arial"/>
          <w:sz w:val="14"/>
          <w:szCs w:val="14"/>
          <w:i w:val="1"/>
          <w:iCs w:val="1"/>
          <w:color w:val="auto"/>
        </w:rPr>
        <w:t>Interest - Imputation of Interest</w:t>
      </w:r>
      <w:r>
        <w:rPr>
          <w:rFonts w:ascii="Arial" w:cs="Arial" w:eastAsia="Arial" w:hAnsi="Arial"/>
          <w:sz w:val="14"/>
          <w:szCs w:val="14"/>
          <w:color w:val="auto"/>
        </w:rPr>
        <w:t>, “Total assets” and “Total debt” were updated to reflect the reclassification of unamortized debt issuance costs.</w:t>
      </w: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Rounded to the nearest thousand.</w:t>
      </w:r>
    </w:p>
    <w:p>
      <w:pPr>
        <w:spacing w:after="0" w:line="1" w:lineRule="exact"/>
        <w:rPr>
          <w:rFonts w:ascii="Arial" w:cs="Arial" w:eastAsia="Arial" w:hAnsi="Arial"/>
          <w:sz w:val="14"/>
          <w:szCs w:val="14"/>
          <w:color w:val="auto"/>
        </w:rPr>
      </w:pPr>
    </w:p>
    <w:p>
      <w:pPr>
        <w:ind w:left="340" w:right="20" w:hanging="332"/>
        <w:spacing w:after="0" w:line="255"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Operating ratio is calculated as (i) 100 percent (ii) minus the result of dividing operating income by operating revenue or (iii) plus the result of dividing operating loss by operating revenue and expressed as a percentage.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3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Item 7, “Management’s Discussion and Analysis of Financial Condition and Results of Operations,” “MD&amp;A”, contains forward-looking statements within the meaning of Section 27A of the Securities Act and Section 21E of the Exchange Act. See the introductory section immediately prior to “Part I” and Risk Factors in “Item 1A” of this report regarding these statements.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This MD&amp;A includes the following sections:</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Our Business: </w:t>
      </w:r>
      <w:r>
        <w:rPr>
          <w:rFonts w:ascii="Arial" w:cs="Arial" w:eastAsia="Arial" w:hAnsi="Arial"/>
          <w:sz w:val="18"/>
          <w:szCs w:val="18"/>
          <w:color w:val="auto"/>
        </w:rPr>
        <w:t>a brief description of our business and a discussion of how we assess our operating results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Consolidated Results of Operations: </w:t>
      </w:r>
      <w:r>
        <w:rPr>
          <w:rFonts w:ascii="Arial" w:cs="Arial" w:eastAsia="Arial" w:hAnsi="Arial"/>
          <w:sz w:val="16"/>
          <w:szCs w:val="16"/>
          <w:color w:val="auto"/>
        </w:rPr>
        <w:t>an analysis of our consolidated results of operations for the years ended December 31, 2017, 2016 and 2015</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Reporting Segment Results of Operations: </w:t>
      </w:r>
      <w:r>
        <w:rPr>
          <w:rFonts w:ascii="Arial" w:cs="Arial" w:eastAsia="Arial" w:hAnsi="Arial"/>
          <w:sz w:val="16"/>
          <w:szCs w:val="16"/>
          <w:color w:val="auto"/>
        </w:rPr>
        <w:t>an analysis of our results of operations for the years ended December 31, 2017, 2016 and 2015 for our</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two reporting segments: YRC Freight and Regional Transportation</w:t>
      </w:r>
    </w:p>
    <w:p>
      <w:pPr>
        <w:spacing w:after="0" w:line="166"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an analysis of our results using certain non-GAAP financial measures, for the years ended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2017, 2016 and 2015</w:t>
      </w:r>
    </w:p>
    <w:p>
      <w:pPr>
        <w:spacing w:after="0" w:line="121"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color w:val="auto"/>
        </w:rPr>
        <w:t>a discussion of our major sources and uses of cash as well as an analysis of our cash flows and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 obligations and commercial commitments</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Worldwide is a holding company that, through its operating subsidiaries, offers its customers a wide range of transportation services. YRC Worldwide has one of the largest, most comprehensive LTL networks in North America with local, regional, national and international capabilities. Through its team of experienced service professionals, YRC Worldwide offers industry-leading expertise in heavyweight shipments and flexible supply chain solutions, ensuring customers can ship industrial, commercial and retail goods with confidence.</w:t>
      </w:r>
    </w:p>
    <w:p>
      <w:pPr>
        <w:spacing w:after="0" w:line="14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measure the performance of our business both on a consolidated and reporting segment basis and using several metrics, but rely primarily upon (without limitation) operating revenue, operating income (loss), and operating ratio. We also use certain non-GAAP financial measures as secondary measures to assess our operating performance.</w:t>
      </w:r>
    </w:p>
    <w:p>
      <w:pPr>
        <w:spacing w:after="0" w:line="137" w:lineRule="exact"/>
        <w:rPr>
          <w:sz w:val="20"/>
          <w:szCs w:val="20"/>
          <w:color w:val="auto"/>
        </w:rPr>
      </w:pPr>
    </w:p>
    <w:p>
      <w:pPr>
        <w:jc w:val="both"/>
        <w:ind w:left="660" w:hanging="328"/>
        <w:spacing w:after="0" w:line="289"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Operating Revenue: </w:t>
      </w:r>
      <w:r>
        <w:rPr>
          <w:rFonts w:ascii="Arial" w:cs="Arial" w:eastAsia="Arial" w:hAnsi="Arial"/>
          <w:sz w:val="16"/>
          <w:szCs w:val="16"/>
          <w:color w:val="auto"/>
        </w:rPr>
        <w:t>Operating revenue has two primary components: volume (commonly evaluated using tonnage, tonnage per day,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shipments, shipments per day or weight per shipment) and yield or price (commonly evaluated using picked up revenue, revenue per hundredweight or revenue per shipment). Yield includes fuel surcharge revenue which is common in the trucking industry and represents an amount charged to customers that adjusts with changing fuel prices. We base our fuel surcharges on the U.S. Department of Energy fuel index and adjust them weekly. Rapid material changes in the index or our cost of fuel can positively or negatively impact our revenue and operating income as a result of changes in our fuel surcharge. We believe that fuel surcharge is an accepted and important component of the overall pricing of our services to our customers. Without an industry accepted fuel surcharge program, our base pricing for our transportation services would require changes. We believe the distinction between base rates and fuel surcharge has blurred over time, and it is impractical to clearly separate all the different factors that influence the price that our customers are willing to pay. In general, under our present fuel surcharge program, we believe rising fuel costs are beneficial to us and falling fuel costs are detrimental to us in the short term, the effects of which are mitigated over time.</w:t>
      </w:r>
    </w:p>
    <w:p>
      <w:pPr>
        <w:spacing w:after="0" w:line="161" w:lineRule="exact"/>
        <w:rPr>
          <w:rFonts w:ascii="Arial" w:cs="Arial" w:eastAsia="Arial" w:hAnsi="Arial"/>
          <w:sz w:val="16"/>
          <w:szCs w:val="16"/>
          <w:color w:val="auto"/>
        </w:rPr>
      </w:pPr>
    </w:p>
    <w:p>
      <w:pPr>
        <w:ind w:left="660" w:hanging="328"/>
        <w:spacing w:after="0" w:line="28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Operating Income (Loss)</w:t>
      </w:r>
      <w:r>
        <w:rPr>
          <w:rFonts w:ascii="Arial" w:cs="Arial" w:eastAsia="Arial" w:hAnsi="Arial"/>
          <w:sz w:val="18"/>
          <w:szCs w:val="18"/>
          <w:color w:val="auto"/>
        </w:rPr>
        <w:t>: Operating income (loss) is operating revenue less operating expenses. Consolidated operating income (loss)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corporate charges that are not allocated to our reporting segments.</w:t>
      </w:r>
    </w:p>
    <w:p>
      <w:pPr>
        <w:spacing w:after="0" w:line="161"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Operating Ratio: </w:t>
      </w:r>
      <w:r>
        <w:rPr>
          <w:rFonts w:ascii="Arial" w:cs="Arial" w:eastAsia="Arial" w:hAnsi="Arial"/>
          <w:sz w:val="18"/>
          <w:szCs w:val="18"/>
          <w:color w:val="auto"/>
        </w:rPr>
        <w:t>Operating ratio is a common operating performance measure used in the trucking industry. It is calculated as (i) 100 percent (ii)</w:t>
      </w:r>
      <w:r>
        <w:rPr>
          <w:rFonts w:ascii="Arial" w:cs="Arial" w:eastAsia="Arial" w:hAnsi="Arial"/>
          <w:sz w:val="18"/>
          <w:szCs w:val="18"/>
          <w:b w:val="1"/>
          <w:bCs w:val="1"/>
          <w:color w:val="auto"/>
        </w:rPr>
        <w:t xml:space="preserve"> </w:t>
      </w:r>
      <w:r>
        <w:rPr>
          <w:rFonts w:ascii="Arial" w:cs="Arial" w:eastAsia="Arial" w:hAnsi="Arial"/>
          <w:sz w:val="18"/>
          <w:szCs w:val="18"/>
          <w:color w:val="auto"/>
        </w:rPr>
        <w:t>minus the result of dividing operating income by operating revenue or (iii) plus the result of dividing operating loss by operating revenue, and is expressed as a percentage.</w:t>
      </w:r>
    </w:p>
    <w:p>
      <w:pPr>
        <w:spacing w:after="0" w:line="176"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Certain Non-GAAP Financial Measures: </w:t>
      </w:r>
      <w:r>
        <w:rPr>
          <w:rFonts w:ascii="Arial" w:cs="Arial" w:eastAsia="Arial" w:hAnsi="Arial"/>
          <w:sz w:val="18"/>
          <w:szCs w:val="18"/>
          <w:color w:val="auto"/>
        </w:rPr>
        <w:t>We use EBITDA and Adjusted EBITDA, which are non-GAAP financial measures, to assess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30" w:right="239" w:bottom="1440" w:gutter="0" w:footer="0" w:header="0"/>
        </w:sectPr>
      </w:pPr>
    </w:p>
    <w:bookmarkStart w:id="24" w:name="page25"/>
    <w:bookmarkEnd w:id="24"/>
    <w:p>
      <w:pPr>
        <w:ind w:left="1300" w:hanging="320"/>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EBITDA</w:t>
      </w:r>
      <w:r>
        <w:rPr>
          <w:rFonts w:ascii="Arial" w:cs="Arial" w:eastAsia="Arial" w:hAnsi="Arial"/>
          <w:sz w:val="18"/>
          <w:szCs w:val="18"/>
          <w:color w:val="auto"/>
        </w:rPr>
        <w:t>: a non-GAAP measure that reflects our earnings before interest, taxes, depreciation, and amortization expense. EBITDA is used</w:t>
      </w:r>
      <w:r>
        <w:rPr>
          <w:rFonts w:ascii="Arial" w:cs="Arial" w:eastAsia="Arial" w:hAnsi="Arial"/>
          <w:sz w:val="18"/>
          <w:szCs w:val="18"/>
          <w:i w:val="1"/>
          <w:iCs w:val="1"/>
          <w:color w:val="auto"/>
        </w:rPr>
        <w:t xml:space="preserve"> </w:t>
      </w:r>
      <w:r>
        <w:rPr>
          <w:rFonts w:ascii="Arial" w:cs="Arial" w:eastAsia="Arial" w:hAnsi="Arial"/>
          <w:sz w:val="18"/>
          <w:szCs w:val="18"/>
          <w:color w:val="auto"/>
        </w:rPr>
        <w:t>for internal management purposes as a financial measure that reflects our core operating performance.</w:t>
      </w:r>
    </w:p>
    <w:p>
      <w:pPr>
        <w:spacing w:after="0" w:line="170" w:lineRule="exact"/>
        <w:rPr>
          <w:rFonts w:ascii="Arial" w:cs="Arial" w:eastAsia="Arial" w:hAnsi="Arial"/>
          <w:sz w:val="18"/>
          <w:szCs w:val="18"/>
          <w:color w:val="auto"/>
        </w:rPr>
      </w:pPr>
    </w:p>
    <w:p>
      <w:pPr>
        <w:jc w:val="both"/>
        <w:ind w:left="1300" w:hanging="320"/>
        <w:spacing w:after="0" w:line="273"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Adjusted EBITDA</w:t>
      </w:r>
      <w:r>
        <w:rPr>
          <w:rFonts w:ascii="Arial" w:cs="Arial" w:eastAsia="Arial" w:hAnsi="Arial"/>
          <w:sz w:val="17"/>
          <w:szCs w:val="17"/>
          <w:color w:val="auto"/>
        </w:rPr>
        <w:t>: a non-GAAP measure that reflects EBITDA, and further adjusts for letter of credit fees, equity-based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net gains or losses on property disposals, restructuring professional fees and other transaction costs related to issuances of debt, non-recurring consulting fees, expenses associated with certain lump sum payments to our union employees, and gains or losses from permitted dispositions and discontinued operations, among other items, as defined in our credit facilities. Adjusted EBITDA is used for internal management purposes as a financial measure that reflects core operating performance, to measure compliance with certain financial covenants in our credit facilities and to determine certain executive bonus compensation.</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our presentation of EBITDA and Adjusted EBITDA is useful to investors and other users as these measures represent key supplemental information our management uses to compare and evaluate our core underlying business results both on a consolidated basis and across our business segments, particularly in light of our leverage position and the capital-intensive nature of our business. Further, EBITDA is a measure that is commonly used by other companies in our industry and provides a comparison for investors to evaluate the performance of the companies in the industry. Additionally, Adjusted EBITDA helps investors to understand how the company is tracking against our financial covenants in our term loan credit agreement as this measure is calculated as prescribed in our term loan credit agreement and serves as a driving component of key financial covenants.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non-GAAP financial measures have the following limitations:</w:t>
      </w:r>
    </w:p>
    <w:p>
      <w:pPr>
        <w:spacing w:after="0" w:line="225" w:lineRule="exact"/>
        <w:rPr>
          <w:sz w:val="20"/>
          <w:szCs w:val="20"/>
          <w:color w:val="auto"/>
        </w:rPr>
      </w:pPr>
    </w:p>
    <w:p>
      <w:pPr>
        <w:ind w:left="1300" w:hanging="320"/>
        <w:spacing w:after="0" w:line="258"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EBITDA does not reflect the interest expense or the cash requirements necessary to service interest or fund principal payments on our outstanding debt;</w:t>
      </w:r>
    </w:p>
    <w:p>
      <w:pPr>
        <w:spacing w:after="0" w:line="1"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fund restructuring professional fees and other transaction costs related to debt, nonrecurring consulting fees, letter of credit fees, service interest or principal payments on our outstanding debt or fund our lump sum payments to our union employees required under the MOU;</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any cash requirements for such replacements;</w:t>
      </w:r>
    </w:p>
    <w:p>
      <w:pPr>
        <w:ind w:left="1300" w:hanging="320"/>
        <w:spacing w:after="0" w:line="265"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Equity-based compensation is an element of our long-term incentive compensation package, although adjusted EBITDA excludes employee equity-based compensation expense when presenting our ongoing operating performance for a particular period; and</w:t>
      </w:r>
    </w:p>
    <w:p>
      <w:pPr>
        <w:ind w:left="1300" w:hanging="320"/>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234"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Because of these limitations, our non-GAAP measures should not be considered a substitute for performance measures calculated in accordance with GAAP. We compensate for these limitations by relying primarily on our GAAP results and use our non-GAAP measures as secondary measures.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 of Operations</w:t>
      </w:r>
    </w:p>
    <w:p>
      <w:pPr>
        <w:spacing w:after="0" w:line="8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consolidated results for 2017, 2016 and 2015 include the consolidated results of our reporting segments and unallocated corporate charges. A more detailed discussion of the operating results of our reporting segments is presented in the “Reporting Segment Results of Operations” section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summary consolidated financial information for the three years ended December 31: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tcBorders>
              <w:bottom w:val="single" w:sz="8" w:color="auto"/>
            </w:tcBorders>
            <w:gridSpan w:val="2"/>
          </w:tcPr>
          <w:p>
            <w:pPr>
              <w:jc w:val="right"/>
              <w:ind w:right="1294"/>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2017 vs. 2016</w:t>
            </w:r>
          </w:p>
        </w:tc>
        <w:tc>
          <w:tcPr>
            <w:tcW w:w="16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 vs. 2015</w:t>
            </w: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4,891.0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4,697.5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4,832.4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4.1 %</w:t>
            </w:r>
          </w:p>
        </w:tc>
        <w:tc>
          <w:tcPr>
            <w:tcW w:w="164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(2.8)%</w:t>
            </w: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1760" w:type="dxa"/>
            <w:vAlign w:val="bottom"/>
          </w:tcPr>
          <w:p>
            <w:pPr>
              <w:jc w:val="right"/>
              <w:ind w:right="373"/>
              <w:spacing w:after="0"/>
              <w:rPr>
                <w:sz w:val="20"/>
                <w:szCs w:val="20"/>
                <w:color w:val="auto"/>
              </w:rPr>
            </w:pPr>
            <w:r>
              <w:rPr>
                <w:rFonts w:ascii="Arial" w:cs="Arial" w:eastAsia="Arial" w:hAnsi="Arial"/>
                <w:sz w:val="18"/>
                <w:szCs w:val="18"/>
                <w:color w:val="auto"/>
              </w:rPr>
              <w:t>(20.8)%</w:t>
            </w:r>
          </w:p>
        </w:tc>
        <w:tc>
          <w:tcPr>
            <w:tcW w:w="1640" w:type="dxa"/>
            <w:vAlign w:val="bottom"/>
          </w:tcPr>
          <w:p>
            <w:pPr>
              <w:jc w:val="right"/>
              <w:ind w:right="314"/>
              <w:spacing w:after="0"/>
              <w:rPr>
                <w:sz w:val="20"/>
                <w:szCs w:val="20"/>
                <w:color w:val="auto"/>
              </w:rPr>
            </w:pPr>
            <w:r>
              <w:rPr>
                <w:rFonts w:ascii="Arial" w:cs="Arial" w:eastAsia="Arial" w:hAnsi="Arial"/>
                <w:sz w:val="18"/>
                <w:szCs w:val="18"/>
                <w:color w:val="auto"/>
              </w:rPr>
              <w:t>33.7 %</w:t>
            </w:r>
          </w:p>
        </w:tc>
      </w:tr>
      <w:tr>
        <w:trPr>
          <w:trHeight w:val="27"/>
        </w:trPr>
        <w:tc>
          <w:tcPr>
            <w:tcW w:w="28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expenses, net</w:t>
            </w:r>
          </w:p>
        </w:tc>
        <w:tc>
          <w:tcPr>
            <w:tcW w:w="1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97.4</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73"/>
              <w:spacing w:after="0"/>
              <w:rPr>
                <w:sz w:val="20"/>
                <w:szCs w:val="20"/>
                <w:color w:val="auto"/>
              </w:rPr>
            </w:pPr>
            <w:r>
              <w:rPr>
                <w:rFonts w:ascii="Arial" w:cs="Arial" w:eastAsia="Arial" w:hAnsi="Arial"/>
                <w:sz w:val="18"/>
                <w:szCs w:val="18"/>
                <w:color w:val="auto"/>
              </w:rPr>
              <w:t>16.9 %</w:t>
            </w:r>
          </w:p>
        </w:tc>
        <w:tc>
          <w:tcPr>
            <w:tcW w:w="164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2.4 %</w:t>
            </w:r>
          </w:p>
        </w:tc>
      </w:tr>
      <w:tr>
        <w:trPr>
          <w:trHeight w:val="263"/>
        </w:trPr>
        <w:tc>
          <w:tcPr>
            <w:tcW w:w="28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2"/>
                <w:szCs w:val="22"/>
                <w:color w:val="auto"/>
              </w:rPr>
            </w:pPr>
          </w:p>
        </w:tc>
        <w:tc>
          <w:tcPr>
            <w:tcW w:w="1760" w:type="dxa"/>
            <w:vAlign w:val="bottom"/>
          </w:tcPr>
          <w:p>
            <w:pPr>
              <w:jc w:val="right"/>
              <w:ind w:right="173"/>
              <w:spacing w:after="0"/>
              <w:rPr>
                <w:sz w:val="20"/>
                <w:szCs w:val="20"/>
                <w:color w:val="auto"/>
              </w:rPr>
            </w:pPr>
            <w:r>
              <w:rPr>
                <w:rFonts w:ascii="Arial" w:cs="Arial" w:eastAsia="Arial" w:hAnsi="Arial"/>
                <w:sz w:val="30"/>
                <w:szCs w:val="30"/>
                <w:color w:val="auto"/>
                <w:w w:val="87"/>
                <w:vertAlign w:val="subscript"/>
              </w:rPr>
              <w:t>NM</w:t>
            </w:r>
            <w:r>
              <w:rPr>
                <w:rFonts w:ascii="Arial" w:cs="Arial" w:eastAsia="Arial" w:hAnsi="Arial"/>
                <w:sz w:val="13"/>
                <w:szCs w:val="13"/>
                <w:color w:val="auto"/>
                <w:w w:val="87"/>
              </w:rPr>
              <w:t>(a)</w:t>
            </w:r>
          </w:p>
        </w:tc>
        <w:tc>
          <w:tcPr>
            <w:tcW w:w="1640" w:type="dxa"/>
            <w:vAlign w:val="bottom"/>
          </w:tcPr>
          <w:p>
            <w:pPr>
              <w:jc w:val="right"/>
              <w:ind w:right="114"/>
              <w:spacing w:after="0"/>
              <w:rPr>
                <w:sz w:val="20"/>
                <w:szCs w:val="20"/>
                <w:color w:val="auto"/>
              </w:rPr>
            </w:pPr>
            <w:r>
              <w:rPr>
                <w:rFonts w:ascii="Arial" w:cs="Arial" w:eastAsia="Arial" w:hAnsi="Arial"/>
                <w:sz w:val="30"/>
                <w:szCs w:val="30"/>
                <w:color w:val="auto"/>
                <w:w w:val="87"/>
                <w:vertAlign w:val="subscript"/>
              </w:rPr>
              <w:t>NM</w:t>
            </w:r>
            <w:r>
              <w:rPr>
                <w:rFonts w:ascii="Arial" w:cs="Arial" w:eastAsia="Arial" w:hAnsi="Arial"/>
                <w:sz w:val="13"/>
                <w:szCs w:val="13"/>
                <w:color w:val="auto"/>
                <w:w w:val="87"/>
              </w:rPr>
              <w:t>(a)</w:t>
            </w:r>
          </w:p>
        </w:tc>
      </w:tr>
    </w:tbl>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3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2017 Compared to 2016</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consolidated operating revenue increased $193.5 million, or 4.1%, for the year ended December 31, 2017 compared to 2016. The increase in revenue was largely attributed to increased fuel surcharge revenue and improved yield (excluding fuel surcharge).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expenses increased $219.4 million, or 4.8%, for the year ended December 31, 2017 compared to 2016, due to an increase in salaries, wages and employee benefits, an increase in purchased transportation expense, higher fuel costs, and a decrease in gains on property disposals.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Salaries, wages and employee benefits</w:t>
      </w:r>
      <w:r>
        <w:rPr>
          <w:rFonts w:ascii="Arial" w:cs="Arial" w:eastAsia="Arial" w:hAnsi="Arial"/>
          <w:sz w:val="18"/>
          <w:szCs w:val="18"/>
          <w:color w:val="auto"/>
        </w:rPr>
        <w:t>. Salaries, wages and employee benefits increased $81.7 million, or 2.9%, primarily due to a $44.8 million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wages and a $41.3 million increase in employee benefit costs, which are primarily related to contractual rate increases for union employees, combined with an increase in shipping volumes, which required more employee hours to process freight. Employee benefit costs also included the impact of a non-union pension settlement charge of $7.6 million recognized in the fourth quarter of 2017 due to the amount of lump sum benefit payments distributed from plan assets during the year.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Fuel, operating expenses and supplies</w:t>
      </w:r>
      <w:r>
        <w:rPr>
          <w:rFonts w:ascii="Arial" w:cs="Arial" w:eastAsia="Arial" w:hAnsi="Arial"/>
          <w:sz w:val="18"/>
          <w:szCs w:val="18"/>
          <w:color w:val="auto"/>
        </w:rPr>
        <w:t>. Fuel, operating expenses and supplies increased $68.4 million, or 8.6%, primarily due to a $51.8 million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fuel expenses driven by higher fuel prices on a per gallon basis. The increase in operating expenses was also due to an increase of $5.9 million in legal expenses primarily related to adverse legal developments at the Regional segment.</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Purchased transportation. </w:t>
      </w:r>
      <w:r>
        <w:rPr>
          <w:rFonts w:ascii="Arial" w:cs="Arial" w:eastAsia="Arial" w:hAnsi="Arial"/>
          <w:sz w:val="16"/>
          <w:szCs w:val="16"/>
          <w:color w:val="auto"/>
        </w:rPr>
        <w:t>Purchased transportation increased $73.9 million, or 13.3%, primarily due to a $28.1 million increase in vehicle rent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which consists of a $16.1 million increase in long-term rental expense due to higher usage of operating leases for revenue equipment and an $11.9 million increase in short-term rental expense resulting from equipment shortages. Additionally, rail purchased transportation expense increased $20.0 million primarily due to an increase in rail miles and higher rail rates, which is principally related to higher fuel surcharges, and local purchased transportation expense increased $15.1 million primarily due to higher usage of third-party providers resulting from equipment shortages as well as increased rates per mile.</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decreased $6.5 million, or 2.6%, primarily due to a decrease of $8.4 million in our liability claims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primarily due to favorable developments on our prior year outstanding claims.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Gains/losses on property disposals. </w:t>
      </w:r>
      <w:r>
        <w:rPr>
          <w:rFonts w:ascii="Arial" w:cs="Arial" w:eastAsia="Arial" w:hAnsi="Arial"/>
          <w:sz w:val="18"/>
          <w:szCs w:val="18"/>
          <w:color w:val="auto"/>
        </w:rPr>
        <w:t>Net gains on disposals of property were $0.6 million in 2017 compared to net gains of $14.6 million in 2016. The gains in</w:t>
      </w:r>
      <w:r>
        <w:rPr>
          <w:rFonts w:ascii="Arial" w:cs="Arial" w:eastAsia="Arial" w:hAnsi="Arial"/>
          <w:sz w:val="18"/>
          <w:szCs w:val="18"/>
          <w:i w:val="1"/>
          <w:iCs w:val="1"/>
          <w:color w:val="auto"/>
        </w:rPr>
        <w:t xml:space="preserve"> </w:t>
      </w:r>
      <w:r>
        <w:rPr>
          <w:rFonts w:ascii="Arial" w:cs="Arial" w:eastAsia="Arial" w:hAnsi="Arial"/>
          <w:sz w:val="18"/>
          <w:szCs w:val="18"/>
          <w:color w:val="auto"/>
        </w:rPr>
        <w:t>2016 were primarily related to the sale of real properties.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Nonoperating expenses increased $16.8 million for the year ended December 31, 2017 compared to 2016 primarily due to $8.1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transaction costs related to debt amendments, a $4.9 million increase in foreign currency transaction losses, and a $2.8 million joint venture gain from JHJ in 2016 with no corresponding gain in 2017.</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Our effective tax rate for the years ended December 31, 2017 and 2016 was 40.3% and 12.6%, respectively. Significant items impacting the 2017 rate include a benefit recognized due to application of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rules regarding intra-period tax allocation, a state provision, a foreign tax provision, certain permanent items, and a change in the valuation allowance established for the net deferred tax asset balance at December 31, 2017. We recognize valuation allowances on deferred tax assets, if, based on the weight of the evidence, we believe that some or all of our deferred tax assets will not be realized. Changes in valuation allowances are included in our tax provision or in equity if directly related to other comprehensive income (loss)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Accordingly, as of December 31, 2017 and 2016, we have a full valuation against our net deferred tax assets, exclusive of a deferred tax liability related to a foreign jurisdiction.</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July 2011, July 2013, and January 2014, we experienced significant changes in the ownership of our stock, as measured for Federal income tax purposes. These changes triggered the application of Section 382 of the Internal Revenue Code, as amended (the “Code”), which will likely have no substantial impact on the use of tax net operating loss carryovers (“NOLs”) generated through January 31, 2014 and prior to offset future taxable income. While Section 382 changes may adversely affect cash flow, they have no impact on our current financial statements. The deferred tax assets resulting from the existing NOLs to which a Section 382 change applies are already fully offset by a valuation allowance.</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Tax Cuts and Jobs Act (“</w:t>
      </w:r>
      <w:r>
        <w:rPr>
          <w:rFonts w:ascii="Arial" w:cs="Arial" w:eastAsia="Arial" w:hAnsi="Arial"/>
          <w:sz w:val="18"/>
          <w:szCs w:val="18"/>
          <w:color w:val="auto"/>
        </w:rPr>
        <w:t>The Tax Act</w:t>
      </w:r>
      <w:r>
        <w:rPr>
          <w:rFonts w:ascii="Arial" w:cs="Arial" w:eastAsia="Arial" w:hAnsi="Arial"/>
          <w:sz w:val="18"/>
          <w:szCs w:val="18"/>
          <w:i w:val="1"/>
          <w:iCs w:val="1"/>
          <w:color w:val="auto"/>
        </w:rPr>
        <w:t xml:space="preserve">”) </w:t>
      </w:r>
      <w:r>
        <w:rPr>
          <w:rFonts w:ascii="Arial" w:cs="Arial" w:eastAsia="Arial" w:hAnsi="Arial"/>
          <w:sz w:val="18"/>
          <w:szCs w:val="18"/>
          <w:color w:val="auto"/>
        </w:rPr>
        <w:t>was signed by the President on December 22, 2017. The Tax Act, among other provisions, reduces the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rate effective January 1, 2018 from the current rate of 35% to a new rate of 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30" w:right="239" w:bottom="1440" w:gutter="0" w:footer="0" w:header="0"/>
        </w:sectPr>
      </w:pPr>
    </w:p>
    <w:bookmarkStart w:id="26" w:name="page27"/>
    <w:bookmarkEnd w:id="26"/>
    <w:p>
      <w:pPr>
        <w:jc w:val="both"/>
        <w:spacing w:after="0" w:line="270" w:lineRule="auto"/>
        <w:rPr>
          <w:sz w:val="20"/>
          <w:szCs w:val="20"/>
          <w:color w:val="auto"/>
        </w:rPr>
      </w:pPr>
      <w:r>
        <w:rPr>
          <w:rFonts w:ascii="Arial" w:cs="Arial" w:eastAsia="Arial" w:hAnsi="Arial"/>
          <w:sz w:val="17"/>
          <w:szCs w:val="17"/>
          <w:color w:val="auto"/>
        </w:rPr>
        <w:t>The Company is still evaluating the impacts of The Tax Act, particularly as official guidance is issued by the US Treasury Department and the Internal Revenue Service. For 2017, the only impacts were the inclusion of the taxable income related to the deemed dividend of the cumulative deferred earnings and profits from controlled foreign corporations and the reduction in the value of the Company’s net deferred tax assets (before valuation allowance) for the decrease in the federal tax rate. Other relevant significant changes for 2017 and after include 1) the option to immediately expense, rather than depreciate, initially 100% of the purchase cost (declining over multiple years to 20%) of certain depreciable assets; 2) the mandate that all revenue be recognized for tax purposes no later than when recognized for purposes of audited financial statements; 3) a substantial limit on the deduction for interest expense; 4) a restriction on the deduction for Net Operating Losses (NOLs) generated post 2017; and 5) the annual inclusion in U.S. taxable income of certain foreign earnings designated as “Global Intangible Low-Taxed Income” (“GILTI”). The immediate expensing option will provide no benefit until the Company’s existing NOLs are fully utilized. The other changes listed above, in addition to the 2017 deemed dividend of foreign earnings, will divert the utilization of existing NOLs that would otherwise have been available to offset future income from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to 2015</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consolidated operating revenue decreased $134.9 million, or 2.8%, for the year ended December 31, 2016 compared to 2015. The decrease in revenue was largely attributed to the reduction in fuel surcharge revenue and declines in volume, partially offset by improved yield (excluding fuel surcharge).</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decreased $166.2 million, or 3.5%, for the year ended December 31, 2016 compared to 2015, due to a reduction in salaries, wages and employee benefits, lower fuel costs, and a decrease in liability claims expense, in addition to gains on property disposals.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Salaries, wages and employee benefits</w:t>
      </w:r>
      <w:r>
        <w:rPr>
          <w:rFonts w:ascii="Arial" w:cs="Arial" w:eastAsia="Arial" w:hAnsi="Arial"/>
          <w:sz w:val="18"/>
          <w:szCs w:val="18"/>
          <w:color w:val="auto"/>
        </w:rPr>
        <w:t>. Salaries, wages and employee benefits decreased $45.1 million, or 1.6%, due to a $35.2 million decrease in salaries</w:t>
      </w:r>
      <w:r>
        <w:rPr>
          <w:rFonts w:ascii="Arial" w:cs="Arial" w:eastAsia="Arial" w:hAnsi="Arial"/>
          <w:sz w:val="18"/>
          <w:szCs w:val="18"/>
          <w:i w:val="1"/>
          <w:iCs w:val="1"/>
          <w:color w:val="auto"/>
        </w:rPr>
        <w:t xml:space="preserve"> </w:t>
      </w:r>
      <w:r>
        <w:rPr>
          <w:rFonts w:ascii="Arial" w:cs="Arial" w:eastAsia="Arial" w:hAnsi="Arial"/>
          <w:sz w:val="18"/>
          <w:szCs w:val="18"/>
          <w:color w:val="auto"/>
        </w:rPr>
        <w:t>and wages, resulting from a decrease in shipping volumes, which required fewer employee hours to process freight, and a reduction in incentive compensation expense. Workers’ compensation decreased $6.3 million primarily due to a reduction in new claim frequency driven by safety initiatives and favorable development of outstanding claims. Additionally, employee benefit costs decreased by $2.1 million, which included the impact of a non-union pension settlement charge of $28.7 million recognized in the fourth quarter of 2015 as a result of pension settlements from lump sum payouts during the year, partially offset by higher overall employee benefits for both non-union and union employees. The increase in union and non-union employee benefit costs was due to contractual rate increases and higher usage, respectively.</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Fuel, operating expenses and supplies</w:t>
      </w:r>
      <w:r>
        <w:rPr>
          <w:rFonts w:ascii="Arial" w:cs="Arial" w:eastAsia="Arial" w:hAnsi="Arial"/>
          <w:sz w:val="18"/>
          <w:szCs w:val="18"/>
          <w:color w:val="auto"/>
        </w:rPr>
        <w:t>. Fuel, operating expenses and supplies decreased $79.3 million, or 9.0%, primarily due to a $60.9 million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fuel expenses driven by lower fuel prices on a per gallon basis, as well as fewer miles driven. Additionally, vehicle maintenance expense decreased by $15.3 million due to lower maintenance costs per mile and fewer miles driven.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Purchased transportation. </w:t>
      </w:r>
      <w:r>
        <w:rPr>
          <w:rFonts w:ascii="Arial" w:cs="Arial" w:eastAsia="Arial" w:hAnsi="Arial"/>
          <w:sz w:val="17"/>
          <w:szCs w:val="17"/>
          <w:color w:val="auto"/>
        </w:rPr>
        <w:t>Purchased transportation decreased $7.5 million, or 1.3%, primarily due to a $29.1 million decrease in rail transportation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driven by a reduction in rail miles and lower rail rates, which was primarily related to lower fuel surcharges charged by our providers. This was offset by an increase of $16.2 million in vehicle rent expense due to higher usage of operating leases for revenue equipment.</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Other operating expenses. </w:t>
      </w:r>
      <w:r>
        <w:rPr>
          <w:rFonts w:ascii="Arial" w:cs="Arial" w:eastAsia="Arial" w:hAnsi="Arial"/>
          <w:sz w:val="17"/>
          <w:szCs w:val="17"/>
          <w:color w:val="auto"/>
        </w:rPr>
        <w:t>Other operating expenses decreased $13.9 million, or 5.2%, primarily due to a decrease of $11.2 million in our liability claims</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primarily due to lower frequency and severity in the current year and favorable development on prior year outstanding claims.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Gains/losses on property disposals. </w:t>
      </w:r>
      <w:r>
        <w:rPr>
          <w:rFonts w:ascii="Arial" w:cs="Arial" w:eastAsia="Arial" w:hAnsi="Arial"/>
          <w:sz w:val="18"/>
          <w:szCs w:val="18"/>
          <w:color w:val="auto"/>
        </w:rPr>
        <w:t>Net gains on disposals of property were $14.6 million in 2016 compared to net losses of $1.9 million in 2015. The gains</w:t>
      </w:r>
      <w:r>
        <w:rPr>
          <w:rFonts w:ascii="Arial" w:cs="Arial" w:eastAsia="Arial" w:hAnsi="Arial"/>
          <w:sz w:val="18"/>
          <w:szCs w:val="18"/>
          <w:i w:val="1"/>
          <w:iCs w:val="1"/>
          <w:color w:val="auto"/>
        </w:rPr>
        <w:t xml:space="preserve"> </w:t>
      </w:r>
      <w:r>
        <w:rPr>
          <w:rFonts w:ascii="Arial" w:cs="Arial" w:eastAsia="Arial" w:hAnsi="Arial"/>
          <w:sz w:val="18"/>
          <w:szCs w:val="18"/>
          <w:color w:val="auto"/>
        </w:rPr>
        <w:t>in 2016 were primarily related to the sale of real properties.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Nonoperating expenses increased $2.3 million for the year ended December 31, 2016 compared to 2015 primarily due to an $8.4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increase in foreign currency transaction losses, offset by a decrease in interest expense of $4.2 million.</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effective tax rate for the years ended December 31, 2016 and 2015 was 12.6% and 115.9%, respectively. Significant items impacting the 2016 rate included a refund from a prior year amended return, a net state and foreign tax provision, certain permanent items, and a change in the valuation allowance established for the net deferred tax asset balance at December 31, 2016. Significant items impacting the 2015 rate included a benefit recognized due to application of ASC 740 rules regarding intra-period tax allocation, a state tax provision, a foreign tax provision, certain permanent items, a decrease in the reserve for uncertain tax positions and an increase in the valuation allowance established for the net deferred tax asset balance at December 31, 2015. We recognize valuation allowances on deferred tax assets, if, based on the weight of the evidence, we believe that some or all of our deferred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30" w:right="239" w:bottom="1440" w:gutter="0" w:footer="0" w:header="0"/>
        </w:sectPr>
      </w:pPr>
    </w:p>
    <w:bookmarkStart w:id="27" w:name="page28"/>
    <w:bookmarkEnd w:id="27"/>
    <w:p>
      <w:pPr>
        <w:jc w:val="both"/>
        <w:spacing w:after="0" w:line="276" w:lineRule="auto"/>
        <w:rPr>
          <w:sz w:val="20"/>
          <w:szCs w:val="20"/>
          <w:color w:val="auto"/>
        </w:rPr>
      </w:pPr>
      <w:r>
        <w:rPr>
          <w:rFonts w:ascii="Arial" w:cs="Arial" w:eastAsia="Arial" w:hAnsi="Arial"/>
          <w:sz w:val="17"/>
          <w:szCs w:val="17"/>
          <w:color w:val="auto"/>
        </w:rPr>
        <w:t>tax assets will not be realized. Changes in valuation allowances are included in our tax provision or in equity if directly related to other comprehensive income (loss) in the period of change. In determining whether a valuation allowance is warranted, we evaluate factors such as prior years’ earnings history, expected future earnings, loss carry-back and carry-forward periods, reversals of existing deferred tax liabilities and tax planning strategies that potentially enhance the likelihood of the realization of a deferred tax asset. Accordingly, as of December 31, 2016 and 2015, we have a full valuation allowance against our net deferred tax assets, exclusive of a deferred tax liability related to a foreign jurisdiction.</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Reporting Segment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We evaluate our business using our two reporting segments:</w:t>
      </w:r>
    </w:p>
    <w:p>
      <w:pPr>
        <w:spacing w:after="0" w:line="167" w:lineRule="exact"/>
        <w:rPr>
          <w:sz w:val="20"/>
          <w:szCs w:val="20"/>
          <w:color w:val="auto"/>
        </w:rPr>
      </w:pPr>
    </w:p>
    <w:p>
      <w:pPr>
        <w:jc w:val="both"/>
        <w:ind w:left="660" w:hanging="328"/>
        <w:spacing w:after="0" w:line="281"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YRC Freight </w:t>
      </w:r>
      <w:r>
        <w:rPr>
          <w:rFonts w:ascii="Arial" w:cs="Arial" w:eastAsia="Arial" w:hAnsi="Arial"/>
          <w:sz w:val="17"/>
          <w:szCs w:val="17"/>
          <w:color w:val="auto"/>
        </w:rPr>
        <w:t>is the reporting segment that focuses on longer haul business opportunities with national, regional and international services. YRC</w:t>
      </w:r>
      <w:r>
        <w:rPr>
          <w:rFonts w:ascii="Arial" w:cs="Arial" w:eastAsia="Arial" w:hAnsi="Arial"/>
          <w:sz w:val="17"/>
          <w:szCs w:val="17"/>
          <w:b w:val="1"/>
          <w:bCs w:val="1"/>
          <w:color w:val="auto"/>
        </w:rPr>
        <w:t xml:space="preserve"> </w:t>
      </w:r>
      <w:r>
        <w:rPr>
          <w:rFonts w:ascii="Arial" w:cs="Arial" w:eastAsia="Arial" w:hAnsi="Arial"/>
          <w:sz w:val="17"/>
          <w:szCs w:val="17"/>
          <w:color w:val="auto"/>
        </w:rPr>
        <w:t>Freight provides for the movement of industrial, commercial and retail goods, primarily through centralized management. This reporting segment includes YRC Freight, our LTL subsidiary, and YRC Reimer, a subsidiary located in Canada that specializes in shipments into, across and out of Canada. In addition to the United States and Canada, YRC Freight also serves parts of Mexico and Puerto Rico.</w:t>
      </w:r>
    </w:p>
    <w:p>
      <w:pPr>
        <w:spacing w:after="0" w:line="164" w:lineRule="exact"/>
        <w:rPr>
          <w:rFonts w:ascii="Arial" w:cs="Arial" w:eastAsia="Arial" w:hAnsi="Arial"/>
          <w:sz w:val="17"/>
          <w:szCs w:val="17"/>
          <w:color w:val="auto"/>
        </w:rPr>
      </w:pPr>
    </w:p>
    <w:p>
      <w:pPr>
        <w:jc w:val="both"/>
        <w:ind w:left="660" w:hanging="328"/>
        <w:spacing w:after="0" w:line="314"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 xml:space="preserve">Regional Transportation </w:t>
      </w:r>
      <w:r>
        <w:rPr>
          <w:rFonts w:ascii="Arial" w:cs="Arial" w:eastAsia="Arial" w:hAnsi="Arial"/>
          <w:sz w:val="16"/>
          <w:szCs w:val="16"/>
          <w:color w:val="auto"/>
        </w:rPr>
        <w:t>is the reporting segment for our transportation service providers focused on business opportunities in the regional and</w:t>
      </w:r>
      <w:r>
        <w:rPr>
          <w:rFonts w:ascii="Arial" w:cs="Arial" w:eastAsia="Arial" w:hAnsi="Arial"/>
          <w:sz w:val="16"/>
          <w:szCs w:val="16"/>
          <w:b w:val="1"/>
          <w:bCs w:val="1"/>
          <w:color w:val="auto"/>
        </w:rPr>
        <w:t xml:space="preserve"> </w:t>
      </w:r>
      <w:r>
        <w:rPr>
          <w:rFonts w:ascii="Arial" w:cs="Arial" w:eastAsia="Arial" w:hAnsi="Arial"/>
          <w:sz w:val="16"/>
          <w:szCs w:val="16"/>
          <w:color w:val="auto"/>
        </w:rPr>
        <w:t>next-day delivery markets. Regional Transportation is comprised of Holland, New Penn and Reddaway. These companies each provide regional, next-day ground services in their respective regions through a network of facilities located across the United States, Canada, and Puerto Rico.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YRC Freight Results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YRC Freight represented 63% of our consolidated operating revenue in 2017, 2016 and 2015. The table below provides summary financial information for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YRC Freight for the years ended December 31:</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934"/>
              <w:spacing w:after="0"/>
              <w:rPr>
                <w:sz w:val="20"/>
                <w:szCs w:val="20"/>
                <w:color w:val="auto"/>
              </w:rPr>
            </w:pPr>
            <w:r>
              <w:rPr>
                <w:rFonts w:ascii="Arial" w:cs="Arial" w:eastAsia="Arial" w:hAnsi="Arial"/>
                <w:sz w:val="14"/>
                <w:szCs w:val="14"/>
                <w:b w:val="1"/>
                <w:bCs w:val="1"/>
                <w:color w:val="auto"/>
              </w:rPr>
              <w:t>Percent Change</w:t>
            </w:r>
          </w:p>
        </w:tc>
        <w:tc>
          <w:tcPr>
            <w:tcW w:w="300" w:type="dxa"/>
            <w:vAlign w:val="bottom"/>
            <w:tcBorders>
              <w:bottom w:val="single" w:sz="8" w:color="auto"/>
            </w:tcBorders>
          </w:tcPr>
          <w:p>
            <w:pPr>
              <w:spacing w:after="0"/>
              <w:rPr>
                <w:sz w:val="16"/>
                <w:szCs w:val="16"/>
                <w:color w:val="auto"/>
              </w:rPr>
            </w:pP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100" w:type="dxa"/>
            <w:vAlign w:val="bottom"/>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100" w:type="dxa"/>
            <w:vAlign w:val="bottom"/>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540" w:type="dxa"/>
            <w:vAlign w:val="bottom"/>
            <w:gridSpan w:val="2"/>
          </w:tcPr>
          <w:p>
            <w:pPr>
              <w:ind w:left="300"/>
              <w:spacing w:after="0"/>
              <w:rPr>
                <w:sz w:val="20"/>
                <w:szCs w:val="20"/>
                <w:color w:val="auto"/>
              </w:rPr>
            </w:pPr>
            <w:r>
              <w:rPr>
                <w:rFonts w:ascii="Arial" w:cs="Arial" w:eastAsia="Arial" w:hAnsi="Arial"/>
                <w:sz w:val="14"/>
                <w:szCs w:val="14"/>
                <w:b w:val="1"/>
                <w:bCs w:val="1"/>
                <w:color w:val="auto"/>
              </w:rPr>
              <w:t>2017 vs. 2016</w:t>
            </w:r>
          </w:p>
        </w:tc>
        <w:tc>
          <w:tcPr>
            <w:tcW w:w="1460" w:type="dxa"/>
            <w:vAlign w:val="bottom"/>
          </w:tcPr>
          <w:p>
            <w:pPr>
              <w:jc w:val="right"/>
              <w:ind w:right="254"/>
              <w:spacing w:after="0"/>
              <w:rPr>
                <w:sz w:val="20"/>
                <w:szCs w:val="20"/>
                <w:color w:val="auto"/>
              </w:rPr>
            </w:pPr>
            <w:r>
              <w:rPr>
                <w:rFonts w:ascii="Arial" w:cs="Arial" w:eastAsia="Arial" w:hAnsi="Arial"/>
                <w:sz w:val="14"/>
                <w:szCs w:val="14"/>
                <w:b w:val="1"/>
                <w:bCs w:val="1"/>
                <w:color w:val="auto"/>
              </w:rPr>
              <w:t>2016 vs. 2015</w:t>
            </w:r>
          </w:p>
        </w:tc>
        <w:tc>
          <w:tcPr>
            <w:tcW w:w="300" w:type="dxa"/>
            <w:vAlign w:val="bottom"/>
          </w:tcPr>
          <w:p>
            <w:pPr>
              <w:spacing w:after="0"/>
              <w:rPr>
                <w:sz w:val="22"/>
                <w:szCs w:val="22"/>
                <w:color w:val="auto"/>
              </w:rPr>
            </w:pPr>
          </w:p>
        </w:tc>
      </w:tr>
      <w:tr>
        <w:trPr>
          <w:trHeight w:val="250"/>
        </w:trPr>
        <w:tc>
          <w:tcPr>
            <w:tcW w:w="45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11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   3,067.9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   2,958.9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   3,055.7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NM</w:t>
            </w:r>
          </w:p>
        </w:tc>
        <w:tc>
          <w:tcPr>
            <w:tcW w:w="300" w:type="dxa"/>
            <w:vAlign w:val="bottom"/>
          </w:tcPr>
          <w:p>
            <w:pPr>
              <w:ind w:left="80"/>
              <w:spacing w:after="0"/>
              <w:rPr>
                <w:sz w:val="20"/>
                <w:szCs w:val="20"/>
                <w:color w:val="auto"/>
              </w:rPr>
            </w:pPr>
            <w:r>
              <w:rPr>
                <w:rFonts w:ascii="Arial" w:cs="Arial" w:eastAsia="Arial" w:hAnsi="Arial"/>
                <w:sz w:val="13"/>
                <w:szCs w:val="13"/>
                <w:color w:val="auto"/>
              </w:rPr>
              <w:t>(b)</w:t>
            </w:r>
          </w:p>
        </w:tc>
      </w:tr>
      <w:tr>
        <w:trPr>
          <w:trHeight w:val="27"/>
        </w:trPr>
        <w:tc>
          <w:tcPr>
            <w:tcW w:w="4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70"/>
        </w:trPr>
        <w:tc>
          <w:tcPr>
            <w:tcW w:w="4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(0.5)pp</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1.2pp</w:t>
            </w:r>
          </w:p>
        </w:tc>
        <w:tc>
          <w:tcPr>
            <w:tcW w:w="300" w:type="dxa"/>
            <w:vAlign w:val="bottom"/>
            <w:shd w:val="clear" w:color="auto" w:fill="CCEEFF"/>
          </w:tcPr>
          <w:p>
            <w:pPr>
              <w:spacing w:after="0"/>
              <w:rPr>
                <w:sz w:val="23"/>
                <w:szCs w:val="23"/>
                <w:color w:val="auto"/>
              </w:rPr>
            </w:pPr>
          </w:p>
        </w:tc>
      </w:tr>
    </w:tbl>
    <w:p>
      <w:pPr>
        <w:spacing w:after="0" w:line="19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3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2017 Compared to 2016</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YRC Freight reported operating revenue of $3,067.9 million in 2017, an increase of $109.0 million, or 3.7%, compared to 2016. The increase in revenue was largely driven by an increase in fuel surcharge revenue, in volume, and improved yield (excluding fuel surcharge). The table below summarizes the key revenue metrics for the YRC Freight reporting segment for the years ended December 31:</w:t>
      </w:r>
    </w:p>
    <w:p>
      <w:pPr>
        <w:spacing w:after="0" w:line="200" w:lineRule="exact"/>
        <w:rPr>
          <w:sz w:val="20"/>
          <w:szCs w:val="20"/>
          <w:color w:val="auto"/>
        </w:rPr>
      </w:pP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160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324"/>
        </w:trPr>
        <w:tc>
          <w:tcPr>
            <w:tcW w:w="16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57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3,033.0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2,922.7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Total tonnage (in thousands)</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6,221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1.1%</w:t>
            </w:r>
          </w:p>
        </w:tc>
      </w:tr>
      <w:tr>
        <w:trPr>
          <w:trHeight w:val="27"/>
        </w:trPr>
        <w:tc>
          <w:tcPr>
            <w:tcW w:w="16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tonnage per workday (in thousands)</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Total shipments (in thousands)</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10,465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10,368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0.9%</w:t>
            </w:r>
          </w:p>
        </w:tc>
      </w:tr>
      <w:tr>
        <w:trPr>
          <w:trHeight w:val="27"/>
        </w:trPr>
        <w:tc>
          <w:tcPr>
            <w:tcW w:w="16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7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2.6%</w:t>
            </w:r>
          </w:p>
        </w:tc>
      </w:tr>
      <w:tr>
        <w:trPr>
          <w:trHeight w:val="27"/>
        </w:trPr>
        <w:tc>
          <w:tcPr>
            <w:tcW w:w="16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 surcharge)</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Total picked up revenue per shipment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2.8%</w:t>
            </w:r>
          </w:p>
        </w:tc>
      </w:tr>
      <w:tr>
        <w:trPr>
          <w:trHeight w:val="27"/>
        </w:trPr>
        <w:tc>
          <w:tcPr>
            <w:tcW w:w="16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picked up revenue per shipment (excluding fuel surcharge)</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r>
      <w:tr>
        <w:trPr>
          <w:trHeight w:val="243"/>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Total weight per shipment (in pounds)</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0.2%</w:t>
            </w:r>
          </w:p>
        </w:tc>
      </w:tr>
      <w:tr>
        <w:trPr>
          <w:trHeight w:val="858"/>
        </w:trPr>
        <w:tc>
          <w:tcPr>
            <w:tcW w:w="160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r>
      <w:tr>
        <w:trPr>
          <w:trHeight w:val="270"/>
        </w:trPr>
        <w:tc>
          <w:tcPr>
            <w:tcW w:w="1600" w:type="dxa"/>
            <w:vAlign w:val="bottom"/>
          </w:tcPr>
          <w:p>
            <w:pPr>
              <w:spacing w:after="0"/>
              <w:rPr>
                <w:sz w:val="23"/>
                <w:szCs w:val="23"/>
                <w:color w:val="auto"/>
              </w:rPr>
            </w:pPr>
          </w:p>
        </w:tc>
        <w:tc>
          <w:tcPr>
            <w:tcW w:w="48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25"/>
                <w:szCs w:val="25"/>
                <w:color w:val="auto"/>
                <w:w w:val="93"/>
                <w:vertAlign w:val="superscript"/>
              </w:rPr>
              <w:t>(a)</w:t>
            </w:r>
            <w:r>
              <w:rPr>
                <w:rFonts w:ascii="Arial" w:cs="Arial" w:eastAsia="Arial" w:hAnsi="Arial"/>
                <w:sz w:val="18"/>
                <w:szCs w:val="18"/>
                <w:color w:val="auto"/>
                <w:w w:val="93"/>
              </w:rPr>
              <w:t>Reconciliation of operating revenue to total picked up revenue:</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tcPr>
          <w:p>
            <w:pPr>
              <w:spacing w:after="0"/>
              <w:rPr>
                <w:sz w:val="23"/>
                <w:szCs w:val="23"/>
                <w:color w:val="auto"/>
              </w:rPr>
            </w:pPr>
          </w:p>
        </w:tc>
      </w:tr>
      <w:tr>
        <w:trPr>
          <w:trHeight w:val="243"/>
        </w:trPr>
        <w:tc>
          <w:tcPr>
            <w:tcW w:w="1600" w:type="dxa"/>
            <w:vAlign w:val="bottom"/>
          </w:tcPr>
          <w:p>
            <w:pPr>
              <w:spacing w:after="0"/>
              <w:rPr>
                <w:sz w:val="21"/>
                <w:szCs w:val="21"/>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Operating revenue</w:t>
            </w:r>
          </w:p>
        </w:tc>
        <w:tc>
          <w:tcPr>
            <w:tcW w:w="7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10"/>
              <w:spacing w:after="0"/>
              <w:rPr>
                <w:sz w:val="20"/>
                <w:szCs w:val="20"/>
                <w:color w:val="auto"/>
              </w:rPr>
            </w:pPr>
            <w:r>
              <w:rPr>
                <w:rFonts w:ascii="Arial" w:cs="Arial" w:eastAsia="Arial" w:hAnsi="Arial"/>
                <w:sz w:val="18"/>
                <w:szCs w:val="18"/>
                <w:color w:val="auto"/>
              </w:rPr>
              <w:t>3,067.9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2,958.9</w:t>
            </w:r>
          </w:p>
        </w:tc>
        <w:tc>
          <w:tcPr>
            <w:tcW w:w="154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1600" w:type="dxa"/>
            <w:vAlign w:val="bottom"/>
          </w:tcPr>
          <w:p>
            <w:pPr>
              <w:spacing w:after="0"/>
              <w:rPr>
                <w:sz w:val="23"/>
                <w:szCs w:val="23"/>
                <w:color w:val="auto"/>
              </w:rPr>
            </w:pPr>
          </w:p>
        </w:tc>
        <w:tc>
          <w:tcPr>
            <w:tcW w:w="4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revenue deferral and other</w:t>
            </w:r>
          </w:p>
        </w:tc>
        <w:tc>
          <w:tcPr>
            <w:tcW w:w="7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(36.2)</w:t>
            </w:r>
          </w:p>
        </w:tc>
        <w:tc>
          <w:tcPr>
            <w:tcW w:w="1540" w:type="dxa"/>
            <w:vAlign w:val="bottom"/>
          </w:tcPr>
          <w:p>
            <w:pPr>
              <w:spacing w:after="0"/>
              <w:rPr>
                <w:sz w:val="23"/>
                <w:szCs w:val="23"/>
                <w:color w:val="auto"/>
              </w:rPr>
            </w:pPr>
          </w:p>
        </w:tc>
      </w:tr>
      <w:tr>
        <w:trPr>
          <w:trHeight w:val="250"/>
        </w:trPr>
        <w:tc>
          <w:tcPr>
            <w:tcW w:w="160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Total picked up revenue</w:t>
            </w:r>
          </w:p>
        </w:tc>
        <w:tc>
          <w:tcPr>
            <w:tcW w:w="78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3,033.0</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2,922.7</w:t>
            </w:r>
          </w:p>
        </w:tc>
        <w:tc>
          <w:tcPr>
            <w:tcW w:w="15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8890</wp:posOffset>
            </wp:positionV>
            <wp:extent cx="1697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5" w:lineRule="exact"/>
        <w:rPr>
          <w:sz w:val="20"/>
          <w:szCs w:val="20"/>
          <w:color w:val="auto"/>
        </w:rPr>
      </w:pPr>
    </w:p>
    <w:p>
      <w:pPr>
        <w:ind w:left="960" w:hanging="142"/>
        <w:spacing w:after="0"/>
        <w:tabs>
          <w:tab w:leader="none" w:pos="960" w:val="left"/>
        </w:tabs>
        <w:numPr>
          <w:ilvl w:val="0"/>
          <w:numId w:val="23"/>
        </w:numPr>
        <w:rPr>
          <w:rFonts w:ascii="Arial" w:cs="Arial" w:eastAsia="Arial" w:hAnsi="Arial"/>
          <w:sz w:val="9"/>
          <w:szCs w:val="9"/>
          <w:color w:val="auto"/>
        </w:rPr>
      </w:pPr>
      <w:r>
        <w:rPr>
          <w:rFonts w:ascii="Arial" w:cs="Arial" w:eastAsia="Arial" w:hAnsi="Arial"/>
          <w:sz w:val="14"/>
          <w:szCs w:val="14"/>
          <w:color w:val="auto"/>
        </w:rPr>
        <w:t>Does not equal financial statement revenue due to revenue adjustments for shipments in transit and the impact of other revenue.</w:t>
      </w:r>
    </w:p>
    <w:p>
      <w:pPr>
        <w:spacing w:after="0" w:line="13" w:lineRule="exact"/>
        <w:rPr>
          <w:rFonts w:ascii="Arial" w:cs="Arial" w:eastAsia="Arial" w:hAnsi="Arial"/>
          <w:sz w:val="9"/>
          <w:szCs w:val="9"/>
          <w:color w:val="auto"/>
        </w:rPr>
      </w:pPr>
    </w:p>
    <w:p>
      <w:pPr>
        <w:ind w:left="940" w:hanging="122"/>
        <w:spacing w:after="0"/>
        <w:tabs>
          <w:tab w:leader="none" w:pos="940" w:val="left"/>
        </w:tabs>
        <w:numPr>
          <w:ilvl w:val="0"/>
          <w:numId w:val="23"/>
        </w:numPr>
        <w:rPr>
          <w:rFonts w:ascii="Arial" w:cs="Arial" w:eastAsia="Arial" w:hAnsi="Arial"/>
          <w:sz w:val="9"/>
          <w:szCs w:val="9"/>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-208915</wp:posOffset>
            </wp:positionV>
            <wp:extent cx="16979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for YRC Freight was $41.4 million for the year ended December 31, 2017, a decrease of $11.8 million from the same period in 2016, consisting of a $109.0 million increase in revenue and a $120.8 million increase in operating expenses. The increase in operating expense is primarily due to an increase in contractual wages and employee benefit costs, higher fuel costs, an increase in purchased transportation expense, and a decrease in gains on property disposals.</w:t>
      </w:r>
    </w:p>
    <w:p>
      <w:pPr>
        <w:spacing w:after="0" w:line="1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Salaries, wages and employee benefits</w:t>
      </w:r>
      <w:r>
        <w:rPr>
          <w:rFonts w:ascii="Arial" w:cs="Arial" w:eastAsia="Arial" w:hAnsi="Arial"/>
          <w:sz w:val="16"/>
          <w:szCs w:val="16"/>
          <w:color w:val="auto"/>
        </w:rPr>
        <w:t>. Salaries, wages and employee benefits increased $33.6 million, or 1.9%, primarily due to an $18.8 million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wages and an $19.5 million increase in employee benefit costs, which are primarily related to contractual rate increases for union employees, combined with an increase in shipping volumes, which required more employee hours to process freight. Additionally, employee benefit costs includes the impact of a non-union pension settlement charge of $7.6 million recognized in the fourth quarter of 2017 due to the amount of lump sum benefit payments distributed from plan assets during the year. Partially offsetting these increases was a decrease in salaries of $5.2 million due to headcount reductions.</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Fuel, operating expenses and supplies</w:t>
      </w:r>
      <w:r>
        <w:rPr>
          <w:rFonts w:ascii="Arial" w:cs="Arial" w:eastAsia="Arial" w:hAnsi="Arial"/>
          <w:sz w:val="18"/>
          <w:szCs w:val="18"/>
          <w:color w:val="auto"/>
        </w:rPr>
        <w:t>. Fuel, operating expenses and supplies increased $35.4 million, or 7.0%, primarily due to a $28.7 million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fuel expenses driven by higher fuel prices on a per gallon basis. Also, operating expenses increased by $7.6 million primarily due to a $2.4 million increase in hardware and software expenses.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Purchased Transportation. </w:t>
      </w:r>
      <w:r>
        <w:rPr>
          <w:rFonts w:ascii="Arial" w:cs="Arial" w:eastAsia="Arial" w:hAnsi="Arial"/>
          <w:sz w:val="17"/>
          <w:szCs w:val="17"/>
          <w:color w:val="auto"/>
        </w:rPr>
        <w:t>Purchased transportation increased $55.1 million, or 13.1%, primarily due to a $19.9 million increase in rail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transportation due to an increase in rail miles and higher rail rates which were impacted by increased fuel surcharges. Vehicle rent expense increased $17.3 million due to an $11.0 million increase in short-term rental expense resulting from equipment shortages as well as a $6.3 million increase in long-term lease expense driven by higher usage of operating leases for revenue equipment. Local purchased transportation expense increased $9.0 million due to higher usage of third-party providers resulting from equipment shortages as well as increased rates per mile.</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Gains/losses on property disposals. </w:t>
      </w:r>
      <w:r>
        <w:rPr>
          <w:rFonts w:ascii="Arial" w:cs="Arial" w:eastAsia="Arial" w:hAnsi="Arial"/>
          <w:sz w:val="18"/>
          <w:szCs w:val="18"/>
          <w:color w:val="auto"/>
        </w:rPr>
        <w:t>Net gains on disposals of property were $2.2 million in 2017 compared to net gains of $15.7 million in 2016,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sale of real properties.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3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2016 Compared to 2015</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YRC Freight reported operating revenue of $2,958.9 million in 2016, a decrease of $96.8 million or 3.2% compared to 2015. The decrease in revenue was largely driven by a reduction in fuel surcharge revenue and declines in volume, partially offset by improved yield (excluding fuel surcharge). The table below summarizes the key revenue metrics for the YRC Freight reporting segment for the years ended December 31:</w:t>
      </w:r>
    </w:p>
    <w:p>
      <w:pPr>
        <w:spacing w:after="0" w:line="200" w:lineRule="exact"/>
        <w:rPr>
          <w:sz w:val="20"/>
          <w:szCs w:val="20"/>
          <w:color w:val="auto"/>
        </w:rPr>
      </w:pP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324"/>
        </w:trPr>
        <w:tc>
          <w:tcPr>
            <w:tcW w:w="5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0"/>
        </w:trPr>
        <w:tc>
          <w:tcPr>
            <w:tcW w:w="56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2,922.7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3,033.4</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(3.7)%</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8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6,221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6,396</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(2.7)%</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workday (in thousands)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8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10,368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10,651</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(2.7)%</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42.35</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23.71</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(0.9)%</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 surcharge)</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1.3 %</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(1.0)%</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shipment (excluding fuel surcharge)</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1.3 %</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8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(0.1)%</w:t>
            </w:r>
          </w:p>
        </w:tc>
      </w:tr>
      <w:tr>
        <w:trPr>
          <w:trHeight w:val="852"/>
        </w:trPr>
        <w:tc>
          <w:tcPr>
            <w:tcW w:w="5680" w:type="dxa"/>
            <w:vAlign w:val="bottom"/>
          </w:tcPr>
          <w:p>
            <w:pPr>
              <w:ind w:left="144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7620</wp:posOffset>
            </wp:positionV>
            <wp:extent cx="5042535"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42535" cy="180340"/>
                    </a:xfrm>
                    <a:prstGeom prst="rect">
                      <a:avLst/>
                    </a:prstGeom>
                    <a:noFill/>
                  </pic:spPr>
                </pic:pic>
              </a:graphicData>
            </a:graphic>
          </wp:anchor>
        </w:drawing>
      </w:r>
    </w:p>
    <w:p>
      <w:pPr>
        <w:spacing w:after="0" w:line="18" w:lineRule="exact"/>
        <w:rPr>
          <w:sz w:val="20"/>
          <w:szCs w:val="20"/>
          <w:color w:val="auto"/>
        </w:rPr>
      </w:pPr>
    </w:p>
    <w:p>
      <w:pPr>
        <w:ind w:left="1940" w:hanging="170"/>
        <w:spacing w:after="0"/>
        <w:tabs>
          <w:tab w:leader="none" w:pos="1940" w:val="left"/>
        </w:tabs>
        <w:numPr>
          <w:ilvl w:val="0"/>
          <w:numId w:val="24"/>
        </w:numPr>
        <w:rPr>
          <w:rFonts w:ascii="Arial" w:cs="Arial" w:eastAsia="Arial" w:hAnsi="Arial"/>
          <w:sz w:val="20"/>
          <w:szCs w:val="20"/>
          <w:color w:val="auto"/>
          <w:vertAlign w:val="superscript"/>
        </w:rPr>
      </w:pPr>
      <w:r>
        <w:rPr>
          <w:rFonts w:ascii="Arial" w:cs="Arial" w:eastAsia="Arial" w:hAnsi="Arial"/>
          <w:sz w:val="15"/>
          <w:szCs w:val="15"/>
          <w:color w:val="auto"/>
        </w:rPr>
        <w:t>Reconciliation of operating revenue to total picked up revenue:</w:t>
      </w:r>
    </w:p>
    <w:p>
      <w:pPr>
        <w:spacing w:after="0" w:line="56" w:lineRule="exact"/>
        <w:rPr>
          <w:sz w:val="20"/>
          <w:szCs w:val="20"/>
          <w:color w:val="auto"/>
        </w:rPr>
      </w:pPr>
    </w:p>
    <w:tbl>
      <w:tblPr>
        <w:tblLayout w:type="fixed"/>
        <w:tblInd w:w="1760" w:type="dxa"/>
        <w:tblCellMar>
          <w:top w:w="0" w:type="dxa"/>
          <w:left w:w="0" w:type="dxa"/>
          <w:bottom w:w="0" w:type="dxa"/>
          <w:right w:w="0" w:type="dxa"/>
        </w:tblCellMar>
      </w:tblPr>
      <w:tr>
        <w:trPr>
          <w:trHeight w:val="236"/>
        </w:trPr>
        <w:tc>
          <w:tcPr>
            <w:tcW w:w="5260" w:type="dxa"/>
            <w:vAlign w:val="bottom"/>
          </w:tcPr>
          <w:p>
            <w:pPr>
              <w:ind w:left="140"/>
              <w:spacing w:after="0"/>
              <w:rPr>
                <w:sz w:val="20"/>
                <w:szCs w:val="20"/>
                <w:color w:val="auto"/>
              </w:rPr>
            </w:pPr>
            <w:r>
              <w:rPr>
                <w:rFonts w:ascii="Arial" w:cs="Arial" w:eastAsia="Arial" w:hAnsi="Arial"/>
                <w:sz w:val="18"/>
                <w:szCs w:val="18"/>
                <w:color w:val="auto"/>
              </w:rPr>
              <w:t>Operating revenue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2,958.9</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3,055.7</w:t>
            </w:r>
          </w:p>
        </w:tc>
      </w:tr>
      <w:tr>
        <w:trPr>
          <w:trHeight w:val="276"/>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Change in revenue deferral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50"/>
        </w:trPr>
        <w:tc>
          <w:tcPr>
            <w:tcW w:w="5260" w:type="dxa"/>
            <w:vAlign w:val="bottom"/>
          </w:tcPr>
          <w:p>
            <w:pPr>
              <w:ind w:left="20"/>
              <w:spacing w:after="0"/>
              <w:rPr>
                <w:sz w:val="20"/>
                <w:szCs w:val="20"/>
                <w:color w:val="auto"/>
              </w:rPr>
            </w:pPr>
            <w:r>
              <w:rPr>
                <w:rFonts w:ascii="Arial" w:cs="Arial" w:eastAsia="Arial" w:hAnsi="Arial"/>
                <w:sz w:val="18"/>
                <w:szCs w:val="18"/>
                <w:color w:val="auto"/>
              </w:rPr>
              <w:t>Total picked up revenue</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2,922.7</w:t>
            </w:r>
          </w:p>
        </w:tc>
        <w:tc>
          <w:tcPr>
            <w:tcW w:w="100" w:type="dxa"/>
            <w:vAlign w:val="bottom"/>
          </w:tcPr>
          <w:p>
            <w:pPr>
              <w:spacing w:after="0"/>
              <w:rPr>
                <w:sz w:val="21"/>
                <w:szCs w:val="21"/>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8890</wp:posOffset>
            </wp:positionV>
            <wp:extent cx="16979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5" w:lineRule="exact"/>
        <w:rPr>
          <w:sz w:val="20"/>
          <w:szCs w:val="20"/>
          <w:color w:val="auto"/>
        </w:rPr>
      </w:pPr>
    </w:p>
    <w:p>
      <w:pPr>
        <w:ind w:left="960" w:hanging="142"/>
        <w:spacing w:after="0"/>
        <w:tabs>
          <w:tab w:leader="none" w:pos="960" w:val="left"/>
        </w:tabs>
        <w:numPr>
          <w:ilvl w:val="0"/>
          <w:numId w:val="25"/>
        </w:numPr>
        <w:rPr>
          <w:rFonts w:ascii="Arial" w:cs="Arial" w:eastAsia="Arial" w:hAnsi="Arial"/>
          <w:sz w:val="9"/>
          <w:szCs w:val="9"/>
          <w:color w:val="auto"/>
        </w:rPr>
      </w:pPr>
      <w:r>
        <w:rPr>
          <w:rFonts w:ascii="Arial" w:cs="Arial" w:eastAsia="Arial" w:hAnsi="Arial"/>
          <w:sz w:val="14"/>
          <w:szCs w:val="14"/>
          <w:color w:val="auto"/>
        </w:rPr>
        <w:t>Does not equal financial statement revenue due to revenue adjustments for shipments in transit and the impact of other revenue.</w:t>
      </w:r>
    </w:p>
    <w:p>
      <w:pPr>
        <w:spacing w:after="0" w:line="13" w:lineRule="exact"/>
        <w:rPr>
          <w:rFonts w:ascii="Arial" w:cs="Arial" w:eastAsia="Arial" w:hAnsi="Arial"/>
          <w:sz w:val="9"/>
          <w:szCs w:val="9"/>
          <w:color w:val="auto"/>
        </w:rPr>
      </w:pPr>
    </w:p>
    <w:p>
      <w:pPr>
        <w:ind w:left="940" w:hanging="122"/>
        <w:spacing w:after="0"/>
        <w:tabs>
          <w:tab w:leader="none" w:pos="940" w:val="left"/>
        </w:tabs>
        <w:numPr>
          <w:ilvl w:val="0"/>
          <w:numId w:val="25"/>
        </w:numPr>
        <w:rPr>
          <w:rFonts w:ascii="Arial" w:cs="Arial" w:eastAsia="Arial" w:hAnsi="Arial"/>
          <w:sz w:val="9"/>
          <w:szCs w:val="9"/>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-208915</wp:posOffset>
            </wp:positionV>
            <wp:extent cx="16979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income for YRC Freight was $53.2 million for the year ended December 31, 2016, an increase of $35.2 million from the same period in 2015, consisting of a $96.8 million decrease in revenue and a $132.0 million decrease in operating expenses. The decrease in operating expense consisted primarily of a reduction in salaries and wages expense, lower fuel costs, and a decrease in purchased transportation.</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Salaries, wages and employee benefits. </w:t>
      </w:r>
      <w:r>
        <w:rPr>
          <w:rFonts w:ascii="Arial" w:cs="Arial" w:eastAsia="Arial" w:hAnsi="Arial"/>
          <w:sz w:val="18"/>
          <w:szCs w:val="18"/>
          <w:color w:val="auto"/>
        </w:rPr>
        <w:t>Salaries, wages and employee benefits decreased $42.5 million, or 2.4%, due to a $21.5 million decrease in salaries</w:t>
      </w:r>
      <w:r>
        <w:rPr>
          <w:rFonts w:ascii="Arial" w:cs="Arial" w:eastAsia="Arial" w:hAnsi="Arial"/>
          <w:sz w:val="18"/>
          <w:szCs w:val="18"/>
          <w:i w:val="1"/>
          <w:iCs w:val="1"/>
          <w:color w:val="auto"/>
        </w:rPr>
        <w:t xml:space="preserve"> </w:t>
      </w:r>
      <w:r>
        <w:rPr>
          <w:rFonts w:ascii="Arial" w:cs="Arial" w:eastAsia="Arial" w:hAnsi="Arial"/>
          <w:sz w:val="18"/>
          <w:szCs w:val="18"/>
          <w:color w:val="auto"/>
        </w:rPr>
        <w:t>and wages, which was primarily driven by a decrease in shipping volumes, which required fewer employee hours to process freight. Workers’ compensation expenses decreased $4.9 million due to a reduction in new claim frequency driven by safety initiatives and favorable development of prior year claims. Additionally, employee benefits costs decreased by $16.1 million, which included the impact of a non-union pension settlement charge of $28.7 million recognized in the fourth quarter of 2015 as a result of pension settlements from lump sum payouts during the year, partially offset by higher overall employee benefit costs for both union and non-union employees. The increase in union and non-union employee benefit costs was due to contractual rate increases and higher usage, respectively.</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Fuel, operating expenses and supplies</w:t>
      </w:r>
      <w:r>
        <w:rPr>
          <w:rFonts w:ascii="Arial" w:cs="Arial" w:eastAsia="Arial" w:hAnsi="Arial"/>
          <w:sz w:val="17"/>
          <w:szCs w:val="17"/>
          <w:color w:val="auto"/>
        </w:rPr>
        <w:t>. Fuel, operating expenses and supplies decreased $55.7 million, or 9.9%, primarily due to a $34.8 million decrease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fuel expenses driven by lower fuel prices on a per gallon basis, as well as fewer miles driven. Additionally, vehicle maintenance expense decreased by $13.7 million due to lower maintenance costs per mile and fewer miles driven and nonrecurring consulting fees decreased $5.1 million.</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Purchased Transportation. </w:t>
      </w:r>
      <w:r>
        <w:rPr>
          <w:rFonts w:ascii="Arial" w:cs="Arial" w:eastAsia="Arial" w:hAnsi="Arial"/>
          <w:sz w:val="18"/>
          <w:szCs w:val="18"/>
          <w:color w:val="auto"/>
        </w:rPr>
        <w:t>Purchased transportation decreased $16.8 million, or 3.8%, primarily due to a $29.1 million decrease in rail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expense due to a reduction in rail miles and lower rail rates, which was principally related to lower fuel surcharges charged by our providers. This was offset by an increase of $9.7 million in local purchased transportation expense, in addition to a $2.6 million increase in vehicle rent expense, which was due to higher usage of operating leases for revenue equipment.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2" w:right="239" w:bottom="1440" w:gutter="0" w:footer="0" w:header="0"/>
        </w:sectPr>
      </w:pPr>
    </w:p>
    <w:bookmarkStart w:id="30" w:name="page31"/>
    <w:bookmarkEnd w:id="30"/>
    <w:p>
      <w:pPr>
        <w:spacing w:after="0" w:line="277" w:lineRule="auto"/>
        <w:rPr>
          <w:sz w:val="20"/>
          <w:szCs w:val="20"/>
          <w:color w:val="auto"/>
        </w:rPr>
      </w:pPr>
      <w:r>
        <w:rPr>
          <w:rFonts w:ascii="Arial" w:cs="Arial" w:eastAsia="Arial" w:hAnsi="Arial"/>
          <w:sz w:val="18"/>
          <w:szCs w:val="18"/>
          <w:i w:val="1"/>
          <w:iCs w:val="1"/>
          <w:color w:val="auto"/>
        </w:rPr>
        <w:t xml:space="preserve">Gains/losses on property disposals. </w:t>
      </w:r>
      <w:r>
        <w:rPr>
          <w:rFonts w:ascii="Arial" w:cs="Arial" w:eastAsia="Arial" w:hAnsi="Arial"/>
          <w:sz w:val="18"/>
          <w:szCs w:val="18"/>
          <w:color w:val="auto"/>
        </w:rPr>
        <w:t>Net gains on disposals of property were $15.7 million in 2016 compared to net losses of $1.9 million in 2015. The gains</w:t>
      </w:r>
      <w:r>
        <w:rPr>
          <w:rFonts w:ascii="Arial" w:cs="Arial" w:eastAsia="Arial" w:hAnsi="Arial"/>
          <w:sz w:val="18"/>
          <w:szCs w:val="18"/>
          <w:i w:val="1"/>
          <w:iCs w:val="1"/>
          <w:color w:val="auto"/>
        </w:rPr>
        <w:t xml:space="preserve"> </w:t>
      </w:r>
      <w:r>
        <w:rPr>
          <w:rFonts w:ascii="Arial" w:cs="Arial" w:eastAsia="Arial" w:hAnsi="Arial"/>
          <w:sz w:val="18"/>
          <w:szCs w:val="18"/>
          <w:color w:val="auto"/>
        </w:rPr>
        <w:t>in 2016 were primarily related to the sale of real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Transportation Results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Regional Transportation represented 37% of consolidated operating revenue in 2017, 2016 and 2015. The table below provides summary financial information for Regional Transportation for the years ended December 31:</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Borders>
              <w:bottom w:val="single" w:sz="8" w:color="auto"/>
            </w:tcBorders>
            <w:gridSpan w:val="3"/>
          </w:tcPr>
          <w:p>
            <w:pPr>
              <w:jc w:val="right"/>
              <w:ind w:right="1154"/>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2"/>
                <w:szCs w:val="22"/>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800" w:type="dxa"/>
            <w:vAlign w:val="bottom"/>
            <w:gridSpan w:val="2"/>
          </w:tcPr>
          <w:p>
            <w:pPr>
              <w:ind w:left="440"/>
              <w:spacing w:after="0"/>
              <w:rPr>
                <w:sz w:val="20"/>
                <w:szCs w:val="20"/>
                <w:color w:val="auto"/>
              </w:rPr>
            </w:pPr>
            <w:r>
              <w:rPr>
                <w:rFonts w:ascii="Arial" w:cs="Arial" w:eastAsia="Arial" w:hAnsi="Arial"/>
                <w:sz w:val="14"/>
                <w:szCs w:val="14"/>
                <w:b w:val="1"/>
                <w:bCs w:val="1"/>
                <w:color w:val="auto"/>
              </w:rPr>
              <w:t>2017 vs. 2016</w:t>
            </w:r>
          </w:p>
        </w:tc>
        <w:tc>
          <w:tcPr>
            <w:tcW w:w="17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2016 vs. 2015</w:t>
            </w:r>
          </w:p>
        </w:tc>
      </w:tr>
      <w:tr>
        <w:trPr>
          <w:trHeight w:val="250"/>
        </w:trPr>
        <w:tc>
          <w:tcPr>
            <w:tcW w:w="3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1,823.4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1,739.3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1,776.9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21"/>
                <w:szCs w:val="21"/>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4"/>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14"/>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3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Operating ratio</w:t>
            </w:r>
            <w:r>
              <w:rPr>
                <w:rFonts w:ascii="Arial" w:cs="Arial" w:eastAsia="Arial" w:hAnsi="Arial"/>
                <w:sz w:val="25"/>
                <w:szCs w:val="25"/>
                <w:color w:val="auto"/>
                <w:vertAlign w:val="superscript"/>
              </w:rPr>
              <w:t>(a)</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(1.0)pp</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(0.1)pp</w:t>
            </w:r>
          </w:p>
        </w:tc>
      </w:tr>
    </w:tbl>
    <w:p>
      <w:pPr>
        <w:spacing w:after="0" w:line="197"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pp represents the change in percentage points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Compared to 2016</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Regional Transportation reported operating revenue of $1,823.4 million for 2017, representing an increase of $84.1 million, or 4.8%, from 2016. The increase in revenue was largely driven by an increase in fuel surcharge revenue and an increase in volume. The table below summarizes the key revenue metrics for the Regional Transportation reporting segment for the years ended December 31:</w:t>
      </w:r>
    </w:p>
    <w:p>
      <w:pPr>
        <w:spacing w:after="0" w:line="200" w:lineRule="exact"/>
        <w:rPr>
          <w:sz w:val="20"/>
          <w:szCs w:val="20"/>
          <w:color w:val="auto"/>
        </w:rPr>
      </w:pPr>
    </w:p>
    <w:p>
      <w:pPr>
        <w:spacing w:after="0" w:line="202"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7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8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324"/>
        </w:trPr>
        <w:tc>
          <w:tcPr>
            <w:tcW w:w="5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70"/>
        </w:trPr>
        <w:tc>
          <w:tcPr>
            <w:tcW w:w="57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8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1,824.8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1,740.7</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4.8%</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8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7,827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7,585</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3.2%</w:t>
            </w:r>
          </w:p>
        </w:tc>
      </w:tr>
      <w:tr>
        <w:trPr>
          <w:trHeight w:val="27"/>
        </w:trPr>
        <w:tc>
          <w:tcPr>
            <w:tcW w:w="5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workday (in thousands)</w:t>
            </w:r>
          </w:p>
        </w:tc>
        <w:tc>
          <w:tcPr>
            <w:tcW w:w="8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8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10,370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10,291</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0.8%</w:t>
            </w:r>
          </w:p>
        </w:tc>
      </w:tr>
      <w:tr>
        <w:trPr>
          <w:trHeight w:val="27"/>
        </w:trPr>
        <w:tc>
          <w:tcPr>
            <w:tcW w:w="5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8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1.6%</w:t>
            </w:r>
          </w:p>
        </w:tc>
      </w:tr>
      <w:tr>
        <w:trPr>
          <w:trHeight w:val="27"/>
        </w:trPr>
        <w:tc>
          <w:tcPr>
            <w:tcW w:w="5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 surcharge)</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4.0%</w:t>
            </w:r>
          </w:p>
        </w:tc>
      </w:tr>
      <w:tr>
        <w:trPr>
          <w:trHeight w:val="27"/>
        </w:trPr>
        <w:tc>
          <w:tcPr>
            <w:tcW w:w="5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shipment (excluding fuel surcharge)</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8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1680" w:type="dxa"/>
            <w:vAlign w:val="bottom"/>
          </w:tcPr>
          <w:p>
            <w:pPr>
              <w:jc w:val="right"/>
              <w:ind w:right="72"/>
              <w:spacing w:after="0"/>
              <w:rPr>
                <w:sz w:val="20"/>
                <w:szCs w:val="20"/>
                <w:color w:val="auto"/>
              </w:rPr>
            </w:pPr>
            <w:r>
              <w:rPr>
                <w:rFonts w:ascii="Arial" w:cs="Arial" w:eastAsia="Arial" w:hAnsi="Arial"/>
                <w:sz w:val="18"/>
                <w:szCs w:val="18"/>
                <w:color w:val="auto"/>
              </w:rPr>
              <w:t>2.4%</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70"/>
        </w:trPr>
        <w:tc>
          <w:tcPr>
            <w:tcW w:w="5580" w:type="dxa"/>
            <w:vAlign w:val="bottom"/>
            <w:shd w:val="clear" w:color="auto" w:fill="CCEEFF"/>
          </w:tcPr>
          <w:p>
            <w:pPr>
              <w:ind w:left="20"/>
              <w:spacing w:after="0" w:line="270" w:lineRule="exact"/>
              <w:rPr>
                <w:sz w:val="20"/>
                <w:szCs w:val="20"/>
                <w:color w:val="auto"/>
              </w:rPr>
            </w:pPr>
            <w:r>
              <w:rPr>
                <w:rFonts w:ascii="Arial" w:cs="Arial" w:eastAsia="Arial" w:hAnsi="Arial"/>
                <w:sz w:val="25"/>
                <w:szCs w:val="25"/>
                <w:color w:val="auto"/>
                <w:vertAlign w:val="superscript"/>
              </w:rPr>
              <w:t>(a)</w:t>
            </w:r>
            <w:r>
              <w:rPr>
                <w:rFonts w:ascii="Arial" w:cs="Arial" w:eastAsia="Arial" w:hAnsi="Arial"/>
                <w:sz w:val="18"/>
                <w:szCs w:val="18"/>
                <w:color w:val="auto"/>
              </w:rPr>
              <w:t xml:space="preserve"> Reconciliation of operating revenue to total picked up revenue:</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5580" w:type="dxa"/>
            <w:vAlign w:val="bottom"/>
          </w:tcPr>
          <w:p>
            <w:pPr>
              <w:ind w:left="160"/>
              <w:spacing w:after="0"/>
              <w:rPr>
                <w:sz w:val="20"/>
                <w:szCs w:val="20"/>
                <w:color w:val="auto"/>
              </w:rPr>
            </w:pPr>
            <w:r>
              <w:rPr>
                <w:rFonts w:ascii="Arial" w:cs="Arial" w:eastAsia="Arial" w:hAnsi="Arial"/>
                <w:sz w:val="18"/>
                <w:szCs w:val="18"/>
                <w:color w:val="auto"/>
              </w:rPr>
              <w:t>Operating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1,823.4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1,739.3</w:t>
            </w:r>
          </w:p>
        </w:tc>
      </w:tr>
      <w:tr>
        <w:trPr>
          <w:trHeight w:val="27"/>
        </w:trPr>
        <w:tc>
          <w:tcPr>
            <w:tcW w:w="5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revenue deferral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Total picked up revenue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1,824.8</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8890</wp:posOffset>
            </wp:positionV>
            <wp:extent cx="1646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5" w:lineRule="exact"/>
        <w:rPr>
          <w:sz w:val="20"/>
          <w:szCs w:val="20"/>
          <w:color w:val="auto"/>
        </w:rPr>
      </w:pPr>
    </w:p>
    <w:p>
      <w:pPr>
        <w:ind w:left="460" w:hanging="128"/>
        <w:spacing w:after="0"/>
        <w:tabs>
          <w:tab w:leader="none" w:pos="460" w:val="left"/>
        </w:tabs>
        <w:numPr>
          <w:ilvl w:val="0"/>
          <w:numId w:val="27"/>
        </w:numPr>
        <w:rPr>
          <w:rFonts w:ascii="Arial" w:cs="Arial" w:eastAsia="Arial" w:hAnsi="Arial"/>
          <w:sz w:val="9"/>
          <w:szCs w:val="9"/>
          <w:color w:val="auto"/>
        </w:rPr>
      </w:pPr>
      <w:r>
        <w:rPr>
          <w:rFonts w:ascii="Arial" w:cs="Arial" w:eastAsia="Arial" w:hAnsi="Arial"/>
          <w:sz w:val="14"/>
          <w:szCs w:val="14"/>
          <w:color w:val="auto"/>
        </w:rPr>
        <w:t>Does not equal financial statement revenue due to revenue adjustments for shipments in transit.</w:t>
      </w:r>
    </w:p>
    <w:p>
      <w:pPr>
        <w:spacing w:after="0" w:line="13" w:lineRule="exact"/>
        <w:rPr>
          <w:rFonts w:ascii="Arial" w:cs="Arial" w:eastAsia="Arial" w:hAnsi="Arial"/>
          <w:sz w:val="9"/>
          <w:szCs w:val="9"/>
          <w:color w:val="auto"/>
        </w:rPr>
      </w:pPr>
    </w:p>
    <w:p>
      <w:pPr>
        <w:ind w:left="460" w:hanging="128"/>
        <w:spacing w:after="0"/>
        <w:tabs>
          <w:tab w:leader="none" w:pos="460" w:val="left"/>
        </w:tabs>
        <w:numPr>
          <w:ilvl w:val="0"/>
          <w:numId w:val="27"/>
        </w:numPr>
        <w:rPr>
          <w:rFonts w:ascii="Arial" w:cs="Arial" w:eastAsia="Arial" w:hAnsi="Arial"/>
          <w:sz w:val="9"/>
          <w:szCs w:val="9"/>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-208915</wp:posOffset>
            </wp:positionV>
            <wp:extent cx="16465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3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income for Regional Transportation was $67.9 million for the year ended December 31, 2017, a decrease of $13.4 million from the same period in 2016, which consisted of an $84.1 million increase in revenue and a $97.5 million increase in operating expenses. The increase in operating expense is primarily due to an increase in contractual wages and employee benefit costs, higher fuel costs, and an increase in purchased transportation expense.</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Salaries, wages and employee benefits. </w:t>
      </w:r>
      <w:r>
        <w:rPr>
          <w:rFonts w:ascii="Arial" w:cs="Arial" w:eastAsia="Arial" w:hAnsi="Arial"/>
          <w:sz w:val="18"/>
          <w:szCs w:val="18"/>
          <w:color w:val="auto"/>
        </w:rPr>
        <w:t>Salaries, wages and employee benefits increased $45.5 million, or 4.4%, primarily due to a $25.2 million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wages and a $23.9 million increase in employee benefit costs, which are primarily related to contractual</w:t>
      </w:r>
    </w:p>
    <w:p>
      <w:pPr>
        <w:sectPr>
          <w:pgSz w:w="11900" w:h="16838" w:orient="portrait"/>
          <w:cols w:equalWidth="0" w:num="1">
            <w:col w:w="11420"/>
          </w:cols>
          <w:pgMar w:left="240" w:top="69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692"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color w:val="auto"/>
        </w:rPr>
        <w:t>rate increases for union employees, combined with an increase in shipping volumes, which required more employee hours to process freight.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Fuel, operating expenses and supplies</w:t>
      </w:r>
      <w:r>
        <w:rPr>
          <w:rFonts w:ascii="Arial" w:cs="Arial" w:eastAsia="Arial" w:hAnsi="Arial"/>
          <w:sz w:val="18"/>
          <w:szCs w:val="18"/>
          <w:color w:val="auto"/>
        </w:rPr>
        <w:t>. Fuel, operating expenses and supplies increased $35.1 million, or 11.0%, primarily due to a $23.2 million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fuel expense, which was largely driven by higher fuel prices on a per gallon basis, and a $5.9 million increase in legal expenses resulting from adverse developments.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Purchased Transportation. </w:t>
      </w:r>
      <w:r>
        <w:rPr>
          <w:rFonts w:ascii="Arial" w:cs="Arial" w:eastAsia="Arial" w:hAnsi="Arial"/>
          <w:sz w:val="18"/>
          <w:szCs w:val="18"/>
          <w:color w:val="auto"/>
        </w:rPr>
        <w:t>Purchased transportation increased $18.3 million, or 13.9%, primarily due to a $10.8 million increase in vehicle rent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from higher usage of operating leases for revenue equipment and an increase of $6.1 million in local purchased transportation due to higher usage of third party providers.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increased $4.7 million, or 5.3%, primarily due to an increase of $2.8 million increase in cargo claims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and a $1.9 million increase in operating taxes, primarily due to more fuel gallons purchased.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Compared to 2015</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Regional Transportation reported operating revenue of $1,739.3 million for 2016, representing a decrease of $37.6 million, or 2.1%, from 2015. The decrease in revenue was largely driven by a reduction in fuel surcharge revenue and declines in volume, partially offset by improvements to yield. The table below summarizes the key revenue metrics for the Regional Transportation reporting segment for the years ended December 31:</w:t>
      </w: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5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Percent Change</w:t>
            </w:r>
            <w:r>
              <w:rPr>
                <w:rFonts w:ascii="Arial" w:cs="Arial" w:eastAsia="Arial" w:hAnsi="Arial"/>
                <w:sz w:val="8"/>
                <w:szCs w:val="8"/>
                <w:b w:val="1"/>
                <w:bCs w:val="1"/>
                <w:color w:val="auto"/>
              </w:rPr>
              <w:t>(b)</w:t>
            </w: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Workdays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251.0</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324"/>
        </w:trPr>
        <w:tc>
          <w:tcPr>
            <w:tcW w:w="5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70"/>
        </w:trPr>
        <w:tc>
          <w:tcPr>
            <w:tcW w:w="56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Total picked up revenue (in millions)</w:t>
            </w:r>
            <w:r>
              <w:rPr>
                <w:rFonts w:ascii="Arial" w:cs="Arial" w:eastAsia="Arial" w:hAnsi="Arial"/>
                <w:sz w:val="25"/>
                <w:szCs w:val="25"/>
                <w:color w:val="auto"/>
                <w:vertAlign w:val="superscript"/>
              </w:rPr>
              <w:t>(a)</w:t>
            </w:r>
          </w:p>
        </w:tc>
        <w:tc>
          <w:tcPr>
            <w:tcW w:w="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1,740.7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1,776.5</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tonnage (in thousands)</w:t>
            </w:r>
          </w:p>
        </w:tc>
        <w:tc>
          <w:tcPr>
            <w:tcW w:w="8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7,585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7,708</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(1.6)%</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tonnage per workday (in thousands)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30.71</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shipments (in thousands)</w:t>
            </w:r>
          </w:p>
        </w:tc>
        <w:tc>
          <w:tcPr>
            <w:tcW w:w="8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10,291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10,375</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(0.8)%</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shipments per workday (in thousands)</w:t>
            </w:r>
          </w:p>
        </w:tc>
        <w:tc>
          <w:tcPr>
            <w:tcW w:w="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41.33</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picked up revenue per hundred weight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(0.4)%</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 per hundred weight (excluding fuel surcharge)</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1.6 %</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picked up revenue per shipment</w:t>
            </w: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(1.2)%</w:t>
            </w:r>
          </w:p>
        </w:tc>
      </w:tr>
      <w:tr>
        <w:trPr>
          <w:trHeight w:val="27"/>
        </w:trPr>
        <w:tc>
          <w:tcPr>
            <w:tcW w:w="5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picked up revenue/shipment (excluding fuel surcharge)</w:t>
            </w:r>
          </w:p>
        </w:tc>
        <w:tc>
          <w:tcPr>
            <w:tcW w:w="8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0.8 %</w:t>
            </w:r>
          </w:p>
        </w:tc>
      </w:tr>
      <w:tr>
        <w:trPr>
          <w:trHeight w:val="243"/>
        </w:trPr>
        <w:tc>
          <w:tcPr>
            <w:tcW w:w="5680" w:type="dxa"/>
            <w:vAlign w:val="bottom"/>
          </w:tcPr>
          <w:p>
            <w:pPr>
              <w:ind w:left="20"/>
              <w:spacing w:after="0"/>
              <w:rPr>
                <w:sz w:val="20"/>
                <w:szCs w:val="20"/>
                <w:color w:val="auto"/>
              </w:rPr>
            </w:pPr>
            <w:r>
              <w:rPr>
                <w:rFonts w:ascii="Arial" w:cs="Arial" w:eastAsia="Arial" w:hAnsi="Arial"/>
                <w:sz w:val="18"/>
                <w:szCs w:val="18"/>
                <w:color w:val="auto"/>
              </w:rPr>
              <w:t>Total weight per shipment (in pounds)</w:t>
            </w:r>
          </w:p>
        </w:tc>
        <w:tc>
          <w:tcPr>
            <w:tcW w:w="82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1"/>
                <w:szCs w:val="21"/>
                <w:color w:val="auto"/>
              </w:rPr>
            </w:pPr>
          </w:p>
        </w:tc>
        <w:tc>
          <w:tcPr>
            <w:tcW w:w="1720" w:type="dxa"/>
            <w:vAlign w:val="bottom"/>
          </w:tcPr>
          <w:p>
            <w:pPr>
              <w:jc w:val="right"/>
              <w:ind w:right="72"/>
              <w:spacing w:after="0"/>
              <w:rPr>
                <w:sz w:val="20"/>
                <w:szCs w:val="20"/>
                <w:color w:val="auto"/>
              </w:rPr>
            </w:pPr>
            <w:r>
              <w:rPr>
                <w:rFonts w:ascii="Arial" w:cs="Arial" w:eastAsia="Arial" w:hAnsi="Arial"/>
                <w:sz w:val="18"/>
                <w:szCs w:val="18"/>
                <w:color w:val="auto"/>
              </w:rPr>
              <w:t>(0.8)%</w:t>
            </w:r>
          </w:p>
        </w:tc>
      </w:tr>
      <w:tr>
        <w:trPr>
          <w:trHeight w:val="825"/>
        </w:trPr>
        <w:tc>
          <w:tcPr>
            <w:tcW w:w="5680" w:type="dxa"/>
            <w:vAlign w:val="bottom"/>
          </w:tcPr>
          <w:p>
            <w:pPr>
              <w:ind w:left="168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4"/>
                <w:szCs w:val="24"/>
                <w:color w:val="auto"/>
              </w:rPr>
            </w:pPr>
          </w:p>
        </w:tc>
        <w:tc>
          <w:tcPr>
            <w:tcW w:w="980" w:type="dxa"/>
            <w:vAlign w:val="bottom"/>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7620</wp:posOffset>
            </wp:positionV>
            <wp:extent cx="472503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25035" cy="180340"/>
                    </a:xfrm>
                    <a:prstGeom prst="rect">
                      <a:avLst/>
                    </a:prstGeom>
                    <a:noFill/>
                  </pic:spPr>
                </pic:pic>
              </a:graphicData>
            </a:graphic>
          </wp:anchor>
        </w:drawing>
      </w:r>
    </w:p>
    <w:p>
      <w:pPr>
        <w:ind w:left="2200" w:hanging="180"/>
        <w:spacing w:after="0"/>
        <w:tabs>
          <w:tab w:leader="none" w:pos="220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Reconciliation of operating revenue to total picked up revenue:</w:t>
      </w:r>
    </w:p>
    <w:p>
      <w:pPr>
        <w:spacing w:after="0" w:line="56" w:lineRule="exact"/>
        <w:rPr>
          <w:sz w:val="20"/>
          <w:szCs w:val="20"/>
          <w:color w:val="auto"/>
        </w:rPr>
      </w:pPr>
    </w:p>
    <w:tbl>
      <w:tblPr>
        <w:tblLayout w:type="fixed"/>
        <w:tblInd w:w="2000" w:type="dxa"/>
        <w:tblCellMar>
          <w:top w:w="0" w:type="dxa"/>
          <w:left w:w="0" w:type="dxa"/>
          <w:bottom w:w="0" w:type="dxa"/>
          <w:right w:w="0" w:type="dxa"/>
        </w:tblCellMar>
      </w:tblPr>
      <w:tr>
        <w:trPr>
          <w:trHeight w:val="236"/>
        </w:trPr>
        <w:tc>
          <w:tcPr>
            <w:tcW w:w="4800" w:type="dxa"/>
            <w:vAlign w:val="bottom"/>
          </w:tcPr>
          <w:p>
            <w:pPr>
              <w:ind w:left="160"/>
              <w:spacing w:after="0"/>
              <w:rPr>
                <w:sz w:val="20"/>
                <w:szCs w:val="20"/>
                <w:color w:val="auto"/>
              </w:rPr>
            </w:pPr>
            <w:r>
              <w:rPr>
                <w:rFonts w:ascii="Arial" w:cs="Arial" w:eastAsia="Arial" w:hAnsi="Arial"/>
                <w:sz w:val="18"/>
                <w:szCs w:val="18"/>
                <w:color w:val="auto"/>
              </w:rPr>
              <w:t>Operating revenue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1,739.3</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1,776.9</w:t>
            </w:r>
          </w:p>
        </w:tc>
      </w:tr>
      <w:tr>
        <w:trPr>
          <w:trHeight w:val="276"/>
        </w:trPr>
        <w:tc>
          <w:tcPr>
            <w:tcW w:w="4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revenue deferral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color w:val="auto"/>
              </w:rPr>
              <w:t>Total picked up revenue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1,740.7</w:t>
            </w:r>
          </w:p>
        </w:tc>
        <w:tc>
          <w:tcPr>
            <w:tcW w:w="120" w:type="dxa"/>
            <w:vAlign w:val="bottom"/>
          </w:tcPr>
          <w:p>
            <w:pPr>
              <w:spacing w:after="0"/>
              <w:rPr>
                <w:sz w:val="21"/>
                <w:szCs w:val="21"/>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8890</wp:posOffset>
            </wp:positionV>
            <wp:extent cx="16725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5" w:lineRule="exact"/>
        <w:rPr>
          <w:sz w:val="20"/>
          <w:szCs w:val="20"/>
          <w:color w:val="auto"/>
        </w:rPr>
      </w:pPr>
    </w:p>
    <w:p>
      <w:pPr>
        <w:ind w:left="960" w:hanging="142"/>
        <w:spacing w:after="0"/>
        <w:tabs>
          <w:tab w:leader="none" w:pos="960" w:val="left"/>
        </w:tabs>
        <w:numPr>
          <w:ilvl w:val="0"/>
          <w:numId w:val="29"/>
        </w:numPr>
        <w:rPr>
          <w:rFonts w:ascii="Arial" w:cs="Arial" w:eastAsia="Arial" w:hAnsi="Arial"/>
          <w:sz w:val="9"/>
          <w:szCs w:val="9"/>
          <w:color w:val="auto"/>
        </w:rPr>
      </w:pPr>
      <w:r>
        <w:rPr>
          <w:rFonts w:ascii="Arial" w:cs="Arial" w:eastAsia="Arial" w:hAnsi="Arial"/>
          <w:sz w:val="14"/>
          <w:szCs w:val="14"/>
          <w:color w:val="auto"/>
        </w:rPr>
        <w:t>Does not equal financial statement revenue due to revenue adjustments for shipments in transit.</w:t>
      </w:r>
    </w:p>
    <w:p>
      <w:pPr>
        <w:spacing w:after="0" w:line="13" w:lineRule="exact"/>
        <w:rPr>
          <w:rFonts w:ascii="Arial" w:cs="Arial" w:eastAsia="Arial" w:hAnsi="Arial"/>
          <w:sz w:val="9"/>
          <w:szCs w:val="9"/>
          <w:color w:val="auto"/>
        </w:rPr>
      </w:pPr>
    </w:p>
    <w:p>
      <w:pPr>
        <w:ind w:left="940" w:hanging="122"/>
        <w:spacing w:after="0"/>
        <w:tabs>
          <w:tab w:leader="none" w:pos="940" w:val="left"/>
        </w:tabs>
        <w:numPr>
          <w:ilvl w:val="0"/>
          <w:numId w:val="29"/>
        </w:numPr>
        <w:rPr>
          <w:rFonts w:ascii="Arial" w:cs="Arial" w:eastAsia="Arial" w:hAnsi="Arial"/>
          <w:sz w:val="9"/>
          <w:szCs w:val="9"/>
          <w:color w:val="auto"/>
        </w:rPr>
      </w:pPr>
      <w:r>
        <w:rPr>
          <w:rFonts w:ascii="Arial" w:cs="Arial" w:eastAsia="Arial" w:hAnsi="Arial"/>
          <w:sz w:val="14"/>
          <w:szCs w:val="14"/>
          <w:color w:val="auto"/>
        </w:rPr>
        <w:t>Percent change based on unrounded figures and not rounded figures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-208915</wp:posOffset>
            </wp:positionV>
            <wp:extent cx="16725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Operating income for Regional Transportation was $81.3 million for the year ended December 31, 2016, a decrease of $4.1 million from the same period in 2015, which consisted of a $37.6 million decrease in revenue and a $33.5 million decrease in operating expenses. The decrease in operating expense consisted primarily of lower fuel costs and a reduction in liability claims expense.</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Salaries, wages and employee benefits. </w:t>
      </w:r>
      <w:r>
        <w:rPr>
          <w:rFonts w:ascii="Arial" w:cs="Arial" w:eastAsia="Arial" w:hAnsi="Arial"/>
          <w:sz w:val="17"/>
          <w:szCs w:val="17"/>
          <w:color w:val="auto"/>
        </w:rPr>
        <w:t>Salaries, wages and employee benefits increased $5.4 million, or 0.5%, primarily due to an increase of $11.4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union and non-union employee benefit costs due to contractual rate increases and higher usage, respectively, offset by a net decrease of $4.6 million in salaries and wages. The decrease in salaries and wages was principally related to a Regional Transportation segment profit sharing bonus that was paid to eligible union employees in 2015, with no similar bonus paid in 2016, offset by an overall increase in annual wage rates.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i w:val="1"/>
          <w:iCs w:val="1"/>
          <w:color w:val="auto"/>
        </w:rPr>
        <w:t>Fuel, operating expenses and supplies</w:t>
      </w:r>
      <w:r>
        <w:rPr>
          <w:rFonts w:ascii="Arial" w:cs="Arial" w:eastAsia="Arial" w:hAnsi="Arial"/>
          <w:sz w:val="18"/>
          <w:szCs w:val="18"/>
          <w:color w:val="auto"/>
        </w:rPr>
        <w:t>. Fuel, operating expenses and supplies decreased $30.8 million, or 8.8%, primarily due to a $26.1 million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fuel expenses driven by lower fuel prices on a per gallon basis, as well as fewer miles driven.</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Purchased Transportation. </w:t>
      </w:r>
      <w:r>
        <w:rPr>
          <w:rFonts w:ascii="Arial" w:cs="Arial" w:eastAsia="Arial" w:hAnsi="Arial"/>
          <w:sz w:val="17"/>
          <w:szCs w:val="17"/>
          <w:color w:val="auto"/>
        </w:rPr>
        <w:t>Purchased transportation increased $9.8 million, or 8.0%, primarily due to a $13.6 million increase in vehicle rent expense</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from higher usage of leased revenue equipment. This was offset by a decrease of $3.2 million in local purchased transportation.</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decreased $17.5 million, or 16.3%, primarily due to a decrease of $15.5 million in our liability claims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due to favorable development on our prior year outstanding claims in 2016, as compared to 2015.</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Certain Non-GAAP Financial Measures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the “Our Business” section, we use certain non-GAAP financial measures to assess performance. These measures should be considered in addition to the results prepared in accordance with GAAP, but should not be considered a substitute for, or superior to, our GAAP financial measures. For segment Adjusted EBITDA, we present the reconciliation from operating income (loss) to Adjusted EBITDA as it is consistent with how we measure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net income (loss) to EBITDA and EBITDA to Adjusted EBITDA (defined in our Term Loan Agreement as “Consolidated EBITDA”)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2017, 2016 and 2015 is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net income (loss) to Adjusted EBITDA:</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0.7</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107.1</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Income tax expense (benefit)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163.7</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287.4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266.4</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for Term Loan Agreement: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Restructuring professional fees</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0.2</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costs related to issuances of debt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Nonrecurring consulting fees</w:t>
            </w:r>
          </w:p>
        </w:tc>
        <w:tc>
          <w:tcPr>
            <w:tcW w:w="3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5.1</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Permitted dispositions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8.5</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ratification bonus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Non-union pension settlement charge</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28.7</w:t>
            </w: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274.2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297.5</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333.3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17145</wp:posOffset>
            </wp:positionV>
            <wp:extent cx="29159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-98425</wp:posOffset>
            </wp:positionV>
            <wp:extent cx="29159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Adjusted EBITDA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Adjusted EBITDA by segment for the years ended December 31, 2017, 2016 and 2015: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2"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2"/>
        </w:trPr>
        <w:tc>
          <w:tcPr>
            <w:tcW w:w="6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 by segment:</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YRC Freight</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137.8</w:t>
            </w:r>
          </w:p>
        </w:tc>
        <w:tc>
          <w:tcPr>
            <w:tcW w:w="120" w:type="dxa"/>
            <w:vAlign w:val="bottom"/>
          </w:tcPr>
          <w:p>
            <w:pPr>
              <w:spacing w:after="0"/>
              <w:rPr>
                <w:sz w:val="21"/>
                <w:szCs w:val="21"/>
                <w:color w:val="auto"/>
              </w:rPr>
            </w:pP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140.1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167.2</w:t>
            </w:r>
          </w:p>
        </w:tc>
      </w:tr>
      <w:tr>
        <w:trPr>
          <w:trHeight w:val="27"/>
        </w:trPr>
        <w:tc>
          <w:tcPr>
            <w:tcW w:w="6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Regional Transportation</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136.4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165.9</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Corporate and other</w:t>
            </w:r>
          </w:p>
        </w:tc>
        <w:tc>
          <w:tcPr>
            <w:tcW w:w="9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0.2</w:t>
            </w:r>
          </w:p>
        </w:tc>
      </w:tr>
      <w:tr>
        <w:trPr>
          <w:trHeight w:val="27"/>
        </w:trPr>
        <w:tc>
          <w:tcPr>
            <w:tcW w:w="6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274.2</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297.5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reconciliation of operating income, by segment, to Adjusted EBITDA for the years ended December 31, 2017, 2016 and 2015 is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YRC Freight segment (in millions)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income to Adjusted EBITDA: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18.0</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93.1</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Nonrecurring consulting fees</w:t>
            </w:r>
          </w:p>
        </w:tc>
        <w:tc>
          <w:tcPr>
            <w:tcW w:w="3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5.1</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ratification bonus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Non-union pension settlement charge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28.7</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2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17145</wp:posOffset>
            </wp:positionV>
            <wp:extent cx="28644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9"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-98425</wp:posOffset>
            </wp:positionV>
            <wp:extent cx="28644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Regional Transportation segment (in millions)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income to Adjusted EBITDA: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85.4</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Losses on property disposals, net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Amortization of ratification bonus</w:t>
            </w:r>
          </w:p>
        </w:tc>
        <w:tc>
          <w:tcPr>
            <w:tcW w:w="3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6.7</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2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17145</wp:posOffset>
            </wp:positionV>
            <wp:extent cx="28644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9"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-98425</wp:posOffset>
            </wp:positionV>
            <wp:extent cx="28644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Corporate (in millions)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of operating loss to Adjusted EBITDA:</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Gains on property disposals, net</w:t>
            </w:r>
          </w:p>
        </w:tc>
        <w:tc>
          <w:tcPr>
            <w:tcW w:w="3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Letter of credit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Restructuring professional fees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Permitted dispositions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Equity-based compensation expense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8.5</w:t>
            </w:r>
          </w:p>
        </w:tc>
      </w:tr>
      <w:tr>
        <w:trPr>
          <w:trHeight w:val="27"/>
        </w:trPr>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26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net</w:t>
            </w:r>
            <w:r>
              <w:rPr>
                <w:rFonts w:ascii="Arial" w:cs="Arial" w:eastAsia="Arial" w:hAnsi="Arial"/>
                <w:sz w:val="25"/>
                <w:szCs w:val="25"/>
                <w:color w:val="auto"/>
                <w:vertAlign w:val="superscript"/>
              </w:rPr>
              <w:t>(a)</w:t>
            </w:r>
          </w:p>
        </w:tc>
        <w:tc>
          <w:tcPr>
            <w:tcW w:w="3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17145</wp:posOffset>
            </wp:positionV>
            <wp:extent cx="28644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 required under our Term Loan Agreement, other, net, shown above consists of the impact of certain items to be included in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-98425</wp:posOffset>
            </wp:positionV>
            <wp:extent cx="28644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752" w:right="43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principal sources of liquidity are cash and cash equivalents, available borrowings under our ABL Facility and any prospective net cash flow from operations. As of December 31, 2017, our availability under our ABL Facility was $68.9 million, which is derived by reducing the amount that may be advanced against eligible receivables plus eligible borrowing base cash by certain reserves imposed by the ABL Agent and our $352.6 million of outstanding letters of credit. Our Managed Accessibility was $26.7 million, which is the measure of availability management uses based on the ABL requirement to maintain availability in an amount at least equal to or above 10% of the collateral line cap if the fixed charge coverage ratio falls below 1.10. Our cash and cash equivalents and Managed Accessibility was $118.3 million as of December 31, 2017.</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2016, our availability under our ABL Facility was $89.0 million. Of the $89.0 million in availability, Managed Accessibility was $44.4 million. Our cash and cash equivalents and Managed Accessibility was $181.1 million as of December 31, 2016.</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Outside of funding normal operations, our principal uses of cash include making contributions to our single-employer pension plans and various multi-employer pension funds, and meeting our other cash obligations, including, but not limited to, paying principal and interest on our funded debt, payments on equipment leases and funding capital expenditures.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our Standard &amp; Poor’s Corporate Family Rating was “B-”with a stable outlook and Moody’s Investor Service Corporate Family Rating was “B3” with a positive outlook.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Covenants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Loan Agreement governing our Term Loan has certain financial covenants, as amended on July 26, 2017, that, among other things, restrict certain capital expenditures and require us to comply with a maximum total leverage ratio covenant (defined as Consolidated Total Debt divided by Consolidated Adjusted EBITDA as defined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total maximum leverage ratio covenants are as follows:</w:t>
      </w:r>
    </w:p>
    <w:p>
      <w:pPr>
        <w:spacing w:after="0" w:line="366"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Four Consecutive Fiscal Quarters Ending</w:t>
            </w:r>
          </w:p>
        </w:tc>
        <w:tc>
          <w:tcPr>
            <w:tcW w:w="40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Maximum Total</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0" w:type="dxa"/>
            <w:vAlign w:val="bottom"/>
          </w:tcPr>
          <w:p>
            <w:pPr>
              <w:spacing w:after="0"/>
              <w:rPr>
                <w:sz w:val="1"/>
                <w:szCs w:val="1"/>
                <w:color w:val="auto"/>
              </w:rPr>
            </w:pPr>
          </w:p>
        </w:tc>
      </w:tr>
      <w:tr>
        <w:trPr>
          <w:trHeight w:val="192"/>
        </w:trPr>
        <w:tc>
          <w:tcPr>
            <w:tcW w:w="2720" w:type="dxa"/>
            <w:vAlign w:val="bottom"/>
            <w:tcBorders>
              <w:bottom w:val="single" w:sz="8" w:color="auto"/>
            </w:tcBorders>
            <w:vMerge w:val="continue"/>
          </w:tcPr>
          <w:p>
            <w:pPr>
              <w:spacing w:after="0"/>
              <w:rPr>
                <w:sz w:val="16"/>
                <w:szCs w:val="16"/>
                <w:color w:val="auto"/>
              </w:rPr>
            </w:pPr>
          </w:p>
        </w:tc>
        <w:tc>
          <w:tcPr>
            <w:tcW w:w="4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9"/>
              </w:rPr>
              <w:t>Leverage Ratio    Four Consecutive Fiscal Quarters Ending</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4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3.50 to 1.00   December 31, 2019</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March 31, 2018</w:t>
            </w:r>
          </w:p>
        </w:tc>
        <w:tc>
          <w:tcPr>
            <w:tcW w:w="4080" w:type="dxa"/>
            <w:vAlign w:val="bottom"/>
            <w:gridSpan w:val="2"/>
          </w:tcPr>
          <w:p>
            <w:pPr>
              <w:ind w:left="220"/>
              <w:spacing w:after="0"/>
              <w:rPr>
                <w:sz w:val="20"/>
                <w:szCs w:val="20"/>
                <w:color w:val="auto"/>
              </w:rPr>
            </w:pPr>
            <w:r>
              <w:rPr>
                <w:rFonts w:ascii="Arial" w:cs="Arial" w:eastAsia="Arial" w:hAnsi="Arial"/>
                <w:sz w:val="18"/>
                <w:szCs w:val="18"/>
                <w:color w:val="auto"/>
              </w:rPr>
              <w:t>3.50 to 1.00   March 31, 2020</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2018</w:t>
            </w:r>
          </w:p>
        </w:tc>
        <w:tc>
          <w:tcPr>
            <w:tcW w:w="1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3.50 to 1.00</w:t>
            </w:r>
          </w:p>
        </w:tc>
        <w:tc>
          <w:tcPr>
            <w:tcW w:w="2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June 30, 2020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September 30, 2018</w:t>
            </w:r>
          </w:p>
        </w:tc>
        <w:tc>
          <w:tcPr>
            <w:tcW w:w="4080" w:type="dxa"/>
            <w:vAlign w:val="bottom"/>
            <w:gridSpan w:val="2"/>
          </w:tcPr>
          <w:p>
            <w:pPr>
              <w:ind w:left="220"/>
              <w:spacing w:after="0"/>
              <w:rPr>
                <w:sz w:val="20"/>
                <w:szCs w:val="20"/>
                <w:color w:val="auto"/>
              </w:rPr>
            </w:pPr>
            <w:r>
              <w:rPr>
                <w:rFonts w:ascii="Arial" w:cs="Arial" w:eastAsia="Arial" w:hAnsi="Arial"/>
                <w:sz w:val="18"/>
                <w:szCs w:val="18"/>
                <w:color w:val="auto"/>
              </w:rPr>
              <w:t>3.50 to 1.00   September 30, 2020</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2.75 to 1.00</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08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4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3.50 to 1.00   December 31, 2020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2.75 to 1.00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March 31, 2019</w:t>
            </w:r>
          </w:p>
        </w:tc>
        <w:tc>
          <w:tcPr>
            <w:tcW w:w="1200" w:type="dxa"/>
            <w:vAlign w:val="bottom"/>
          </w:tcPr>
          <w:p>
            <w:pPr>
              <w:ind w:left="220"/>
              <w:spacing w:after="0"/>
              <w:rPr>
                <w:sz w:val="20"/>
                <w:szCs w:val="20"/>
                <w:color w:val="auto"/>
              </w:rPr>
            </w:pPr>
            <w:r>
              <w:rPr>
                <w:rFonts w:ascii="Arial" w:cs="Arial" w:eastAsia="Arial" w:hAnsi="Arial"/>
                <w:sz w:val="18"/>
                <w:szCs w:val="18"/>
                <w:color w:val="auto"/>
              </w:rPr>
              <w:t>3.25 to 1.00</w:t>
            </w:r>
          </w:p>
        </w:tc>
        <w:tc>
          <w:tcPr>
            <w:tcW w:w="2880" w:type="dxa"/>
            <w:vAlign w:val="bottom"/>
          </w:tcPr>
          <w:p>
            <w:pPr>
              <w:ind w:left="120"/>
              <w:spacing w:after="0"/>
              <w:rPr>
                <w:sz w:val="20"/>
                <w:szCs w:val="20"/>
                <w:color w:val="auto"/>
              </w:rPr>
            </w:pPr>
            <w:r>
              <w:rPr>
                <w:rFonts w:ascii="Arial" w:cs="Arial" w:eastAsia="Arial" w:hAnsi="Arial"/>
                <w:sz w:val="18"/>
                <w:szCs w:val="18"/>
                <w:color w:val="auto"/>
              </w:rPr>
              <w:t>March 31, 2021</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2.75 to 1.00</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2019</w:t>
            </w:r>
          </w:p>
        </w:tc>
        <w:tc>
          <w:tcPr>
            <w:tcW w:w="1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3.25 to 1.00</w:t>
            </w:r>
          </w:p>
        </w:tc>
        <w:tc>
          <w:tcPr>
            <w:tcW w:w="2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June 30, 2021 and thereafter</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2.50 to 1.00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September 30, 2019</w:t>
            </w:r>
          </w:p>
        </w:tc>
        <w:tc>
          <w:tcPr>
            <w:tcW w:w="1200" w:type="dxa"/>
            <w:vAlign w:val="bottom"/>
          </w:tcPr>
          <w:p>
            <w:pPr>
              <w:ind w:left="220"/>
              <w:spacing w:after="0"/>
              <w:rPr>
                <w:sz w:val="20"/>
                <w:szCs w:val="20"/>
                <w:color w:val="auto"/>
              </w:rPr>
            </w:pPr>
            <w:r>
              <w:rPr>
                <w:rFonts w:ascii="Arial" w:cs="Arial" w:eastAsia="Arial" w:hAnsi="Arial"/>
                <w:sz w:val="18"/>
                <w:szCs w:val="18"/>
                <w:color w:val="auto"/>
              </w:rPr>
              <w:t>3.25 to 1.00</w:t>
            </w:r>
          </w:p>
        </w:tc>
        <w:tc>
          <w:tcPr>
            <w:tcW w:w="28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 to our “Debt and Financing” footnote of our consolidated financial statements for a description of Consolidated Adjusted EBITDA, defined in our Term Loan Agreement as “Consolidated EBITDA.” Consolidated Total Debt, as defined in our Term Loan Agreement, is the principal amount of indebtedness outstanding. Our total leverage ratio for the four quarters ending December 31, 2017 was 3.38 to 1.00.</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believe that our results of operations will be sufficient to allow us to comply with the covenants in the Term Loan Agreement. Given our recent amendment to extend our Second A&amp;R CDA, we have improved our overall financial position as our nearest term maturity is now beyond 2020. We expect that our cash and cash equivalents, improvements in operating results and availability under our ABL Facility will be sufficient to allow us to fund our normal operations, increase working capital to support our planned revenue growth, and fund capital expenditures (and long-term leases, where applicable) for at least the next twelve months. Our ability to satisfy our liquidity needs and meet future stepped-up covenants beyond the next twelve months is dependent upon our ability to achieve operating results that reflect improvement over our 2017 results. Means for improving our profitability may include ongoing successful implementation and realization of pricing actions, combined with a balanced strategy for volume, productivity and efficiency initiatives, continued reinvestment in revenue equipment and technology, reduced usage of third party local purchased transportation providers, and successful hiring and retention of drivers, some of which are outside of our control.</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2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 from operations decreased by $43.1 million to $60.7 million for the year ended December 31, 2017 compared to $103.8 million for the year ended December 31, 2016. The decrease in operating cash flows is primarily related to a $27.5 million decrease in cash flow from net income (loss) and a $14.9 million decrease in cash flow related to working capital.</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flow from operations decreased by $37.7 million to $103.8 million for the year ended December 31, 2016 compared to $147.6 million for the year ended December 31, 2015. The decrease in operating cash flow is primarily related to a $61.7 million decrease in cash flow from accounts receivable, offset by a $20.8 million year-over-year improvement in net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Investing cash flows used $9.6 million of cash in 2017 compared to $67.7 million in 2016, primarily due to the net receipt of $84.9 million in restricted escrow refunds in 2017 compared to a net payment of $16.8 million in 2016. Offsetting this increase, net proceeds from the disposal of property and equipment decreased $26.3 million, and cash flows in 2016 included $14.6 million in net proceeds from the sale of JHJ with no similar cash flow in 2017. See a detailed discussion of 2017 and 2016 capital expenditures below in “Capital Expenditures” for further information.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Investing cash flows used $67.7 million in 2016 compared to $121.4 million of cash in 2015, primarily due to an increase of $17.6 million in proceeds from the disposal of property and equipment resulting from significant property sales in 2016 and proceeds of $14.6 million related to the sale of JHJ. This was offset by an increase of $16.3 million in net amounts deposited into our restricted escrow account. See a detailed discussion of 2016 and 2015 capital expenditures below in “Capital Expenditures” for further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Cash Flow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financing activities for 2017 was $96.2 million, which consists primarily of $79.3 million in repayments of our long-term debt, of which $61.9 million was in addition to regularly scheduled principal payments, as well as $14.5 million in debt issuance costs incurred during the year related to our financing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for 2016 was $73.2 million, of which $70.7 million consisted of repayments of our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for 2015 was $23.5 million, which consists solely in repayments of our long-term debt.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capital expenditures focus primarily on the replacement of revenue equipment, improvements to structures, and investments in information technology. Our business is capital intensive with significant investments in tractors, trailers, refurbished engines, and service center facilities. We determine the amount and timing of capital expenditures based on numerous factors, including fleet age, service center condition, viability of IT systems, anticipated liquidity levels, economic conditions, new or expanded services, regulatory actions and availability of financing.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actual net capital expenditures (proceeds) by type of investment for the years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Revenue equipment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49.8</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Land and structures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w:t>
            </w: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36.5</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w:t>
            </w:r>
          </w:p>
        </w:tc>
      </w:tr>
      <w:tr>
        <w:trPr>
          <w:trHeight w:val="237"/>
        </w:trPr>
        <w:tc>
          <w:tcPr>
            <w:tcW w:w="6700" w:type="dxa"/>
            <w:vAlign w:val="bottom"/>
          </w:tcPr>
          <w:p>
            <w:pPr>
              <w:ind w:left="360"/>
              <w:spacing w:after="0"/>
              <w:rPr>
                <w:sz w:val="20"/>
                <w:szCs w:val="20"/>
                <w:color w:val="auto"/>
              </w:rPr>
            </w:pPr>
            <w:r>
              <w:rPr>
                <w:rFonts w:ascii="Arial" w:cs="Arial" w:eastAsia="Arial" w:hAnsi="Arial"/>
                <w:sz w:val="18"/>
                <w:szCs w:val="18"/>
                <w:color w:val="auto"/>
              </w:rPr>
              <w:t>Total capital expenditures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108.0</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disposal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Revenue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Land and structures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670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6700" w:type="dxa"/>
            <w:vAlign w:val="bottom"/>
          </w:tcPr>
          <w:p>
            <w:pPr>
              <w:ind w:left="360"/>
              <w:spacing w:after="0"/>
              <w:rPr>
                <w:sz w:val="20"/>
                <w:szCs w:val="20"/>
                <w:color w:val="auto"/>
              </w:rPr>
            </w:pPr>
            <w:r>
              <w:rPr>
                <w:rFonts w:ascii="Arial" w:cs="Arial" w:eastAsia="Arial" w:hAnsi="Arial"/>
                <w:sz w:val="18"/>
                <w:szCs w:val="18"/>
                <w:color w:val="auto"/>
              </w:rPr>
              <w:t>Total proceeds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capital expenditures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capital expenditures for revenue equipment were used primarily to fund the purchase of used tractors and trailers and to refurbish engines for our revenue fleet.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2017, we entered into new operating lease commitments for revenue equipment totaling $108.4 million, with such payments to be made over the average lease term of 5 years. As of December 31, 2017, our operating lease obligations through 2030 totaled $352.5 million and are expected to increase as we lease additional revenue equipment in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Other Commercial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sections provide aggregated information regarding our contractual obligations and commercial commitments as of December 31,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Non-Union Pension Obligations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provide defined benefit pension plans for certain employees not covered by collective bargaining agreements. The Yellow Transportation and Roadway qualified plans cover approximately 9,000 employees including those currently receiving benefits and those who have left the company with deferred benefits. On January 1, 2004, the existing qualified benefit plans were closed to new participants. On July 1, 2008, the benefit accrual for participants was frozen.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we adopted the legislative changes provided by the Bipartisan Budget Act of 2015 (“BBA 2015”) which was signed into law on November 2, 2015. This legislation extends the use of longer-term, stabilized interest rate assumptions for measuring pension obligations under the minimum funding requirements. We expect to make the plan contributions as required by BBA 2015 and other regulations.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2017, the Company amended the domestic qualified pension plans to provide for an automatic commencement of benefit at age 65, regardless of employment status. Additionally, the Yellow Transportation Plan was amended to permit the payment of lump sum benefit payments effective January 1, 2018. These amendments are consistent with the Company’s continued long-term strategy of de-risking the qualified pension plans.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30" w:right="239" w:bottom="1440" w:gutter="0" w:footer="0" w:header="0"/>
        </w:sectPr>
      </w:pPr>
    </w:p>
    <w:bookmarkStart w:id="37" w:name="page38"/>
    <w:bookmarkEnd w:id="37"/>
    <w:p>
      <w:pPr>
        <w:spacing w:after="0" w:line="291" w:lineRule="auto"/>
        <w:rPr>
          <w:sz w:val="20"/>
          <w:szCs w:val="20"/>
          <w:color w:val="auto"/>
        </w:rPr>
      </w:pPr>
      <w:r>
        <w:rPr>
          <w:rFonts w:ascii="Arial" w:cs="Arial" w:eastAsia="Arial" w:hAnsi="Arial"/>
          <w:sz w:val="16"/>
          <w:szCs w:val="16"/>
          <w:color w:val="auto"/>
        </w:rPr>
        <w:t>During 2017, our net pension expense was $20.3 million. This amount included a $7.6 million expense recognition of settlements from lump sum payouts during the year, primarily driven by the plan amendments summarized in the preceding paragraph for the automatic commencement of pension benefit at age</w:t>
      </w:r>
    </w:p>
    <w:p>
      <w:pPr>
        <w:jc w:val="both"/>
        <w:ind w:firstLine="8"/>
        <w:spacing w:after="0" w:line="292" w:lineRule="auto"/>
        <w:tabs>
          <w:tab w:leader="none" w:pos="27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non-cash settlement charge is reflected in salaries,wages and employee benefits as a result of the requirement to expense the unrecognized actuarial losses associated with the lump sum settlements. Our cash contributions were $68.0 million. Using our current plan assumptions, which include an assumed 7.0% return on assets and a weighted average discount rate of 3.77%, we expect to record expense of $20.1 million for the year ended December 31, 2018. As a result of the amendment to permit the option for lump sum benefit payments, the Company believes the lump sum settlement threshold will be triggered in 2018. Upon exceeding the lump sum settlement threshold, a remeasurement of the accrual pension obligation will be required.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We expect our cash contributions for our non-union sponsored pension plans for the next five years to be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6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Expected Cash Contributions</w:t>
            </w:r>
          </w:p>
        </w:tc>
      </w:tr>
      <w:tr>
        <w:trPr>
          <w:trHeight w:val="250"/>
        </w:trPr>
        <w:tc>
          <w:tcPr>
            <w:tcW w:w="51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2018</w:t>
            </w:r>
          </w:p>
        </w:tc>
        <w:tc>
          <w:tcPr>
            <w:tcW w:w="5160" w:type="dxa"/>
            <w:vAlign w:val="bottom"/>
            <w:tcBorders>
              <w:bottom w:val="single" w:sz="8" w:color="BFE4FF"/>
            </w:tcBorders>
            <w:shd w:val="clear" w:color="auto" w:fill="BFE4FF"/>
          </w:tcPr>
          <w:p>
            <w:pPr>
              <w:jc w:val="right"/>
              <w:ind w:right="61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25.4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2019</w:t>
            </w:r>
          </w:p>
        </w:tc>
        <w:tc>
          <w:tcPr>
            <w:tcW w:w="5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19.8</w:t>
            </w:r>
          </w:p>
        </w:tc>
      </w:tr>
      <w:tr>
        <w:trPr>
          <w:trHeight w:val="27"/>
        </w:trPr>
        <w:tc>
          <w:tcPr>
            <w:tcW w:w="5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2020</w:t>
            </w:r>
          </w:p>
        </w:tc>
        <w:tc>
          <w:tcPr>
            <w:tcW w:w="51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15.2</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2021</w:t>
            </w:r>
          </w:p>
        </w:tc>
        <w:tc>
          <w:tcPr>
            <w:tcW w:w="51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51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40" w:type="dxa"/>
            <w:vAlign w:val="bottom"/>
            <w:shd w:val="clear" w:color="auto" w:fill="BFE4FF"/>
          </w:tcPr>
          <w:p>
            <w:pPr>
              <w:ind w:left="40"/>
              <w:spacing w:after="0"/>
              <w:rPr>
                <w:sz w:val="20"/>
                <w:szCs w:val="20"/>
                <w:color w:val="auto"/>
              </w:rPr>
            </w:pPr>
            <w:r>
              <w:rPr>
                <w:rFonts w:ascii="Arial" w:cs="Arial" w:eastAsia="Arial" w:hAnsi="Arial"/>
                <w:sz w:val="18"/>
                <w:szCs w:val="18"/>
                <w:color w:val="auto"/>
              </w:rPr>
              <w:t>2022</w:t>
            </w:r>
          </w:p>
        </w:tc>
        <w:tc>
          <w:tcPr>
            <w:tcW w:w="5160" w:type="dxa"/>
            <w:vAlign w:val="bottom"/>
            <w:shd w:val="clear" w:color="auto" w:fill="BFE4FF"/>
          </w:tcPr>
          <w:p>
            <w:pPr>
              <w:spacing w:after="0"/>
              <w:rPr>
                <w:sz w:val="21"/>
                <w:szCs w:val="21"/>
                <w:color w:val="auto"/>
              </w:rPr>
            </w:pPr>
          </w:p>
        </w:tc>
        <w:tc>
          <w:tcPr>
            <w:tcW w:w="112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17.6</w:t>
            </w:r>
          </w:p>
        </w:tc>
      </w:tr>
      <w:tr>
        <w:trPr>
          <w:trHeight w:val="27"/>
        </w:trPr>
        <w:tc>
          <w:tcPr>
            <w:tcW w:w="5140" w:type="dxa"/>
            <w:vAlign w:val="bottom"/>
            <w:shd w:val="clear" w:color="auto" w:fill="BFE4FF"/>
          </w:tcPr>
          <w:p>
            <w:pPr>
              <w:spacing w:after="0"/>
              <w:rPr>
                <w:sz w:val="2"/>
                <w:szCs w:val="2"/>
                <w:color w:val="auto"/>
              </w:rPr>
            </w:pPr>
          </w:p>
        </w:tc>
        <w:tc>
          <w:tcPr>
            <w:tcW w:w="5160" w:type="dxa"/>
            <w:vAlign w:val="bottom"/>
            <w:shd w:val="clear" w:color="auto" w:fill="BFE4FF"/>
          </w:tcPr>
          <w:p>
            <w:pPr>
              <w:spacing w:after="0"/>
              <w:rPr>
                <w:sz w:val="2"/>
                <w:szCs w:val="2"/>
                <w:color w:val="auto"/>
              </w:rPr>
            </w:pPr>
          </w:p>
        </w:tc>
        <w:tc>
          <w:tcPr>
            <w:tcW w:w="1120" w:type="dxa"/>
            <w:vAlign w:val="bottom"/>
            <w:shd w:val="clear" w:color="auto" w:fill="BFE4FF"/>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investment strategy for our pension assets and our related pension contribution funding obligation includes an active interest rate hedging program designed to mitigate the impact of changes in interest rates on each plan’s funded position. If the pension discount rate falls, our investment strategy is designed to significantly mitigate such interest rate risk to each pension plan’s funded status and our contribution funding obligation. Conversely, if the pension discount rate rises, some portion of the beneficial impact of a rising discount rate on the pension liability will be forgone. The investment program is dynamic and the hedging program is designed to adapt to market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If future actual asset returns fall short of the 7.0% assumption by 1.0% per year, total cash contributions would be $9.9 million higher over the next five years.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If future actual asset returns exceed the 7.0% assumption by 1.0% per year, total cash contributions would be $13.7 million lower over the next five years.</w:t>
      </w:r>
    </w:p>
    <w:p>
      <w:pPr>
        <w:spacing w:after="0" w:line="23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future interest rates decrease 100 basis points from January 1, 2018 levels, total cash contributions would be $47.0 million lower over the next five years. This reflects our liability hedging strategy and the impact of BBA 2015 legislation. The liability hedging strategy results in additional asset returns from decreases in interest rates. However, BBA 2015 limits the increase in liabilities from lower interest rates such that the net effect is lower contributions. If interest rates increase 100 basis points from January 1, 2018 levels, total cash contributions would be $38.4 million higher over the next five years.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3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Contractual Cash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our cash outflows that we are contractually obligated to make as of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2"/>
                <w:szCs w:val="22"/>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Less than 1 year</w:t>
            </w:r>
          </w:p>
        </w:tc>
        <w:tc>
          <w:tcPr>
            <w:tcW w:w="28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1-3 years</w:t>
            </w:r>
          </w:p>
        </w:tc>
        <w:tc>
          <w:tcPr>
            <w:tcW w:w="280" w:type="dxa"/>
            <w:vAlign w:val="bottom"/>
          </w:tcPr>
          <w:p>
            <w:pPr>
              <w:spacing w:after="0"/>
              <w:rPr>
                <w:sz w:val="22"/>
                <w:szCs w:val="22"/>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22"/>
                <w:szCs w:val="22"/>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rPr>
              <w:t>After 5 years</w:t>
            </w:r>
          </w:p>
        </w:tc>
      </w:tr>
      <w:tr>
        <w:trPr>
          <w:trHeight w:val="270"/>
        </w:trPr>
        <w:tc>
          <w:tcPr>
            <w:tcW w:w="3540" w:type="dxa"/>
            <w:vAlign w:val="bottom"/>
            <w:tcBorders>
              <w:top w:val="single" w:sz="8" w:color="auto"/>
            </w:tcBorders>
            <w:shd w:val="clear" w:color="auto" w:fill="CCEEFF"/>
          </w:tcPr>
          <w:p>
            <w:pPr>
              <w:ind w:left="380"/>
              <w:spacing w:after="0" w:line="270" w:lineRule="exact"/>
              <w:rPr>
                <w:sz w:val="20"/>
                <w:szCs w:val="20"/>
                <w:color w:val="auto"/>
              </w:rPr>
            </w:pPr>
            <w:r>
              <w:rPr>
                <w:rFonts w:ascii="Arial" w:cs="Arial" w:eastAsia="Arial" w:hAnsi="Arial"/>
                <w:sz w:val="18"/>
                <w:szCs w:val="18"/>
                <w:color w:val="auto"/>
              </w:rPr>
              <w:t>ABL Facility</w:t>
            </w:r>
            <w:r>
              <w:rPr>
                <w:rFonts w:ascii="Arial" w:cs="Arial" w:eastAsia="Arial" w:hAnsi="Arial"/>
                <w:sz w:val="25"/>
                <w:szCs w:val="25"/>
                <w:color w:val="auto"/>
                <w:vertAlign w:val="superscript"/>
              </w:rPr>
              <w:t>(a)</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26.3</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tcPr>
          <w:p>
            <w:pPr>
              <w:ind w:left="360"/>
              <w:spacing w:after="0" w:line="270" w:lineRule="exact"/>
              <w:rPr>
                <w:sz w:val="20"/>
                <w:szCs w:val="20"/>
                <w:color w:val="auto"/>
              </w:rPr>
            </w:pPr>
            <w:r>
              <w:rPr>
                <w:rFonts w:ascii="Arial" w:cs="Arial" w:eastAsia="Arial" w:hAnsi="Arial"/>
                <w:sz w:val="18"/>
                <w:szCs w:val="18"/>
                <w:color w:val="auto"/>
              </w:rPr>
              <w:t>Term Loan</w:t>
            </w:r>
            <w:r>
              <w:rPr>
                <w:rFonts w:ascii="Arial" w:cs="Arial" w:eastAsia="Arial" w:hAnsi="Arial"/>
                <w:sz w:val="25"/>
                <w:szCs w:val="25"/>
                <w:color w:val="auto"/>
                <w:vertAlign w:val="superscript"/>
              </w:rPr>
              <w:t>(b)</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856.1</w:t>
            </w:r>
          </w:p>
        </w:tc>
        <w:tc>
          <w:tcPr>
            <w:tcW w:w="28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626.4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Lease financing obligations</w:t>
            </w:r>
            <w:r>
              <w:rPr>
                <w:rFonts w:ascii="Arial" w:cs="Arial" w:eastAsia="Arial" w:hAnsi="Arial"/>
                <w:sz w:val="25"/>
                <w:szCs w:val="25"/>
                <w:color w:val="auto"/>
                <w:vertAlign w:val="superscript"/>
              </w:rPr>
              <w:t>(c)</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97.1</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12.5</w:t>
            </w:r>
          </w:p>
        </w:tc>
      </w:tr>
      <w:tr>
        <w:trPr>
          <w:trHeight w:val="270"/>
        </w:trPr>
        <w:tc>
          <w:tcPr>
            <w:tcW w:w="3540" w:type="dxa"/>
            <w:vAlign w:val="bottom"/>
          </w:tcPr>
          <w:p>
            <w:pPr>
              <w:ind w:left="380"/>
              <w:spacing w:after="0" w:line="270" w:lineRule="exact"/>
              <w:rPr>
                <w:sz w:val="20"/>
                <w:szCs w:val="20"/>
                <w:color w:val="auto"/>
              </w:rPr>
            </w:pPr>
            <w:r>
              <w:rPr>
                <w:rFonts w:ascii="Arial" w:cs="Arial" w:eastAsia="Arial" w:hAnsi="Arial"/>
                <w:sz w:val="18"/>
                <w:szCs w:val="18"/>
                <w:color w:val="auto"/>
              </w:rPr>
              <w:t>Pension deferral obligations</w:t>
            </w:r>
            <w:r>
              <w:rPr>
                <w:rFonts w:ascii="Arial" w:cs="Arial" w:eastAsia="Arial" w:hAnsi="Arial"/>
                <w:sz w:val="25"/>
                <w:szCs w:val="25"/>
                <w:color w:val="auto"/>
                <w:vertAlign w:val="superscript"/>
              </w:rPr>
              <w:t>(d)</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103.7</w:t>
            </w:r>
          </w:p>
        </w:tc>
        <w:tc>
          <w:tcPr>
            <w:tcW w:w="28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9"/>
        </w:trPr>
        <w:tc>
          <w:tcPr>
            <w:tcW w:w="3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Workers’ compensation and property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57"/>
        </w:trPr>
        <w:tc>
          <w:tcPr>
            <w:tcW w:w="3540" w:type="dxa"/>
            <w:vAlign w:val="bottom"/>
            <w:shd w:val="clear" w:color="auto" w:fill="CCEEFF"/>
          </w:tcPr>
          <w:p>
            <w:pPr>
              <w:ind w:left="380"/>
              <w:spacing w:after="0" w:line="257" w:lineRule="exact"/>
              <w:rPr>
                <w:sz w:val="20"/>
                <w:szCs w:val="20"/>
                <w:color w:val="auto"/>
              </w:rPr>
            </w:pPr>
            <w:r>
              <w:rPr>
                <w:rFonts w:ascii="Arial" w:cs="Arial" w:eastAsia="Arial" w:hAnsi="Arial"/>
                <w:sz w:val="18"/>
                <w:szCs w:val="18"/>
                <w:color w:val="auto"/>
                <w:w w:val="96"/>
              </w:rPr>
              <w:t>damage and liability claims obligations</w:t>
            </w:r>
            <w:r>
              <w:rPr>
                <w:rFonts w:ascii="Arial" w:cs="Arial" w:eastAsia="Arial" w:hAnsi="Arial"/>
                <w:sz w:val="25"/>
                <w:szCs w:val="25"/>
                <w:color w:val="auto"/>
                <w:w w:val="96"/>
                <w:vertAlign w:val="superscript"/>
              </w:rPr>
              <w:t>(e)</w:t>
            </w: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369.8</w:t>
            </w: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116.3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96.4</w:t>
            </w:r>
          </w:p>
        </w:tc>
      </w:tr>
      <w:tr>
        <w:trPr>
          <w:trHeight w:val="270"/>
        </w:trPr>
        <w:tc>
          <w:tcPr>
            <w:tcW w:w="3540" w:type="dxa"/>
            <w:vAlign w:val="bottom"/>
          </w:tcPr>
          <w:p>
            <w:pPr>
              <w:ind w:left="38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5"/>
                <w:szCs w:val="25"/>
                <w:color w:val="auto"/>
                <w:vertAlign w:val="superscript"/>
              </w:rPr>
              <w:t>(f)</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352.5</w:t>
            </w:r>
          </w:p>
        </w:tc>
        <w:tc>
          <w:tcPr>
            <w:tcW w:w="28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16.7</w:t>
            </w:r>
          </w:p>
        </w:tc>
      </w:tr>
      <w:tr>
        <w:trPr>
          <w:trHeight w:val="270"/>
        </w:trPr>
        <w:tc>
          <w:tcPr>
            <w:tcW w:w="35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Other contractual obligations</w:t>
            </w:r>
            <w:r>
              <w:rPr>
                <w:rFonts w:ascii="Arial" w:cs="Arial" w:eastAsia="Arial" w:hAnsi="Arial"/>
                <w:sz w:val="25"/>
                <w:szCs w:val="25"/>
                <w:color w:val="auto"/>
                <w:vertAlign w:val="superscript"/>
              </w:rPr>
              <w:t>(g)</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tcPr>
          <w:p>
            <w:pPr>
              <w:ind w:left="380"/>
              <w:spacing w:after="0" w:line="270" w:lineRule="exact"/>
              <w:rPr>
                <w:sz w:val="20"/>
                <w:szCs w:val="20"/>
                <w:color w:val="auto"/>
              </w:rPr>
            </w:pPr>
            <w:r>
              <w:rPr>
                <w:rFonts w:ascii="Arial" w:cs="Arial" w:eastAsia="Arial" w:hAnsi="Arial"/>
                <w:sz w:val="18"/>
                <w:szCs w:val="18"/>
                <w:color w:val="auto"/>
              </w:rPr>
              <w:t>Capital expenditure obligations</w:t>
            </w:r>
            <w:r>
              <w:rPr>
                <w:rFonts w:ascii="Arial" w:cs="Arial" w:eastAsia="Arial" w:hAnsi="Arial"/>
                <w:sz w:val="25"/>
                <w:szCs w:val="25"/>
                <w:color w:val="auto"/>
                <w:vertAlign w:val="superscript"/>
              </w:rPr>
              <w:t>(h)</w:t>
            </w:r>
          </w:p>
        </w:tc>
        <w:tc>
          <w:tcPr>
            <w:tcW w:w="360" w:type="dxa"/>
            <w:vAlign w:val="bottom"/>
          </w:tcPr>
          <w:p>
            <w:pPr>
              <w:spacing w:after="0"/>
              <w:rPr>
                <w:sz w:val="23"/>
                <w:szCs w:val="23"/>
                <w:color w:val="auto"/>
              </w:rPr>
            </w:pP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80.0</w:t>
            </w:r>
          </w:p>
        </w:tc>
        <w:tc>
          <w:tcPr>
            <w:tcW w:w="28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69"/>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1,903.5</w:t>
            </w: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480.5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125.6</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ABL Facility includes future payments for the letter of credit fees and unused line fees and are not included on the Company’s consolidated balance sheets.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Term Loan includes principal and interest payments, but excludes the unamortized discounts.</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lease financing obligations include interest payments of $61.9 million and principal payments of $35.2 million. The remaining principal obligation is offset by the estimated book value of leased property at the expiration date of each lease agreement.</w:t>
      </w: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Pension deferral obligations includes principal and interest payments on the Second A&amp;R CDA, amended January 30, 2018.</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workers’ compensation and property damage and liability claims obligations represent our estimate of future payments for these obligations, not all of which are contractually required.</w:t>
      </w:r>
    </w:p>
    <w:p>
      <w:pPr>
        <w:spacing w:after="0" w:line="12" w:lineRule="exact"/>
        <w:rPr>
          <w:rFonts w:ascii="Arial" w:cs="Arial" w:eastAsia="Arial" w:hAnsi="Arial"/>
          <w:sz w:val="13"/>
          <w:szCs w:val="13"/>
          <w:color w:val="auto"/>
        </w:rPr>
      </w:pPr>
    </w:p>
    <w:p>
      <w:pPr>
        <w:ind w:left="340" w:hanging="332"/>
        <w:spacing w:after="0" w:line="24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Operating leases represent future payments, which include interest, under contractual lease arrangements primarily for revenue equipment and are not included on the Company’s consolidated balance sheets.</w:t>
      </w: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Other contractual obligations includes future service agreements and certain maintenance agreements and are not included on the Company’s consolidated balance sheets.</w:t>
      </w:r>
    </w:p>
    <w:p>
      <w:pPr>
        <w:spacing w:after="0" w:line="1" w:lineRule="exact"/>
        <w:rPr>
          <w:rFonts w:ascii="Arial" w:cs="Arial" w:eastAsia="Arial" w:hAnsi="Arial"/>
          <w:sz w:val="14"/>
          <w:szCs w:val="14"/>
          <w:color w:val="auto"/>
        </w:rPr>
      </w:pPr>
    </w:p>
    <w:p>
      <w:pPr>
        <w:ind w:left="340" w:hanging="332"/>
        <w:spacing w:after="0" w:line="255"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Capital expenditure obligations primarily includes noncancelable orders for revenue equipment leases not yet delivered, whereby the cash obligations will be scheduled over the multi-year term of the lease and are not included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73"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Other Commercial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reflects other commercial commitments or potential cash outflows that may result from a contingent event, such as a need to borrow short-term funds due to insufficient cash flow.</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7"/>
          </w:tcPr>
          <w:p>
            <w:pPr>
              <w:jc w:val="right"/>
              <w:ind w:right="814"/>
              <w:spacing w:after="0"/>
              <w:rPr>
                <w:sz w:val="20"/>
                <w:szCs w:val="20"/>
                <w:color w:val="auto"/>
              </w:rPr>
            </w:pPr>
            <w:r>
              <w:rPr>
                <w:rFonts w:ascii="Arial" w:cs="Arial" w:eastAsia="Arial" w:hAnsi="Arial"/>
                <w:sz w:val="14"/>
                <w:szCs w:val="14"/>
                <w:b w:val="1"/>
                <w:bCs w:val="1"/>
                <w:color w:val="auto"/>
              </w:rPr>
              <w:t>Amount of Commitment Expiration Per Period</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Less than 1 year</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 years</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After 5 years</w:t>
            </w: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ABL Facility availability</w:t>
            </w:r>
            <w:r>
              <w:rPr>
                <w:rFonts w:ascii="Arial" w:cs="Arial" w:eastAsia="Arial" w:hAnsi="Arial"/>
                <w:sz w:val="25"/>
                <w:szCs w:val="25"/>
                <w:color w:val="auto"/>
                <w:vertAlign w:val="superscript"/>
              </w:rPr>
              <w:t>(a)</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68.9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Letters of credit</w:t>
            </w:r>
            <w:r>
              <w:rPr>
                <w:rFonts w:ascii="Arial" w:cs="Arial" w:eastAsia="Arial" w:hAnsi="Arial"/>
                <w:sz w:val="25"/>
                <w:szCs w:val="25"/>
                <w:color w:val="auto"/>
                <w:vertAlign w:val="superscript"/>
              </w:rPr>
              <w:t>(b)</w:t>
            </w:r>
          </w:p>
        </w:tc>
        <w:tc>
          <w:tcPr>
            <w:tcW w:w="360" w:type="dxa"/>
            <w:vAlign w:val="bottom"/>
          </w:tcPr>
          <w:p>
            <w:pPr>
              <w:spacing w:after="0"/>
              <w:rPr>
                <w:sz w:val="23"/>
                <w:szCs w:val="23"/>
                <w:color w:val="auto"/>
              </w:rPr>
            </w:pP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352.6</w:t>
            </w:r>
          </w:p>
        </w:tc>
        <w:tc>
          <w:tcPr>
            <w:tcW w:w="28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3"/>
                <w:szCs w:val="23"/>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Surety bonds</w:t>
            </w:r>
            <w:r>
              <w:rPr>
                <w:rFonts w:ascii="Arial" w:cs="Arial" w:eastAsia="Arial" w:hAnsi="Arial"/>
                <w:sz w:val="25"/>
                <w:szCs w:val="25"/>
                <w:color w:val="auto"/>
                <w:vertAlign w:val="superscript"/>
              </w:rPr>
              <w:t>(c)</w:t>
            </w:r>
          </w:p>
        </w:tc>
        <w:tc>
          <w:tcPr>
            <w:tcW w:w="3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124.3</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 commercial commitments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545.8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2"/>
                <w:szCs w:val="22"/>
                <w:color w:val="auto"/>
              </w:rPr>
            </w:pP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421.5</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0"/>
        </w:trPr>
        <w:tc>
          <w:tcPr>
            <w:tcW w:w="3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340" w:hanging="332"/>
        <w:spacing w:after="0" w:line="250"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Availability under the ABL Facility is derived by reducing the amount that may be advanced against eligible receivables plus eligible borrowing base cash by certain reserves imposed by the ABL Agent and our outstanding letters of credit. Managed Accessibility, as previously defined, was $26.7 million.</w:t>
      </w:r>
    </w:p>
    <w:p>
      <w:pPr>
        <w:ind w:left="340" w:right="20" w:hanging="332"/>
        <w:spacing w:after="0" w:line="24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Letters of credit outstanding are generally required as collateral to support self-insurance programs and do not represent additional liabilities as the underlying self-insurance accruals are already included in our consolidated balance sheets.</w:t>
      </w:r>
    </w:p>
    <w:p>
      <w:pPr>
        <w:ind w:left="340" w:hanging="332"/>
        <w:spacing w:after="0" w:line="255"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Surety bonds are generally required for workers’ compensation to support self-insurance programs, which include certain bonds that do not have an expiration date but are redeemable on demand, and do not represent additional liabilities as the underlying self-insurance accruals are already included in our consolidated balance sheets.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We have no off-balance sheet arrangements other than operating leases, other contractual obligations for service agreements and capital purchases, letters of credit and surety bonds, which are reflected in the above tables.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30" w:right="23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1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Preparation of our financial statements requires accounting policies that involve significant estimates and judgments regarding the amounts included in the financial statements and disclosed in the accompanying notes to the financial statements. We continually review the appropriateness of our accounting policies and the accuracy of our estimates including discussion with the Audit and Ethics Committee of our Board of Directors who make recommendations to management regarding these policies. Even with a thorough process, estimates must be adjusted based on changing circumstances and new information. Management has identified the policies described below as requiring significant judgment and having a potential material impact to our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Revenue-related Reserves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consider our policies regarding revenue-related reserves as critical based on their significance in evaluating our financial performance. We have an extensive system that allows us to accurately capture, record and control all relevant information necessary to effectively manage our revenue reserves.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YRC Freight and Regional Transportation recognize revenue on a gross basis because they are the primary obligors even when other transportation service providers are used who act on their behalf. YRC Freight and Regional Transportation remain responsible to their customers for complete and proper shipment, including the risk of physical loss or damage of the goods and cargo claims issues. Management believes these policies most accurately reflect revenue as earned. Our revenue-related reserves involve three primary estimates: shipments in transit, rerate reserves and uncollectible accounts.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Shipments in Transit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assign pricing to bills of lading at the time of shipment based primarily on the weight, general classification of the product, the shipping destination and individual customer discounts. This process is referred to as rating. For shipments in transit, YRC Freight and Regional Transportation record revenue based on the percentage of service completed as of the period end and accrue delivery costs as incurred. The percentage of service completed for each shipment is based on how far along in the shipment cycle each shipment is in relation to standard transit days. Standard transit days are defined as our published service days between origin zip code and destination zip code. Based on historical cost and engineering studies, certain percentages of revenue are determined to be earned during each stage of the shipment cycle, such as initial pick up, long distance transportation, intermediate transfer and customer delivery. Using standard transit times, we analyze each shipment in transit at a particular period end to determine what stage the shipment is in. We apply that stage’s percentage of revenue earned factor to the rated revenue for that shipment to determine the revenue dollars earned by that shipment in the current period. The total revenue earned is accumulated for all shipments in transit at a particular period end and recorded as operating revenue. Management believes this provides a reasonable estimation of the portion of in transit revenue actually earned. At December 31, 2017 and 2016, our financial statements included deferred revenue as a reduction to “Accounts Receivable” of $28.1 million and $25.0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Rerate Reserves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various points throughout our customer invoicing process, incorrect ratings (</w:t>
      </w:r>
      <w:r>
        <w:rPr>
          <w:rFonts w:ascii="Arial" w:cs="Arial" w:eastAsia="Arial" w:hAnsi="Arial"/>
          <w:sz w:val="18"/>
          <w:szCs w:val="18"/>
          <w:i w:val="1"/>
          <w:iCs w:val="1"/>
          <w:color w:val="auto"/>
        </w:rPr>
        <w:t>i.e.,</w:t>
      </w:r>
      <w:r>
        <w:rPr>
          <w:rFonts w:ascii="Arial" w:cs="Arial" w:eastAsia="Arial" w:hAnsi="Arial"/>
          <w:sz w:val="18"/>
          <w:szCs w:val="18"/>
          <w:color w:val="auto"/>
        </w:rPr>
        <w:t xml:space="preserve"> prices) could be identified based on many factors, including weight verifications or updated customer discounts. Although the majority of rerating occurs in the same month as the original rating, a portion occurs during the following periods. We accrue a reserve for rerating primarily based on historical trends. At December 31, 2017 and 2016, our financial statements included a rerate reserve as a reduction to “Accounts Receivable” of $8.8 million and $10.4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Uncollectible Accounts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record an allowance for doubtful accounts primarily based on historical uncollectible amounts. We also take into account known factors surrounding specific customers and overall collection trends. Our process involves performing ongoing credit evaluations of customers, including the market in which they operate and the overall economic conditions. We continually review historical trends and make adjustments to the allowance for doubtful accounts as appropriate. Our allowance for doubtful accounts totaled $12.0 million and $9.5 million as of December 31, 2017 and 2016,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for Claims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self-insured up to certain limits for workers’ compensation, property damage and liability claims, and cargo loss and damage. We measure the liabilities associated with workers’ compensation and property damage and liability claims primarily through actuarial methods performed by an independent third party. Actuarial methods include estimates for the undiscounted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31" w:right="239" w:bottom="1440" w:gutter="0" w:footer="0" w:header="0"/>
        </w:sectPr>
      </w:pPr>
    </w:p>
    <w:bookmarkStart w:id="41" w:name="page42"/>
    <w:bookmarkEnd w:id="41"/>
    <w:p>
      <w:pPr>
        <w:jc w:val="both"/>
        <w:spacing w:after="0" w:line="255" w:lineRule="auto"/>
        <w:rPr>
          <w:sz w:val="20"/>
          <w:szCs w:val="20"/>
          <w:color w:val="auto"/>
        </w:rPr>
      </w:pPr>
      <w:r>
        <w:rPr>
          <w:rFonts w:ascii="Arial" w:cs="Arial" w:eastAsia="Arial" w:hAnsi="Arial"/>
          <w:sz w:val="18"/>
          <w:szCs w:val="18"/>
          <w:color w:val="auto"/>
        </w:rPr>
        <w:t>liability for claims reported, for claims incurred but not reported and for certain future administrative costs. These estimates are based on historical loss experience and judgments about the present and expected levels of costs per claim and the time required to settle claims. The effect of future inflation for costs is considered in the actuarial analysis. Actual claims may vary from these estimates due to a number of factors, including but not limited to, accident frequency and severity, claims management, changes in healthcare costs and overall economic conditions. We discount the actuarial calculations of claims liabilities for each calendar year to present value based on the average U.S. Treasury rate, during the calendar year of occurrence, for maturities that match the initial expected payout of the liabilities. As of December 31, 2017 and 2016, we had $360.7 million and $364.4 million accrued for outstanding claims,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July 1, 2008, we froze our qualified and nonqualified defined benefit pension plans for all participating employees not covered by collective bargaining agreements. Given the frozen status of the plans, the key estimates in determining pension cost are return on plan assets and discount rate, each of which are discussed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on Plan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assumption for expected return on plan assets represents a long-term assumption of our portfolio performance that can impact our pension expense. With $998.3 million of plan assets for the YRC Worldwide funded pension plans, a 100-basis-point decrease in the assumption for expected rate of return on assets would increase annual pension expense by approximately $8.6 million and would have no effect on the underfunded pension liability reflected on the balance sheet at December 31, 2017.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our 2018 expected rate of return of 7.0% is appropriate based on our investment portfolio as well as a review of other objective indices. Although plan investments are subject to short-term market volatility, we believe they are well diversified and closely managed. Our asset allocation as of December 31, 2017 and 2016, and targeted long-term asset allocation for the plans are as follows:</w:t>
      </w:r>
    </w:p>
    <w:p>
      <w:pPr>
        <w:spacing w:after="0" w:line="294" w:lineRule="exact"/>
        <w:rPr>
          <w:sz w:val="20"/>
          <w:szCs w:val="20"/>
          <w:color w:val="auto"/>
        </w:rPr>
      </w:pPr>
    </w:p>
    <w:tbl>
      <w:tblPr>
        <w:tblLayout w:type="fixed"/>
        <w:tblInd w:w="1740" w:type="dxa"/>
        <w:tblCellMar>
          <w:top w:w="0" w:type="dxa"/>
          <w:left w:w="0" w:type="dxa"/>
          <w:bottom w:w="0" w:type="dxa"/>
          <w:right w:w="0" w:type="dxa"/>
        </w:tblCellMar>
      </w:tblPr>
      <w:tr>
        <w:trPr>
          <w:trHeight w:val="192"/>
        </w:trPr>
        <w:tc>
          <w:tcPr>
            <w:tcW w:w="20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left="74"/>
              <w:spacing w:after="0"/>
              <w:rPr>
                <w:sz w:val="20"/>
                <w:szCs w:val="20"/>
                <w:color w:val="auto"/>
              </w:rPr>
            </w:pPr>
            <w:r>
              <w:rPr>
                <w:rFonts w:ascii="Arial" w:cs="Arial" w:eastAsia="Arial" w:hAnsi="Arial"/>
                <w:sz w:val="14"/>
                <w:szCs w:val="14"/>
                <w:b w:val="1"/>
                <w:bCs w:val="1"/>
                <w:color w:val="auto"/>
                <w:w w:val="96"/>
              </w:rPr>
              <w:t>2017</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Target</w:t>
            </w:r>
          </w:p>
        </w:tc>
      </w:tr>
      <w:tr>
        <w:trPr>
          <w:trHeight w:val="250"/>
        </w:trPr>
        <w:tc>
          <w:tcPr>
            <w:tcW w:w="20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Equities</w:t>
            </w:r>
          </w:p>
        </w:tc>
        <w:tc>
          <w:tcPr>
            <w:tcW w:w="2060" w:type="dxa"/>
            <w:vAlign w:val="bottom"/>
            <w:tcBorders>
              <w:bottom w:val="single" w:sz="8" w:color="BFE4FF"/>
            </w:tcBorders>
            <w:shd w:val="clear" w:color="auto" w:fill="BFE4FF"/>
          </w:tcPr>
          <w:p>
            <w:pPr>
              <w:jc w:val="center"/>
              <w:ind w:left="74"/>
              <w:spacing w:after="0"/>
              <w:rPr>
                <w:sz w:val="20"/>
                <w:szCs w:val="20"/>
                <w:color w:val="auto"/>
              </w:rPr>
            </w:pPr>
            <w:r>
              <w:rPr>
                <w:rFonts w:ascii="Arial" w:cs="Arial" w:eastAsia="Arial" w:hAnsi="Arial"/>
                <w:sz w:val="18"/>
                <w:szCs w:val="18"/>
                <w:color w:val="auto"/>
                <w:w w:val="90"/>
              </w:rPr>
              <w:t>41.0%</w:t>
            </w:r>
          </w:p>
        </w:tc>
        <w:tc>
          <w:tcPr>
            <w:tcW w:w="192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3"/>
              </w:rPr>
              <w:t>38.0%</w:t>
            </w:r>
          </w:p>
        </w:tc>
        <w:tc>
          <w:tcPr>
            <w:tcW w:w="19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0"/>
              </w:rPr>
              <w:t>38.0%</w:t>
            </w: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060" w:type="dxa"/>
            <w:vAlign w:val="bottom"/>
          </w:tcPr>
          <w:p>
            <w:pPr>
              <w:jc w:val="center"/>
              <w:ind w:left="74"/>
              <w:spacing w:after="0"/>
              <w:rPr>
                <w:sz w:val="20"/>
                <w:szCs w:val="20"/>
                <w:color w:val="auto"/>
              </w:rPr>
            </w:pPr>
            <w:r>
              <w:rPr>
                <w:rFonts w:ascii="Arial" w:cs="Arial" w:eastAsia="Arial" w:hAnsi="Arial"/>
                <w:sz w:val="18"/>
                <w:szCs w:val="18"/>
                <w:color w:val="auto"/>
                <w:w w:val="90"/>
              </w:rPr>
              <w:t>27.0%</w:t>
            </w:r>
          </w:p>
        </w:tc>
        <w:tc>
          <w:tcPr>
            <w:tcW w:w="1920" w:type="dxa"/>
            <w:vAlign w:val="bottom"/>
          </w:tcPr>
          <w:p>
            <w:pPr>
              <w:jc w:val="center"/>
              <w:spacing w:after="0"/>
              <w:rPr>
                <w:sz w:val="20"/>
                <w:szCs w:val="20"/>
                <w:color w:val="auto"/>
              </w:rPr>
            </w:pPr>
            <w:r>
              <w:rPr>
                <w:rFonts w:ascii="Arial" w:cs="Arial" w:eastAsia="Arial" w:hAnsi="Arial"/>
                <w:sz w:val="18"/>
                <w:szCs w:val="18"/>
                <w:color w:val="auto"/>
                <w:w w:val="93"/>
              </w:rPr>
              <w:t>30.0%</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30.0%</w:t>
            </w:r>
          </w:p>
        </w:tc>
      </w:tr>
      <w:tr>
        <w:trPr>
          <w:trHeight w:val="27"/>
        </w:trPr>
        <w:tc>
          <w:tcPr>
            <w:tcW w:w="20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3"/>
        </w:trPr>
        <w:tc>
          <w:tcPr>
            <w:tcW w:w="2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Absolute Return</w:t>
            </w:r>
          </w:p>
        </w:tc>
        <w:tc>
          <w:tcPr>
            <w:tcW w:w="2060" w:type="dxa"/>
            <w:vAlign w:val="bottom"/>
            <w:shd w:val="clear" w:color="auto" w:fill="BFE4FF"/>
          </w:tcPr>
          <w:p>
            <w:pPr>
              <w:jc w:val="center"/>
              <w:ind w:left="74"/>
              <w:spacing w:after="0"/>
              <w:rPr>
                <w:sz w:val="20"/>
                <w:szCs w:val="20"/>
                <w:color w:val="auto"/>
              </w:rPr>
            </w:pPr>
            <w:r>
              <w:rPr>
                <w:rFonts w:ascii="Arial" w:cs="Arial" w:eastAsia="Arial" w:hAnsi="Arial"/>
                <w:sz w:val="18"/>
                <w:szCs w:val="18"/>
                <w:color w:val="auto"/>
                <w:w w:val="90"/>
              </w:rPr>
              <w:t>32.0%</w:t>
            </w:r>
          </w:p>
        </w:tc>
        <w:tc>
          <w:tcPr>
            <w:tcW w:w="192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3"/>
              </w:rPr>
              <w:t>32.0%</w:t>
            </w:r>
          </w:p>
        </w:tc>
        <w:tc>
          <w:tcPr>
            <w:tcW w:w="19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90"/>
              </w:rPr>
              <w:t>32.0%</w:t>
            </w:r>
          </w:p>
        </w:tc>
      </w:tr>
      <w:tr>
        <w:trPr>
          <w:trHeight w:val="27"/>
        </w:trPr>
        <w:tc>
          <w:tcPr>
            <w:tcW w:w="2080" w:type="dxa"/>
            <w:vAlign w:val="bottom"/>
            <w:shd w:val="clear" w:color="auto" w:fill="BFE4FF"/>
          </w:tcPr>
          <w:p>
            <w:pPr>
              <w:spacing w:after="0"/>
              <w:rPr>
                <w:sz w:val="2"/>
                <w:szCs w:val="2"/>
                <w:color w:val="auto"/>
              </w:rPr>
            </w:pPr>
          </w:p>
        </w:tc>
        <w:tc>
          <w:tcPr>
            <w:tcW w:w="2060" w:type="dxa"/>
            <w:vAlign w:val="bottom"/>
            <w:shd w:val="clear" w:color="auto" w:fill="BFE4FF"/>
          </w:tcPr>
          <w:p>
            <w:pPr>
              <w:spacing w:after="0"/>
              <w:rPr>
                <w:sz w:val="2"/>
                <w:szCs w:val="2"/>
                <w:color w:val="auto"/>
              </w:rPr>
            </w:pPr>
          </w:p>
        </w:tc>
        <w:tc>
          <w:tcPr>
            <w:tcW w:w="1920" w:type="dxa"/>
            <w:vAlign w:val="bottom"/>
            <w:shd w:val="clear" w:color="auto" w:fill="BFE4FF"/>
          </w:tcPr>
          <w:p>
            <w:pPr>
              <w:spacing w:after="0"/>
              <w:rPr>
                <w:sz w:val="2"/>
                <w:szCs w:val="2"/>
                <w:color w:val="auto"/>
              </w:rPr>
            </w:pPr>
          </w:p>
        </w:tc>
        <w:tc>
          <w:tcPr>
            <w:tcW w:w="1900" w:type="dxa"/>
            <w:vAlign w:val="bottom"/>
            <w:shd w:val="clear" w:color="auto" w:fill="BFE4FF"/>
          </w:tcPr>
          <w:p>
            <w:pPr>
              <w:spacing w:after="0"/>
              <w:rPr>
                <w:sz w:val="2"/>
                <w:szCs w:val="2"/>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various market factors, we selected an expected rate of return on assets of 7.0% effective for the 2017 and 2016 valuations. We will continue to review our expected long-term rate of return on an annual basis and revise appropriately.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discount rate refers to the interest rate used to discount the estimated future benefit payments to their present value, also referred to as the benefit obligation. The discount rate allows us to estimate what it would cost to settle the pension obligations as of the measurement date, December 31, and impacts the following year’s pension cost. We determine the discount rate by selecting a portfolio of high quality non-callable bonds with interest payments and maturities generally consistent with our expected benefit payments.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Changes in the discount rate can significantly impact our net pension liability. However, our liability hedging strategy mitigates this impact with changes in asset returns. A 100-basis-point decrease in our discount rate would increase our underfunded pension liability by approximately $68.1 million. That same change would decrease our annual pension expense by approximately $9.3 million, driven by the return on assets. The discount rate can fluctuate considerably over periods depending on overall economic conditions that impact long-term corporate bond yields. At December 31, 2017 and 2016, we used a weighted-average discount rate to determine benefit obligations of 3.77% and 4.27%,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Gains and Losses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Gains and losses occur due to changes in the amount of either the projected benefit obligation or plan assets from experience being different than assumed and from changes in assumptions. We recognize an amortization of the net gain or loss as a component of net pension cost for a year if, as of the beginning of the year, that net gain or loss exceeds ten percent of the greater of the benefit obligation or the market-related value of plan assets. If an amortization is required, it equals the amount of net gain or loss that exceeds the ten percent corridor, amortized over the average remaining life expectancy of plan participants.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30" w:right="239" w:bottom="1440" w:gutter="0" w:footer="0" w:header="0"/>
        </w:sectPr>
      </w:pPr>
    </w:p>
    <w:bookmarkStart w:id="42" w:name="page43"/>
    <w:bookmarkEnd w:id="42"/>
    <w:p>
      <w:pPr>
        <w:jc w:val="both"/>
        <w:spacing w:after="0" w:line="264" w:lineRule="auto"/>
        <w:rPr>
          <w:sz w:val="20"/>
          <w:szCs w:val="20"/>
          <w:color w:val="auto"/>
        </w:rPr>
      </w:pPr>
      <w:r>
        <w:rPr>
          <w:rFonts w:ascii="Arial" w:cs="Arial" w:eastAsia="Arial" w:hAnsi="Arial"/>
          <w:sz w:val="18"/>
          <w:szCs w:val="18"/>
          <w:color w:val="auto"/>
        </w:rPr>
        <w:t>As of December 31, 2017, the pension plans have net losses of $395.3 million and a projected benefit obligation of $1,228.4 million. The average remaining life expectancy of plan participants is approximately 23 years. For 2018, we expect to amortize approximately $15.0 million of the net loss. The comparable amortization amounts for 2017 and 2016 were $15.5 million and $13.7 million, respectively.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2017, our plan assets included $562.6 million of investments that are measured at net asset value (“NAV”) per share (or its equivalent) using the practical expedient in accordance with the fair value measurement and $52.6 million of Level 3 investments. Level 3 market values are based on inputs that are supported by little or no market activity and are significant to the fair value of the investment. These investments are subject to estimation to determine fair value which is used to determine components of our annual pension expense and the net liability. We engage a third party expert to assist us in determining these fair values.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YRC Freight, Holland, Reddaway and New Penn, contribute to 33 separate multi-employer pension plans for employees covered by our collective bargaining agreements (approximately 78% of total YRC Worldwide employees). The pension plans provide defined benefits to retired participants.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directly manage multi-employer plans. Trustees, half of whom the respective union appoints and half of whom various contributing employers appoint, manage the trusts covering these plans.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collective bargaining agreements with the unions determine the amount of our contributions to these plans. We recognize as net pension expense the contractually required contribution for the respective period and recognize as a liability any contributions due and unpaid.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2006, the Pension Protection Act (“PPA”) became law and modified both the Code, as it applies to multi-employer pension plans and the ERISA. The Code and ERISA (in each case, as so modified) and related regulations establish minimum funding requirements for multi-employer pension plans. The funding status of these plans is determined by many factors.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2014, the Multi-Employer Pension Reform Act (“MPRA”) became law which modified the ability to suspend accrued benefits of plans facing insolvency by adding a new zone status of Critical and Declining.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any of our multi-employer pension plans fail to:</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meet minimum funding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meet a required funding improvement or rehabilitation plan that the PPA may require for certain of our underfunded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 from the IRS certain changes to or a waiver of the requirements in how the applicable plan calculates its funding levels,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pension benefits to a level where the requirements are met,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could be required to make additional contributions to our multi-employer pension plans.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any of our multi-employer pension plans enters critical status or worse and our contributions are not sufficient to satisfy any rehabilitation plan schedule, the PPA could require us to make additional surcharge contributions to the multi-employer pension plan in the amount of five to ten percent of the existing contributions required by our labor agreement for the remaining term of the labor agreement.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fail to make our required contributions to a multi-employer plan under a funding improvement or rehabilitation plan, it would expose us to penalties including potential withdrawal liability. If the benchmarks that an applicable funding improvement or rehabilitation plan provides are not met by the end of a prescribed period, the IRS could impose an excise tax on us and the plan’s other contributing employers. These excise taxes are not contributed to the deficient funds, but rather are deposited in the United States general treasury funds. The Company does not believe that the temporary cessation of certain of its contributions to applicable multi-employer pension funds from the third quarter of 2009 through May 2011 will give rise to these excise taxes as we believe these contributions were not required for that period.</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Depending on the amount involved, a requirement to increase contributions beyond our contractually agreed rate or the imposition of an excise tax on us could have a material adverse impact on our business, financial condition, liquidity, and results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3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Funded Status of the Multi-Employer Pension Plans and Contingent Withdrawal Liabilities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plan administrators and trustees of multi-employer pension plans do not routinely provide us with current information regarding the funded status of the plans. Much of our information regarding the funded status has been (i) obtained from public filings using publicly available plan asset values, which are often dated, and (ii) based on the limited information available from plan administrators or trustees, which has not been independently validated.</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PPA provides that certain plans with a funded percentage of less than 65%, or that fail other tests, will be deemed to be in critical status. Plans in critical status must create a rehabilitation plan to exit critical status within periods that the PPA prescribes. The MPRA created a new zone status of “Critical and Declining” for plans facing insolvency. Based on information obtained from public filings and from plan administrators and trustees, we believe many of the multi-employer pension plans in which we participate, including, but not limited to, The Central States Southeast and Southwest Areas Pension Plan, Road Carriers Local 707 Pension Fund, New York State Teamsters Conference Pension and Retirement Fund, and Teamsters Local 641 Pension Fund are in critical or critical and declining status. If the funding of the multi-employer pension plans does not reach certain goals (including those required not to enter endangered, critical status or critical and declining or those required by a plan’s funding improvement or rehabilitation plan), our pension expenses could further increase.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information obtained from public filings and from plan administrators and trustees, we believe our portion of the contingent liability in the case of a full withdrawal or termination from all of the multi-employer pension plans would be an estimated $9 billion on a pre-tax basis. Our applicable subsidiaries have no current intention of taking any action that would subject us to payment of material withdrawal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use the asset and liability method to reflect income taxes on our financial statements. We recognize deferred tax assets and liabilities by applying enacted tax rates to the differences between the carrying value of existing assets and liabilities and their respective tax basis and to loss carryforwards. Tax credit carryforwards are recorded as deferred tax assets. The effect on deferred tax assets and liabilities of a change in tax rates is recognized in income in the period that the change occurs. We assess the validity of deferred tax assets and loss and tax credit carryforwards and provide valuation allowances when we determine, based on the weight of evidence, it is more likely than not that such assets, losses, or credits will not be realized. Changes in valuation allowances are included in our tax provision or in equity if directly related to other comprehensive income (loss), unless affected by a specific intra-period allocation as happened in 2017 and 2015, as described below. In determining whether a valuation allowance is warranted, we evaluate factors such as prior years’ earnings, loss carry-back and carry-forward periods, reversals of existing deferred tax liabilities and tax planning strategies that potentially enhance the likelihood of the realization of a deferred tax asset. We have not recognized deferred taxes relative to foreign subsidiaries’ earnings that are deemed to be permanently reinvested. Any related taxes associated with such earnings are not material.</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YRC Worldwide applies the intraperiod tax allocation rules of ASC 740 to allocate income taxes among continuing operations, discontinued operations, extraordinary items, other comprehensive income (loss), and additional paid-in capital when our situation meets the criteria as prescribed in the rule.</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While the tax effect of net income (loss) before income taxes generally should be computed without regard to the tax effects of net income (loss) before income taxes from the other categories referenced in the preceding paragraph, an exception applies when there is a loss before income taxes and income from those other categories. In that situation, the appropriate tax provision is allocated to the other categories of earnings and a related tax benefit is recorded in net income (loss). This exception to the general rule applies even when a valuation allowance is in place at the beginning and end of the year. While intraperiod tax allocation does not change the overall tax provision, it may result in a gross-up of the individual components, thereby changing the amount of tax provision included in each category. In 2017 and 2015, the Company met the criteria necessary to apply the exception within the intraperiod tax allocation rules, since it incurred a net loss before income taxes and income was recognized in other comprehensive income (loss). As a result, the Company recorded a tax benefit of $13.3 million and $11.7 million in income tax benefit (as reported on the Consolidated Statement of Operations) and an offsetting tax expense of $13.3 and $11.7 million in total other comprehensive income (loss) for the year ended December 31, 2017 and 2015, respectively. The total income tax benefit did not change, and the total provision continued to be impacted by the full valuation allowance on our U.S. deferred tax assets.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30"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exposure to a variety of market risks, including the effects of interest rates, foreign exchange rates and fuel prices.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provide adequate funding through seasonal business cycles and minimize overall borrowing costs, we utilize both fixed rate and variable rate financial instruments with varying maturities. At December 31, 2017, we had approximately 30% of our outstanding debt at fixed rates. As amended, at the Company’s election, a significant portion of the remaining variable rate debt may operate at a 1, 3 or 6-month LIBOR, with a floor of 1.0% plus a fixed margin of 8.5%. Based on a 3-month LIBOR, if interest rates for our variable rate long-term debt had increased 100 basis points during the year, our interest expense would have increased and income before taxes would have decreased by $6.3 million and $7.0 million for the years ended December 31, 2017 and 2016,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regarding the interest rates on our fixed-rate debt as of December 31, 2017.</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40" w:type="dxa"/>
            <w:vAlign w:val="bottom"/>
          </w:tcPr>
          <w:p>
            <w:pPr>
              <w:ind w:left="20"/>
              <w:spacing w:after="0"/>
              <w:rPr>
                <w:sz w:val="20"/>
                <w:szCs w:val="20"/>
                <w:color w:val="auto"/>
              </w:rPr>
            </w:pPr>
            <w:r>
              <w:rPr>
                <w:rFonts w:ascii="Arial" w:cs="Arial" w:eastAsia="Arial" w:hAnsi="Arial"/>
                <w:sz w:val="18"/>
                <w:szCs w:val="18"/>
                <w:b w:val="1"/>
                <w:bCs w:val="1"/>
                <w:color w:val="auto"/>
              </w:rPr>
              <w:t>(in millions)</w:t>
            </w:r>
          </w:p>
        </w:tc>
        <w:tc>
          <w:tcPr>
            <w:tcW w:w="6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Thereafter</w:t>
            </w:r>
          </w:p>
        </w:tc>
        <w:tc>
          <w:tcPr>
            <w:tcW w:w="46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1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Fixed-rate debt</w:t>
            </w:r>
          </w:p>
        </w:tc>
        <w:tc>
          <w:tcPr>
            <w:tcW w:w="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270.4</w:t>
            </w:r>
          </w:p>
        </w:tc>
      </w:tr>
      <w:tr>
        <w:trPr>
          <w:trHeight w:val="243"/>
        </w:trPr>
        <w:tc>
          <w:tcPr>
            <w:tcW w:w="1540" w:type="dxa"/>
            <w:vAlign w:val="bottom"/>
          </w:tcPr>
          <w:p>
            <w:pPr>
              <w:ind w:left="20"/>
              <w:spacing w:after="0"/>
              <w:rPr>
                <w:sz w:val="20"/>
                <w:szCs w:val="20"/>
                <w:color w:val="auto"/>
              </w:rPr>
            </w:pPr>
            <w:r>
              <w:rPr>
                <w:rFonts w:ascii="Arial" w:cs="Arial" w:eastAsia="Arial" w:hAnsi="Arial"/>
                <w:sz w:val="18"/>
                <w:szCs w:val="18"/>
                <w:color w:val="auto"/>
              </w:rPr>
              <w:t>Interest rate</w:t>
            </w: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7.0 - 18.3%</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7.0 - 18.3%</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7.0 - 18.3%</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7.0 - 18.3%</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7.0 - 18.3%</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14.1 - 16.8%</w:t>
            </w: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Exchange Rates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operating expenses, assets and liabilities of our Canadian and Mexican subsidiaries are denominated in local currencies, thereby creating exposure to fluctuations in exchange rates. The risks related to foreign currency exchange rates are not significant to our consolidated financial position or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Fuel Prices</w:t>
      </w:r>
    </w:p>
    <w:p>
      <w:pPr>
        <w:spacing w:after="0" w:line="2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YRC Freight and Regional Transportation currently have fuel surcharge programs in place. These programs are well established within the industry and customer acceptance of fuel surcharges remains high. Since the amount of fuel surcharge is generally based on average, national diesel fuel prices and is reset weekly, our exposure to fuel price volatility is reduced. In general, under our present fuel surcharge programs, we believe rising fuel prices are beneficial to us, and falling fuel prices are detrimental to us, in the short term, the effects of which are mitigated over time. We cannot predict the extent to which volatile fluctuations in fuel prices will continue in the future or the extent to which fuel surcharges could be collected to offset fuel-price increases.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3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in millions except share and per share data)</w:t>
            </w:r>
          </w:p>
        </w:tc>
        <w:tc>
          <w:tcPr>
            <w:tcW w:w="26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440" w:type="dxa"/>
            <w:vAlign w:val="bottom"/>
          </w:tcPr>
          <w:p>
            <w:pPr>
              <w:jc w:val="right"/>
              <w:ind w:right="3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receivable, less allowances of $12.0 and $9.5, respectively</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488.3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700.1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780.8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Cost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2,770.2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2,787.0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 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(1,916.4)</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Net property and equipment</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870.6</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Restricted amounts held in escrow</w:t>
            </w: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1,770.0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Deficit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Wages, vacations and employee benefits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Claims and insurance accruals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accrued taxes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561.9</w:t>
            </w:r>
          </w:p>
        </w:tc>
        <w:tc>
          <w:tcPr>
            <w:tcW w:w="0" w:type="dxa"/>
            <w:vAlign w:val="bottom"/>
          </w:tcPr>
          <w:p>
            <w:pPr>
              <w:spacing w:after="0"/>
              <w:rPr>
                <w:sz w:val="1"/>
                <w:szCs w:val="1"/>
                <w:color w:val="auto"/>
              </w:rPr>
            </w:pP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income taxes,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Claims and other liabilities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282.2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Shareholders’ Deficit:</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Cumulative preferred stock, $1 par value per share - authorized 5,000,000 shares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w w:val="95"/>
              </w:rPr>
              <w:t>Common stock, $0.01 par value per share - authorized 95,000,000 shares, issued 32,733,000 and</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32,473,000 shares</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surplus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2,319.2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(2,228.6)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(2,217.8)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Treasury stock, at cost (410 shares)</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shareholders’ deficit</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Shareholders’ Deficit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1,585.5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1,770.0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61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611" w:right="239" w:bottom="1440" w:gutter="0" w:footer="0" w:header="0"/>
          <w:type w:val="continuous"/>
        </w:sectPr>
      </w:pPr>
    </w:p>
    <w:bookmarkStart w:id="46" w:name="page47"/>
    <w:bookmarkEnd w:id="46"/>
    <w:p>
      <w:pPr>
        <w:ind w:left="3720"/>
        <w:spacing w:after="0"/>
        <w:rPr>
          <w:sz w:val="20"/>
          <w:szCs w:val="20"/>
          <w:color w:val="auto"/>
        </w:rPr>
      </w:pPr>
      <w:r>
        <w:rPr>
          <w:rFonts w:ascii="Arial" w:cs="Arial" w:eastAsia="Arial" w:hAnsi="Arial"/>
          <w:sz w:val="18"/>
          <w:szCs w:val="18"/>
          <w:color w:val="auto"/>
        </w:rPr>
        <w:t>STATEMENTS OF CONSOLIDATED OPERATIONS</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For the Years Ended December 31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(Amounts in millions except per share data; shares in thousands)</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4,891.0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4,832.4</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Salaries, wages and employee benefits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2,868.2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Fuel, operating expenses and supplies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867.5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878.4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Purchased transportation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4,792.6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4,739.4</w:t>
            </w:r>
          </w:p>
        </w:tc>
      </w:tr>
      <w:tr>
        <w:trPr>
          <w:trHeight w:val="237"/>
        </w:trPr>
        <w:tc>
          <w:tcPr>
            <w:tcW w:w="6740" w:type="dxa"/>
            <w:vAlign w:val="bottom"/>
          </w:tcPr>
          <w:p>
            <w:pPr>
              <w:ind w:left="1140"/>
              <w:spacing w:after="0"/>
              <w:rPr>
                <w:sz w:val="20"/>
                <w:szCs w:val="20"/>
                <w:color w:val="auto"/>
              </w:rPr>
            </w:pPr>
            <w:r>
              <w:rPr>
                <w:rFonts w:ascii="Arial" w:cs="Arial" w:eastAsia="Arial" w:hAnsi="Arial"/>
                <w:sz w:val="18"/>
                <w:szCs w:val="18"/>
                <w:b w:val="1"/>
                <w:bCs w:val="1"/>
                <w:color w:val="auto"/>
              </w:rPr>
              <w:t>Operating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Nonoperating expenses, net</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Common Shares Outstanding - Basic</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31,736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Average Common Shares Outstanding - Diluted</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32,685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33,040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32,592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Earnings (Loss) Per Share - 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0.02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Per Share - Diluted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r>
      <w:tr>
        <w:trPr>
          <w:trHeight w:val="27"/>
        </w:trPr>
        <w:tc>
          <w:tcPr>
            <w:tcW w:w="6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30"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STATEMENTS OF CONSOLIDATED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Years Ended December 31</w:t>
      </w:r>
    </w:p>
    <w:p>
      <w:pPr>
        <w:spacing w:after="0" w:line="200" w:lineRule="exact"/>
        <w:rPr>
          <w:sz w:val="20"/>
          <w:szCs w:val="20"/>
          <w:color w:val="auto"/>
        </w:rPr>
      </w:pP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Pension: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360"/>
              <w:spacing w:after="0"/>
              <w:rPr>
                <w:sz w:val="20"/>
                <w:szCs w:val="20"/>
                <w:color w:val="auto"/>
              </w:rPr>
            </w:pPr>
            <w:r>
              <w:rPr>
                <w:rFonts w:ascii="Arial" w:cs="Arial" w:eastAsia="Arial" w:hAnsi="Arial"/>
                <w:sz w:val="18"/>
                <w:szCs w:val="18"/>
                <w:color w:val="auto"/>
              </w:rPr>
              <w:t>Net actuarial gains (losses) and other adjustments</w:t>
            </w: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prior service credit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360"/>
              <w:spacing w:after="0"/>
              <w:rPr>
                <w:sz w:val="20"/>
                <w:szCs w:val="20"/>
                <w:color w:val="auto"/>
              </w:rPr>
            </w:pPr>
            <w:r>
              <w:rPr>
                <w:rFonts w:ascii="Arial" w:cs="Arial" w:eastAsia="Arial" w:hAnsi="Arial"/>
                <w:sz w:val="18"/>
                <w:szCs w:val="18"/>
                <w:color w:val="auto"/>
              </w:rPr>
              <w:t>Settlement adjustment</w:t>
            </w: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of prior net losses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140"/>
              <w:spacing w:after="0"/>
              <w:rPr>
                <w:sz w:val="20"/>
                <w:szCs w:val="20"/>
                <w:color w:val="auto"/>
              </w:rPr>
            </w:pPr>
            <w:r>
              <w:rPr>
                <w:rFonts w:ascii="Arial" w:cs="Arial" w:eastAsia="Arial" w:hAnsi="Arial"/>
                <w:sz w:val="18"/>
                <w:szCs w:val="18"/>
                <w:color w:val="auto"/>
              </w:rPr>
              <w:t>Changes in foreign currency translation adjustments</w:t>
            </w: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 of foreign currency translation gains to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3"/>
              </w:rPr>
              <w:t>Comprehensive income (loss) attributable to YRC Worldwide</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9019"/>
          </w:cols>
          <w:pgMar w:left="1440" w:top="530" w:right="1440" w:bottom="1440" w:gutter="0" w:footer="0" w:header="0"/>
        </w:sectPr>
      </w:pPr>
    </w:p>
    <w:bookmarkStart w:id="48" w:name="page49"/>
    <w:bookmarkEnd w:id="48"/>
    <w:p>
      <w:pPr>
        <w:jc w:val="center"/>
        <w:ind w:right="-99"/>
        <w:spacing w:after="0"/>
        <w:rPr>
          <w:sz w:val="20"/>
          <w:szCs w:val="20"/>
          <w:color w:val="auto"/>
        </w:rPr>
      </w:pPr>
      <w:r>
        <w:rPr>
          <w:rFonts w:ascii="Arial" w:cs="Arial" w:eastAsia="Arial" w:hAnsi="Arial"/>
          <w:sz w:val="18"/>
          <w:szCs w:val="18"/>
          <w:color w:val="auto"/>
        </w:rPr>
        <w:t>STATEMENTS OF CONSOLIDATED CASH FLOWS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For the Years Ended December 31</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r>
      <w:tr>
        <w:trPr>
          <w:trHeight w:val="250"/>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items included in 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163.7</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equity-based compensation and employee benefits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Non-union pension settlement charge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28.7</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 benefit,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(Gains) losses on property disposals,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noncash items, net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Changes in assets and liabilities, net:</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Other operating liabilities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w:t>
            </w:r>
          </w:p>
        </w:tc>
      </w:tr>
      <w:tr>
        <w:trPr>
          <w:trHeight w:val="223"/>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17.5</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escrow receipts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w:t>
            </w: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Restricted escrow deposits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equity method investment, net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r>
      <w:tr>
        <w:trPr>
          <w:trHeight w:val="223"/>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670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for tax withheld on equity-based compensation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6700" w:type="dxa"/>
            <w:vAlign w:val="bottom"/>
          </w:tcPr>
          <w:p>
            <w:pPr>
              <w:ind w:left="38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Year</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171.1</w:t>
            </w:r>
          </w:p>
        </w:tc>
      </w:tr>
      <w:tr>
        <w:trPr>
          <w:trHeight w:val="27"/>
        </w:trPr>
        <w:tc>
          <w:tcPr>
            <w:tcW w:w="6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20"/>
          </w:cols>
          <w:pgMar w:left="240" w:top="746" w:right="339" w:bottom="1440" w:gutter="0" w:footer="0" w:header="0"/>
        </w:sectPr>
      </w:pPr>
    </w:p>
    <w:bookmarkStart w:id="49" w:name="page50"/>
    <w:bookmarkEnd w:id="49"/>
    <w:p>
      <w:pPr>
        <w:jc w:val="center"/>
        <w:ind w:left="220" w:right="219"/>
        <w:spacing w:after="0" w:line="264" w:lineRule="auto"/>
        <w:rPr>
          <w:sz w:val="20"/>
          <w:szCs w:val="20"/>
          <w:color w:val="auto"/>
        </w:rPr>
      </w:pPr>
      <w:r>
        <w:rPr>
          <w:rFonts w:ascii="Arial" w:cs="Arial" w:eastAsia="Arial" w:hAnsi="Arial"/>
          <w:sz w:val="18"/>
          <w:szCs w:val="18"/>
          <w:color w:val="auto"/>
        </w:rPr>
        <w:t>STATEMENTS OF CONSOLIDATED CASH FLOWS (CONTINUED) YRC Worldwide Inc. and Subsidiaries For the Years Ended December 31</w:t>
      </w:r>
    </w:p>
    <w:p>
      <w:pPr>
        <w:spacing w:after="0" w:line="281"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r>
      <w:tr>
        <w:trPr>
          <w:trHeight w:val="243"/>
        </w:trPr>
        <w:tc>
          <w:tcPr>
            <w:tcW w:w="3940" w:type="dxa"/>
            <w:vAlign w:val="bottom"/>
          </w:tcPr>
          <w:p>
            <w:pPr>
              <w:ind w:left="160"/>
              <w:spacing w:after="0"/>
              <w:rPr>
                <w:sz w:val="20"/>
                <w:szCs w:val="20"/>
                <w:color w:val="auto"/>
              </w:rPr>
            </w:pPr>
            <w:r>
              <w:rPr>
                <w:rFonts w:ascii="Arial" w:cs="Arial" w:eastAsia="Arial" w:hAnsi="Arial"/>
                <w:sz w:val="18"/>
                <w:szCs w:val="18"/>
                <w:color w:val="auto"/>
              </w:rPr>
              <w:t>Letter of credit fees paid</w:t>
            </w:r>
          </w:p>
        </w:tc>
        <w:tc>
          <w:tcPr>
            <w:tcW w:w="1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3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refund (payment), net</w:t>
            </w:r>
          </w:p>
        </w:tc>
        <w:tc>
          <w:tcPr>
            <w:tcW w:w="1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3940" w:type="dxa"/>
            <w:vAlign w:val="bottom"/>
          </w:tcPr>
          <w:p>
            <w:pPr>
              <w:ind w:left="160"/>
              <w:spacing w:after="0"/>
              <w:rPr>
                <w:sz w:val="20"/>
                <w:szCs w:val="20"/>
                <w:color w:val="auto"/>
              </w:rPr>
            </w:pPr>
            <w:r>
              <w:rPr>
                <w:rFonts w:ascii="Arial" w:cs="Arial" w:eastAsia="Arial" w:hAnsi="Arial"/>
                <w:sz w:val="18"/>
                <w:szCs w:val="18"/>
                <w:color w:val="auto"/>
              </w:rPr>
              <w:t>Debt redeemed for equity consideration</w:t>
            </w:r>
          </w:p>
        </w:tc>
        <w:tc>
          <w:tcPr>
            <w:tcW w:w="11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17.9</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9019"/>
          </w:cols>
          <w:pgMar w:left="1440" w:top="530" w:right="1440" w:bottom="1440" w:gutter="0" w:footer="0" w:header="0"/>
        </w:sectPr>
      </w:pPr>
    </w:p>
    <w:bookmarkStart w:id="50" w:name="page51"/>
    <w:bookmarkEnd w:id="50"/>
    <w:p>
      <w:pPr>
        <w:jc w:val="center"/>
        <w:ind w:right="-519"/>
        <w:spacing w:after="0"/>
        <w:rPr>
          <w:sz w:val="20"/>
          <w:szCs w:val="20"/>
          <w:color w:val="auto"/>
        </w:rPr>
      </w:pPr>
      <w:r>
        <w:rPr>
          <w:rFonts w:ascii="Arial" w:cs="Arial" w:eastAsia="Arial" w:hAnsi="Arial"/>
          <w:sz w:val="18"/>
          <w:szCs w:val="18"/>
          <w:color w:val="auto"/>
        </w:rPr>
        <w:t>STATEMENTS OF CONSOLIDATED SHAREHOLDERS’ DEFICIT</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YRC Worldwide Inc. and Subsidiaries</w:t>
      </w:r>
    </w:p>
    <w:p>
      <w:pPr>
        <w:spacing w:after="0" w:line="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For the Years Ended December 31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9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74"/>
        </w:trPr>
        <w:tc>
          <w:tcPr>
            <w:tcW w:w="70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Preferred Stock:</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Beginning and ending balance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Capital Surplus: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2,319.2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2,312.6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2,290.9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Issuance of equity upon conversion of Series B Notes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Equity-based compensation</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2,323.3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2,312.6</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Accumulated Deficit:</w:t>
            </w: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(2,228.6)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(2,239.3)</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Accumulated Other Comprehensive Loss:</w:t>
            </w: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Pension, net of tax:</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actuarial gains (losses) and other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Net prior service credit</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Settlement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Amortization of prior net losses</w:t>
            </w: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Reclassification of foreign currency translation gains to 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(360.3)</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Treasury Stock, At Cost:</w:t>
            </w: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Beginning and ending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Total Shareholders’ Deficit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00"/>
          </w:cols>
          <w:pgMar w:left="240" w:top="530" w:right="75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YRC Worldwide Inc. and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Business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YRC Worldwide, one of the largest transportation service providers in the world, offers its customers a wide range of transportation services. YRC Worldwide has one of the largest, most comprehensive LTL networks in North America with local, regional, national and international capabilities. Through our team of experienced service professionals, we offer expertise in LTL shipments and flexible supply chain solutions, ensuring customers can ship industrial, commercial and retail goods with confidence. Our reporting segments include the following:</w:t>
      </w:r>
    </w:p>
    <w:p>
      <w:pPr>
        <w:spacing w:after="0" w:line="187" w:lineRule="exact"/>
        <w:rPr>
          <w:sz w:val="20"/>
          <w:szCs w:val="20"/>
          <w:color w:val="auto"/>
        </w:rPr>
      </w:pPr>
    </w:p>
    <w:p>
      <w:pPr>
        <w:jc w:val="both"/>
        <w:ind w:left="660" w:hanging="328"/>
        <w:spacing w:after="0" w:line="279" w:lineRule="auto"/>
        <w:tabs>
          <w:tab w:leader="none" w:pos="660" w:val="left"/>
        </w:tabs>
        <w:numPr>
          <w:ilvl w:val="1"/>
          <w:numId w:val="38"/>
        </w:numPr>
        <w:rPr>
          <w:rFonts w:ascii="Arial" w:cs="Arial" w:eastAsia="Arial" w:hAnsi="Arial"/>
          <w:sz w:val="17"/>
          <w:szCs w:val="17"/>
          <w:color w:val="auto"/>
        </w:rPr>
      </w:pPr>
      <w:r>
        <w:rPr>
          <w:rFonts w:ascii="Arial" w:cs="Arial" w:eastAsia="Arial" w:hAnsi="Arial"/>
          <w:sz w:val="17"/>
          <w:szCs w:val="17"/>
          <w:color w:val="auto"/>
        </w:rPr>
        <w:t>YRC Freight is the reporting segment that focuses on longer haul business opportunities with national, regional and international services. YRC Freight provides for the movement of industrial, commercial and retail goods, primarily through centralized management. This reporting segment includes YRC Freight, our LTL subsidiary, and YRC Reimer, a subsidiary located in Canada that specializes in shipments into, across and out of Canada. In addition to the United States and Canada, YRC Freight also serves parts of Mexico and Puerto Rico.</w:t>
      </w:r>
    </w:p>
    <w:p>
      <w:pPr>
        <w:spacing w:after="0" w:line="171" w:lineRule="exact"/>
        <w:rPr>
          <w:rFonts w:ascii="Arial" w:cs="Arial" w:eastAsia="Arial" w:hAnsi="Arial"/>
          <w:sz w:val="17"/>
          <w:szCs w:val="17"/>
          <w:color w:val="auto"/>
        </w:rPr>
      </w:pPr>
    </w:p>
    <w:p>
      <w:pPr>
        <w:jc w:val="both"/>
        <w:ind w:left="660" w:hanging="328"/>
        <w:spacing w:after="0" w:line="312" w:lineRule="auto"/>
        <w:tabs>
          <w:tab w:leader="none" w:pos="6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Regional Transportation is the reporting segment for our transportation service providers focused on business opportunities in the regional and next-day delivery markets. Regional Transportation is comprised of Holland, New Penn and Reddaway. These companies each provide regional, next-day ground services in their respective regions through a network of facilities located across the United States, Canada, and Puerto Rico.</w:t>
      </w:r>
    </w:p>
    <w:p>
      <w:pPr>
        <w:spacing w:after="0" w:line="138" w:lineRule="exact"/>
        <w:rPr>
          <w:rFonts w:ascii="Arial" w:cs="Arial" w:eastAsia="Arial" w:hAnsi="Arial"/>
          <w:sz w:val="16"/>
          <w:szCs w:val="16"/>
          <w:color w:val="auto"/>
        </w:rPr>
      </w:pPr>
    </w:p>
    <w:p>
      <w:pPr>
        <w:ind w:left="200" w:hanging="192"/>
        <w:spacing w:after="0"/>
        <w:tabs>
          <w:tab w:leader="none" w:pos="20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Accounting Policies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Accounting policies refer to specific accounting principles and the methods of applying those principles to fairly present our financial position and results of operations in accordance with generally accepted accounting principles. The policies discussed below include those that management has determined to be the most appropriate in preparing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YRC Worldwide and its wholly owned subsidiaries. All significant intercompany accounts and transactions have been eliminated in consolidation. We report on a calendar year basis. The quarters of the Regional Transportation companies (with the exception of New Penn) consist of thirteen weeks that end on a Saturday either before or after the end of March, June and September, whereas all other operating segment quarters end on the natural calendar quarter end. Until its sale in March 2016, our investment in the non-majority owned affiliate was accounted for on the equity method.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Management makes estimates and assumptions when preparing the financial statements in conformity with U.S. generally accepted accounting principles which affect the amounts reported in the financial statements and accompanying notes. Actual results could differ from those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include demand deposits and highly liquid investments purchased with maturities of three months or less. Under the Company’s cash management system, checks issued but not presented to banks frequently result in book overdraft balances for accounting purposes which are classified within accounts payable in the accompanying consolidated balance sheets. The change in book overdrafts are reported as a component of operating cash flows for accounts payable as they do not represent bank overdrafts.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3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Concentration of Credit Risks and Other</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sell services and extend credit based on an evaluation of the customer’s financial condition, without requiring collateral. Exposure to losses on receivables is principally dependent on each customer’s financial condition. We monitor our exposure for credit losses and maintain allowances for anticipated losses.</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December 31, 2017, approximately 78% of our labor force is subject to collective bargaining agreements. In 2014, our primary labor agreement was modified to, among other things, extend the expiration date of the agreement from March 31, 2015 to March 31, 2019. This extension also extended the contribution rates under our multi-employer pension plan. The modification provided for lump sum payments in lieu of wage increases in 2014 and 2015, but provided for wage increases in 2016 through 2019. We amortized these lump sum payments over the period in which the wages were not increased beginning on April 1, 2014. Finally, the modification provided for certain changes to work rules and our use of purchased transportation in certain situations.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Revenue-related Reserves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shipments in transit, we record revenue based on the percentage of service completed as of the period end and accrue delivery costs as incurred. The percentage of service completed for each shipment is based on how far along in the shipment cycle each shipment is in relation to standard transit days. Standard transit days are defined as our published service days between origin zip code and destination zip code. Based on historical cost and engineering studies, certain percentages of revenue are determined to be earned during each stage of the shipment cycle, such as initial pick up, long distance transportation, intermediate transfer and customer delivery. Using standard transit times, we analyze each shipment in transit at a particular period end to determine what stage the shipment is in. We apply that stage’s percentage of revenue earned factor to the rated revenue for that shipment to determine the revenue dollars earned by that shipment in the current period. The total revenue earned is accumulated for all shipments in transit at a particular period end and recorded as operating revenue.</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we recognize revenue on a gross basis because we are the primary obligors even when we use other transportation service providers who act on our behalf. We remain responsible to our customers for complete and proper shipment, including the risk of physical loss or damage of the goods and cargo claims issues. We assign pricing to bills of lading at the time of shipment based primarily on the weight, general classification of the product, the shipping destination and individual customer discounts. This process is referred to as rating. At various points throughout our process, incorrect ratings could be identified based on many factors, including weight verifications or updated customer discounts. Although the majority of rerating occurs in the same month as the original rating, a portion occurs during the following periods. We accrue a reserve for rerating based primarily on historical trends. At December 31, 2017 and 2016, our financial statements included a rerate reserve as a reduction to “Accounts Receivable” of $8.8 million and $10.4 million, respectively.</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an allowance for doubtful accounts primarily based on historical uncollectible amounts. We also take into account known factors surrounding specific customers and overall collection trends. Our process involves performing ongoing credit evaluations of customers, including the market in which they operate and the overall economic conditions. We continually review historical trends and customer specific factors and make adjustments to the allowance for doubtful accounts as appropriate. Our allowance for doubtful accounts totaled $12.0 million and $9.5 million as of December 31, 2017 and 2016,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functional currency is the U.S. dollar, whereas, our foreign operations utilize the local currency as their functional currency. Accordingly, for purposes of translating foreign subsidiary financial statements to the U.S. dollar reporting currency, assets and liabilities of our foreign operations are translated at the fiscal year end exchange rates and income and expenses are translated monthly, at the average exchange rates for each respective month, with changes recognized in other comprehensive income (loss). Foreign currency gains and losses resulting from foreign currency transactions resulted in a net loss of $4.0 million in 2017 and a net gain of $0.9 million and $9.3 million during 2016 and 2015, respectively. These amounts are included in “Nonoperating expenses - Other, net” in the accompanying statements of consolidated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3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Self-Insurance Accruals for Claims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Claims and insurance accruals, both current and long-term, reflect the estimated settlement cost of claims for workers’ compensation, property damage and liability claims, and cargo loss and damage that insurance does not cover. We establish and modify reserve estimates for workers’ compensation and property damage and liability claims primarily upon actuarial analyses prepared by independent actuaries. These reserves are discounted to present value using a risk-free rate based on the year of occurrence. The risk-free rate is the U.S. Treasury rate for maturities that match the expected payout of such claims and was 1.5%, 1.0% and 1.0% for workers’ compensation claims incurred as of December 31, 2017, 2016 and 2015, respectively. The rate was 1.3%, 0.8% and 0.7% for property damage and liability claims incurred as of December 31, 2017, 2016 and 2015, respectively. The process of determining reserve requirements utilizes historical trends and involves an evaluation of accident frequency and severity, claims management, changes in health care costs and certain future administrative costs. The effect of future inflation for costs is considered in the actuarial analysis. Adjustments to previously established reserves are included in operating results in the year of adjustment. As of December 31, 2017 and 2016, we had $360.7 million and $364.4 million, respectively, accrued for outstanding claims.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Expected aggregate undiscounted amounts and material changes to these amounts as of December 31 are presented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1600" w:type="dxa"/>
            <w:vAlign w:val="bottom"/>
          </w:tcPr>
          <w:p>
            <w:pPr>
              <w:jc w:val="right"/>
              <w:ind w:right="573"/>
              <w:spacing w:after="0"/>
              <w:rPr>
                <w:sz w:val="20"/>
                <w:szCs w:val="20"/>
                <w:color w:val="auto"/>
              </w:rPr>
            </w:pPr>
            <w:r>
              <w:rPr>
                <w:rFonts w:ascii="Arial" w:cs="Arial" w:eastAsia="Arial" w:hAnsi="Arial"/>
                <w:sz w:val="14"/>
                <w:szCs w:val="14"/>
                <w:b w:val="1"/>
                <w:bCs w:val="1"/>
                <w:color w:val="auto"/>
              </w:rPr>
              <w:t>Workers’</w:t>
            </w:r>
          </w:p>
        </w:tc>
        <w:tc>
          <w:tcPr>
            <w:tcW w:w="220" w:type="dxa"/>
            <w:vAlign w:val="bottom"/>
          </w:tcPr>
          <w:p>
            <w:pPr>
              <w:spacing w:after="0"/>
              <w:rPr>
                <w:sz w:val="14"/>
                <w:szCs w:val="14"/>
                <w:color w:val="auto"/>
              </w:rPr>
            </w:pPr>
          </w:p>
        </w:tc>
        <w:tc>
          <w:tcPr>
            <w:tcW w:w="1720" w:type="dxa"/>
            <w:vAlign w:val="bottom"/>
          </w:tcPr>
          <w:p>
            <w:pPr>
              <w:jc w:val="right"/>
              <w:ind w:right="193"/>
              <w:spacing w:after="0"/>
              <w:rPr>
                <w:sz w:val="20"/>
                <w:szCs w:val="20"/>
                <w:color w:val="auto"/>
              </w:rPr>
            </w:pPr>
            <w:r>
              <w:rPr>
                <w:rFonts w:ascii="Arial" w:cs="Arial" w:eastAsia="Arial" w:hAnsi="Arial"/>
                <w:sz w:val="14"/>
                <w:szCs w:val="14"/>
                <w:b w:val="1"/>
                <w:bCs w:val="1"/>
                <w:color w:val="auto"/>
                <w:w w:val="98"/>
              </w:rPr>
              <w:t>Property Damage and</w:t>
            </w:r>
          </w:p>
        </w:tc>
        <w:tc>
          <w:tcPr>
            <w:tcW w:w="480" w:type="dxa"/>
            <w:vAlign w:val="bottom"/>
          </w:tcPr>
          <w:p>
            <w:pPr>
              <w:spacing w:after="0"/>
              <w:rPr>
                <w:sz w:val="14"/>
                <w:szCs w:val="14"/>
                <w:color w:val="auto"/>
              </w:rPr>
            </w:pPr>
          </w:p>
        </w:tc>
        <w:tc>
          <w:tcPr>
            <w:tcW w:w="1460" w:type="dxa"/>
            <w:vAlign w:val="bottom"/>
            <w:vMerge w:val="restart"/>
          </w:tcPr>
          <w:p>
            <w:pPr>
              <w:jc w:val="right"/>
              <w:ind w:right="7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Compensation</w:t>
            </w: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Liability Claims</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Undiscounted amount at December 31, 2015</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84.9</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Estimated settlement cost for 2016 claims</w:t>
            </w:r>
          </w:p>
        </w:tc>
        <w:tc>
          <w:tcPr>
            <w:tcW w:w="3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89.4</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30.0</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payments, net of recoveries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Change in estimated settlement cost for older claim years</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9.5</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Undiscounted amount at December 31, 2016</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72.9</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Estimated settlement cost for 2017 claims</w:t>
            </w:r>
          </w:p>
        </w:tc>
        <w:tc>
          <w:tcPr>
            <w:tcW w:w="3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95.7</w:t>
            </w:r>
          </w:p>
        </w:tc>
        <w:tc>
          <w:tcPr>
            <w:tcW w:w="220" w:type="dxa"/>
            <w:vAlign w:val="bottom"/>
          </w:tcPr>
          <w:p>
            <w:pPr>
              <w:spacing w:after="0"/>
              <w:rPr>
                <w:sz w:val="21"/>
                <w:szCs w:val="21"/>
                <w:color w:val="auto"/>
              </w:rPr>
            </w:pPr>
          </w:p>
        </w:tc>
        <w:tc>
          <w:tcPr>
            <w:tcW w:w="1720" w:type="dxa"/>
            <w:vAlign w:val="bottom"/>
          </w:tcPr>
          <w:p>
            <w:pPr>
              <w:jc w:val="right"/>
              <w:ind w:right="13"/>
              <w:spacing w:after="0"/>
              <w:rPr>
                <w:sz w:val="20"/>
                <w:szCs w:val="20"/>
                <w:color w:val="auto"/>
              </w:rPr>
            </w:pPr>
            <w:r>
              <w:rPr>
                <w:rFonts w:ascii="Arial" w:cs="Arial" w:eastAsia="Arial" w:hAnsi="Arial"/>
                <w:sz w:val="18"/>
                <w:szCs w:val="18"/>
                <w:color w:val="auto"/>
              </w:rPr>
              <w:t>37.2</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payments, net of recoveries</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Change in estimated settlement cost for older claim years</w:t>
            </w:r>
          </w:p>
        </w:tc>
        <w:tc>
          <w:tcPr>
            <w:tcW w:w="3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Undiscounted settlement cost estimate at December 31, 2017</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70.5</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Discounted settlement cost estimate at December 31, 2017</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276.4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69.3</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345.7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amounts above, accrued settlement cost amounts for cargo claims and other insurance related amounts, none of which are discounted, totaled $15.0 million and $15.3 million at December 31,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Estimated cash payments to settle claims which were incurred on or before December 31, 2017, for the next five years and thereafter are as follows:</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jc w:val="right"/>
              <w:ind w:right="137"/>
              <w:spacing w:after="0"/>
              <w:rPr>
                <w:sz w:val="20"/>
                <w:szCs w:val="20"/>
                <w:color w:val="auto"/>
              </w:rPr>
            </w:pPr>
            <w:r>
              <w:rPr>
                <w:rFonts w:ascii="Arial" w:cs="Arial" w:eastAsia="Arial" w:hAnsi="Arial"/>
                <w:sz w:val="14"/>
                <w:szCs w:val="14"/>
                <w:b w:val="1"/>
                <w:bCs w:val="1"/>
                <w:color w:val="auto"/>
              </w:rPr>
              <w:t>Workers’</w:t>
            </w:r>
          </w:p>
        </w:tc>
        <w:tc>
          <w:tcPr>
            <w:tcW w:w="54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Arial" w:cs="Arial" w:eastAsia="Arial" w:hAnsi="Arial"/>
                <w:sz w:val="14"/>
                <w:szCs w:val="14"/>
                <w:b w:val="1"/>
                <w:bCs w:val="1"/>
                <w:color w:val="auto"/>
              </w:rPr>
              <w:t>Property Damage and Liability</w:t>
            </w:r>
          </w:p>
        </w:tc>
        <w:tc>
          <w:tcPr>
            <w:tcW w:w="560" w:type="dxa"/>
            <w:vAlign w:val="bottom"/>
          </w:tcPr>
          <w:p>
            <w:pPr>
              <w:spacing w:after="0"/>
              <w:rPr>
                <w:sz w:val="14"/>
                <w:szCs w:val="14"/>
                <w:color w:val="auto"/>
              </w:rPr>
            </w:pPr>
          </w:p>
        </w:tc>
        <w:tc>
          <w:tcPr>
            <w:tcW w:w="1640" w:type="dxa"/>
            <w:vAlign w:val="bottom"/>
            <w:vMerge w:val="restart"/>
          </w:tcPr>
          <w:p>
            <w:pPr>
              <w:jc w:val="right"/>
              <w:ind w:right="8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8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Compensation</w:t>
            </w:r>
          </w:p>
        </w:tc>
        <w:tc>
          <w:tcPr>
            <w:tcW w:w="5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Claims</w:t>
            </w:r>
          </w:p>
        </w:tc>
        <w:tc>
          <w:tcPr>
            <w:tcW w:w="5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600" w:type="dxa"/>
            <w:vAlign w:val="bottom"/>
            <w:tcBorders>
              <w:bottom w:val="single" w:sz="8" w:color="CCEEFF"/>
            </w:tcBorders>
            <w:shd w:val="clear" w:color="auto" w:fill="CCEEFF"/>
          </w:tcPr>
          <w:p>
            <w:pPr>
              <w:jc w:val="right"/>
              <w:ind w:right="139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52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2019</w:t>
            </w:r>
          </w:p>
        </w:tc>
        <w:tc>
          <w:tcPr>
            <w:tcW w:w="16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50.4</w:t>
            </w:r>
          </w:p>
        </w:tc>
        <w:tc>
          <w:tcPr>
            <w:tcW w:w="5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19.3</w:t>
            </w:r>
          </w:p>
        </w:tc>
        <w:tc>
          <w:tcPr>
            <w:tcW w:w="56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6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5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2021</w:t>
            </w:r>
          </w:p>
        </w:tc>
        <w:tc>
          <w:tcPr>
            <w:tcW w:w="16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23.7</w:t>
            </w:r>
          </w:p>
        </w:tc>
        <w:tc>
          <w:tcPr>
            <w:tcW w:w="5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6.5</w:t>
            </w:r>
          </w:p>
        </w:tc>
        <w:tc>
          <w:tcPr>
            <w:tcW w:w="56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5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5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94.0</w:t>
            </w:r>
          </w:p>
        </w:tc>
        <w:tc>
          <w:tcPr>
            <w:tcW w:w="5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jc w:val="right"/>
              <w:ind w:right="139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w:t>
            </w:r>
          </w:p>
        </w:tc>
        <w:tc>
          <w:tcPr>
            <w:tcW w:w="5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80" w:type="dxa"/>
            <w:vAlign w:val="bottom"/>
          </w:tcPr>
          <w:p>
            <w:pPr>
              <w:spacing w:after="0"/>
              <w:rPr>
                <w:sz w:val="24"/>
                <w:szCs w:val="24"/>
                <w:color w:val="auto"/>
              </w:rPr>
            </w:pPr>
          </w:p>
        </w:tc>
        <w:tc>
          <w:tcPr>
            <w:tcW w:w="1600" w:type="dxa"/>
            <w:vAlign w:val="bottom"/>
          </w:tcPr>
          <w:p>
            <w:pPr>
              <w:jc w:val="right"/>
              <w:ind w:right="637"/>
              <w:spacing w:after="0"/>
              <w:rPr>
                <w:sz w:val="20"/>
                <w:szCs w:val="20"/>
                <w:color w:val="auto"/>
              </w:rPr>
            </w:pPr>
            <w:r>
              <w:rPr>
                <w:rFonts w:ascii="Arial" w:cs="Arial" w:eastAsia="Arial" w:hAnsi="Arial"/>
                <w:sz w:val="18"/>
                <w:szCs w:val="18"/>
                <w:color w:val="auto"/>
              </w:rPr>
              <w:t>54</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various equity-based employee compensation plans, which are described more fully in the (“Equity-Based Compensation Plans”) footnote to our consolidated financial statements. We recognize compensation costs for non-vested shares based on the grant date fair value. For our equity grants, with no performance requirement, we recognize compensation cost on a straight-line basis over the requisite service period (generally three to four years) based on the grant-date fair value. For our performance-based awards, the Company expenses the grant date fair value of the awards which are probable of being earned in the performance period over the respective service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components of our property and equipment at cost as of December 31:</w:t>
      </w:r>
    </w:p>
    <w:p>
      <w:pPr>
        <w:spacing w:after="0" w:line="230"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Structures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769.5</w:t>
            </w:r>
          </w:p>
        </w:tc>
      </w:tr>
      <w:tr>
        <w:trPr>
          <w:trHeight w:val="27"/>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1,375.2</w:t>
            </w:r>
          </w:p>
        </w:tc>
      </w:tr>
      <w:tr>
        <w:trPr>
          <w:trHeight w:val="243"/>
        </w:trPr>
        <w:tc>
          <w:tcPr>
            <w:tcW w:w="6420" w:type="dxa"/>
            <w:vAlign w:val="bottom"/>
          </w:tcPr>
          <w:p>
            <w:pPr>
              <w:ind w:left="20"/>
              <w:spacing w:after="0"/>
              <w:rPr>
                <w:sz w:val="20"/>
                <w:szCs w:val="20"/>
                <w:color w:val="auto"/>
              </w:rPr>
            </w:pPr>
            <w:r>
              <w:rPr>
                <w:rFonts w:ascii="Arial" w:cs="Arial" w:eastAsia="Arial" w:hAnsi="Arial"/>
                <w:sz w:val="18"/>
                <w:szCs w:val="18"/>
                <w:color w:val="auto"/>
              </w:rPr>
              <w:t>Technology equipment and software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186.8</w:t>
            </w:r>
          </w:p>
        </w:tc>
      </w:tr>
      <w:tr>
        <w:trPr>
          <w:trHeight w:val="27"/>
        </w:trPr>
        <w:tc>
          <w:tcPr>
            <w:tcW w:w="6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r>
      <w:tr>
        <w:trPr>
          <w:trHeight w:val="257"/>
        </w:trPr>
        <w:tc>
          <w:tcPr>
            <w:tcW w:w="6420" w:type="dxa"/>
            <w:vAlign w:val="bottom"/>
          </w:tcPr>
          <w:p>
            <w:pPr>
              <w:ind w:left="20"/>
              <w:spacing w:after="0"/>
              <w:rPr>
                <w:sz w:val="20"/>
                <w:szCs w:val="20"/>
                <w:color w:val="auto"/>
              </w:rPr>
            </w:pPr>
            <w:r>
              <w:rPr>
                <w:rFonts w:ascii="Arial" w:cs="Arial" w:eastAsia="Arial" w:hAnsi="Arial"/>
                <w:sz w:val="18"/>
                <w:szCs w:val="18"/>
                <w:color w:val="auto"/>
              </w:rPr>
              <w:t>Total property and equipment, at cost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2,787.0</w:t>
            </w:r>
          </w:p>
        </w:tc>
      </w:tr>
      <w:tr>
        <w:trPr>
          <w:trHeight w:val="20"/>
        </w:trPr>
        <w:tc>
          <w:tcPr>
            <w:tcW w:w="6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carry property and equipment at cost less accumulated depreciation. We compute depreciation using the straight-line method based on the following service lives:</w:t>
      </w:r>
    </w:p>
    <w:p>
      <w:pPr>
        <w:spacing w:after="0" w:line="176"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Years</w:t>
      </w:r>
    </w:p>
    <w:p>
      <w:pPr>
        <w:spacing w:after="0" w:line="25" w:lineRule="exact"/>
        <w:rPr>
          <w:sz w:val="20"/>
          <w:szCs w:val="20"/>
          <w:color w:val="auto"/>
        </w:rPr>
      </w:pPr>
    </w:p>
    <w:tbl>
      <w:tblPr>
        <w:tblLayout w:type="fixed"/>
        <w:tblInd w:w="1060" w:type="dxa"/>
        <w:tblCellMar>
          <w:top w:w="0" w:type="dxa"/>
          <w:left w:w="0" w:type="dxa"/>
          <w:bottom w:w="0" w:type="dxa"/>
          <w:right w:w="0" w:type="dxa"/>
        </w:tblCellMar>
      </w:tblPr>
      <w:tr>
        <w:trPr>
          <w:trHeight w:val="256"/>
        </w:trPr>
        <w:tc>
          <w:tcPr>
            <w:tcW w:w="5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Structures</w:t>
            </w:r>
          </w:p>
        </w:tc>
        <w:tc>
          <w:tcPr>
            <w:tcW w:w="3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- 30</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Revenue equipment</w:t>
            </w:r>
          </w:p>
        </w:tc>
        <w:tc>
          <w:tcPr>
            <w:tcW w:w="3000" w:type="dxa"/>
            <w:vAlign w:val="bottom"/>
          </w:tcPr>
          <w:p>
            <w:pPr>
              <w:jc w:val="right"/>
              <w:spacing w:after="0"/>
              <w:rPr>
                <w:sz w:val="20"/>
                <w:szCs w:val="20"/>
                <w:color w:val="auto"/>
              </w:rPr>
            </w:pPr>
            <w:r>
              <w:rPr>
                <w:rFonts w:ascii="Arial" w:cs="Arial" w:eastAsia="Arial" w:hAnsi="Arial"/>
                <w:sz w:val="18"/>
                <w:szCs w:val="18"/>
                <w:color w:val="auto"/>
              </w:rPr>
              <w:t>10</w:t>
            </w:r>
          </w:p>
        </w:tc>
        <w:tc>
          <w:tcPr>
            <w:tcW w:w="840" w:type="dxa"/>
            <w:vAlign w:val="bottom"/>
          </w:tcPr>
          <w:p>
            <w:pPr>
              <w:ind w:left="20"/>
              <w:spacing w:after="0"/>
              <w:rPr>
                <w:sz w:val="20"/>
                <w:szCs w:val="20"/>
                <w:color w:val="auto"/>
              </w:rPr>
            </w:pPr>
            <w:r>
              <w:rPr>
                <w:rFonts w:ascii="Arial" w:cs="Arial" w:eastAsia="Arial" w:hAnsi="Arial"/>
                <w:sz w:val="18"/>
                <w:szCs w:val="18"/>
                <w:color w:val="auto"/>
              </w:rPr>
              <w:t>- 20</w:t>
            </w:r>
          </w:p>
        </w:tc>
      </w:tr>
      <w:tr>
        <w:trPr>
          <w:trHeight w:val="27"/>
        </w:trPr>
        <w:tc>
          <w:tcPr>
            <w:tcW w:w="54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 equipment and software</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- 7</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Other</w:t>
            </w:r>
          </w:p>
        </w:tc>
        <w:tc>
          <w:tcPr>
            <w:tcW w:w="3840" w:type="dxa"/>
            <w:vAlign w:val="bottom"/>
            <w:gridSpan w:val="2"/>
          </w:tcPr>
          <w:p>
            <w:pPr>
              <w:jc w:val="right"/>
              <w:ind w:right="490"/>
              <w:spacing w:after="0"/>
              <w:rPr>
                <w:sz w:val="20"/>
                <w:szCs w:val="20"/>
                <w:color w:val="auto"/>
              </w:rPr>
            </w:pPr>
            <w:r>
              <w:rPr>
                <w:rFonts w:ascii="Arial" w:cs="Arial" w:eastAsia="Arial" w:hAnsi="Arial"/>
                <w:sz w:val="18"/>
                <w:szCs w:val="18"/>
                <w:color w:val="auto"/>
              </w:rPr>
              <w:t>3 - 10</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charge maintenance and repairs to expense as incurred and betterments are capitalized. The cost of replacement tires are expensed at the time those tires are placed into service, as is the case with other repair and maintenance costs. Leasehold improvements are capitalized and amortized over the shorter of their useful lives or the remaining lease term.</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to purchasing new revenue equipment, we also rebuild the engines of our tractors (at certain time or mile intervals). Because rebuilding an engine increases its useful life, we capitalize these costs and depreciate over the remaining useful life of the unit. The cost of engines on newly acquired revenue equipment is capitalized and depreciated over the estimated useful life of the related equipment.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investment in technology equipment and software consists primarily of freight movement, automation, administrative, and related software. The Company capitalizes certain costs associated with developing or obtaining internal-use software. Capitalizable costs include external direct costs of materials and services utilized in developing or obtaining the software and payroll and payroll-related costs for employees directly associated with the development of the project.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2017, 2016 and 2015, depreciation expense was $147.7 million, $146.3 million and $145.5 million, respectively.</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Long-lived assets are reviewed for impairment when events or circumstances indicate that the carrying amount of an asset may not be recoverable. If impairment indicators are present and the estimated future undiscounted cash flows are less than the carrying value of the long-lived assets, the carrying value would be reduced to the estimated fair value. Future cash flow estimates for an impairment review would be based on the lowest level of identifiable cash flows, which are at the segment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23, 2015, the Company entered into an equity interest sale and purchase agreement to sell its fifty percent interest in its Chinese joint venture, JHJ International Transportation Co., for a purchase price of $16.3 million, which subsequently closed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30" w:right="239" w:bottom="1440" w:gutter="0" w:footer="0" w:header="0"/>
        </w:sectPr>
      </w:pPr>
    </w:p>
    <w:bookmarkStart w:id="55" w:name="page56"/>
    <w:bookmarkEnd w:id="55"/>
    <w:p>
      <w:pPr>
        <w:jc w:val="both"/>
        <w:spacing w:after="0" w:line="259" w:lineRule="auto"/>
        <w:rPr>
          <w:sz w:val="20"/>
          <w:szCs w:val="20"/>
          <w:color w:val="auto"/>
        </w:rPr>
      </w:pPr>
      <w:r>
        <w:rPr>
          <w:rFonts w:ascii="Arial" w:cs="Arial" w:eastAsia="Arial" w:hAnsi="Arial"/>
          <w:sz w:val="18"/>
          <w:szCs w:val="18"/>
          <w:color w:val="auto"/>
        </w:rPr>
        <w:t>on March 30, 2016. At closing we received proceeds of $16.3 million and paid transaction fees of $1.7 million. At March 30, 2016, the carrying value of the investment was $22.7 million with an offsetting cumulative foreign translation adjustment of $10.4 million, resulting in a net gain on the transaction of $2.3 million. The gain on the transaction is included in “Nonoperating expenses - Other, net” in the accompanying statement of consolidated comprehensive income for the twelve months ended December 31, 2016.</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accounted for the ownership of our joint venture under the equity method and accordingly, recognized our share of the respective joint ventures earnings, which were inconsequential, in “Nonoperating expenses - Other, net” in the accompanying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determined fair value measurements used in our consolidated financial statements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174"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Valuations based on quoted prices in active markets for identical assets or liabilities that the entity has the ability to access.</w:t>
      </w:r>
    </w:p>
    <w:p>
      <w:pPr>
        <w:spacing w:after="0" w:line="225" w:lineRule="exact"/>
        <w:rPr>
          <w:rFonts w:ascii="Arial" w:cs="Arial" w:eastAsia="Arial" w:hAnsi="Arial"/>
          <w:sz w:val="18"/>
          <w:szCs w:val="18"/>
          <w:b w:val="1"/>
          <w:bCs w:val="1"/>
          <w:color w:val="auto"/>
        </w:rPr>
      </w:pPr>
    </w:p>
    <w:p>
      <w:pPr>
        <w:ind w:left="660" w:hanging="328"/>
        <w:spacing w:after="0" w:line="28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Valuations based on quoted prices for similar assets or liabilities, quoted prices in markets that are not active, or other inputs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observable or can be corroborated by observable data for substantially the full term of the assets or liabilities.</w:t>
      </w:r>
    </w:p>
    <w:p>
      <w:pPr>
        <w:spacing w:after="0" w:line="161"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Valuations based on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asset’s or liability’s fair value measurement level with the fair value hierarchy is based on the lowest level of any input that is significant to the fair value measurement. Valuation techniques used maximize the use of observable inputs and minimize the use of unobservable inputs.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valuation methodologies described above may produce a fair value calculation that may not be indicative of net realizable value or reflective of future fair values. We believe that our valuation methods are appropriate and consistent with other market participants. The use of different methodologies or assumptions to determine the fair value of certain financial assets could result in a different fair value measurement at the reporting date. There have been no changes in the methodologies used at December 31, 2017 and 2016.</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tables summarize the fair value hierarchy of our financial assets held at fair value on a recurring basis, which consists of our restricted cash held in escrow:</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gridSpan w:val="7"/>
          </w:tcPr>
          <w:p>
            <w:pPr>
              <w:jc w:val="center"/>
              <w:ind w:right="62"/>
              <w:spacing w:after="0"/>
              <w:rPr>
                <w:sz w:val="20"/>
                <w:szCs w:val="20"/>
                <w:color w:val="auto"/>
              </w:rPr>
            </w:pPr>
            <w:r>
              <w:rPr>
                <w:rFonts w:ascii="Arial" w:cs="Arial" w:eastAsia="Arial" w:hAnsi="Arial"/>
                <w:sz w:val="14"/>
                <w:szCs w:val="14"/>
                <w:b w:val="1"/>
                <w:bCs w:val="1"/>
                <w:color w:val="auto"/>
                <w:w w:val="93"/>
              </w:rPr>
              <w:t>Fair Value Measurement at December 31, 2017</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Quoted prices</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3"/>
                <w:szCs w:val="13"/>
                <w:color w:val="auto"/>
              </w:rPr>
            </w:pPr>
          </w:p>
        </w:tc>
        <w:tc>
          <w:tcPr>
            <w:tcW w:w="126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2"/>
                <w:szCs w:val="12"/>
                <w:color w:val="auto"/>
              </w:rPr>
            </w:pPr>
          </w:p>
        </w:tc>
        <w:tc>
          <w:tcPr>
            <w:tcW w:w="126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 active market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26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3"/>
              </w:rPr>
              <w:t>inputs (Level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escrow-current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77"/>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0"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3"/>
              </w:rPr>
              <w:t>Fair Value Measurement at December 31, 2016</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Quoted prices</w:t>
            </w:r>
          </w:p>
        </w:tc>
        <w:tc>
          <w:tcPr>
            <w:tcW w:w="200" w:type="dxa"/>
            <w:vAlign w:val="bottom"/>
          </w:tcPr>
          <w:p>
            <w:pPr>
              <w:spacing w:after="0"/>
              <w:rPr>
                <w:sz w:val="13"/>
                <w:szCs w:val="13"/>
                <w:color w:val="auto"/>
              </w:rPr>
            </w:pPr>
          </w:p>
        </w:tc>
        <w:tc>
          <w:tcPr>
            <w:tcW w:w="13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3"/>
                <w:szCs w:val="13"/>
                <w:color w:val="auto"/>
              </w:rPr>
            </w:pPr>
          </w:p>
        </w:tc>
        <w:tc>
          <w:tcPr>
            <w:tcW w:w="1260" w:type="dxa"/>
            <w:vAlign w:val="bottom"/>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Carrying</w:t>
            </w: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 active market</w:t>
            </w: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inputs (Level 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amounts held in escrow-current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amounts held in escrow-long term</w:t>
            </w:r>
          </w:p>
        </w:tc>
        <w:tc>
          <w:tcPr>
            <w:tcW w:w="20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Restricted amounts held in escrow are invested in money market accounts and are recorded at fair value based on quoted market prices. The carrying value of cash and cash equivalents, accounts receivable and accounts payable approximates their fair value due to the short-term nature of these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long-term debt is included in the “Debt and Financing” footnote to the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Out of Accumulated Other Comprehensive Loss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years ended December 31, 2017 and 2016, we reclassified the amortization of our prior net pension losses, net of tax, totaling $12.9 million and $13.7 million, respectively, from accumulated other comprehensive income (loss) to net income (loss). This reclassification is a component of net periodic pension cost and is discussed in the “Employee Benefits” footnote. In addition, for the year ended December 31, 2016, we also reclassified foreign currency translation adjustments of $10.4 million related to the sale of our investment in JHJ from accumulated other comprehensive loss to net income (loss), as discussed in the “Equity Method Investments” section of this footnote.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52525"/>
        </w:rPr>
        <w:t xml:space="preserve">In May 2014, the FASB issued ASU No. 2014-09, </w:t>
      </w:r>
      <w:r>
        <w:rPr>
          <w:rFonts w:ascii="Arial" w:cs="Arial" w:eastAsia="Arial" w:hAnsi="Arial"/>
          <w:sz w:val="17"/>
          <w:szCs w:val="17"/>
          <w:i w:val="1"/>
          <w:iCs w:val="1"/>
          <w:color w:val="252525"/>
        </w:rPr>
        <w:t>Revenue from Contracts with Customer,</w:t>
      </w:r>
      <w:r>
        <w:rPr>
          <w:rFonts w:ascii="Arial" w:cs="Arial" w:eastAsia="Arial" w:hAnsi="Arial"/>
          <w:sz w:val="17"/>
          <w:szCs w:val="17"/>
          <w:color w:val="252525"/>
        </w:rPr>
        <w:t xml:space="preserve"> which requires entities to </w:t>
      </w:r>
      <w:r>
        <w:rPr>
          <w:rFonts w:ascii="Arial" w:cs="Arial" w:eastAsia="Arial" w:hAnsi="Arial"/>
          <w:sz w:val="17"/>
          <w:szCs w:val="17"/>
          <w:color w:val="000000"/>
        </w:rPr>
        <w:t>recognize revenue to depict the transfer</w:t>
      </w:r>
      <w:r>
        <w:rPr>
          <w:rFonts w:ascii="Arial" w:cs="Arial" w:eastAsia="Arial" w:hAnsi="Arial"/>
          <w:sz w:val="17"/>
          <w:szCs w:val="17"/>
          <w:color w:val="252525"/>
        </w:rPr>
        <w:t xml:space="preserve"> </w:t>
      </w:r>
      <w:r>
        <w:rPr>
          <w:rFonts w:ascii="Arial" w:cs="Arial" w:eastAsia="Arial" w:hAnsi="Arial"/>
          <w:sz w:val="17"/>
          <w:szCs w:val="17"/>
          <w:color w:val="000000"/>
        </w:rPr>
        <w:t>of promised goods or services to customers in an amount that reflects the consideration to which the entity expects to be entitled in exchange for those goods or services. The new standard is effective for the Company for its annual reporting period beginning January 1, 2018, including interim periods within that reporting period. The Company plans to adopt the new standard using the modified retrospective transition approach, which means any changes from the beginning of the year of initial application will be recognized through retained earnings with no restatement of comparative periods. The Company has completed the review of customer contracts to understand the impacts of applying the new standard, noting the Company will continue to recognize freight revenue based on the percentage of service completed, or proportionate, to the shipment from origin to destination. Further, the Company will continue to make judgments and estimates as required for rerates in order to address variable consideration under the new revenue model. The new standard prescribes additional financial statement disclosures which the Company is currently in the process of evaluating, in addition to updating the internal controls relating to the data to be included into the new disclosures. Based on the Company’s review, the adoption will not have a material impact on the consolidated financial statements.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2015, the FASB issued ASU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which requires entities with a classified balance sheet to present all deferred tax assets and liabilities as noncurrent. The new standard was effective for the Company for its annual reporting period beginning January 1, 2017, including interim periods within that reporting period. The ASU allows entities to choose either prospective or retrospective transition. The Company adopted the standard in the first quarter of 2017 using the prospective transition method.</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requires lessees to recognize a right-to-use asset and a lease obligation for all leases. Lessees are permitted to make an accounting policy election to not recognize an asset and liability for leases with a term of twelve months or less. Lessor accounting under the new standard is substantially unchanged. Additional qualitative and quantitative disclosures, including significant judgments made by management, will be required. The new standard will become effective for the Company for its annual reporting period beginning January 1, 2019, including interim periods within that reporting period and requires a modified retrospective transition approach. Using a cross functional team, the Company selected and reviewed a representative population of lease agreements to understand the accounting impacts of the new standard; in addition, the Company is in the process of implementing a new lease management system. The Company is currently evaluating the impacts the adoption of this standard will have on the consolidated financial statements.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The Company adopted this new standard effective January 1, 2017. The new standard requires an employer to classify as a financing activity 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752" w:right="2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t>its statement of cash flows the cash paid to a taxing authority when shares are withheld to satisfy the employer’s statutory income tax withholding obligation. As a result of adoption, the Company reclassified $2.4 million, $0.7 million, and $6.8 million in “Payments for tax withheld on share-based compensation” as financing activities in the statements of consolidated cash flows for the years ended 2017, 2016, and 2015, respectively. The Company had no other items requiring retrospective treatment under the pronouncement.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to clarify the guidance on how companies present restricted cash and restricted cash equivalents in the statement of cash flows. As a result, the Company will no longer present transfers between cash and cash equivalents and restricted cash in the statement of cash flows. The new standard will become effective for the Company for its annual reporting period beginning January 1, 2018, including interim periods within that reporting period and requires a retrospective transition approach. The Company will adopt the standard beginning with the first quarter of 2018. The adoption of this standard will impact the statement of consolidated cash flows by increasing beginning and ending cash to include “Cash and cash equivalents” as well as “Restricted amounts held in escrow” and will remove from investing activities the changes in restricted escrows.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March 2017, the FASB issued ASU 2017-07, </w:t>
      </w:r>
      <w:r>
        <w:rPr>
          <w:rFonts w:ascii="Arial" w:cs="Arial" w:eastAsia="Arial" w:hAnsi="Arial"/>
          <w:sz w:val="17"/>
          <w:szCs w:val="17"/>
          <w:i w:val="1"/>
          <w:iCs w:val="1"/>
          <w:color w:val="auto"/>
        </w:rPr>
        <w:t>Improving the Presentation of Net Periodic Pension Cost and Net Periodic Postretirement Benefit Cost</w:t>
      </w:r>
      <w:r>
        <w:rPr>
          <w:rFonts w:ascii="Arial" w:cs="Arial" w:eastAsia="Arial" w:hAnsi="Arial"/>
          <w:sz w:val="17"/>
          <w:szCs w:val="17"/>
          <w:color w:val="auto"/>
        </w:rPr>
        <w:t>, which requires companies to present the service cost component of net benefit cost in the same income statement line item as other employee compensation costs arising from services rendered during the period. All other components of net benefit cost are presented outside of any subtotal for operating income, if one is presented. Given the Company’s defined benefit plans are frozen, there is no service cost associated with the plans, other than the administrative costs. Therefore, the Company will include administrative costs with all other components as there is no service provided by employees. The Company will adopt the new standard beginning January 1, 2018, with retrospective application. For the year ended December 31, 2017 and 2016, the amount to be reclassified to nonoperating expenses from “Salaries, wages and employee benefits” in operating expenses is $20.3 million and $19.9 million, respectively. Other than the reclassification of net benefit cost, the Company does not believe the adoption of this standard will have a material impact on the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Intangibles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the carrying amount of our indefinite lived tradenames attributable to each applicable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YRC Freight</w:t>
            </w: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5"/>
              </w:rPr>
              <w:t>Regional Transportation</w:t>
            </w: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Total</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2014</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Change in foreign currency exchange rates</w:t>
            </w:r>
          </w:p>
        </w:tc>
        <w:tc>
          <w:tcPr>
            <w:tcW w:w="4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Change in foreign currency exchange rates</w:t>
            </w:r>
          </w:p>
        </w:tc>
        <w:tc>
          <w:tcPr>
            <w:tcW w:w="4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5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2016</w:t>
            </w:r>
          </w:p>
        </w:tc>
        <w:tc>
          <w:tcPr>
            <w:tcW w:w="4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Change in foreign currency exchange rates</w:t>
            </w:r>
          </w:p>
        </w:tc>
        <w:tc>
          <w:tcPr>
            <w:tcW w:w="4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0.6</w:t>
            </w:r>
          </w:p>
        </w:tc>
      </w:tr>
      <w:tr>
        <w:trPr>
          <w:trHeight w:val="27"/>
        </w:trPr>
        <w:tc>
          <w:tcPr>
            <w:tcW w:w="55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2017</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27.8</w:t>
            </w:r>
          </w:p>
        </w:tc>
      </w:tr>
      <w:tr>
        <w:trPr>
          <w:trHeight w:val="20"/>
        </w:trPr>
        <w:tc>
          <w:tcPr>
            <w:tcW w:w="5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Intangible assets with indefinite lives, which consist of our tradenames, are not subject to amortization, but are subjected to an impairment test at least annually or more frequently if a triggering event occurs. The impairment test for tradenames consists of a comparison of the fair value of the tradename with its carrying amount. An impairment loss is recognized for the amount by which the carrying amount exceeds the fair value of the asset. In making this assessment, we utilized the relief from royalty method, an income approach (a level 3 fair value measurement), which includes assumptions as to future revenue, applicable royalty rate and cost of capital,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30" w:right="239" w:bottom="1440" w:gutter="0" w:footer="0" w:header="0"/>
        </w:sectPr>
      </w:pPr>
    </w:p>
    <w:bookmarkStart w:id="58" w:name="page59"/>
    <w:bookmarkEnd w:id="58"/>
    <w:p>
      <w:pPr>
        <w:spacing w:after="0"/>
        <w:rPr>
          <w:sz w:val="20"/>
          <w:szCs w:val="20"/>
          <w:color w:val="auto"/>
        </w:rPr>
      </w:pPr>
      <w:r>
        <w:rPr>
          <w:rFonts w:ascii="Arial" w:cs="Arial" w:eastAsia="Arial" w:hAnsi="Arial"/>
          <w:sz w:val="20"/>
          <w:szCs w:val="20"/>
          <w:b w:val="1"/>
          <w:bCs w:val="1"/>
          <w:color w:val="auto"/>
        </w:rPr>
        <w:t>4. Other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other assets at December 31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2016</w:t>
            </w:r>
          </w:p>
        </w:tc>
      </w:tr>
      <w:tr>
        <w:trPr>
          <w:trHeight w:val="270"/>
        </w:trPr>
        <w:tc>
          <w:tcPr>
            <w:tcW w:w="66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Deferred debt costs</w:t>
            </w:r>
            <w:r>
              <w:rPr>
                <w:rFonts w:ascii="Arial" w:cs="Arial" w:eastAsia="Arial" w:hAnsi="Arial"/>
                <w:sz w:val="25"/>
                <w:szCs w:val="25"/>
                <w:color w:val="auto"/>
                <w:vertAlign w:val="superscript"/>
              </w:rPr>
              <w:t>(a)</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6640" w:type="dxa"/>
            <w:vAlign w:val="bottom"/>
          </w:tcPr>
          <w:p>
            <w:pPr>
              <w:ind w:left="20"/>
              <w:spacing w:after="0" w:line="270" w:lineRule="exact"/>
              <w:rPr>
                <w:sz w:val="20"/>
                <w:szCs w:val="20"/>
                <w:color w:val="auto"/>
              </w:rPr>
            </w:pPr>
            <w:r>
              <w:rPr>
                <w:rFonts w:ascii="Arial" w:cs="Arial" w:eastAsia="Arial" w:hAnsi="Arial"/>
                <w:sz w:val="18"/>
                <w:szCs w:val="18"/>
                <w:color w:val="auto"/>
              </w:rPr>
              <w:t>Prepayments</w:t>
            </w:r>
            <w:r>
              <w:rPr>
                <w:rFonts w:ascii="Arial" w:cs="Arial" w:eastAsia="Arial" w:hAnsi="Arial"/>
                <w:sz w:val="25"/>
                <w:szCs w:val="25"/>
                <w:color w:val="auto"/>
                <w:vertAlign w:val="superscript"/>
              </w:rPr>
              <w:t>(b)</w:t>
            </w:r>
          </w:p>
        </w:tc>
        <w:tc>
          <w:tcPr>
            <w:tcW w:w="4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57"/>
        </w:trPr>
        <w:tc>
          <w:tcPr>
            <w:tcW w:w="6640" w:type="dxa"/>
            <w:vAlign w:val="bottom"/>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w:t>
            </w:r>
          </w:p>
        </w:tc>
      </w:tr>
      <w:tr>
        <w:trPr>
          <w:trHeight w:val="20"/>
        </w:trPr>
        <w:tc>
          <w:tcPr>
            <w:tcW w:w="6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820" w:hanging="407"/>
        <w:spacing w:after="0"/>
        <w:tabs>
          <w:tab w:leader="none" w:pos="8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Deferred debt costs relate to our ABL Facility.</w:t>
      </w:r>
    </w:p>
    <w:p>
      <w:pPr>
        <w:spacing w:after="0" w:line="95" w:lineRule="exact"/>
        <w:rPr>
          <w:rFonts w:ascii="Arial" w:cs="Arial" w:eastAsia="Arial" w:hAnsi="Arial"/>
          <w:sz w:val="14"/>
          <w:szCs w:val="14"/>
          <w:color w:val="auto"/>
        </w:rPr>
      </w:pPr>
    </w:p>
    <w:p>
      <w:pPr>
        <w:ind w:left="820" w:hanging="407"/>
        <w:spacing w:after="0"/>
        <w:tabs>
          <w:tab w:leader="none" w:pos="8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Prepayments primarily includes prepaid costs for revenue equipment leases.</w:t>
      </w:r>
    </w:p>
    <w:p>
      <w:pPr>
        <w:spacing w:after="0" w:line="200" w:lineRule="exact"/>
        <w:rPr>
          <w:sz w:val="20"/>
          <w:szCs w:val="20"/>
          <w:color w:val="auto"/>
        </w:rPr>
      </w:pPr>
    </w:p>
    <w:p>
      <w:pPr>
        <w:spacing w:after="0" w:line="30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00"/>
          </w:cols>
          <w:pgMar w:left="240" w:top="522" w:right="759" w:bottom="1440" w:gutter="0" w:footer="0" w:header="0"/>
        </w:sectPr>
      </w:pPr>
    </w:p>
    <w:bookmarkStart w:id="59" w:name="page60"/>
    <w:bookmarkEnd w:id="59"/>
    <w:p>
      <w:pPr>
        <w:spacing w:after="0"/>
        <w:rPr>
          <w:sz w:val="20"/>
          <w:szCs w:val="20"/>
          <w:color w:val="auto"/>
        </w:rPr>
      </w:pPr>
      <w:r>
        <w:rPr>
          <w:rFonts w:ascii="Arial" w:cs="Arial" w:eastAsia="Arial" w:hAnsi="Arial"/>
          <w:sz w:val="20"/>
          <w:szCs w:val="20"/>
          <w:b w:val="1"/>
          <w:bCs w:val="1"/>
          <w:color w:val="auto"/>
        </w:rPr>
        <w:t>5. Employee Benefits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and Nonqualified Defined Benefit Pension Plans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YRC Worldwide and certain of our operating subsidiaries sponsor qualified and nonqualified defined benefit pension plans for certain employees not covered by collective bargaining agreements (approximately 9,000 current, former and retired employees). Qualified and nonqualified pension benefits are based on years of service and the employees’ covered earnings. Employees covered by collective bargaining agreements participate in various multi-employer pension plans to which YRC Worldwide contributes, as discussed below. Regional Transportation does not offer a defined benefit pension plan and instead offers retirement benefits through either contributory 401(k) savings plans or profit sharing plans, as discussed below. The domestic YRC Worldwide defined benefit pension plans closed to new participants effective January 1, 2004 and the benefit accrual for active employees was frozen effective July 1, 2008. Our actuarial valuation measurement date for our pension plans is December 31.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Funded Status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reconciliation of the beginning and ending balances of the projected benefit obligation and the fair value of plan assets for the years ended December 31, 2017 and 2016, and the funded status at December 31, 2017 and 2016, is as follows:</w:t>
      </w:r>
    </w:p>
    <w:p>
      <w:pPr>
        <w:spacing w:after="0" w:line="32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2016</w:t>
            </w: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Benefit obligation at beginning of year</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1,233.6</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1,202.7</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Service cost</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Interest cost</w:t>
            </w:r>
          </w:p>
        </w:tc>
        <w:tc>
          <w:tcPr>
            <w:tcW w:w="5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51.1</w:t>
            </w:r>
          </w:p>
        </w:tc>
        <w:tc>
          <w:tcPr>
            <w:tcW w:w="4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55.9</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Benefits paid</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Actuarial loss</w:t>
            </w:r>
          </w:p>
        </w:tc>
        <w:tc>
          <w:tcPr>
            <w:tcW w:w="5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63.5</w:t>
            </w:r>
          </w:p>
        </w:tc>
        <w:tc>
          <w:tcPr>
            <w:tcW w:w="4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53.4</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Expenses paid from assets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Plan amendments</w:t>
            </w:r>
          </w:p>
        </w:tc>
        <w:tc>
          <w:tcPr>
            <w:tcW w:w="5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(10.7)</w:t>
            </w:r>
          </w:p>
        </w:tc>
        <w:tc>
          <w:tcPr>
            <w:tcW w:w="4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4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r>
      <w:tr>
        <w:trPr>
          <w:trHeight w:val="237"/>
        </w:trPr>
        <w:tc>
          <w:tcPr>
            <w:tcW w:w="7520" w:type="dxa"/>
            <w:vAlign w:val="bottom"/>
          </w:tcPr>
          <w:p>
            <w:pPr>
              <w:ind w:left="260"/>
              <w:spacing w:after="0"/>
              <w:rPr>
                <w:sz w:val="20"/>
                <w:szCs w:val="20"/>
                <w:color w:val="auto"/>
              </w:rPr>
            </w:pPr>
            <w:r>
              <w:rPr>
                <w:rFonts w:ascii="Arial" w:cs="Arial" w:eastAsia="Arial" w:hAnsi="Arial"/>
                <w:sz w:val="18"/>
                <w:szCs w:val="18"/>
                <w:color w:val="auto"/>
              </w:rPr>
              <w:t>Benefit obligation at year end</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1,228.4</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1,233.6</w:t>
            </w:r>
          </w:p>
        </w:tc>
      </w:tr>
      <w:tr>
        <w:trPr>
          <w:trHeight w:val="27"/>
        </w:trPr>
        <w:tc>
          <w:tcPr>
            <w:tcW w:w="75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Fair value of plan assets at prior year end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878.7</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867.1</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Actual return on plan assets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166.1</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w:t>
            </w: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Employer contributions</w:t>
            </w:r>
          </w:p>
        </w:tc>
        <w:tc>
          <w:tcPr>
            <w:tcW w:w="500" w:type="dxa"/>
            <w:vAlign w:val="bottom"/>
          </w:tcPr>
          <w:p>
            <w:pPr>
              <w:spacing w:after="0"/>
              <w:rPr>
                <w:sz w:val="21"/>
                <w:szCs w:val="21"/>
                <w:color w:val="auto"/>
              </w:rPr>
            </w:pPr>
          </w:p>
        </w:tc>
        <w:tc>
          <w:tcPr>
            <w:tcW w:w="1540" w:type="dxa"/>
            <w:vAlign w:val="bottom"/>
          </w:tcPr>
          <w:p>
            <w:pPr>
              <w:jc w:val="right"/>
              <w:ind w:right="11"/>
              <w:spacing w:after="0"/>
              <w:rPr>
                <w:sz w:val="20"/>
                <w:szCs w:val="20"/>
                <w:color w:val="auto"/>
              </w:rPr>
            </w:pPr>
            <w:r>
              <w:rPr>
                <w:rFonts w:ascii="Arial" w:cs="Arial" w:eastAsia="Arial" w:hAnsi="Arial"/>
                <w:sz w:val="18"/>
                <w:szCs w:val="18"/>
                <w:color w:val="auto"/>
              </w:rPr>
              <w:t>68.0</w:t>
            </w:r>
          </w:p>
        </w:tc>
        <w:tc>
          <w:tcPr>
            <w:tcW w:w="460" w:type="dxa"/>
            <w:vAlign w:val="bottom"/>
          </w:tcPr>
          <w:p>
            <w:pPr>
              <w:spacing w:after="0"/>
              <w:rPr>
                <w:sz w:val="21"/>
                <w:szCs w:val="21"/>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56.5</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Benefits paid</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w:t>
            </w:r>
          </w:p>
        </w:tc>
      </w:tr>
      <w:tr>
        <w:trPr>
          <w:trHeight w:val="243"/>
        </w:trPr>
        <w:tc>
          <w:tcPr>
            <w:tcW w:w="7520" w:type="dxa"/>
            <w:vAlign w:val="bottom"/>
          </w:tcPr>
          <w:p>
            <w:pPr>
              <w:ind w:left="260"/>
              <w:spacing w:after="0"/>
              <w:rPr>
                <w:sz w:val="20"/>
                <w:szCs w:val="20"/>
                <w:color w:val="auto"/>
              </w:rPr>
            </w:pPr>
            <w:r>
              <w:rPr>
                <w:rFonts w:ascii="Arial" w:cs="Arial" w:eastAsia="Arial" w:hAnsi="Arial"/>
                <w:sz w:val="18"/>
                <w:szCs w:val="18"/>
                <w:color w:val="auto"/>
              </w:rPr>
              <w:t>Expenses paid from assets</w:t>
            </w:r>
          </w:p>
        </w:tc>
        <w:tc>
          <w:tcPr>
            <w:tcW w:w="5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4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r>
      <w:tr>
        <w:trPr>
          <w:trHeight w:val="237"/>
        </w:trPr>
        <w:tc>
          <w:tcPr>
            <w:tcW w:w="7520" w:type="dxa"/>
            <w:vAlign w:val="bottom"/>
          </w:tcPr>
          <w:p>
            <w:pPr>
              <w:ind w:left="260"/>
              <w:spacing w:after="0"/>
              <w:rPr>
                <w:sz w:val="20"/>
                <w:szCs w:val="20"/>
                <w:color w:val="auto"/>
              </w:rPr>
            </w:pPr>
            <w:r>
              <w:rPr>
                <w:rFonts w:ascii="Arial" w:cs="Arial" w:eastAsia="Arial" w:hAnsi="Arial"/>
                <w:sz w:val="18"/>
                <w:szCs w:val="18"/>
                <w:color w:val="auto"/>
              </w:rPr>
              <w:t>Fair value of plan assets at year end</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998.3</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878.7</w:t>
            </w:r>
          </w:p>
        </w:tc>
      </w:tr>
      <w:tr>
        <w:trPr>
          <w:trHeight w:val="27"/>
        </w:trPr>
        <w:tc>
          <w:tcPr>
            <w:tcW w:w="75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Funded status at year end</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w:t>
            </w:r>
          </w:p>
        </w:tc>
      </w:tr>
      <w:tr>
        <w:trPr>
          <w:trHeight w:val="20"/>
        </w:trPr>
        <w:tc>
          <w:tcPr>
            <w:tcW w:w="7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underfunded status of the plans of $230.1 million and $354.9 million at December 31, 2017 and 2016, respectively, is recognized in the accompanying consolidated balance sheets as shown in the table below. No plan assets are expected to be returned to the Company during the year ending December 31, 2018.</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long-term strategy is to reduce the risk of our underfunded plans. In 2017, the Company amended the domestic pension plans to provide an automatic commencement of benefit at age 65, regardless of employment status, in an effort to reduce our long-term pension obligations and ongoing annual pension expense. Additionally, the Yellow Transportation Plan was amended to permit the payment of lump sum benefit payments effective January 1, 2018. The current year impact to the benefit obligation is reflected in “Plan amendments” in the above table. The 2017 amendment triggered a non-cash settlement of $7.6 million due to the amount of lump sum benefit payments distributed from plan assets in 2017. The lump sum benefit payments reduce pension obligations and are funded from existing plan assets. The non-cash settlement charge results from the requirement to expense the unrecognized actuarial losses associated with the lump sum settlements, which are reflected in salaries, wages and employee benefits expense. The charge had no effect on total equity because the actuarial losses were already recognized in accumulated other comprehensive loss. Accordingly, the effect on retained earnings was offset by a corresponding reduction in accumulated other comprehensive loss.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22"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Benefit Plan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the consolidated balance sheets for pension benefits at December 31 are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500" w:type="dxa"/>
            <w:vAlign w:val="bottom"/>
          </w:tcPr>
          <w:p>
            <w:pPr>
              <w:spacing w:after="0"/>
              <w:rPr>
                <w:sz w:val="21"/>
                <w:szCs w:val="21"/>
                <w:color w:val="auto"/>
              </w:rPr>
            </w:pP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232.6</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Amounts recognized in accumulated other comprehensive loss at December 31 consist of:</w:t>
            </w: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8"/>
        </w:trPr>
        <w:tc>
          <w:tcPr>
            <w:tcW w:w="2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4"/>
                <w:szCs w:val="2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395.3</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462.1</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Net prior service credit</w:t>
            </w:r>
          </w:p>
        </w:tc>
        <w:tc>
          <w:tcPr>
            <w:tcW w:w="5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384.6</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462.1</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shown above, included in accumulated other comprehensive loss at December 31, 2017, are unrecognized actuarial losses, offset by net prior service credit, of $384.6 million ($360.4 million, net of tax). The expected amortization of actuarial loss and net prior service credit included in accumulated other comprehensive income and expected to be recognized in net periodic cost in 2018 is $15.0 million and $0.4 million, respectively.</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for pension plans with an accumulated benefit obligation (“ABO”) in excess of plan assets and plan assets that exceed ABO at December 31, 2017 and 2016 is as follows:</w:t>
      </w:r>
    </w:p>
    <w:p>
      <w:pPr>
        <w:spacing w:after="0" w:line="392"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4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2"/>
              </w:rPr>
              <w:t>At December 31, 2017</w:t>
            </w:r>
          </w:p>
        </w:tc>
        <w:tc>
          <w:tcPr>
            <w:tcW w:w="1860" w:type="dxa"/>
            <w:vAlign w:val="bottom"/>
            <w:tcBorders>
              <w:bottom w:val="single" w:sz="8" w:color="auto"/>
            </w:tcBorders>
          </w:tcPr>
          <w:p>
            <w:pPr>
              <w:spacing w:after="0"/>
              <w:rPr>
                <w:sz w:val="16"/>
                <w:szCs w:val="16"/>
                <w:color w:val="auto"/>
              </w:rPr>
            </w:pPr>
          </w:p>
        </w:tc>
      </w:tr>
      <w:tr>
        <w:trPr>
          <w:trHeight w:val="244"/>
        </w:trPr>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120" w:type="dxa"/>
            <w:vAlign w:val="bottom"/>
          </w:tcPr>
          <w:p>
            <w:pPr>
              <w:ind w:left="440"/>
              <w:spacing w:after="0"/>
              <w:rPr>
                <w:sz w:val="20"/>
                <w:szCs w:val="20"/>
                <w:color w:val="auto"/>
              </w:rPr>
            </w:pPr>
            <w:r>
              <w:rPr>
                <w:rFonts w:ascii="Arial" w:cs="Arial" w:eastAsia="Arial" w:hAnsi="Arial"/>
                <w:sz w:val="14"/>
                <w:szCs w:val="14"/>
                <w:b w:val="1"/>
                <w:bCs w:val="1"/>
                <w:color w:val="auto"/>
              </w:rPr>
              <w:t>ABO Exceeds Assets</w:t>
            </w:r>
          </w:p>
        </w:tc>
        <w:tc>
          <w:tcPr>
            <w:tcW w:w="2420" w:type="dxa"/>
            <w:vAlign w:val="bottom"/>
          </w:tcPr>
          <w:p>
            <w:pPr>
              <w:jc w:val="center"/>
              <w:ind w:right="188"/>
              <w:spacing w:after="0"/>
              <w:rPr>
                <w:sz w:val="20"/>
                <w:szCs w:val="20"/>
                <w:color w:val="auto"/>
              </w:rPr>
            </w:pPr>
            <w:r>
              <w:rPr>
                <w:rFonts w:ascii="Arial" w:cs="Arial" w:eastAsia="Arial" w:hAnsi="Arial"/>
                <w:sz w:val="14"/>
                <w:szCs w:val="14"/>
                <w:b w:val="1"/>
                <w:bCs w:val="1"/>
                <w:color w:val="auto"/>
                <w:w w:val="89"/>
              </w:rPr>
              <w:t>Assets Exceed ABO</w:t>
            </w:r>
          </w:p>
        </w:tc>
        <w:tc>
          <w:tcPr>
            <w:tcW w:w="1860" w:type="dxa"/>
            <w:vAlign w:val="bottom"/>
          </w:tcPr>
          <w:p>
            <w:pPr>
              <w:ind w:left="640"/>
              <w:spacing w:after="0"/>
              <w:rPr>
                <w:sz w:val="20"/>
                <w:szCs w:val="20"/>
                <w:color w:val="auto"/>
              </w:rPr>
            </w:pPr>
            <w:r>
              <w:rPr>
                <w:rFonts w:ascii="Arial" w:cs="Arial" w:eastAsia="Arial" w:hAnsi="Arial"/>
                <w:sz w:val="14"/>
                <w:szCs w:val="14"/>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7117715"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7715" cy="1803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p>
      <w:pPr>
        <w:spacing w:after="0" w:line="3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Projected benefit obligation</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Accumulated benefit obligation</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Fair value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426720</wp:posOffset>
            </wp:positionV>
            <wp:extent cx="2984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1,223.9</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c>
          <w:tcPr>
            <w:tcW w:w="5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1,228.4</w:t>
            </w:r>
          </w:p>
        </w:tc>
      </w:tr>
      <w:tr>
        <w:trPr>
          <w:trHeight w:val="270"/>
        </w:trPr>
        <w:tc>
          <w:tcPr>
            <w:tcW w:w="2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1,223.9</w:t>
            </w:r>
          </w:p>
        </w:tc>
        <w:tc>
          <w:tcPr>
            <w:tcW w:w="3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3"/>
                <w:szCs w:val="23"/>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1,228.1</w:t>
            </w:r>
          </w:p>
        </w:tc>
      </w:tr>
      <w:tr>
        <w:trPr>
          <w:trHeight w:val="270"/>
        </w:trPr>
        <w:tc>
          <w:tcPr>
            <w:tcW w:w="2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993.0</w:t>
            </w:r>
          </w:p>
        </w:tc>
        <w:tc>
          <w:tcPr>
            <w:tcW w:w="30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5.3</w:t>
            </w:r>
          </w:p>
        </w:tc>
        <w:tc>
          <w:tcPr>
            <w:tcW w:w="560" w:type="dxa"/>
            <w:vAlign w:val="bottom"/>
          </w:tcPr>
          <w:p>
            <w:pPr>
              <w:spacing w:after="0"/>
              <w:rPr>
                <w:sz w:val="23"/>
                <w:szCs w:val="23"/>
                <w:color w:val="auto"/>
              </w:rPr>
            </w:pP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998.3</w:t>
            </w:r>
          </w:p>
        </w:tc>
      </w:tr>
      <w:tr>
        <w:trPr>
          <w:trHeight w:val="642"/>
        </w:trPr>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At December 31, 2016</w:t>
            </w:r>
          </w:p>
        </w:tc>
        <w:tc>
          <w:tcPr>
            <w:tcW w:w="5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44"/>
        </w:trPr>
        <w:tc>
          <w:tcPr>
            <w:tcW w:w="280" w:type="dxa"/>
            <w:vAlign w:val="bottom"/>
          </w:tcPr>
          <w:p>
            <w:pPr>
              <w:spacing w:after="0"/>
              <w:rPr>
                <w:sz w:val="21"/>
                <w:szCs w:val="21"/>
                <w:color w:val="auto"/>
              </w:rPr>
            </w:pPr>
          </w:p>
        </w:tc>
        <w:tc>
          <w:tcPr>
            <w:tcW w:w="1820" w:type="dxa"/>
            <w:vAlign w:val="bottom"/>
          </w:tcPr>
          <w:p>
            <w:pPr>
              <w:jc w:val="right"/>
              <w:ind w:right="314"/>
              <w:spacing w:after="0"/>
              <w:rPr>
                <w:sz w:val="20"/>
                <w:szCs w:val="20"/>
                <w:color w:val="auto"/>
              </w:rPr>
            </w:pPr>
            <w:r>
              <w:rPr>
                <w:rFonts w:ascii="Arial" w:cs="Arial" w:eastAsia="Arial" w:hAnsi="Arial"/>
                <w:sz w:val="14"/>
                <w:szCs w:val="14"/>
                <w:b w:val="1"/>
                <w:bCs w:val="1"/>
                <w:color w:val="auto"/>
                <w:w w:val="98"/>
              </w:rPr>
              <w:t>ABO Exceeds Assets</w:t>
            </w:r>
          </w:p>
        </w:tc>
        <w:tc>
          <w:tcPr>
            <w:tcW w:w="300" w:type="dxa"/>
            <w:vAlign w:val="bottom"/>
          </w:tcPr>
          <w:p>
            <w:pPr>
              <w:spacing w:after="0"/>
              <w:rPr>
                <w:sz w:val="21"/>
                <w:szCs w:val="21"/>
                <w:color w:val="auto"/>
              </w:rPr>
            </w:pPr>
          </w:p>
        </w:tc>
        <w:tc>
          <w:tcPr>
            <w:tcW w:w="1820" w:type="dxa"/>
            <w:vAlign w:val="bottom"/>
          </w:tcPr>
          <w:p>
            <w:pPr>
              <w:jc w:val="right"/>
              <w:ind w:right="337"/>
              <w:spacing w:after="0"/>
              <w:rPr>
                <w:sz w:val="20"/>
                <w:szCs w:val="20"/>
                <w:color w:val="auto"/>
              </w:rPr>
            </w:pPr>
            <w:r>
              <w:rPr>
                <w:rFonts w:ascii="Arial" w:cs="Arial" w:eastAsia="Arial" w:hAnsi="Arial"/>
                <w:sz w:val="14"/>
                <w:szCs w:val="14"/>
                <w:b w:val="1"/>
                <w:bCs w:val="1"/>
                <w:color w:val="auto"/>
              </w:rPr>
              <w:t>Assets Exceed ABO</w:t>
            </w:r>
          </w:p>
        </w:tc>
        <w:tc>
          <w:tcPr>
            <w:tcW w:w="560" w:type="dxa"/>
            <w:vAlign w:val="bottom"/>
          </w:tcPr>
          <w:p>
            <w:pPr>
              <w:spacing w:after="0"/>
              <w:rPr>
                <w:sz w:val="21"/>
                <w:szCs w:val="21"/>
                <w:color w:val="auto"/>
              </w:rPr>
            </w:pPr>
          </w:p>
        </w:tc>
        <w:tc>
          <w:tcPr>
            <w:tcW w:w="1620" w:type="dxa"/>
            <w:vAlign w:val="bottom"/>
          </w:tcPr>
          <w:p>
            <w:pPr>
              <w:jc w:val="right"/>
              <w:ind w:right="834"/>
              <w:spacing w:after="0"/>
              <w:rPr>
                <w:sz w:val="20"/>
                <w:szCs w:val="20"/>
                <w:color w:val="auto"/>
              </w:rPr>
            </w:pPr>
            <w:r>
              <w:rPr>
                <w:rFonts w:ascii="Arial" w:cs="Arial" w:eastAsia="Arial" w:hAnsi="Arial"/>
                <w:sz w:val="14"/>
                <w:szCs w:val="14"/>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-3049905</wp:posOffset>
            </wp:positionH>
            <wp:positionV relativeFrom="paragraph">
              <wp:posOffset>-728980</wp:posOffset>
            </wp:positionV>
            <wp:extent cx="711771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7715"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200" w:space="720"/>
            <w:col w:w="6500"/>
          </w:cols>
          <w:pgMar w:left="240" w:top="530" w:right="239" w:bottom="1440" w:gutter="0" w:footer="0" w:header="0"/>
          <w:type w:val="continuous"/>
        </w:sectPr>
      </w:pPr>
    </w:p>
    <w:tbl>
      <w:tblPr>
        <w:tblLayout w:type="fixed"/>
        <w:tblInd w:w="120" w:type="dxa"/>
        <w:tblCellMar>
          <w:top w:w="0" w:type="dxa"/>
          <w:left w:w="0" w:type="dxa"/>
          <w:bottom w:w="0" w:type="dxa"/>
          <w:right w:w="0" w:type="dxa"/>
        </w:tblCellMar>
      </w:tblPr>
      <w:tr>
        <w:trPr>
          <w:trHeight w:val="256"/>
        </w:trPr>
        <w:tc>
          <w:tcPr>
            <w:tcW w:w="4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1,229.4</w:t>
            </w:r>
          </w:p>
        </w:tc>
        <w:tc>
          <w:tcPr>
            <w:tcW w:w="980" w:type="dxa"/>
            <w:vAlign w:val="bottom"/>
            <w:tcBorders>
              <w:top w:val="single" w:sz="8" w:color="auto"/>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4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1,233.6</w:t>
            </w:r>
          </w:p>
        </w:tc>
      </w:tr>
      <w:tr>
        <w:trPr>
          <w:trHeight w:val="243"/>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Accumulated benefit obligation</w:t>
            </w:r>
          </w:p>
        </w:tc>
        <w:tc>
          <w:tcPr>
            <w:tcW w:w="8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1,229.4</w:t>
            </w:r>
          </w:p>
        </w:tc>
        <w:tc>
          <w:tcPr>
            <w:tcW w:w="9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8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1,233.2</w:t>
            </w: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8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w:t>
            </w:r>
          </w:p>
        </w:tc>
        <w:tc>
          <w:tcPr>
            <w:tcW w:w="9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878.7</w:t>
            </w:r>
          </w:p>
        </w:tc>
      </w:tr>
      <w:tr>
        <w:trPr>
          <w:trHeight w:val="27"/>
        </w:trPr>
        <w:tc>
          <w:tcPr>
            <w:tcW w:w="4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actuarial assumptions used to determine benefit obligations at December 31:</w:t>
      </w:r>
    </w:p>
    <w:p>
      <w:pPr>
        <w:spacing w:after="0" w:line="200" w:lineRule="exact"/>
        <w:rPr>
          <w:sz w:val="20"/>
          <w:szCs w:val="20"/>
          <w:color w:val="auto"/>
        </w:rPr>
      </w:pPr>
    </w:p>
    <w:p>
      <w:pPr>
        <w:spacing w:after="0" w:line="246"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83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2017</w:t>
            </w:r>
          </w:p>
        </w:tc>
        <w:tc>
          <w:tcPr>
            <w:tcW w:w="1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2016</w:t>
            </w:r>
          </w:p>
        </w:tc>
      </w:tr>
      <w:tr>
        <w:trPr>
          <w:trHeight w:val="243"/>
        </w:trPr>
        <w:tc>
          <w:tcPr>
            <w:tcW w:w="8340" w:type="dxa"/>
            <w:vAlign w:val="bottom"/>
            <w:shd w:val="clear" w:color="auto" w:fill="CCEEFF"/>
          </w:tcPr>
          <w:p>
            <w:pPr>
              <w:jc w:val="right"/>
              <w:ind w:right="7279"/>
              <w:spacing w:after="0"/>
              <w:rPr>
                <w:sz w:val="20"/>
                <w:szCs w:val="20"/>
                <w:color w:val="auto"/>
              </w:rPr>
            </w:pPr>
            <w:r>
              <w:rPr>
                <w:rFonts w:ascii="Arial" w:cs="Arial" w:eastAsia="Arial" w:hAnsi="Arial"/>
                <w:sz w:val="18"/>
                <w:szCs w:val="18"/>
                <w:color w:val="auto"/>
                <w:w w:val="90"/>
              </w:rPr>
              <w:t>Discount rate</w:t>
            </w:r>
          </w:p>
        </w:tc>
        <w:tc>
          <w:tcPr>
            <w:tcW w:w="11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3.77%</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7"/>
        </w:trPr>
        <w:tc>
          <w:tcPr>
            <w:tcW w:w="8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30" w:right="2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color w:val="auto"/>
        </w:rPr>
        <w:t>Weighted average assumptions used to determine net periodic benefit cost for the years ended December 31:</w:t>
      </w:r>
    </w:p>
    <w:p>
      <w:pPr>
        <w:spacing w:after="0" w:line="200" w:lineRule="exact"/>
        <w:rPr>
          <w:sz w:val="20"/>
          <w:szCs w:val="20"/>
          <w:color w:val="auto"/>
        </w:rPr>
      </w:pPr>
    </w:p>
    <w:p>
      <w:pPr>
        <w:spacing w:after="0" w:line="246"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29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jc w:val="right"/>
              <w:ind w:right="1414"/>
              <w:spacing w:after="0"/>
              <w:rPr>
                <w:sz w:val="20"/>
                <w:szCs w:val="20"/>
                <w:color w:val="auto"/>
              </w:rPr>
            </w:pPr>
            <w:r>
              <w:rPr>
                <w:rFonts w:ascii="Arial" w:cs="Arial" w:eastAsia="Arial" w:hAnsi="Arial"/>
                <w:sz w:val="14"/>
                <w:szCs w:val="14"/>
                <w:b w:val="1"/>
                <w:bCs w:val="1"/>
                <w:color w:val="auto"/>
              </w:rPr>
              <w:t>2017</w:t>
            </w:r>
          </w:p>
        </w:tc>
        <w:tc>
          <w:tcPr>
            <w:tcW w:w="2760" w:type="dxa"/>
            <w:vAlign w:val="bottom"/>
            <w:tcBorders>
              <w:bottom w:val="single" w:sz="8" w:color="auto"/>
            </w:tcBorders>
          </w:tcPr>
          <w:p>
            <w:pPr>
              <w:jc w:val="right"/>
              <w:ind w:right="1474"/>
              <w:spacing w:after="0"/>
              <w:rPr>
                <w:sz w:val="20"/>
                <w:szCs w:val="20"/>
                <w:color w:val="auto"/>
              </w:rPr>
            </w:pPr>
            <w:r>
              <w:rPr>
                <w:rFonts w:ascii="Arial" w:cs="Arial" w:eastAsia="Arial" w:hAnsi="Arial"/>
                <w:sz w:val="14"/>
                <w:szCs w:val="14"/>
                <w:b w:val="1"/>
                <w:bCs w:val="1"/>
                <w:color w:val="auto"/>
              </w:rPr>
              <w:t>2016</w:t>
            </w:r>
          </w:p>
        </w:tc>
        <w:tc>
          <w:tcPr>
            <w:tcW w:w="2400" w:type="dxa"/>
            <w:vAlign w:val="bottom"/>
            <w:tcBorders>
              <w:bottom w:val="single" w:sz="8" w:color="auto"/>
            </w:tcBorders>
          </w:tcPr>
          <w:p>
            <w:pPr>
              <w:jc w:val="right"/>
              <w:ind w:right="1114"/>
              <w:spacing w:after="0"/>
              <w:rPr>
                <w:sz w:val="20"/>
                <w:szCs w:val="20"/>
                <w:color w:val="auto"/>
              </w:rPr>
            </w:pPr>
            <w:r>
              <w:rPr>
                <w:rFonts w:ascii="Arial" w:cs="Arial" w:eastAsia="Arial" w:hAnsi="Arial"/>
                <w:sz w:val="14"/>
                <w:szCs w:val="14"/>
                <w:b w:val="1"/>
                <w:bCs w:val="1"/>
                <w:color w:val="auto"/>
              </w:rPr>
              <w:t>2015</w:t>
            </w: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302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rPr>
              <w:t>4.27%</w:t>
            </w:r>
          </w:p>
        </w:tc>
        <w:tc>
          <w:tcPr>
            <w:tcW w:w="27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4.81%</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Expected rate of return on assets</w:t>
            </w:r>
          </w:p>
        </w:tc>
        <w:tc>
          <w:tcPr>
            <w:tcW w:w="3020" w:type="dxa"/>
            <w:vAlign w:val="bottom"/>
          </w:tcPr>
          <w:p>
            <w:pPr>
              <w:jc w:val="right"/>
              <w:ind w:right="314"/>
              <w:spacing w:after="0"/>
              <w:rPr>
                <w:sz w:val="20"/>
                <w:szCs w:val="20"/>
                <w:color w:val="auto"/>
              </w:rPr>
            </w:pPr>
            <w:r>
              <w:rPr>
                <w:rFonts w:ascii="Arial" w:cs="Arial" w:eastAsia="Arial" w:hAnsi="Arial"/>
                <w:sz w:val="18"/>
                <w:szCs w:val="18"/>
                <w:color w:val="auto"/>
              </w:rPr>
              <w:t>7.0%</w:t>
            </w:r>
          </w:p>
        </w:tc>
        <w:tc>
          <w:tcPr>
            <w:tcW w:w="2760" w:type="dxa"/>
            <w:vAlign w:val="bottom"/>
          </w:tcPr>
          <w:p>
            <w:pPr>
              <w:jc w:val="right"/>
              <w:ind w:right="254"/>
              <w:spacing w:after="0"/>
              <w:rPr>
                <w:sz w:val="20"/>
                <w:szCs w:val="20"/>
                <w:color w:val="auto"/>
              </w:rPr>
            </w:pPr>
            <w:r>
              <w:rPr>
                <w:rFonts w:ascii="Arial" w:cs="Arial" w:eastAsia="Arial" w:hAnsi="Arial"/>
                <w:sz w:val="18"/>
                <w:szCs w:val="18"/>
                <w:color w:val="auto"/>
              </w:rPr>
              <w:t>7.0%</w:t>
            </w:r>
          </w:p>
        </w:tc>
        <w:tc>
          <w:tcPr>
            <w:tcW w:w="24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56"/>
        </w:trPr>
        <w:tc>
          <w:tcPr>
            <w:tcW w:w="2940" w:type="dxa"/>
            <w:vAlign w:val="bottom"/>
          </w:tcPr>
          <w:p>
            <w:pPr>
              <w:spacing w:after="0"/>
              <w:rPr>
                <w:sz w:val="22"/>
                <w:szCs w:val="22"/>
                <w:color w:val="auto"/>
              </w:rPr>
            </w:pPr>
          </w:p>
        </w:tc>
        <w:tc>
          <w:tcPr>
            <w:tcW w:w="3020" w:type="dxa"/>
            <w:vAlign w:val="bottom"/>
          </w:tcPr>
          <w:p>
            <w:pPr>
              <w:jc w:val="right"/>
              <w:ind w:right="494"/>
              <w:spacing w:after="0"/>
              <w:rPr>
                <w:sz w:val="20"/>
                <w:szCs w:val="20"/>
                <w:color w:val="auto"/>
              </w:rPr>
            </w:pPr>
            <w:r>
              <w:rPr>
                <w:rFonts w:ascii="Arial" w:cs="Arial" w:eastAsia="Arial" w:hAnsi="Arial"/>
                <w:sz w:val="18"/>
                <w:szCs w:val="18"/>
                <w:color w:val="auto"/>
              </w:rPr>
              <w:t>RP-2014</w:t>
            </w:r>
          </w:p>
        </w:tc>
        <w:tc>
          <w:tcPr>
            <w:tcW w:w="2760" w:type="dxa"/>
            <w:vAlign w:val="bottom"/>
          </w:tcPr>
          <w:p>
            <w:pPr>
              <w:jc w:val="right"/>
              <w:ind w:right="454"/>
              <w:spacing w:after="0"/>
              <w:rPr>
                <w:sz w:val="20"/>
                <w:szCs w:val="20"/>
                <w:color w:val="auto"/>
              </w:rPr>
            </w:pPr>
            <w:r>
              <w:rPr>
                <w:rFonts w:ascii="Arial" w:cs="Arial" w:eastAsia="Arial" w:hAnsi="Arial"/>
                <w:sz w:val="18"/>
                <w:szCs w:val="18"/>
                <w:color w:val="auto"/>
              </w:rPr>
              <w:t>RP-2014</w:t>
            </w:r>
          </w:p>
        </w:tc>
        <w:tc>
          <w:tcPr>
            <w:tcW w:w="2400" w:type="dxa"/>
            <w:vAlign w:val="bottom"/>
          </w:tcPr>
          <w:p>
            <w:pPr>
              <w:jc w:val="right"/>
              <w:ind w:right="154"/>
              <w:spacing w:after="0"/>
              <w:rPr>
                <w:sz w:val="20"/>
                <w:szCs w:val="20"/>
                <w:color w:val="auto"/>
              </w:rPr>
            </w:pPr>
            <w:r>
              <w:rPr>
                <w:rFonts w:ascii="Arial" w:cs="Arial" w:eastAsia="Arial" w:hAnsi="Arial"/>
                <w:sz w:val="18"/>
                <w:szCs w:val="18"/>
                <w:color w:val="auto"/>
              </w:rPr>
              <w:t>RP-2014</w:t>
            </w:r>
          </w:p>
        </w:tc>
      </w:tr>
      <w:tr>
        <w:trPr>
          <w:trHeight w:val="242"/>
        </w:trPr>
        <w:tc>
          <w:tcPr>
            <w:tcW w:w="2940" w:type="dxa"/>
            <w:vAlign w:val="bottom"/>
          </w:tcPr>
          <w:p>
            <w:pPr>
              <w:ind w:left="20"/>
              <w:spacing w:after="0"/>
              <w:rPr>
                <w:sz w:val="20"/>
                <w:szCs w:val="20"/>
                <w:color w:val="auto"/>
              </w:rPr>
            </w:pPr>
            <w:r>
              <w:rPr>
                <w:rFonts w:ascii="Arial" w:cs="Arial" w:eastAsia="Arial" w:hAnsi="Arial"/>
                <w:sz w:val="18"/>
                <w:szCs w:val="18"/>
                <w:color w:val="auto"/>
              </w:rPr>
              <w:t>Mortality table</w:t>
            </w:r>
            <w:r>
              <w:rPr>
                <w:rFonts w:ascii="Arial" w:cs="Arial" w:eastAsia="Arial" w:hAnsi="Arial"/>
                <w:sz w:val="18"/>
                <w:szCs w:val="18"/>
                <w:color w:val="auto"/>
                <w:vertAlign w:val="superscript"/>
              </w:rPr>
              <w:t>(a)</w:t>
            </w:r>
          </w:p>
        </w:tc>
        <w:tc>
          <w:tcPr>
            <w:tcW w:w="3020" w:type="dxa"/>
            <w:vAlign w:val="bottom"/>
          </w:tcPr>
          <w:p>
            <w:pPr>
              <w:jc w:val="right"/>
              <w:ind w:right="454"/>
              <w:spacing w:after="0"/>
              <w:rPr>
                <w:sz w:val="20"/>
                <w:szCs w:val="20"/>
                <w:color w:val="auto"/>
              </w:rPr>
            </w:pPr>
            <w:r>
              <w:rPr>
                <w:rFonts w:ascii="Arial" w:cs="Arial" w:eastAsia="Arial" w:hAnsi="Arial"/>
                <w:sz w:val="18"/>
                <w:szCs w:val="18"/>
                <w:color w:val="auto"/>
              </w:rPr>
              <w:t>(MP-2016 Scale, Custom)</w:t>
            </w:r>
          </w:p>
        </w:tc>
        <w:tc>
          <w:tcPr>
            <w:tcW w:w="2760" w:type="dxa"/>
            <w:vAlign w:val="bottom"/>
          </w:tcPr>
          <w:p>
            <w:pPr>
              <w:jc w:val="right"/>
              <w:ind w:right="414"/>
              <w:spacing w:after="0"/>
              <w:rPr>
                <w:sz w:val="20"/>
                <w:szCs w:val="20"/>
                <w:color w:val="auto"/>
              </w:rPr>
            </w:pPr>
            <w:r>
              <w:rPr>
                <w:rFonts w:ascii="Arial" w:cs="Arial" w:eastAsia="Arial" w:hAnsi="Arial"/>
                <w:sz w:val="18"/>
                <w:szCs w:val="18"/>
                <w:color w:val="auto"/>
              </w:rPr>
              <w:t>(MP-2016 Scale, Custom)</w:t>
            </w:r>
          </w:p>
        </w:tc>
        <w:tc>
          <w:tcPr>
            <w:tcW w:w="2400" w:type="dxa"/>
            <w:vAlign w:val="bottom"/>
          </w:tcPr>
          <w:p>
            <w:pPr>
              <w:jc w:val="right"/>
              <w:ind w:right="114"/>
              <w:spacing w:after="0"/>
              <w:rPr>
                <w:sz w:val="20"/>
                <w:szCs w:val="20"/>
                <w:color w:val="auto"/>
              </w:rPr>
            </w:pPr>
            <w:r>
              <w:rPr>
                <w:rFonts w:ascii="Arial" w:cs="Arial" w:eastAsia="Arial" w:hAnsi="Arial"/>
                <w:sz w:val="18"/>
                <w:szCs w:val="18"/>
                <w:color w:val="auto"/>
              </w:rPr>
              <w:t>(MP-2014 Scale, Custom)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-297815</wp:posOffset>
            </wp:positionV>
            <wp:extent cx="706628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66280" cy="308610"/>
                    </a:xfrm>
                    <a:prstGeom prst="rect">
                      <a:avLst/>
                    </a:prstGeom>
                    <a:noFill/>
                  </pic:spPr>
                </pic:pic>
              </a:graphicData>
            </a:graphic>
          </wp:anchor>
        </w:drawing>
      </w:r>
    </w:p>
    <w:p>
      <w:pPr>
        <w:ind w:left="140" w:hanging="132"/>
        <w:spacing w:after="0"/>
        <w:tabs>
          <w:tab w:leader="none" w:pos="140" w:val="left"/>
        </w:tabs>
        <w:numPr>
          <w:ilvl w:val="0"/>
          <w:numId w:val="41"/>
        </w:numPr>
        <w:rPr>
          <w:rFonts w:ascii="Arial" w:cs="Arial" w:eastAsia="Arial" w:hAnsi="Arial"/>
          <w:sz w:val="9"/>
          <w:szCs w:val="9"/>
          <w:color w:val="auto"/>
        </w:rPr>
      </w:pPr>
      <w:r>
        <w:rPr>
          <w:rFonts w:ascii="Arial" w:cs="Arial" w:eastAsia="Arial" w:hAnsi="Arial"/>
          <w:sz w:val="14"/>
          <w:szCs w:val="14"/>
          <w:color w:val="auto"/>
        </w:rPr>
        <w:t>The 2017, 2016 and 2015 mortality tables were based on a custom mortality improvement scale to reflect expectations of underlying plan participants.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discount rate refers to the interest rate used to discount the estimated future benefit payments to their present value, also referred to as the benefit obligation. The discount rate allows us to estimate what it would cost to settle the pension obligations as of the measurement date, December 31, and is used as the interest rate factor in the following year’s pension cost. We determine the discount rate by selecting a portfolio of high quality noncallable bonds such that the coupons and maturities exceed our expected benefit payments.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determining the expected rate of return on assets, we consider our historical experience in the plans’ investment portfolio, historical market data and long-term historical relationships as well as a review of other objective indices including current market factors such as inflation and interest rates. Although plan investments are subject to short-term market volatility, we believe they are well diversified and closely managed.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Our asset allocation as of December 31, 2017 and 2016, and targeted long-term asset allocation for the plans are as follows:</w:t>
      </w:r>
    </w:p>
    <w:p>
      <w:pPr>
        <w:spacing w:after="0" w:line="338" w:lineRule="exact"/>
        <w:rPr>
          <w:sz w:val="20"/>
          <w:szCs w:val="20"/>
          <w:color w:val="auto"/>
        </w:rPr>
      </w:pPr>
    </w:p>
    <w:tbl>
      <w:tblPr>
        <w:tblLayout w:type="fixed"/>
        <w:tblInd w:w="2460" w:type="dxa"/>
        <w:tblCellMar>
          <w:top w:w="0" w:type="dxa"/>
          <w:left w:w="0" w:type="dxa"/>
          <w:bottom w:w="0" w:type="dxa"/>
          <w:right w:w="0" w:type="dxa"/>
        </w:tblCellMar>
      </w:tblPr>
      <w:tr>
        <w:trPr>
          <w:trHeight w:val="192"/>
        </w:trPr>
        <w:tc>
          <w:tcPr>
            <w:tcW w:w="23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Target</w:t>
            </w: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20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41.0%</w:t>
            </w:r>
          </w:p>
        </w:tc>
        <w:tc>
          <w:tcPr>
            <w:tcW w:w="11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38.0%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080" w:type="dxa"/>
            <w:vAlign w:val="bottom"/>
          </w:tcPr>
          <w:p>
            <w:pPr>
              <w:jc w:val="right"/>
              <w:ind w:right="134"/>
              <w:spacing w:after="0"/>
              <w:rPr>
                <w:sz w:val="20"/>
                <w:szCs w:val="20"/>
                <w:color w:val="auto"/>
              </w:rPr>
            </w:pPr>
            <w:r>
              <w:rPr>
                <w:rFonts w:ascii="Arial" w:cs="Arial" w:eastAsia="Arial" w:hAnsi="Arial"/>
                <w:sz w:val="18"/>
                <w:szCs w:val="18"/>
                <w:color w:val="auto"/>
              </w:rPr>
              <w:t>27.0%</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30.0%</w:t>
            </w:r>
          </w:p>
        </w:tc>
        <w:tc>
          <w:tcPr>
            <w:tcW w:w="9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2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Absolute Return</w:t>
            </w:r>
          </w:p>
        </w:tc>
        <w:tc>
          <w:tcPr>
            <w:tcW w:w="20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32.0%</w:t>
            </w:r>
          </w:p>
        </w:tc>
        <w:tc>
          <w:tcPr>
            <w:tcW w:w="11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32.0%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23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Based on various market factors, we selected an expected rate of return on assets of 7.0% effective for the 2017 and 2016 valuations. We will continue to review our expected long-term rate of return on an annual basis and revise appropriately. The pension trust holds no YRC Worldwide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Contributions and Benefit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expect to contribute approximately $25.4 million to our single-employer pension plans in 2018.</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Expected benefit payments from our qualified and non-qualified defined benefit pension plans for each of the next five years and the total benefit payments for the following five years ended December 31 are as follows:</w:t>
      </w:r>
    </w:p>
    <w:p>
      <w:pPr>
        <w:spacing w:after="0" w:line="338"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2023-2027</w:t>
            </w:r>
          </w:p>
        </w:tc>
      </w:tr>
      <w:tr>
        <w:trPr>
          <w:trHeight w:val="243"/>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benefit payments</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374.3</w:t>
            </w:r>
          </w:p>
        </w:tc>
      </w:tr>
      <w:tr>
        <w:trPr>
          <w:trHeight w:val="27"/>
        </w:trPr>
        <w:tc>
          <w:tcPr>
            <w:tcW w:w="23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changes to permit lump sum benefit payments, the expected benefit payments in 2018 are projected to increase based on historical experience of participant elections and demographic characteristics of participants with vested benefit payments.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53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Pension and Other Post-retirement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components of our net periodic pension cost, other post-retirement costs and other amounts recognized in other comprehensive loss (income) for the years ended December 31, 2017, 2016 and 2015 were as follows:</w:t>
      </w:r>
    </w:p>
    <w:p>
      <w:pPr>
        <w:spacing w:after="0" w:line="324"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6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r>
      <w:tr>
        <w:trPr>
          <w:trHeight w:val="250"/>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55.9</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(59.3)</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(59.9)</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prior net loss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Settlement loss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28.7</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cost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r>
      <w:tr>
        <w:trPr>
          <w:trHeight w:val="229"/>
        </w:trPr>
        <w:tc>
          <w:tcPr>
            <w:tcW w:w="6420" w:type="dxa"/>
            <w:vAlign w:val="bottom"/>
          </w:tcPr>
          <w:p>
            <w:pPr>
              <w:ind w:left="20"/>
              <w:spacing w:after="0"/>
              <w:rPr>
                <w:sz w:val="20"/>
                <w:szCs w:val="20"/>
                <w:color w:val="auto"/>
              </w:rPr>
            </w:pPr>
            <w:r>
              <w:rPr>
                <w:rFonts w:ascii="Arial" w:cs="Arial" w:eastAsia="Arial" w:hAnsi="Arial"/>
                <w:sz w:val="18"/>
                <w:szCs w:val="18"/>
                <w:color w:val="auto"/>
                <w:w w:val="90"/>
              </w:rPr>
              <w:t>Other changes in plan assets and benefit obligations recognized in other comprehensive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420" w:type="dxa"/>
            <w:vAlign w:val="bottom"/>
          </w:tcPr>
          <w:p>
            <w:pPr>
              <w:ind w:left="20"/>
              <w:spacing w:after="0"/>
              <w:rPr>
                <w:sz w:val="20"/>
                <w:szCs w:val="20"/>
                <w:color w:val="auto"/>
              </w:rPr>
            </w:pPr>
            <w:r>
              <w:rPr>
                <w:rFonts w:ascii="Arial" w:cs="Arial" w:eastAsia="Arial" w:hAnsi="Arial"/>
                <w:sz w:val="18"/>
                <w:szCs w:val="18"/>
                <w:color w:val="auto"/>
              </w:rPr>
              <w:t>loss (income):</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actuarial gains (losses) and other adjustments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Net prior service credit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Settlement adjustment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6420" w:type="dxa"/>
            <w:vAlign w:val="bottom"/>
          </w:tcPr>
          <w:p>
            <w:pPr>
              <w:ind w:left="280"/>
              <w:spacing w:after="0"/>
              <w:rPr>
                <w:sz w:val="20"/>
                <w:szCs w:val="20"/>
                <w:color w:val="auto"/>
              </w:rPr>
            </w:pPr>
            <w:r>
              <w:rPr>
                <w:rFonts w:ascii="Arial" w:cs="Arial" w:eastAsia="Arial" w:hAnsi="Arial"/>
                <w:sz w:val="18"/>
                <w:szCs w:val="18"/>
                <w:color w:val="auto"/>
              </w:rPr>
              <w:t>Amortization of prior net losses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6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6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recognized in other comprehensive loss (income)</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57"/>
        </w:trPr>
        <w:tc>
          <w:tcPr>
            <w:tcW w:w="6420" w:type="dxa"/>
            <w:vAlign w:val="bottom"/>
          </w:tcPr>
          <w:p>
            <w:pPr>
              <w:ind w:left="20"/>
              <w:spacing w:after="0"/>
              <w:rPr>
                <w:sz w:val="20"/>
                <w:szCs w:val="20"/>
                <w:color w:val="auto"/>
              </w:rPr>
            </w:pPr>
            <w:r>
              <w:rPr>
                <w:rFonts w:ascii="Arial" w:cs="Arial" w:eastAsia="Arial" w:hAnsi="Arial"/>
                <w:sz w:val="18"/>
                <w:szCs w:val="18"/>
                <w:color w:val="auto"/>
                <w:w w:val="95"/>
              </w:rPr>
              <w:t>Total recognized in net periodic benefit cost and other comprehensive loss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75.7</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w:t>
            </w:r>
          </w:p>
        </w:tc>
      </w:tr>
      <w:tr>
        <w:trPr>
          <w:trHeight w:val="20"/>
        </w:trPr>
        <w:tc>
          <w:tcPr>
            <w:tcW w:w="6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December 31, 2017 and 2015, the income tax provision related to amounts in other comprehensive (income) loss was $13.3 million and $12.2 million, respectively. For the year ended December 31, 2016, the income tax provision was inconsequential.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pension assets are stated at fair value. Fair value is the price that would be received to sell an asset or paid to transfer a liability in an orderly transaction between market participants at the measurement date. The fair value of Level 1 assets are based on quoted market prices. The majority of the Level 1 assets presented in the table below include common stock of both U.S. and, to a lesser extent, international companies, and mutual funds, of which are actively traded and priced in the market. The fair value of Level 2 assets are based on other significant observable inputs, including quoted prices for similar securities. The Level 2 assets presented in the below table consist primarily of fixed income and absolute return funds where values are based on the NAV of the underlying investments held, as determined by the fund managers, or equity securities where values are based on the quoted prices of similar securities and observable market data. Level 3 assets are those where the fair value is determined based on unobservable inputs. The Level 3 assets presented in the table below consist of alternative investments where active market pricing is not readily available and, as such, we use NAV as an estimate of fair value. For the remaining Level 3 assets that do not use NAV to estimate fair value, which consists primarily of private equities, the assets are either priced at cost less cash distributions for recent asset purchases, third-party valuations or discounted cash flow methods. The methods and assumptions used by third-party pricing sources may include a variety of factors, such as recently executed transactions, existing contracts, economic conditions, industry or market developments, and overall credit ratings. These estimated fair values may differ significantly from the values that would have been used had a ready market for these investments existed and as such, differences could be material.</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availability of observable data is monitored by plan management to assess appropriate classification of financial instruments within the fair value hierarchy. Depending upon the availability of such inputs, specific securities may transfer between levels. In such instances, the transfer is reported at the end of the reporting period. In 2016, the Company transferred certain short-term interest bearing investments from level 1 to level 2 due to variability in how the underlying investments are priced, whether by an active market or a model. There were no other transfers among the fair value hierarchy levels for the years ended December 31, 2017 and 2016, respectively.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adopted ASU 2015-07 beginning January 1, 2016, which eliminates the requirement to categorize investments in the fair value hierarchy if their fair value is measured at net asset value per share (or its equivalent) using the practical expedient. The fair value tables below reflect the adoption of this standard.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30" w:right="23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The tables below detail by level, within the fair value hierarchy, the pension assets at fair value as of December 31, 2017 and December 31, 2016:</w:t>
      </w:r>
    </w:p>
    <w:p>
      <w:pPr>
        <w:spacing w:after="0" w:line="200" w:lineRule="exact"/>
        <w:rPr>
          <w:sz w:val="20"/>
          <w:szCs w:val="20"/>
          <w:color w:val="auto"/>
        </w:rPr>
      </w:pPr>
    </w:p>
    <w:p>
      <w:pPr>
        <w:spacing w:after="0" w:line="258"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5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Pension Assets at Fair Value as of December 31, 2017</w:t>
            </w:r>
          </w:p>
        </w:tc>
        <w:tc>
          <w:tcPr>
            <w:tcW w:w="1100" w:type="dxa"/>
            <w:vAlign w:val="bottom"/>
            <w:tcBorders>
              <w:bottom w:val="single" w:sz="8" w:color="auto"/>
            </w:tcBorders>
          </w:tcPr>
          <w:p>
            <w:pPr>
              <w:spacing w:after="0"/>
              <w:rPr>
                <w:sz w:val="16"/>
                <w:szCs w:val="16"/>
                <w:color w:val="auto"/>
              </w:rPr>
            </w:pPr>
          </w:p>
        </w:tc>
      </w:tr>
      <w:tr>
        <w:trPr>
          <w:trHeight w:val="197"/>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Private equities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46.6</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46.6</w:t>
            </w: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Corporate and other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34.2</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6.0</w:t>
            </w: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Government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Interest bearing</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40.5</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w:t>
            </w:r>
          </w:p>
        </w:tc>
        <w:tc>
          <w:tcPr>
            <w:tcW w:w="3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Investments measured at net asset value</w:t>
            </w:r>
            <w:r>
              <w:rPr>
                <w:rFonts w:ascii="Arial" w:cs="Arial" w:eastAsia="Arial" w:hAnsi="Arial"/>
                <w:sz w:val="25"/>
                <w:szCs w:val="25"/>
                <w:color w:val="auto"/>
                <w:vertAlign w:val="superscript"/>
              </w:rPr>
              <w:t>(a)</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r>
      <w:tr>
        <w:trPr>
          <w:trHeight w:val="257"/>
        </w:trPr>
        <w:tc>
          <w:tcPr>
            <w:tcW w:w="4720" w:type="dxa"/>
            <w:vAlign w:val="bottom"/>
          </w:tcPr>
          <w:p>
            <w:pPr>
              <w:ind w:left="20"/>
              <w:spacing w:after="0"/>
              <w:rPr>
                <w:sz w:val="20"/>
                <w:szCs w:val="20"/>
                <w:color w:val="auto"/>
              </w:rPr>
            </w:pPr>
            <w:r>
              <w:rPr>
                <w:rFonts w:ascii="Arial" w:cs="Arial" w:eastAsia="Arial" w:hAnsi="Arial"/>
                <w:sz w:val="18"/>
                <w:szCs w:val="18"/>
                <w:color w:val="auto"/>
              </w:rPr>
              <w:t>Total plan assets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998.3</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52.6</w:t>
            </w:r>
          </w:p>
        </w:tc>
      </w:tr>
      <w:tr>
        <w:trPr>
          <w:trHeight w:val="20"/>
        </w:trPr>
        <w:tc>
          <w:tcPr>
            <w:tcW w:w="4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520" w:type="dxa"/>
            <w:vAlign w:val="bottom"/>
            <w:tcBorders>
              <w:bottom w:val="single" w:sz="8" w:color="auto"/>
            </w:tcBorders>
            <w:gridSpan w:val="6"/>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02"/>
        </w:trPr>
        <w:tc>
          <w:tcPr>
            <w:tcW w:w="47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Pension Assets at Fair Value as of December 31, 2016</w:t>
            </w:r>
          </w:p>
        </w:tc>
        <w:tc>
          <w:tcPr>
            <w:tcW w:w="1100" w:type="dxa"/>
            <w:vAlign w:val="bottom"/>
            <w:tcBorders>
              <w:bottom w:val="single" w:sz="8" w:color="auto"/>
            </w:tcBorders>
          </w:tcPr>
          <w:p>
            <w:pPr>
              <w:spacing w:after="0"/>
              <w:rPr>
                <w:sz w:val="24"/>
                <w:szCs w:val="24"/>
                <w:color w:val="auto"/>
              </w:rPr>
            </w:pPr>
          </w:p>
        </w:tc>
      </w:tr>
      <w:tr>
        <w:trPr>
          <w:trHeight w:val="197"/>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Private equities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38.3</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38.3</w:t>
            </w: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4720" w:type="dxa"/>
            <w:vAlign w:val="bottom"/>
          </w:tcPr>
          <w:p>
            <w:pPr>
              <w:ind w:left="160"/>
              <w:spacing w:after="0"/>
              <w:rPr>
                <w:sz w:val="20"/>
                <w:szCs w:val="20"/>
                <w:color w:val="auto"/>
              </w:rPr>
            </w:pPr>
            <w:r>
              <w:rPr>
                <w:rFonts w:ascii="Arial" w:cs="Arial" w:eastAsia="Arial" w:hAnsi="Arial"/>
                <w:sz w:val="18"/>
                <w:szCs w:val="18"/>
                <w:color w:val="auto"/>
              </w:rPr>
              <w:t>Corporate and other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3.5</w:t>
            </w: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Government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Interest bearing</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47.3</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w:t>
            </w:r>
          </w:p>
        </w:tc>
        <w:tc>
          <w:tcPr>
            <w:tcW w:w="32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Investments measured at net asset value</w:t>
            </w:r>
            <w:r>
              <w:rPr>
                <w:rFonts w:ascii="Arial" w:cs="Arial" w:eastAsia="Arial" w:hAnsi="Arial"/>
                <w:sz w:val="25"/>
                <w:szCs w:val="25"/>
                <w:color w:val="auto"/>
                <w:vertAlign w:val="superscript"/>
              </w:rPr>
              <w:t>(a)</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r>
      <w:tr>
        <w:trPr>
          <w:trHeight w:val="250"/>
        </w:trPr>
        <w:tc>
          <w:tcPr>
            <w:tcW w:w="4720" w:type="dxa"/>
            <w:vAlign w:val="bottom"/>
          </w:tcPr>
          <w:p>
            <w:pPr>
              <w:ind w:left="20"/>
              <w:spacing w:after="0"/>
              <w:rPr>
                <w:sz w:val="20"/>
                <w:szCs w:val="20"/>
                <w:color w:val="auto"/>
              </w:rPr>
            </w:pPr>
            <w:r>
              <w:rPr>
                <w:rFonts w:ascii="Arial" w:cs="Arial" w:eastAsia="Arial" w:hAnsi="Arial"/>
                <w:sz w:val="18"/>
                <w:szCs w:val="18"/>
                <w:color w:val="auto"/>
              </w:rPr>
              <w:t>Total plan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878.7</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164.3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176.3</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8890</wp:posOffset>
            </wp:positionV>
            <wp:extent cx="38074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07460" cy="8890"/>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26035</wp:posOffset>
            </wp:positionV>
            <wp:extent cx="38074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42" w:lineRule="exact"/>
        <w:rPr>
          <w:sz w:val="20"/>
          <w:szCs w:val="20"/>
          <w:color w:val="auto"/>
        </w:rPr>
      </w:pPr>
    </w:p>
    <w:p>
      <w:pPr>
        <w:ind w:left="340" w:right="2620" w:hanging="8"/>
        <w:spacing w:after="0" w:line="313" w:lineRule="auto"/>
        <w:tabs>
          <w:tab w:leader="none" w:pos="536" w:val="left"/>
        </w:tabs>
        <w:numPr>
          <w:ilvl w:val="0"/>
          <w:numId w:val="42"/>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the net asset value per share (or its equivalent) practical expedient have not been categorized in the fair value hierarchy.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activity of our assets measured at fair value on a recurring basis using significant unobservable inputs (Level 3):</w:t>
      </w:r>
    </w:p>
    <w:p>
      <w:pPr>
        <w:spacing w:after="0" w:line="16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4"/>
                <w:szCs w:val="14"/>
                <w:color w:val="auto"/>
              </w:rPr>
            </w:pPr>
          </w:p>
        </w:tc>
        <w:tc>
          <w:tcPr>
            <w:tcW w:w="1660" w:type="dxa"/>
            <w:vAlign w:val="bottom"/>
          </w:tcPr>
          <w:p>
            <w:pPr>
              <w:jc w:val="center"/>
              <w:ind w:right="373"/>
              <w:spacing w:after="0"/>
              <w:rPr>
                <w:sz w:val="20"/>
                <w:szCs w:val="20"/>
                <w:color w:val="auto"/>
              </w:rPr>
            </w:pPr>
            <w:r>
              <w:rPr>
                <w:rFonts w:ascii="Arial" w:cs="Arial" w:eastAsia="Arial" w:hAnsi="Arial"/>
                <w:sz w:val="14"/>
                <w:szCs w:val="14"/>
                <w:b w:val="1"/>
                <w:bCs w:val="1"/>
                <w:color w:val="auto"/>
                <w:w w:val="94"/>
              </w:rPr>
              <w:t>Private</w:t>
            </w:r>
          </w:p>
        </w:tc>
        <w:tc>
          <w:tcPr>
            <w:tcW w:w="400" w:type="dxa"/>
            <w:vAlign w:val="bottom"/>
          </w:tcPr>
          <w:p>
            <w:pPr>
              <w:spacing w:after="0"/>
              <w:rPr>
                <w:sz w:val="14"/>
                <w:szCs w:val="14"/>
                <w:color w:val="auto"/>
              </w:rPr>
            </w:pPr>
          </w:p>
        </w:tc>
        <w:tc>
          <w:tcPr>
            <w:tcW w:w="1740" w:type="dxa"/>
            <w:vAlign w:val="bottom"/>
            <w:vMerge w:val="restart"/>
          </w:tcPr>
          <w:p>
            <w:pPr>
              <w:jc w:val="right"/>
              <w:ind w:right="572"/>
              <w:spacing w:after="0"/>
              <w:rPr>
                <w:sz w:val="20"/>
                <w:szCs w:val="20"/>
                <w:color w:val="auto"/>
              </w:rPr>
            </w:pPr>
            <w:r>
              <w:rPr>
                <w:rFonts w:ascii="Arial" w:cs="Arial" w:eastAsia="Arial" w:hAnsi="Arial"/>
                <w:sz w:val="14"/>
                <w:szCs w:val="14"/>
                <w:b w:val="1"/>
                <w:bCs w:val="1"/>
                <w:color w:val="auto"/>
              </w:rPr>
              <w:t>Fixed income</w:t>
            </w:r>
          </w:p>
        </w:tc>
        <w:tc>
          <w:tcPr>
            <w:tcW w:w="400" w:type="dxa"/>
            <w:vAlign w:val="bottom"/>
          </w:tcPr>
          <w:p>
            <w:pPr>
              <w:spacing w:after="0"/>
              <w:rPr>
                <w:sz w:val="14"/>
                <w:szCs w:val="14"/>
                <w:color w:val="auto"/>
              </w:rPr>
            </w:pPr>
          </w:p>
        </w:tc>
        <w:tc>
          <w:tcPr>
            <w:tcW w:w="174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Total Level 3</w:t>
            </w:r>
          </w:p>
        </w:tc>
        <w:tc>
          <w:tcPr>
            <w:tcW w:w="0" w:type="dxa"/>
            <w:vAlign w:val="bottom"/>
          </w:tcPr>
          <w:p>
            <w:pPr>
              <w:spacing w:after="0"/>
              <w:rPr>
                <w:sz w:val="1"/>
                <w:szCs w:val="1"/>
                <w:color w:val="auto"/>
              </w:rPr>
            </w:pPr>
          </w:p>
        </w:tc>
      </w:tr>
      <w:tr>
        <w:trPr>
          <w:trHeight w:val="192"/>
        </w:trPr>
        <w:tc>
          <w:tcPr>
            <w:tcW w:w="428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373"/>
              <w:spacing w:after="0"/>
              <w:rPr>
                <w:sz w:val="20"/>
                <w:szCs w:val="20"/>
                <w:color w:val="auto"/>
              </w:rPr>
            </w:pPr>
            <w:r>
              <w:rPr>
                <w:rFonts w:ascii="Arial" w:cs="Arial" w:eastAsia="Arial" w:hAnsi="Arial"/>
                <w:sz w:val="14"/>
                <w:szCs w:val="14"/>
                <w:b w:val="1"/>
                <w:bCs w:val="1"/>
                <w:color w:val="auto"/>
                <w:w w:val="95"/>
              </w:rPr>
              <w:t>Equities</w:t>
            </w:r>
          </w:p>
        </w:tc>
        <w:tc>
          <w:tcPr>
            <w:tcW w:w="4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2015</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43"/>
        </w:trPr>
        <w:tc>
          <w:tcPr>
            <w:tcW w:w="428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4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4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4280" w:type="dxa"/>
            <w:vAlign w:val="bottom"/>
          </w:tcPr>
          <w:p>
            <w:pPr>
              <w:ind w:left="260"/>
              <w:spacing w:after="0"/>
              <w:rPr>
                <w:sz w:val="20"/>
                <w:szCs w:val="20"/>
                <w:color w:val="auto"/>
              </w:rPr>
            </w:pPr>
            <w:r>
              <w:rPr>
                <w:rFonts w:ascii="Arial" w:cs="Arial" w:eastAsia="Arial" w:hAnsi="Arial"/>
                <w:sz w:val="18"/>
                <w:szCs w:val="18"/>
                <w:color w:val="auto"/>
              </w:rPr>
              <w:t>Unrealized loss</w:t>
            </w:r>
          </w:p>
        </w:tc>
        <w:tc>
          <w:tcPr>
            <w:tcW w:w="4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(5.1)</w:t>
            </w:r>
          </w:p>
        </w:tc>
        <w:tc>
          <w:tcPr>
            <w:tcW w:w="4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43"/>
        </w:trPr>
        <w:tc>
          <w:tcPr>
            <w:tcW w:w="428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4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Sales</w:t>
            </w:r>
          </w:p>
        </w:tc>
        <w:tc>
          <w:tcPr>
            <w:tcW w:w="4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280" w:type="dxa"/>
            <w:vAlign w:val="bottom"/>
          </w:tcPr>
          <w:p>
            <w:pPr>
              <w:ind w:left="260"/>
              <w:spacing w:after="0"/>
              <w:rPr>
                <w:sz w:val="20"/>
                <w:szCs w:val="20"/>
                <w:color w:val="auto"/>
              </w:rPr>
            </w:pPr>
            <w:r>
              <w:rPr>
                <w:rFonts w:ascii="Arial" w:cs="Arial" w:eastAsia="Arial" w:hAnsi="Arial"/>
                <w:sz w:val="18"/>
                <w:szCs w:val="18"/>
                <w:color w:val="auto"/>
              </w:rPr>
              <w:t>Unrealized gain</w:t>
            </w:r>
          </w:p>
        </w:tc>
        <w:tc>
          <w:tcPr>
            <w:tcW w:w="4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21"/>
                <w:szCs w:val="21"/>
                <w:color w:val="auto"/>
              </w:rPr>
            </w:pPr>
          </w:p>
        </w:tc>
        <w:tc>
          <w:tcPr>
            <w:tcW w:w="174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jc w:val="center"/>
              <w:ind w:right="393"/>
              <w:spacing w:after="0"/>
              <w:rPr>
                <w:sz w:val="20"/>
                <w:szCs w:val="20"/>
                <w:color w:val="auto"/>
              </w:rPr>
            </w:pPr>
            <w:r>
              <w:rPr>
                <w:rFonts w:ascii="Arial" w:cs="Arial" w:eastAsia="Arial" w:hAnsi="Arial"/>
                <w:sz w:val="18"/>
                <w:szCs w:val="18"/>
                <w:color w:val="auto"/>
                <w:w w:val="89"/>
              </w:rPr>
              <w:t>64</w:t>
            </w: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746" w:right="57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The following table sets forth a summary of the assets for which a reported NAV is used to estimate the fair value as of December 31, 2017:</w:t>
      </w:r>
    </w:p>
    <w:p>
      <w:pPr>
        <w:spacing w:after="0" w:line="200" w:lineRule="exact"/>
        <w:rPr>
          <w:sz w:val="20"/>
          <w:szCs w:val="20"/>
          <w:color w:val="auto"/>
        </w:rPr>
      </w:pPr>
    </w:p>
    <w:p>
      <w:pPr>
        <w:spacing w:after="0" w:line="24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8"/>
              </w:rPr>
              <w:t>Fair value estimated using Net Asset Value per Share</w:t>
            </w:r>
          </w:p>
        </w:tc>
        <w:tc>
          <w:tcPr>
            <w:tcW w:w="2180" w:type="dxa"/>
            <w:vAlign w:val="bottom"/>
            <w:tcBorders>
              <w:bottom w:val="single" w:sz="8" w:color="auto"/>
            </w:tcBorders>
          </w:tcPr>
          <w:p>
            <w:pPr>
              <w:spacing w:after="0"/>
              <w:rPr>
                <w:sz w:val="16"/>
                <w:szCs w:val="16"/>
                <w:color w:val="auto"/>
              </w:rPr>
            </w:pPr>
          </w:p>
        </w:tc>
      </w:tr>
      <w:tr>
        <w:trPr>
          <w:trHeight w:val="197"/>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5"/>
              </w:rPr>
              <w:t>Unfunded Commitments</w:t>
            </w:r>
          </w:p>
        </w:tc>
        <w:tc>
          <w:tcPr>
            <w:tcW w:w="1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Redemption Frequency</w:t>
            </w:r>
          </w:p>
        </w:tc>
        <w:tc>
          <w:tcPr>
            <w:tcW w:w="2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Redemption Notice Period</w:t>
            </w:r>
          </w:p>
        </w:tc>
      </w:tr>
      <w:tr>
        <w:trPr>
          <w:trHeight w:val="270"/>
        </w:trPr>
        <w:tc>
          <w:tcPr>
            <w:tcW w:w="2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Private equities</w:t>
            </w:r>
            <w:r>
              <w:rPr>
                <w:rFonts w:ascii="Arial" w:cs="Arial" w:eastAsia="Arial" w:hAnsi="Arial"/>
                <w:sz w:val="25"/>
                <w:szCs w:val="25"/>
                <w:color w:val="auto"/>
                <w:vertAlign w:val="superscript"/>
              </w:rPr>
              <w:t>(a)</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1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Redemptions not permitted</w:t>
            </w:r>
          </w:p>
        </w:tc>
      </w:tr>
      <w:tr>
        <w:trPr>
          <w:trHeight w:val="270"/>
        </w:trPr>
        <w:tc>
          <w:tcPr>
            <w:tcW w:w="2580" w:type="dxa"/>
            <w:vAlign w:val="bottom"/>
          </w:tcPr>
          <w:p>
            <w:pPr>
              <w:ind w:left="20"/>
              <w:spacing w:after="0" w:line="270" w:lineRule="exact"/>
              <w:rPr>
                <w:sz w:val="20"/>
                <w:szCs w:val="20"/>
                <w:color w:val="auto"/>
              </w:rPr>
            </w:pPr>
            <w:r>
              <w:rPr>
                <w:rFonts w:ascii="Arial" w:cs="Arial" w:eastAsia="Arial" w:hAnsi="Arial"/>
                <w:sz w:val="18"/>
                <w:szCs w:val="18"/>
                <w:color w:val="auto"/>
              </w:rPr>
              <w:t>Fixed income</w:t>
            </w:r>
            <w:r>
              <w:rPr>
                <w:rFonts w:ascii="Arial" w:cs="Arial" w:eastAsia="Arial" w:hAnsi="Arial"/>
                <w:sz w:val="25"/>
                <w:szCs w:val="25"/>
                <w:color w:val="auto"/>
                <w:vertAlign w:val="superscript"/>
              </w:rPr>
              <w:t>(b)</w:t>
            </w:r>
          </w:p>
        </w:tc>
        <w:tc>
          <w:tcPr>
            <w:tcW w:w="420" w:type="dxa"/>
            <w:vAlign w:val="bottom"/>
          </w:tcPr>
          <w:p>
            <w:pPr>
              <w:spacing w:after="0"/>
              <w:rPr>
                <w:sz w:val="23"/>
                <w:szCs w:val="23"/>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181.0</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0.5</w:t>
            </w:r>
          </w:p>
        </w:tc>
        <w:tc>
          <w:tcPr>
            <w:tcW w:w="4100" w:type="dxa"/>
            <w:vAlign w:val="bottom"/>
            <w:gridSpan w:val="2"/>
          </w:tcPr>
          <w:p>
            <w:pPr>
              <w:ind w:left="1080"/>
              <w:spacing w:after="0"/>
              <w:rPr>
                <w:sz w:val="20"/>
                <w:szCs w:val="20"/>
                <w:color w:val="auto"/>
              </w:rPr>
            </w:pPr>
            <w:r>
              <w:rPr>
                <w:rFonts w:ascii="Arial" w:cs="Arial" w:eastAsia="Arial" w:hAnsi="Arial"/>
                <w:sz w:val="18"/>
                <w:szCs w:val="18"/>
                <w:color w:val="auto"/>
              </w:rPr>
              <w:t>Redemptions not permitted</w:t>
            </w:r>
          </w:p>
        </w:tc>
      </w:tr>
      <w:tr>
        <w:trPr>
          <w:trHeight w:val="270"/>
        </w:trPr>
        <w:tc>
          <w:tcPr>
            <w:tcW w:w="2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Equities</w:t>
            </w:r>
            <w:r>
              <w:rPr>
                <w:rFonts w:ascii="Arial" w:cs="Arial" w:eastAsia="Arial" w:hAnsi="Arial"/>
                <w:sz w:val="25"/>
                <w:szCs w:val="25"/>
                <w:color w:val="auto"/>
                <w:vertAlign w:val="superscript"/>
              </w:rPr>
              <w:t>(c)</w:t>
            </w:r>
          </w:p>
        </w:tc>
        <w:tc>
          <w:tcPr>
            <w:tcW w:w="4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112.7</w:t>
            </w: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Monthly</w:t>
            </w:r>
          </w:p>
        </w:tc>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3-30 days</w:t>
            </w:r>
          </w:p>
        </w:tc>
      </w:tr>
      <w:tr>
        <w:trPr>
          <w:trHeight w:val="270"/>
        </w:trPr>
        <w:tc>
          <w:tcPr>
            <w:tcW w:w="25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Absolute return</w:t>
            </w:r>
            <w:r>
              <w:rPr>
                <w:rFonts w:ascii="Arial" w:cs="Arial" w:eastAsia="Arial" w:hAnsi="Arial"/>
                <w:sz w:val="25"/>
                <w:szCs w:val="25"/>
                <w:color w:val="auto"/>
                <w:vertAlign w:val="superscript"/>
              </w:rPr>
              <w:t>(d)</w:t>
            </w:r>
          </w:p>
        </w:tc>
        <w:tc>
          <w:tcPr>
            <w:tcW w:w="4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125.0</w:t>
            </w:r>
          </w:p>
        </w:tc>
        <w:tc>
          <w:tcPr>
            <w:tcW w:w="180" w:type="dxa"/>
            <w:vAlign w:val="bottom"/>
            <w:tcBorders>
              <w:bottom w:val="single" w:sz="8" w:color="CCEEFF"/>
            </w:tcBorders>
          </w:tcPr>
          <w:p>
            <w:pPr>
              <w:spacing w:after="0"/>
              <w:rPr>
                <w:sz w:val="23"/>
                <w:szCs w:val="23"/>
                <w:color w:val="auto"/>
              </w:rPr>
            </w:pP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Monthly, Quarterly</w:t>
            </w:r>
          </w:p>
        </w:tc>
        <w:tc>
          <w:tcPr>
            <w:tcW w:w="2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2-45 days</w:t>
            </w:r>
          </w:p>
        </w:tc>
      </w:tr>
      <w:tr>
        <w:trPr>
          <w:trHeight w:val="257"/>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562.6</w:t>
            </w:r>
          </w:p>
        </w:tc>
        <w:tc>
          <w:tcPr>
            <w:tcW w:w="1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r>
    </w:tbl>
    <w:p>
      <w:pPr>
        <w:spacing w:after="0" w:line="8" w:lineRule="exact"/>
        <w:rPr>
          <w:sz w:val="20"/>
          <w:szCs w:val="20"/>
          <w:color w:val="auto"/>
        </w:rPr>
      </w:pPr>
    </w:p>
    <w:p>
      <w:pPr>
        <w:ind w:left="500" w:hanging="262"/>
        <w:spacing w:after="0"/>
        <w:tabs>
          <w:tab w:leader="none" w:pos="5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private equity investments in pharmaceuticals and companies primarily in the technology and healthcare sectors.</w:t>
      </w:r>
    </w:p>
    <w:p>
      <w:pPr>
        <w:spacing w:after="0" w:line="13" w:lineRule="exact"/>
        <w:rPr>
          <w:rFonts w:ascii="Arial" w:cs="Arial" w:eastAsia="Arial" w:hAnsi="Arial"/>
          <w:sz w:val="14"/>
          <w:szCs w:val="14"/>
          <w:color w:val="auto"/>
        </w:rPr>
      </w:pPr>
    </w:p>
    <w:p>
      <w:pPr>
        <w:ind w:left="500" w:hanging="262"/>
        <w:spacing w:after="0"/>
        <w:tabs>
          <w:tab w:leader="none" w:pos="5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Primarily consists of investments in royalty payments from marketers of pharmaceuticals and related debt securities.</w:t>
      </w:r>
    </w:p>
    <w:p>
      <w:pPr>
        <w:spacing w:after="0" w:line="1" w:lineRule="exact"/>
        <w:rPr>
          <w:rFonts w:ascii="Arial" w:cs="Arial" w:eastAsia="Arial" w:hAnsi="Arial"/>
          <w:sz w:val="14"/>
          <w:szCs w:val="14"/>
          <w:color w:val="auto"/>
        </w:rPr>
      </w:pPr>
    </w:p>
    <w:p>
      <w:pPr>
        <w:ind w:left="500" w:hanging="262"/>
        <w:spacing w:after="0"/>
        <w:tabs>
          <w:tab w:leader="none" w:pos="5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public equity investments in U.S. and non-U.S. markets.</w:t>
      </w:r>
    </w:p>
    <w:p>
      <w:pPr>
        <w:spacing w:after="0" w:line="1" w:lineRule="exact"/>
        <w:rPr>
          <w:rFonts w:ascii="Arial" w:cs="Arial" w:eastAsia="Arial" w:hAnsi="Arial"/>
          <w:sz w:val="14"/>
          <w:szCs w:val="14"/>
          <w:color w:val="auto"/>
        </w:rPr>
      </w:pPr>
    </w:p>
    <w:p>
      <w:pPr>
        <w:ind w:left="500" w:hanging="262"/>
        <w:spacing w:after="0"/>
        <w:tabs>
          <w:tab w:leader="none" w:pos="5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Consists of investments in global markets, including derivative securities of equity and fixed income indexes, commodities and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-414655</wp:posOffset>
            </wp:positionV>
            <wp:extent cx="13119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the assets for which a reported NAV is used to estimate the fair value as of December 31, 2016:</w:t>
      </w:r>
    </w:p>
    <w:p>
      <w:pPr>
        <w:spacing w:after="0" w:line="200" w:lineRule="exact"/>
        <w:rPr>
          <w:sz w:val="20"/>
          <w:szCs w:val="20"/>
          <w:color w:val="auto"/>
        </w:rPr>
      </w:pPr>
    </w:p>
    <w:p>
      <w:pPr>
        <w:spacing w:after="0" w:line="20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8"/>
              </w:rPr>
              <w:t>Fair value estimated using Net Asset Value per Share</w:t>
            </w:r>
          </w:p>
        </w:tc>
        <w:tc>
          <w:tcPr>
            <w:tcW w:w="2180" w:type="dxa"/>
            <w:vAlign w:val="bottom"/>
            <w:tcBorders>
              <w:bottom w:val="single" w:sz="8" w:color="auto"/>
            </w:tcBorders>
          </w:tcPr>
          <w:p>
            <w:pPr>
              <w:spacing w:after="0"/>
              <w:rPr>
                <w:sz w:val="16"/>
                <w:szCs w:val="16"/>
                <w:color w:val="auto"/>
              </w:rPr>
            </w:pPr>
          </w:p>
        </w:tc>
      </w:tr>
      <w:tr>
        <w:trPr>
          <w:trHeight w:val="197"/>
        </w:trPr>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5"/>
              </w:rPr>
              <w:t>Unfunded Commitments</w:t>
            </w:r>
          </w:p>
        </w:tc>
        <w:tc>
          <w:tcPr>
            <w:tcW w:w="1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Redemption Frequency</w:t>
            </w:r>
          </w:p>
        </w:tc>
        <w:tc>
          <w:tcPr>
            <w:tcW w:w="2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Redemption Notice Period</w:t>
            </w:r>
          </w:p>
        </w:tc>
      </w:tr>
      <w:tr>
        <w:trPr>
          <w:trHeight w:val="270"/>
        </w:trPr>
        <w:tc>
          <w:tcPr>
            <w:tcW w:w="2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Private equities</w:t>
            </w:r>
            <w:r>
              <w:rPr>
                <w:rFonts w:ascii="Arial" w:cs="Arial" w:eastAsia="Arial" w:hAnsi="Arial"/>
                <w:sz w:val="25"/>
                <w:szCs w:val="25"/>
                <w:color w:val="auto"/>
                <w:vertAlign w:val="superscript"/>
              </w:rPr>
              <w:t>(a)</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1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Redemptions not permitted</w:t>
            </w:r>
          </w:p>
        </w:tc>
      </w:tr>
      <w:tr>
        <w:trPr>
          <w:trHeight w:val="270"/>
        </w:trPr>
        <w:tc>
          <w:tcPr>
            <w:tcW w:w="2580" w:type="dxa"/>
            <w:vAlign w:val="bottom"/>
          </w:tcPr>
          <w:p>
            <w:pPr>
              <w:ind w:left="20"/>
              <w:spacing w:after="0" w:line="270" w:lineRule="exact"/>
              <w:rPr>
                <w:sz w:val="20"/>
                <w:szCs w:val="20"/>
                <w:color w:val="auto"/>
              </w:rPr>
            </w:pPr>
            <w:r>
              <w:rPr>
                <w:rFonts w:ascii="Arial" w:cs="Arial" w:eastAsia="Arial" w:hAnsi="Arial"/>
                <w:sz w:val="18"/>
                <w:szCs w:val="18"/>
                <w:color w:val="auto"/>
              </w:rPr>
              <w:t>Fixed income</w:t>
            </w:r>
            <w:r>
              <w:rPr>
                <w:rFonts w:ascii="Arial" w:cs="Arial" w:eastAsia="Arial" w:hAnsi="Arial"/>
                <w:sz w:val="25"/>
                <w:szCs w:val="25"/>
                <w:color w:val="auto"/>
                <w:vertAlign w:val="superscript"/>
              </w:rPr>
              <w:t>(b)</w:t>
            </w:r>
          </w:p>
        </w:tc>
        <w:tc>
          <w:tcPr>
            <w:tcW w:w="420" w:type="dxa"/>
            <w:vAlign w:val="bottom"/>
          </w:tcPr>
          <w:p>
            <w:pPr>
              <w:spacing w:after="0"/>
              <w:rPr>
                <w:sz w:val="23"/>
                <w:szCs w:val="23"/>
                <w:color w:val="auto"/>
              </w:rPr>
            </w:pPr>
          </w:p>
        </w:tc>
        <w:tc>
          <w:tcPr>
            <w:tcW w:w="1660" w:type="dxa"/>
            <w:vAlign w:val="bottom"/>
          </w:tcPr>
          <w:p>
            <w:pPr>
              <w:jc w:val="right"/>
              <w:ind w:right="13"/>
              <w:spacing w:after="0"/>
              <w:rPr>
                <w:sz w:val="20"/>
                <w:szCs w:val="20"/>
                <w:color w:val="auto"/>
              </w:rPr>
            </w:pPr>
            <w:r>
              <w:rPr>
                <w:rFonts w:ascii="Arial" w:cs="Arial" w:eastAsia="Arial" w:hAnsi="Arial"/>
                <w:sz w:val="18"/>
                <w:szCs w:val="18"/>
                <w:color w:val="auto"/>
              </w:rPr>
              <w:t>186.2</w:t>
            </w:r>
          </w:p>
        </w:tc>
        <w:tc>
          <w:tcPr>
            <w:tcW w:w="18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6.2</w:t>
            </w:r>
          </w:p>
        </w:tc>
        <w:tc>
          <w:tcPr>
            <w:tcW w:w="4100" w:type="dxa"/>
            <w:vAlign w:val="bottom"/>
            <w:gridSpan w:val="2"/>
          </w:tcPr>
          <w:p>
            <w:pPr>
              <w:ind w:left="1080"/>
              <w:spacing w:after="0"/>
              <w:rPr>
                <w:sz w:val="20"/>
                <w:szCs w:val="20"/>
                <w:color w:val="auto"/>
              </w:rPr>
            </w:pPr>
            <w:r>
              <w:rPr>
                <w:rFonts w:ascii="Arial" w:cs="Arial" w:eastAsia="Arial" w:hAnsi="Arial"/>
                <w:sz w:val="18"/>
                <w:szCs w:val="18"/>
                <w:color w:val="auto"/>
              </w:rPr>
              <w:t>Redemptions not permitted</w:t>
            </w:r>
          </w:p>
        </w:tc>
      </w:tr>
      <w:tr>
        <w:trPr>
          <w:trHeight w:val="270"/>
        </w:trPr>
        <w:tc>
          <w:tcPr>
            <w:tcW w:w="2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Equities</w:t>
            </w:r>
            <w:r>
              <w:rPr>
                <w:rFonts w:ascii="Arial" w:cs="Arial" w:eastAsia="Arial" w:hAnsi="Arial"/>
                <w:sz w:val="25"/>
                <w:szCs w:val="25"/>
                <w:color w:val="auto"/>
                <w:vertAlign w:val="superscript"/>
              </w:rPr>
              <w:t>(c)</w:t>
            </w:r>
          </w:p>
        </w:tc>
        <w:tc>
          <w:tcPr>
            <w:tcW w:w="42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91.7</w:t>
            </w: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Monthly</w:t>
            </w:r>
          </w:p>
        </w:tc>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3-30 days</w:t>
            </w:r>
          </w:p>
        </w:tc>
      </w:tr>
      <w:tr>
        <w:trPr>
          <w:trHeight w:val="270"/>
        </w:trPr>
        <w:tc>
          <w:tcPr>
            <w:tcW w:w="25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Absolute return</w:t>
            </w:r>
            <w:r>
              <w:rPr>
                <w:rFonts w:ascii="Arial" w:cs="Arial" w:eastAsia="Arial" w:hAnsi="Arial"/>
                <w:sz w:val="25"/>
                <w:szCs w:val="25"/>
                <w:color w:val="auto"/>
                <w:vertAlign w:val="superscript"/>
              </w:rPr>
              <w:t>(d)</w:t>
            </w:r>
          </w:p>
        </w:tc>
        <w:tc>
          <w:tcPr>
            <w:tcW w:w="4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123.8</w:t>
            </w:r>
          </w:p>
        </w:tc>
        <w:tc>
          <w:tcPr>
            <w:tcW w:w="180" w:type="dxa"/>
            <w:vAlign w:val="bottom"/>
            <w:tcBorders>
              <w:bottom w:val="single" w:sz="8" w:color="CCEEFF"/>
            </w:tcBorders>
          </w:tcPr>
          <w:p>
            <w:pPr>
              <w:spacing w:after="0"/>
              <w:rPr>
                <w:sz w:val="23"/>
                <w:szCs w:val="23"/>
                <w:color w:val="auto"/>
              </w:rPr>
            </w:pP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tcPr>
          <w:p>
            <w:pPr>
              <w:ind w:left="60"/>
              <w:spacing w:after="0"/>
              <w:rPr>
                <w:sz w:val="20"/>
                <w:szCs w:val="20"/>
                <w:color w:val="auto"/>
              </w:rPr>
            </w:pPr>
            <w:r>
              <w:rPr>
                <w:rFonts w:ascii="Arial" w:cs="Arial" w:eastAsia="Arial" w:hAnsi="Arial"/>
                <w:sz w:val="18"/>
                <w:szCs w:val="18"/>
                <w:color w:val="auto"/>
              </w:rPr>
              <w:t>Monthly, Quarterly</w:t>
            </w:r>
          </w:p>
        </w:tc>
        <w:tc>
          <w:tcPr>
            <w:tcW w:w="2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2-45 days</w:t>
            </w:r>
          </w:p>
        </w:tc>
      </w:tr>
      <w:tr>
        <w:trPr>
          <w:trHeight w:val="257"/>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496.3</w:t>
            </w:r>
          </w:p>
        </w:tc>
        <w:tc>
          <w:tcPr>
            <w:tcW w:w="1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spacing w:after="0"/>
              <w:rPr>
                <w:sz w:val="22"/>
                <w:szCs w:val="22"/>
                <w:color w:val="auto"/>
              </w:rPr>
            </w:pPr>
          </w:p>
        </w:tc>
      </w:tr>
    </w:tbl>
    <w:p>
      <w:pPr>
        <w:spacing w:after="0" w:line="8" w:lineRule="exact"/>
        <w:rPr>
          <w:sz w:val="20"/>
          <w:szCs w:val="20"/>
          <w:color w:val="auto"/>
        </w:rPr>
      </w:pPr>
    </w:p>
    <w:p>
      <w:pPr>
        <w:ind w:left="500" w:hanging="262"/>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Consists of private equity investments in pharmaceuticals and companies primarily in the technology and healthcare sectors.</w:t>
      </w:r>
    </w:p>
    <w:p>
      <w:pPr>
        <w:spacing w:after="0" w:line="13" w:lineRule="exact"/>
        <w:rPr>
          <w:rFonts w:ascii="Arial" w:cs="Arial" w:eastAsia="Arial" w:hAnsi="Arial"/>
          <w:sz w:val="14"/>
          <w:szCs w:val="14"/>
          <w:color w:val="auto"/>
        </w:rPr>
      </w:pPr>
    </w:p>
    <w:p>
      <w:pPr>
        <w:ind w:left="500" w:hanging="262"/>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Primarily consists of investments in royalty payments from marketers of pharmaceuticals and related debt securities.</w:t>
      </w:r>
    </w:p>
    <w:p>
      <w:pPr>
        <w:spacing w:after="0" w:line="1" w:lineRule="exact"/>
        <w:rPr>
          <w:rFonts w:ascii="Arial" w:cs="Arial" w:eastAsia="Arial" w:hAnsi="Arial"/>
          <w:sz w:val="14"/>
          <w:szCs w:val="14"/>
          <w:color w:val="auto"/>
        </w:rPr>
      </w:pPr>
    </w:p>
    <w:p>
      <w:pPr>
        <w:ind w:left="500" w:hanging="262"/>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Consists of public equity investments in U.S. and non-U.S. markets.</w:t>
      </w:r>
    </w:p>
    <w:p>
      <w:pPr>
        <w:spacing w:after="0" w:line="1" w:lineRule="exact"/>
        <w:rPr>
          <w:rFonts w:ascii="Arial" w:cs="Arial" w:eastAsia="Arial" w:hAnsi="Arial"/>
          <w:sz w:val="14"/>
          <w:szCs w:val="14"/>
          <w:color w:val="auto"/>
        </w:rPr>
      </w:pPr>
    </w:p>
    <w:p>
      <w:pPr>
        <w:ind w:left="500" w:hanging="262"/>
        <w:spacing w:after="0"/>
        <w:tabs>
          <w:tab w:leader="none" w:pos="5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Consists of investments in global markets, including derivative securities of equity and fixed income indexes, commodities and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-414655</wp:posOffset>
            </wp:positionV>
            <wp:extent cx="13119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the investment strategy for private equities consists of direct investments or investments through limited partnerships with managers who purchase interests in non-public companies. The typical investment strategies of the fixed income and equity funds is based on fundamental and quantitative analysis and consists of long and hedged strategies. The general strategy of the absolute return funds consists of alternative investment techniques, including derivative instruments and other unconventional assets, to achieve an absolute return rate.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YRC Freight, Holland, Reddaway, and New Penn contribute to various separate multi-employer health, welfare and pension plans for employees that are covered by our collective bargaining agreements (approximately 78% of total Company employees). The collective bargaining agreements determine the amounts of these contributions. The health and welfare plans provide medical related benefits to active employees and retirees. The pension plans provide defined benefits to retired participants. We recognize as net pension cost within ‘Salaries, wages and employee benefits’ the contractually required contributions for the period and recognize as a liability any contributions due and unpaid at period end. We do not directly manage multi-employer plans. The trusts covering these plans are generally managed by trustees, half of whom the unions appoint and half of whom various contributing employers appoint.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expensed the following amounts related to these plans for the years ended December 31:</w:t>
      </w: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 and welfare</w:t>
            </w:r>
          </w:p>
        </w:tc>
        <w:tc>
          <w:tcPr>
            <w:tcW w:w="35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436.8</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Pension</w:t>
            </w:r>
          </w:p>
        </w:tc>
        <w:tc>
          <w:tcPr>
            <w:tcW w:w="3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98.1</w:t>
            </w: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90.3</w:t>
            </w:r>
          </w:p>
        </w:tc>
        <w:tc>
          <w:tcPr>
            <w:tcW w:w="4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527.9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750"/>
              <w:spacing w:after="0"/>
              <w:rPr>
                <w:sz w:val="20"/>
                <w:szCs w:val="20"/>
                <w:color w:val="auto"/>
              </w:rPr>
            </w:pPr>
            <w:r>
              <w:rPr>
                <w:rFonts w:ascii="Arial" w:cs="Arial" w:eastAsia="Arial" w:hAnsi="Arial"/>
                <w:sz w:val="18"/>
                <w:szCs w:val="18"/>
                <w:color w:val="auto"/>
              </w:rPr>
              <w:t>65</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0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0"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Pension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Through the third quarter of 2009, we deferred payment of certain of our contributions to multi-employer pension funds. These deferred payments have been recognized as an operating expense and the liability was recorded as deferred contribution obligations. Beginning in the third quarter of 2009 through May 2011, most of our collective bargaining agreements provided for a temporary cessation of pension contributions so no expense or liability was required to be recognized for that period. In accordance with modifications to our collective bargaining agreements, we agreed to resume making pension contributions effective June 1, 2011 at 25.0% of the contribution rate in effect as of July 1, 2009.</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additional information related to our participation in individually significant multi-employer pension plans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200" w:lineRule="exact"/>
        <w:rPr>
          <w:sz w:val="20"/>
          <w:szCs w:val="20"/>
          <w:color w:val="auto"/>
        </w:rPr>
      </w:pP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0" w:type="dxa"/>
            <w:vAlign w:val="bottom"/>
            <w:gridSpan w:val="2"/>
            <w:vMerge w:val="restart"/>
          </w:tcPr>
          <w:p>
            <w:pPr>
              <w:jc w:val="right"/>
              <w:ind w:right="294"/>
              <w:spacing w:after="0"/>
              <w:rPr>
                <w:sz w:val="20"/>
                <w:szCs w:val="20"/>
                <w:color w:val="auto"/>
              </w:rPr>
            </w:pPr>
            <w:r>
              <w:rPr>
                <w:rFonts w:ascii="Arial" w:cs="Arial" w:eastAsia="Arial" w:hAnsi="Arial"/>
                <w:sz w:val="14"/>
                <w:szCs w:val="14"/>
                <w:b w:val="1"/>
                <w:bCs w:val="1"/>
                <w:color w:val="auto"/>
                <w:w w:val="99"/>
              </w:rPr>
              <w:t>Pension Protection Zone Status</w:t>
            </w:r>
            <w:r>
              <w:rPr>
                <w:rFonts w:ascii="Arial" w:cs="Arial" w:eastAsia="Arial" w:hAnsi="Arial"/>
                <w:sz w:val="8"/>
                <w:szCs w:val="8"/>
                <w:b w:val="1"/>
                <w:bCs w:val="1"/>
                <w:color w:val="auto"/>
                <w:w w:val="99"/>
              </w:rPr>
              <w:t>(b)</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6"/>
              </w:rPr>
              <w:t>Funding Improvement</w:t>
            </w:r>
          </w:p>
        </w:tc>
        <w:tc>
          <w:tcPr>
            <w:tcW w:w="13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Expiration Date of</w:t>
            </w:r>
          </w:p>
        </w:tc>
        <w:tc>
          <w:tcPr>
            <w:tcW w:w="0" w:type="dxa"/>
            <w:vAlign w:val="bottom"/>
          </w:tcPr>
          <w:p>
            <w:pPr>
              <w:spacing w:after="0"/>
              <w:rPr>
                <w:sz w:val="1"/>
                <w:szCs w:val="1"/>
                <w:color w:val="auto"/>
              </w:rPr>
            </w:pPr>
          </w:p>
        </w:tc>
      </w:tr>
      <w:tr>
        <w:trPr>
          <w:trHeight w:val="140"/>
        </w:trPr>
        <w:tc>
          <w:tcPr>
            <w:tcW w:w="28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0" w:type="dxa"/>
            <w:vAlign w:val="bottom"/>
            <w:gridSpan w:val="2"/>
            <w:vMerge w:val="continue"/>
          </w:tcPr>
          <w:p>
            <w:pPr>
              <w:spacing w:after="0"/>
              <w:rPr>
                <w:sz w:val="12"/>
                <w:szCs w:val="12"/>
                <w:color w:val="auto"/>
              </w:rPr>
            </w:pPr>
          </w:p>
        </w:tc>
        <w:tc>
          <w:tcPr>
            <w:tcW w:w="14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or</w:t>
            </w:r>
          </w:p>
        </w:tc>
        <w:tc>
          <w:tcPr>
            <w:tcW w:w="138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4"/>
              </w:rPr>
              <w:t>Employer Surcharge</w:t>
            </w:r>
          </w:p>
        </w:tc>
        <w:tc>
          <w:tcPr>
            <w:tcW w:w="14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5"/>
              </w:rPr>
              <w:t>Collective-Bargaining</w:t>
            </w:r>
          </w:p>
        </w:tc>
        <w:tc>
          <w:tcPr>
            <w:tcW w:w="0" w:type="dxa"/>
            <w:vAlign w:val="bottom"/>
          </w:tcPr>
          <w:p>
            <w:pPr>
              <w:spacing w:after="0"/>
              <w:rPr>
                <w:sz w:val="1"/>
                <w:szCs w:val="1"/>
                <w:color w:val="auto"/>
              </w:rPr>
            </w:pPr>
          </w:p>
        </w:tc>
      </w:tr>
      <w:tr>
        <w:trPr>
          <w:trHeight w:val="200"/>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Pension Fund</w:t>
            </w:r>
            <w:r>
              <w:rPr>
                <w:rFonts w:ascii="Arial" w:cs="Arial" w:eastAsia="Arial" w:hAnsi="Arial"/>
                <w:sz w:val="8"/>
                <w:szCs w:val="8"/>
                <w:b w:val="1"/>
                <w:bCs w:val="1"/>
                <w:color w:val="auto"/>
              </w:rPr>
              <w:t>(a)</w:t>
            </w:r>
          </w:p>
        </w:tc>
        <w:tc>
          <w:tcPr>
            <w:tcW w:w="16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EIN Number</w:t>
            </w:r>
          </w:p>
        </w:tc>
        <w:tc>
          <w:tcPr>
            <w:tcW w:w="14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2017</w:t>
            </w: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Rehabilitation Plan</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Imposed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Agreement</w:t>
            </w:r>
          </w:p>
        </w:tc>
        <w:tc>
          <w:tcPr>
            <w:tcW w:w="0" w:type="dxa"/>
            <w:vAlign w:val="bottom"/>
          </w:tcPr>
          <w:p>
            <w:pPr>
              <w:spacing w:after="0"/>
              <w:rPr>
                <w:sz w:val="1"/>
                <w:szCs w:val="1"/>
                <w:color w:val="auto"/>
              </w:rPr>
            </w:pPr>
          </w:p>
        </w:tc>
      </w:tr>
      <w:tr>
        <w:trPr>
          <w:trHeight w:val="228"/>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States, Southeast and</w:t>
            </w:r>
          </w:p>
        </w:tc>
        <w:tc>
          <w:tcPr>
            <w:tcW w:w="16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Critical and</w:t>
            </w:r>
          </w:p>
        </w:tc>
        <w:tc>
          <w:tcPr>
            <w:tcW w:w="1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Southwest Areas Pension Fund</w:t>
            </w:r>
          </w:p>
        </w:tc>
        <w:tc>
          <w:tcPr>
            <w:tcW w:w="16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36-6044243</w:t>
            </w:r>
          </w:p>
        </w:tc>
        <w:tc>
          <w:tcPr>
            <w:tcW w:w="14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Declining</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Critical</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Arial" w:cs="Arial" w:eastAsia="Arial" w:hAnsi="Arial"/>
                <w:sz w:val="18"/>
                <w:szCs w:val="18"/>
                <w:color w:val="auto"/>
                <w:w w:val="99"/>
              </w:rPr>
              <w:t>Teamsters National 401(k) Savings</w:t>
            </w:r>
          </w:p>
        </w:tc>
        <w:tc>
          <w:tcPr>
            <w:tcW w:w="1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40" w:type="dxa"/>
            <w:vAlign w:val="bottom"/>
          </w:tcPr>
          <w:p>
            <w:pPr>
              <w:ind w:left="20"/>
              <w:spacing w:after="0" w:line="257" w:lineRule="exact"/>
              <w:rPr>
                <w:sz w:val="20"/>
                <w:szCs w:val="20"/>
                <w:color w:val="auto"/>
              </w:rPr>
            </w:pPr>
            <w:r>
              <w:rPr>
                <w:rFonts w:ascii="Arial" w:cs="Arial" w:eastAsia="Arial" w:hAnsi="Arial"/>
                <w:sz w:val="18"/>
                <w:szCs w:val="18"/>
                <w:color w:val="auto"/>
              </w:rPr>
              <w:t>Plan</w:t>
            </w:r>
            <w:r>
              <w:rPr>
                <w:rFonts w:ascii="Arial" w:cs="Arial" w:eastAsia="Arial" w:hAnsi="Arial"/>
                <w:sz w:val="25"/>
                <w:szCs w:val="25"/>
                <w:color w:val="auto"/>
                <w:vertAlign w:val="superscript"/>
              </w:rPr>
              <w:t>(c)</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52-1967784</w:t>
            </w:r>
          </w:p>
        </w:tc>
        <w:tc>
          <w:tcPr>
            <w:tcW w:w="1480" w:type="dxa"/>
            <w:vAlign w:val="bottom"/>
          </w:tcPr>
          <w:p>
            <w:pPr>
              <w:jc w:val="right"/>
              <w:ind w:right="194"/>
              <w:spacing w:after="0"/>
              <w:rPr>
                <w:sz w:val="20"/>
                <w:szCs w:val="20"/>
                <w:color w:val="auto"/>
              </w:rPr>
            </w:pPr>
            <w:r>
              <w:rPr>
                <w:rFonts w:ascii="Arial" w:cs="Arial" w:eastAsia="Arial" w:hAnsi="Arial"/>
                <w:sz w:val="18"/>
                <w:szCs w:val="18"/>
                <w:color w:val="auto"/>
              </w:rPr>
              <w:t>N/A</w:t>
            </w:r>
          </w:p>
        </w:tc>
        <w:tc>
          <w:tcPr>
            <w:tcW w:w="1120" w:type="dxa"/>
            <w:vAlign w:val="bottom"/>
          </w:tcPr>
          <w:p>
            <w:pPr>
              <w:jc w:val="right"/>
              <w:spacing w:after="0"/>
              <w:rPr>
                <w:sz w:val="20"/>
                <w:szCs w:val="20"/>
                <w:color w:val="auto"/>
              </w:rPr>
            </w:pPr>
            <w:r>
              <w:rPr>
                <w:rFonts w:ascii="Arial" w:cs="Arial" w:eastAsia="Arial" w:hAnsi="Arial"/>
                <w:sz w:val="18"/>
                <w:szCs w:val="18"/>
                <w:color w:val="auto"/>
              </w:rPr>
              <w:t>N/A</w:t>
            </w:r>
          </w:p>
        </w:tc>
        <w:tc>
          <w:tcPr>
            <w:tcW w:w="1480" w:type="dxa"/>
            <w:vAlign w:val="bottom"/>
          </w:tcPr>
          <w:p>
            <w:pPr>
              <w:jc w:val="right"/>
              <w:spacing w:after="0"/>
              <w:rPr>
                <w:sz w:val="20"/>
                <w:szCs w:val="20"/>
                <w:color w:val="auto"/>
              </w:rPr>
            </w:pPr>
            <w:r>
              <w:rPr>
                <w:rFonts w:ascii="Arial" w:cs="Arial" w:eastAsia="Arial" w:hAnsi="Arial"/>
                <w:sz w:val="18"/>
                <w:szCs w:val="18"/>
                <w:color w:val="auto"/>
              </w:rPr>
              <w:t>N/A</w:t>
            </w:r>
          </w:p>
        </w:tc>
        <w:tc>
          <w:tcPr>
            <w:tcW w:w="1380" w:type="dxa"/>
            <w:vAlign w:val="bottom"/>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Road Carriers Local 707 Pension</w:t>
            </w:r>
          </w:p>
        </w:tc>
        <w:tc>
          <w:tcPr>
            <w:tcW w:w="16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Critical and</w:t>
            </w:r>
          </w:p>
        </w:tc>
        <w:tc>
          <w:tcPr>
            <w:tcW w:w="1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w:t>
            </w:r>
          </w:p>
        </w:tc>
        <w:tc>
          <w:tcPr>
            <w:tcW w:w="16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51-6106510</w:t>
            </w:r>
          </w:p>
        </w:tc>
        <w:tc>
          <w:tcPr>
            <w:tcW w:w="14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Declining</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Critical</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Yes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r>
        <w:trPr>
          <w:trHeight w:val="229"/>
        </w:trPr>
        <w:tc>
          <w:tcPr>
            <w:tcW w:w="28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80" w:type="dxa"/>
            <w:vAlign w:val="bottom"/>
          </w:tcPr>
          <w:p>
            <w:pPr>
              <w:jc w:val="right"/>
              <w:ind w:right="194"/>
              <w:spacing w:after="0"/>
              <w:rPr>
                <w:sz w:val="20"/>
                <w:szCs w:val="20"/>
                <w:color w:val="auto"/>
              </w:rPr>
            </w:pPr>
            <w:r>
              <w:rPr>
                <w:rFonts w:ascii="Arial" w:cs="Arial" w:eastAsia="Arial" w:hAnsi="Arial"/>
                <w:sz w:val="18"/>
                <w:szCs w:val="18"/>
                <w:color w:val="auto"/>
              </w:rPr>
              <w:t>Critical and</w:t>
            </w:r>
          </w:p>
        </w:tc>
        <w:tc>
          <w:tcPr>
            <w:tcW w:w="1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w w:val="98"/>
              </w:rPr>
              <w:t>Teamsters Local 641 Pension Fund</w:t>
            </w:r>
          </w:p>
        </w:tc>
        <w:tc>
          <w:tcPr>
            <w:tcW w:w="1660" w:type="dxa"/>
            <w:vAlign w:val="bottom"/>
          </w:tcPr>
          <w:p>
            <w:pPr>
              <w:jc w:val="right"/>
              <w:ind w:right="94"/>
              <w:spacing w:after="0"/>
              <w:rPr>
                <w:sz w:val="20"/>
                <w:szCs w:val="20"/>
                <w:color w:val="auto"/>
              </w:rPr>
            </w:pPr>
            <w:r>
              <w:rPr>
                <w:rFonts w:ascii="Arial" w:cs="Arial" w:eastAsia="Arial" w:hAnsi="Arial"/>
                <w:sz w:val="18"/>
                <w:szCs w:val="18"/>
                <w:color w:val="auto"/>
              </w:rPr>
              <w:t>22-6220288</w:t>
            </w:r>
          </w:p>
        </w:tc>
        <w:tc>
          <w:tcPr>
            <w:tcW w:w="1480" w:type="dxa"/>
            <w:vAlign w:val="bottom"/>
          </w:tcPr>
          <w:p>
            <w:pPr>
              <w:jc w:val="right"/>
              <w:ind w:right="194"/>
              <w:spacing w:after="0"/>
              <w:rPr>
                <w:sz w:val="20"/>
                <w:szCs w:val="20"/>
                <w:color w:val="auto"/>
              </w:rPr>
            </w:pPr>
            <w:r>
              <w:rPr>
                <w:rFonts w:ascii="Arial" w:cs="Arial" w:eastAsia="Arial" w:hAnsi="Arial"/>
                <w:sz w:val="18"/>
                <w:szCs w:val="18"/>
                <w:color w:val="auto"/>
              </w:rPr>
              <w:t>Declining</w:t>
            </w:r>
          </w:p>
        </w:tc>
        <w:tc>
          <w:tcPr>
            <w:tcW w:w="1120" w:type="dxa"/>
            <w:vAlign w:val="bottom"/>
          </w:tcPr>
          <w:p>
            <w:pPr>
              <w:jc w:val="right"/>
              <w:spacing w:after="0"/>
              <w:rPr>
                <w:sz w:val="20"/>
                <w:szCs w:val="20"/>
                <w:color w:val="auto"/>
              </w:rPr>
            </w:pPr>
            <w:r>
              <w:rPr>
                <w:rFonts w:ascii="Arial" w:cs="Arial" w:eastAsia="Arial" w:hAnsi="Arial"/>
                <w:sz w:val="18"/>
                <w:szCs w:val="18"/>
                <w:color w:val="auto"/>
              </w:rPr>
              <w:t>Critical</w:t>
            </w:r>
          </w:p>
        </w:tc>
        <w:tc>
          <w:tcPr>
            <w:tcW w:w="1480" w:type="dxa"/>
            <w:vAlign w:val="bottom"/>
          </w:tcPr>
          <w:p>
            <w:pPr>
              <w:jc w:val="right"/>
              <w:spacing w:after="0"/>
              <w:rPr>
                <w:sz w:val="20"/>
                <w:szCs w:val="20"/>
                <w:color w:val="auto"/>
              </w:rPr>
            </w:pPr>
            <w:r>
              <w:rPr>
                <w:rFonts w:ascii="Arial" w:cs="Arial" w:eastAsia="Arial" w:hAnsi="Arial"/>
                <w:sz w:val="18"/>
                <w:szCs w:val="18"/>
                <w:color w:val="auto"/>
              </w:rPr>
              <w:t>Yes</w:t>
            </w:r>
          </w:p>
        </w:tc>
        <w:tc>
          <w:tcPr>
            <w:tcW w:w="1380" w:type="dxa"/>
            <w:vAlign w:val="bottom"/>
          </w:tcPr>
          <w:p>
            <w:pPr>
              <w:jc w:val="right"/>
              <w:spacing w:after="0"/>
              <w:rPr>
                <w:sz w:val="20"/>
                <w:szCs w:val="20"/>
                <w:color w:val="auto"/>
              </w:rPr>
            </w:pPr>
            <w:r>
              <w:rPr>
                <w:rFonts w:ascii="Arial" w:cs="Arial" w:eastAsia="Arial" w:hAnsi="Arial"/>
                <w:sz w:val="18"/>
                <w:szCs w:val="18"/>
                <w:color w:val="auto"/>
              </w:rPr>
              <w:t>No</w:t>
            </w:r>
          </w:p>
        </w:tc>
        <w:tc>
          <w:tcPr>
            <w:tcW w:w="1440" w:type="dxa"/>
            <w:vAlign w:val="bottom"/>
          </w:tcPr>
          <w:p>
            <w:pPr>
              <w:jc w:val="right"/>
              <w:spacing w:after="0"/>
              <w:rPr>
                <w:sz w:val="20"/>
                <w:szCs w:val="20"/>
                <w:color w:val="auto"/>
              </w:rPr>
            </w:pPr>
            <w:r>
              <w:rPr>
                <w:rFonts w:ascii="Arial" w:cs="Arial" w:eastAsia="Arial" w:hAnsi="Arial"/>
                <w:sz w:val="18"/>
                <w:szCs w:val="18"/>
                <w:color w:val="auto"/>
              </w:rPr>
              <w:t>3/31/2019</w:t>
            </w:r>
          </w:p>
        </w:tc>
        <w:tc>
          <w:tcPr>
            <w:tcW w:w="0" w:type="dxa"/>
            <w:vAlign w:val="bottom"/>
          </w:tcPr>
          <w:p>
            <w:pPr>
              <w:spacing w:after="0"/>
              <w:rPr>
                <w:sz w:val="1"/>
                <w:szCs w:val="1"/>
                <w:color w:val="auto"/>
              </w:rPr>
            </w:pPr>
          </w:p>
        </w:tc>
      </w:tr>
    </w:tbl>
    <w:p>
      <w:pPr>
        <w:ind w:left="260" w:hanging="238"/>
        <w:spacing w:after="0" w:line="181" w:lineRule="auto"/>
        <w:tabs>
          <w:tab w:leader="none" w:pos="260" w:val="left"/>
        </w:tabs>
        <w:numPr>
          <w:ilvl w:val="0"/>
          <w:numId w:val="45"/>
        </w:numPr>
        <w:rPr>
          <w:rFonts w:ascii="Arial" w:cs="Arial" w:eastAsia="Arial" w:hAnsi="Arial"/>
          <w:sz w:val="25"/>
          <w:szCs w:val="25"/>
          <w:color w:val="auto"/>
          <w:vertAlign w:val="superscript"/>
        </w:rPr>
      </w:pPr>
      <w:r>
        <w:rPr>
          <w:rFonts w:ascii="Arial" w:cs="Arial" w:eastAsia="Arial" w:hAnsi="Arial"/>
          <w:sz w:val="14"/>
          <w:szCs w:val="14"/>
          <w:color w:val="auto"/>
        </w:rPr>
        <w:t>The determination of individually significant multi-employer plans is based on the relative contributions to the plans over the periods presented as well as other factors.</w:t>
      </w:r>
    </w:p>
    <w:p>
      <w:pPr>
        <w:spacing w:after="0" w:line="22" w:lineRule="exact"/>
        <w:rPr>
          <w:sz w:val="20"/>
          <w:szCs w:val="20"/>
          <w:color w:val="auto"/>
        </w:rPr>
      </w:pPr>
    </w:p>
    <w:p>
      <w:pPr>
        <w:jc w:val="both"/>
        <w:ind w:left="180" w:hanging="148"/>
        <w:spacing w:after="0" w:line="249" w:lineRule="auto"/>
        <w:rPr>
          <w:sz w:val="20"/>
          <w:szCs w:val="20"/>
          <w:color w:val="auto"/>
        </w:rPr>
      </w:pPr>
      <w:r>
        <w:rPr>
          <w:rFonts w:ascii="Arial" w:cs="Arial" w:eastAsia="Arial" w:hAnsi="Arial"/>
          <w:sz w:val="25"/>
          <w:szCs w:val="25"/>
          <w:color w:val="auto"/>
          <w:vertAlign w:val="superscript"/>
        </w:rPr>
        <w:t>(b)</w:t>
      </w:r>
      <w:r>
        <w:rPr>
          <w:rFonts w:ascii="Arial" w:cs="Arial" w:eastAsia="Arial" w:hAnsi="Arial"/>
          <w:sz w:val="14"/>
          <w:szCs w:val="14"/>
          <w:color w:val="auto"/>
        </w:rPr>
        <w:t>The Pension Protection Zone Status is based on information that the Company obtained from the plans’ Forms 5500. Unless otherwise noted, the most recent PPA zone status available for 2017 and 2016 is for the plan’s year-end during calendar years 2016 and 2015, respectively. Among other factors, plans in the critical or critical and declining zone are generally less than 65 percent funded, plans in the endangered zone are less than 80 percent funded, and plans in the green zone are at least 80 percent funded.</w:t>
      </w:r>
    </w:p>
    <w:p>
      <w:pPr>
        <w:spacing w:after="0" w:line="28" w:lineRule="exact"/>
        <w:rPr>
          <w:sz w:val="20"/>
          <w:szCs w:val="20"/>
          <w:color w:val="auto"/>
        </w:rPr>
      </w:pPr>
    </w:p>
    <w:p>
      <w:pPr>
        <w:ind w:left="180" w:hanging="158"/>
        <w:spacing w:after="0" w:line="292" w:lineRule="auto"/>
        <w:tabs>
          <w:tab w:leader="none" w:pos="180" w:val="left"/>
        </w:tabs>
        <w:numPr>
          <w:ilvl w:val="0"/>
          <w:numId w:val="46"/>
        </w:numPr>
        <w:rPr>
          <w:rFonts w:ascii="Arial" w:cs="Arial" w:eastAsia="Arial" w:hAnsi="Arial"/>
          <w:sz w:val="20"/>
          <w:szCs w:val="20"/>
          <w:color w:val="auto"/>
          <w:vertAlign w:val="superscript"/>
        </w:rPr>
      </w:pPr>
      <w:r>
        <w:rPr>
          <w:rFonts w:ascii="Arial" w:cs="Arial" w:eastAsia="Arial" w:hAnsi="Arial"/>
          <w:sz w:val="12"/>
          <w:szCs w:val="12"/>
          <w:color w:val="auto"/>
        </w:rPr>
        <w:t>The policies of the Western Conference of Teamsters Pension Trust precluded the Company from reentering the plan on June 1, 2011. The plan did not assess a withdrawal liability and has not done so since June 1, 2011. Contributions related to the employees previously covered by this plan are now being made to the Teamsters National 401(k) Plan.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YRC Worldwide was listed in the Central States, Road Carriers Local 707 Pension Fund, Teamsters Local 641 Pension Fund, Freight Drivers and Helpers Local Union No. 557 Pension Plan, Management-Labor Pension Fund Local 1730 ILA and Teamsters Local 617 Pension Fund’s Forms 5500 as providing more than 5 percent of the total contributions for 2016 and 2015.</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contributed a total of $97.8 million, $89.1 million and $89.4 million to the multi-employer pension funds for the years ended December 31, 2017, 2016 and 2015. The following table provides the pension amounts contributed by fund for those funds that are considered to be individually significant:</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Central States, Southeast and Southwest Areas Pension Plan</w:t>
            </w:r>
          </w:p>
        </w:tc>
        <w:tc>
          <w:tcPr>
            <w:tcW w:w="1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51.7</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Teamsters National 401(k) Savings Plan</w:t>
            </w:r>
          </w:p>
        </w:tc>
        <w:tc>
          <w:tcPr>
            <w:tcW w:w="16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12.5</w:t>
            </w:r>
          </w:p>
        </w:tc>
      </w:tr>
      <w:tr>
        <w:trPr>
          <w:trHeight w:val="27"/>
        </w:trPr>
        <w:tc>
          <w:tcPr>
            <w:tcW w:w="5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Road Carriers Local 707 Pension Fund</w:t>
            </w:r>
          </w:p>
        </w:tc>
        <w:tc>
          <w:tcPr>
            <w:tcW w:w="16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Teamsters Local 641 Pension Fund</w:t>
            </w:r>
          </w:p>
        </w:tc>
        <w:tc>
          <w:tcPr>
            <w:tcW w:w="16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2006, the PPA became law and modified both the Code as it applies to multi-employer pension plans and the Employment Retirement Income Security Act of 1974 (as amended, “ERISA”). The Code and ERISA (in each case, as so modified) and related regulations establish minimum funding requirements for multi-employer pension plans.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2014, the MPRA became law which modified the ability to suspend accrued benefits of plans facing insolvency by adding a new zone status of Critical and Declining.</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any of our multi-employer pension plans fail to meet minimum funding requirements, meet a required funding improvement or rehabilitation plan that the PPA may require for certain of our underfunded plans, obtain from the IRS certain changes to or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30" w:right="239" w:bottom="1440" w:gutter="0" w:footer="0" w:header="0"/>
        </w:sectPr>
      </w:pPr>
    </w:p>
    <w:bookmarkStart w:id="66" w:name="page67"/>
    <w:bookmarkEnd w:id="66"/>
    <w:p>
      <w:pPr>
        <w:jc w:val="both"/>
        <w:spacing w:after="0" w:line="257" w:lineRule="auto"/>
        <w:rPr>
          <w:sz w:val="20"/>
          <w:szCs w:val="20"/>
          <w:color w:val="auto"/>
        </w:rPr>
      </w:pPr>
      <w:r>
        <w:rPr>
          <w:rFonts w:ascii="Arial" w:cs="Arial" w:eastAsia="Arial" w:hAnsi="Arial"/>
          <w:sz w:val="18"/>
          <w:szCs w:val="18"/>
          <w:color w:val="auto"/>
        </w:rPr>
        <w:t>waiver of the requirements in how the applicable plan calculates its funding levels, or reduce pension benefits to a level where the requirements are met, then we could be required to make additional contributions to the pension plan. If any of our multi-employer pension plans enters critical status or worse and our contributions are not sufficient to satisfy any rehabilitation plan schedule, the PPA could require us to make additional surcharge contributions to the multi-employer pension plan in the amount of five to ten percent of the existing contributions required by our labor agreement for the remaining term of the labor agreement.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2016 and 2015, the Central States, Southeast and Southwest Pension Plan and Road Carriers Local 707 Pension Fund filed an application under MPRA with the Department of Treasury requesting the approval of a benefit suspension plan, which was denied. In 2016, the New York State Teamsters Conference Pension and Retirement Fund filed a suspension application which was approved and implemented October 2017. The plan will require annual future employer contribution increases of 3.5% to the plan.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fail to make our required contributions to a multi-employer plan under a funding improvement or rehabilitation plan, it would expose us to penalties including potential withdrawal liability. If the benchmarks that an applicable funding improvement or rehabilitation plan provides are not met by the end of a prescribed period, the IRS could impose an excise tax on us and the plan’s other contributing employers. These excise taxes are not contributed to the deficient funds, but rather are deposited in the United States general treasury funds. The Company does not believe that the temporary cessation of certain of its contributions to applicable multi-employer pension funds beginning in the third quarter of 2009 and continuing through May 2011 will give rise to these excise taxes as the underlying employer contributions were not required for that period.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requirement to materially increase contributions beyond our contractually agreed rate or the imposition of an excise tax on us could have a material adverse impact on the financial results and liquidity of YRC Worldwide.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Savings Plans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sponsor the YRC Worldwide Inc. 401(k) Plan and the Reddaway Hourly 401(k) Plan, which are defined contribution plans primarily for employees that our collective bargaining agreements do not cover. The plans permit participants to make contributions to the plans and permit the employer of participants to make contributions on behalf of the participants. Additionally, the Reddaway Hourly 401(k) Plan allows for a non-elective employer contribution. Including non-elective employer contributions, total employer contributions were $10.3 million in 2017, $7.2 million in 2016 and $4.7 million in 2015. Our employees covered under collective bargaining agreements may also participate in union-sponsored 401(k) plans.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Incentive Awards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provide annual performance incentive awards and more frequent sales and operations incentive awards to certain non-union employees, which are based primarily on actual operating results achieved compared to targeted operating results or sales and operations targets and are paid in cash. We generally pay annual performance incentive awards, if any, in the first quarter of the following year and sales performance incentive awards on a monthly basis. Operating income in 2017, 2016 and 2015 included performance and sales incentive expense for non-union employees of $11.6 million, $11.7 million and $13.2 million, respectively.</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also provide short-term performance based cash compensation to key management personnel. During the years ended December 31, 2017, 2016 and 2015, compensation expense related to these awards was $1.8 million, $2.1 million and $14.1 million, respectively. Refer to the “Stock Compensation Plans” footnote for an overview of long-term performance based equity compensation, and related compensation expense, associated with such awards.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Additionally, operating income in 2015 included a profit sharing bonus for eligible union employees at the Regional Transportation segment of $5.5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such bonus was paid for the years ended December 31, 2017 or 2016.</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30" w:right="239" w:bottom="1440" w:gutter="0" w:footer="0" w:header="0"/>
        </w:sectPr>
      </w:pPr>
    </w:p>
    <w:bookmarkStart w:id="67" w:name="page68"/>
    <w:bookmarkEnd w:id="67"/>
    <w:p>
      <w:pPr>
        <w:spacing w:after="0"/>
        <w:rPr>
          <w:sz w:val="20"/>
          <w:szCs w:val="20"/>
          <w:color w:val="auto"/>
        </w:rPr>
      </w:pPr>
      <w:r>
        <w:rPr>
          <w:rFonts w:ascii="Arial" w:cs="Arial" w:eastAsia="Arial" w:hAnsi="Arial"/>
          <w:sz w:val="20"/>
          <w:szCs w:val="20"/>
          <w:b w:val="1"/>
          <w:bCs w:val="1"/>
          <w:color w:val="auto"/>
        </w:rPr>
        <w:t>6. Debt and Financing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outstanding debt as of December 31, 2017 and December 31, 2016 consisted of the following:</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2017 (in millions)</w:t>
            </w:r>
          </w:p>
        </w:tc>
        <w:tc>
          <w:tcPr>
            <w:tcW w:w="180" w:type="dxa"/>
            <w:vAlign w:val="bottom"/>
          </w:tcPr>
          <w:p>
            <w:pPr>
              <w:spacing w:after="0"/>
              <w:rPr>
                <w:sz w:val="14"/>
                <w:szCs w:val="14"/>
                <w:color w:val="auto"/>
              </w:rPr>
            </w:pPr>
          </w:p>
        </w:tc>
        <w:tc>
          <w:tcPr>
            <w:tcW w:w="8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7"/>
              </w:rPr>
              <w:t>Par Value</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0"/>
              </w:rPr>
              <w:t>Discount</w:t>
            </w:r>
          </w:p>
        </w:tc>
        <w:tc>
          <w:tcPr>
            <w:tcW w:w="120" w:type="dxa"/>
            <w:vAlign w:val="bottom"/>
            <w:vMerge w:val="restart"/>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Debt Issuance</w:t>
            </w:r>
          </w:p>
        </w:tc>
        <w:tc>
          <w:tcPr>
            <w:tcW w:w="240" w:type="dxa"/>
            <w:vAlign w:val="bottom"/>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Stated</w:t>
            </w:r>
          </w:p>
        </w:tc>
        <w:tc>
          <w:tcPr>
            <w:tcW w:w="34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3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576.8</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ABL Facility</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20" w:type="dxa"/>
            <w:vAlign w:val="bottom"/>
          </w:tcPr>
          <w:p>
            <w:pPr>
              <w:jc w:val="right"/>
              <w:ind w:right="102"/>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Second A&amp;R CDA</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6.3-18.3%</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Unsecured Second A&amp;R CDA</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47.9</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6.3-18.3%</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254.6</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9.0-18.2%</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926.1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906.1</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Term Loan</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w w:val="99"/>
              </w:rPr>
              <w:t>Current maturities of Unsecured Second A&amp;R CDA</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895.5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875.5</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2016 (in millions)</w:t>
            </w:r>
          </w:p>
        </w:tc>
        <w:tc>
          <w:tcPr>
            <w:tcW w:w="180" w:type="dxa"/>
            <w:vAlign w:val="bottom"/>
          </w:tcPr>
          <w:p>
            <w:pPr>
              <w:spacing w:after="0"/>
              <w:rPr>
                <w:sz w:val="24"/>
                <w:szCs w:val="24"/>
                <w:color w:val="auto"/>
              </w:rPr>
            </w:pPr>
          </w:p>
        </w:tc>
        <w:tc>
          <w:tcPr>
            <w:tcW w:w="8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7"/>
              </w:rPr>
              <w:t>Par Value</w:t>
            </w:r>
          </w:p>
        </w:tc>
        <w:tc>
          <w:tcPr>
            <w:tcW w:w="1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Premium/</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Debt Issuance</w:t>
            </w:r>
          </w:p>
        </w:tc>
        <w:tc>
          <w:tcPr>
            <w:tcW w:w="240" w:type="dxa"/>
            <w:vAlign w:val="bottom"/>
          </w:tcPr>
          <w:p>
            <w:pPr>
              <w:spacing w:after="0"/>
              <w:rPr>
                <w:sz w:val="24"/>
                <w:szCs w:val="24"/>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Stated</w:t>
            </w:r>
          </w:p>
        </w:tc>
        <w:tc>
          <w:tcPr>
            <w:tcW w:w="3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2"/>
              </w:rPr>
              <w:t>(Discount)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3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627.2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(a)</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ABL Facility</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20" w:type="dxa"/>
            <w:vAlign w:val="bottom"/>
          </w:tcPr>
          <w:p>
            <w:pPr>
              <w:jc w:val="right"/>
              <w:ind w:right="102"/>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1"/>
                <w:szCs w:val="21"/>
                <w:color w:val="auto"/>
              </w:rPr>
            </w:pPr>
          </w:p>
        </w:tc>
        <w:tc>
          <w:tcPr>
            <w:tcW w:w="1220" w:type="dxa"/>
            <w:vAlign w:val="bottom"/>
          </w:tcPr>
          <w:p>
            <w:pPr>
              <w:jc w:val="right"/>
              <w:ind w:right="9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Second A&amp;R CDA</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28.1</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3.3-18.3%</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Unsecured Second A&amp;R CDA</w:t>
            </w:r>
          </w:p>
        </w:tc>
        <w:tc>
          <w:tcPr>
            <w:tcW w:w="1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73.2</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3.3-18.3%</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268.6</w:t>
            </w:r>
          </w:p>
        </w:tc>
        <w:tc>
          <w:tcPr>
            <w:tcW w:w="14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9.0-18.2%</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1,010.3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997.1</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Term Loan</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Current maturities of lease financing obligations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980.3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340" w:hanging="332"/>
        <w:spacing w:after="0" w:line="273"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As of December 31, 2017 and 2016, the stated interest rate represented a variable interest rate of 1, 3 or 6-month LIBOR, with a floor of 1.0% plus a fixed margin of 8.50% and 7.00%,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-228600</wp:posOffset>
            </wp:positionV>
            <wp:extent cx="2735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we had two primary credit facilities that we utilized to support our liquidity needs: a $600 million Term Loan and a $450 million ABL Facility. The ABL Facility is used to support our outstanding letters of credit commitments. We have set forth a brief description of our two primary credit facilities and our other financing arrangements in place at December 31, 2017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$600 Million First Lien Term Loan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26, 2017, the Company entered into Amendment No. 4 (the “Amendment”) to the credit agreement (the “Term Loan Agreement”) governing our term loan facility (the “Term Loan”), from a syndicate of banks and other financial institutions arranged by Credit Suisse Securities (USA) and Citizens Bank N.A. (formerly known as RBS Citizens, N.A.) which extended the maturity date to July 26, 2022 and required a $35.2 million payment to bring the balance to $600 million. No amounts under this Term Loan, once repaid, may be reborrowed.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Loan requires quarterly principal payments, with remaining amounts outstanding due upon the maturity date of July 26, 2022. Borrowings under the Term Loan can be repaid in whole or in part at any time, without penalty (other than a 1% premium in connection with a prepayment within twelve months of the effective date of Amendment No. 4), subject to required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522" w:right="239" w:bottom="1440" w:gutter="0" w:footer="0" w:header="0"/>
        </w:sectPr>
      </w:pPr>
    </w:p>
    <w:bookmarkStart w:id="68" w:name="page69"/>
    <w:bookmarkEnd w:id="68"/>
    <w:p>
      <w:pPr>
        <w:jc w:val="both"/>
        <w:spacing w:after="0" w:line="257" w:lineRule="auto"/>
        <w:rPr>
          <w:sz w:val="20"/>
          <w:szCs w:val="20"/>
          <w:color w:val="auto"/>
        </w:rPr>
      </w:pPr>
      <w:r>
        <w:rPr>
          <w:rFonts w:ascii="Arial" w:cs="Arial" w:eastAsia="Arial" w:hAnsi="Arial"/>
          <w:sz w:val="18"/>
          <w:szCs w:val="18"/>
          <w:color w:val="auto"/>
        </w:rPr>
        <w:t>notice periods and compliance with minimum prepayment amounts. As amended, the Term Loan allows for the election of interest at either the applicable LIBOR (subject to a floor of 1.00%), plus a margin of 8.50% or an alternative base rate (as defined in the Term Loan Agreement) plus a margin of 6.50%. The Term Loan provides for an uncommitted incremental facility of up to $250 million, which may be used subject to certain financial covenant requirements and satisfaction of other customary conditions. In connection with the Amendment, the Company paid $35.2 million in principal and incurred $9.7 million in original issuance discount and $9.7 million in transaction costs for third party fees.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is secured by a perfected first priority security interest in (subject to permitted liens) substantially all assets of the Company and certain domestic subsidiaries, other than (a) accounts receivable, cash, deposit accounts and other assets related to accounts receivable, which are subject to a second priority interest (subject to permitted liens), and (b) certain owned real property securing the obligations under the Second A&amp;R CDA (subject to permitted liens) (the “CDA Collateral”).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contains conditions, representations and warranties, events of default, and indemnification provisions that are customary for financings of this type, including, but not limited to, mandatory prepayment obligations, a maximum total leverage ratio covenant, limitations on incurrence of debt, investments, capital expenditures, liens on assets, certain sale and leaseback transactions, transactions with affiliates, mergers, consolidations, purchases and sales of assets, and restricted payments.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Term Loan Agreement governing our Term Loan has certain financial covenants, as amended on July 26, 2017, that, among other things, restricts certain capital expenditures and requires us to maintain a maximum total leverage ratio (defined as Consolidated Total Debt divided by Consolidated Adjusted EBITDA as defined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total maximum leverage ratio covenants are as follows:</w:t>
      </w:r>
    </w:p>
    <w:p>
      <w:pPr>
        <w:spacing w:after="0" w:line="366"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Four Consecutive Fiscal Quarters Ending</w:t>
            </w:r>
          </w:p>
        </w:tc>
        <w:tc>
          <w:tcPr>
            <w:tcW w:w="40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Maximum Total</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Total</w:t>
            </w:r>
          </w:p>
        </w:tc>
        <w:tc>
          <w:tcPr>
            <w:tcW w:w="0" w:type="dxa"/>
            <w:vAlign w:val="bottom"/>
          </w:tcPr>
          <w:p>
            <w:pPr>
              <w:spacing w:after="0"/>
              <w:rPr>
                <w:sz w:val="1"/>
                <w:szCs w:val="1"/>
                <w:color w:val="auto"/>
              </w:rPr>
            </w:pPr>
          </w:p>
        </w:tc>
      </w:tr>
      <w:tr>
        <w:trPr>
          <w:trHeight w:val="192"/>
        </w:trPr>
        <w:tc>
          <w:tcPr>
            <w:tcW w:w="2720" w:type="dxa"/>
            <w:vAlign w:val="bottom"/>
            <w:tcBorders>
              <w:bottom w:val="single" w:sz="8" w:color="auto"/>
            </w:tcBorders>
            <w:vMerge w:val="continue"/>
          </w:tcPr>
          <w:p>
            <w:pPr>
              <w:spacing w:after="0"/>
              <w:rPr>
                <w:sz w:val="16"/>
                <w:szCs w:val="16"/>
                <w:color w:val="auto"/>
              </w:rPr>
            </w:pPr>
          </w:p>
        </w:tc>
        <w:tc>
          <w:tcPr>
            <w:tcW w:w="4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9"/>
              </w:rPr>
              <w:t>Leverage Ratio    Four Consecutive Fiscal Quarters Ending</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2017</w:t>
            </w:r>
          </w:p>
        </w:tc>
        <w:tc>
          <w:tcPr>
            <w:tcW w:w="4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3.50 to 1.00   December 31, 2019</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March 31, 2018</w:t>
            </w:r>
          </w:p>
        </w:tc>
        <w:tc>
          <w:tcPr>
            <w:tcW w:w="4080" w:type="dxa"/>
            <w:vAlign w:val="bottom"/>
            <w:gridSpan w:val="2"/>
          </w:tcPr>
          <w:p>
            <w:pPr>
              <w:ind w:left="220"/>
              <w:spacing w:after="0"/>
              <w:rPr>
                <w:sz w:val="20"/>
                <w:szCs w:val="20"/>
                <w:color w:val="auto"/>
              </w:rPr>
            </w:pPr>
            <w:r>
              <w:rPr>
                <w:rFonts w:ascii="Arial" w:cs="Arial" w:eastAsia="Arial" w:hAnsi="Arial"/>
                <w:sz w:val="18"/>
                <w:szCs w:val="18"/>
                <w:color w:val="auto"/>
              </w:rPr>
              <w:t>3.50 to 1.00   March 31, 2020</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2018</w:t>
            </w:r>
          </w:p>
        </w:tc>
        <w:tc>
          <w:tcPr>
            <w:tcW w:w="1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3.50 to 1.00</w:t>
            </w:r>
          </w:p>
        </w:tc>
        <w:tc>
          <w:tcPr>
            <w:tcW w:w="2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June 30, 2020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3.00 to 1.00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September 30, 2018</w:t>
            </w:r>
          </w:p>
        </w:tc>
        <w:tc>
          <w:tcPr>
            <w:tcW w:w="4080" w:type="dxa"/>
            <w:vAlign w:val="bottom"/>
            <w:gridSpan w:val="2"/>
          </w:tcPr>
          <w:p>
            <w:pPr>
              <w:ind w:left="220"/>
              <w:spacing w:after="0"/>
              <w:rPr>
                <w:sz w:val="20"/>
                <w:szCs w:val="20"/>
                <w:color w:val="auto"/>
              </w:rPr>
            </w:pPr>
            <w:r>
              <w:rPr>
                <w:rFonts w:ascii="Arial" w:cs="Arial" w:eastAsia="Arial" w:hAnsi="Arial"/>
                <w:sz w:val="18"/>
                <w:szCs w:val="18"/>
                <w:color w:val="auto"/>
              </w:rPr>
              <w:t>3.50 to 1.00   September 30, 2020</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2.75 to 1.00</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408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40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3.50 to 1.00   December 31, 2020</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2.75 to 1.00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March 31, 2019</w:t>
            </w:r>
          </w:p>
        </w:tc>
        <w:tc>
          <w:tcPr>
            <w:tcW w:w="1200" w:type="dxa"/>
            <w:vAlign w:val="bottom"/>
          </w:tcPr>
          <w:p>
            <w:pPr>
              <w:ind w:left="220"/>
              <w:spacing w:after="0"/>
              <w:rPr>
                <w:sz w:val="20"/>
                <w:szCs w:val="20"/>
                <w:color w:val="auto"/>
              </w:rPr>
            </w:pPr>
            <w:r>
              <w:rPr>
                <w:rFonts w:ascii="Arial" w:cs="Arial" w:eastAsia="Arial" w:hAnsi="Arial"/>
                <w:sz w:val="18"/>
                <w:szCs w:val="18"/>
                <w:color w:val="auto"/>
              </w:rPr>
              <w:t>3.25 to 1.00</w:t>
            </w:r>
          </w:p>
        </w:tc>
        <w:tc>
          <w:tcPr>
            <w:tcW w:w="2880" w:type="dxa"/>
            <w:vAlign w:val="bottom"/>
          </w:tcPr>
          <w:p>
            <w:pPr>
              <w:ind w:left="120"/>
              <w:spacing w:after="0"/>
              <w:rPr>
                <w:sz w:val="20"/>
                <w:szCs w:val="20"/>
                <w:color w:val="auto"/>
              </w:rPr>
            </w:pPr>
            <w:r>
              <w:rPr>
                <w:rFonts w:ascii="Arial" w:cs="Arial" w:eastAsia="Arial" w:hAnsi="Arial"/>
                <w:sz w:val="18"/>
                <w:szCs w:val="18"/>
                <w:color w:val="auto"/>
              </w:rPr>
              <w:t>March 31, 2021</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2.75 to 1.00</w:t>
            </w:r>
          </w:p>
        </w:tc>
        <w:tc>
          <w:tcPr>
            <w:tcW w:w="0" w:type="dxa"/>
            <w:vAlign w:val="bottom"/>
          </w:tcPr>
          <w:p>
            <w:pPr>
              <w:spacing w:after="0"/>
              <w:rPr>
                <w:sz w:val="1"/>
                <w:szCs w:val="1"/>
                <w:color w:val="auto"/>
              </w:rPr>
            </w:pPr>
          </w:p>
        </w:tc>
      </w:tr>
      <w:tr>
        <w:trPr>
          <w:trHeight w:val="27"/>
        </w:trPr>
        <w:tc>
          <w:tcPr>
            <w:tcW w:w="2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2019</w:t>
            </w:r>
          </w:p>
        </w:tc>
        <w:tc>
          <w:tcPr>
            <w:tcW w:w="1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3.25 to 1.00</w:t>
            </w:r>
          </w:p>
        </w:tc>
        <w:tc>
          <w:tcPr>
            <w:tcW w:w="2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June 30, 2021 and thereafter</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2.50 to 1.00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September 30, 2019</w:t>
            </w:r>
          </w:p>
        </w:tc>
        <w:tc>
          <w:tcPr>
            <w:tcW w:w="1200" w:type="dxa"/>
            <w:vAlign w:val="bottom"/>
          </w:tcPr>
          <w:p>
            <w:pPr>
              <w:ind w:left="220"/>
              <w:spacing w:after="0"/>
              <w:rPr>
                <w:sz w:val="20"/>
                <w:szCs w:val="20"/>
                <w:color w:val="auto"/>
              </w:rPr>
            </w:pPr>
            <w:r>
              <w:rPr>
                <w:rFonts w:ascii="Arial" w:cs="Arial" w:eastAsia="Arial" w:hAnsi="Arial"/>
                <w:sz w:val="18"/>
                <w:szCs w:val="18"/>
                <w:color w:val="auto"/>
              </w:rPr>
              <w:t>3.25 to 1.00</w:t>
            </w:r>
          </w:p>
        </w:tc>
        <w:tc>
          <w:tcPr>
            <w:tcW w:w="28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Consolidated Adjusted EBITDA, defined in our Term Loan Agreement as “Consolidated EBITDA,” is a measure that reflects our earnings before interest, taxes, depreciation, and amortization expense, and is further adjusted for, among other things, letter of credit fees, equity-based compensation expense, net gains or losses on property disposals, restructuring professional fees and other transaction costs related to issuances of debt, non-recurring consulting fees, expenses associated with certain lump sum payments to our union employees and gains or losses from permitted dispositions and discontinued operations. Consolidated Total Debt, as defined in our Term Loan Agreement, is the aggregate principal amount of indebtedness outstanding. Our total leverage ratio for the four quarters ending December 31, 2017 was 3.38 to 1.00.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$450 Million ABL Facility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13, 2014, we entered into our $450 million ABL Facility from a syndicate of banks arranged by Citizens Bank N.A. (formerly known as RBS Citizens, N.A.) (the “ABL Agent”), Merrill Lynch, Pierce, Fenner &amp; Smith and CIT Finance LLC. The ABL Facility was amended on June 28, 2016 to extend the maturity date to June 28, 2021. YRC Worldwide and our subsidiaries, YRC Freight, Reddaway, Holland and New Penn are borrowers under the ABL Facility, and certain of the Company’s domestic subsidiaries are guarantors thereunder.</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Availability under the ABL Facility is derived by reducing the amount that may be advanced against eligible receivables plus eligible borrowing base cash by certain reserves imposed by the ABL Agent and our outstanding letters of credit and revolving loans. Eligible borrowing base cash is cash that is deposited from time to time into a segregated restricted account and is included in “Restricted amounts held in escrow” in the accompanying consolidated balance sheet. The ABL Facility provides for a $100 million uncommitted accordion to increase the revolving commitment in the future. For the years ended December 31, 2017 and 2016, we had $352.6 million and $357.2 million of outstanding letters of credit, respectively, and no outstanding loans.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30" w:right="239" w:bottom="1440" w:gutter="0" w:footer="0" w:header="0"/>
        </w:sectPr>
      </w:pPr>
    </w:p>
    <w:bookmarkStart w:id="69" w:name="page70"/>
    <w:bookmarkEnd w:id="69"/>
    <w:p>
      <w:pPr>
        <w:jc w:val="both"/>
        <w:spacing w:after="0" w:line="277" w:lineRule="auto"/>
        <w:rPr>
          <w:sz w:val="20"/>
          <w:szCs w:val="20"/>
          <w:color w:val="auto"/>
        </w:rPr>
      </w:pPr>
      <w:r>
        <w:rPr>
          <w:rFonts w:ascii="Arial" w:cs="Arial" w:eastAsia="Arial" w:hAnsi="Arial"/>
          <w:sz w:val="18"/>
          <w:szCs w:val="18"/>
          <w:color w:val="auto"/>
        </w:rPr>
        <w:t>At our option, borrowings under the ABL Facility bear interest at either: (i) the applicable LIBOR rate plus 1.75%, as amended, or (ii) the base rate (as defined in the ABL Facility) plus 0.75%, as amended.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Letter of credit fees equal to the applicable LIBOR margin in effect (1.75% as amended, formerly ranging from 2.00% to 2.50%) are charged quarterly in arrears on the average daily stated amount of all letters of credit outstanding during the quarter. Unused line fees are charged quarterly in arrears (such unused line fee percentage is equal to 0.375% per annum if the average revolver usage is less than 50% or 0.25% per annum if the average revolver usage is greater than 50%.)</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ABL Facility is secured by a perfected first priority security interest (subject to permitted liens) in accounts receivable, cash, deposit accounts and other assets related to accounts receivable of the Company and the other loan parties and an additional second priority security interest (subject to permitted liens) in substantially all remaining assets of the borrowers and the guarantors other than the CDA Collateral.</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ABL Facility contains conditions, representations and warranties, events of default and indemnification provisions that are customary for financings of this type, including, but not limited to, a springing minimum fixed charge coverage ratio covenant, borrowing base reporting, limitations on incurrence of debt, investments, capital expenditures, liens on assets, certain sale and leaseback transactions, transactions with affiliates, mergers, consolidations, purchases and sales of assets, and restricted payments. Certain provisions relating to investments, restricted payments and capital expenditures are relaxed upon meeting specified payment conditions or debt repayment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Contribution Deferral Agreement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subsidiaries are parties to the Amended and Restated Contribution Deferral Agreement (the “A&amp;R CDA”), which was further amended and restated effective January 31, 2014 (the “Second A&amp;R CDA”), with certain multiemployer pension funds named therein (collectively, the “Funds”) pursuant to which we are permitted to continue to defer pension payments and deferred interest owed to such Funds as of July 22, 2011 (each, “Deferred Pension Payments” and “Deferred Interest”). There is no mandatory amortization prior to that time. The Deferred Pension Payments and Deferred Interest (each as defined in the A&amp;R CDA) bear interest at a rate as set forth in the Second A&amp;R CDA. The Second A&amp;R CDA, among other things, extended the maturity of deferred pension payments and deferred interest from March 31, 2015 to December 31, 2019. Under the Second A&amp;R CDA, the Funds maintained their first lien on existing first priority collateral.</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terms of the collective bargaining agreement with the IBT, the Company’s subsidiaries began making contributions to the Funds for the month beginning June 1, 2011 at the rate of 25% of the contribution rate in effect on July 1, 2009. However, legislative changes to current law or other satisfactory action or arrangements are required to enable certain of the Funds (based on their funded status) to accept contributions at a reduced 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under the Second A&amp;R CDA are secured by a perfected first priority security interest in the CDA Collateral.</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30, 2018, the Company entered into Amendment No. 1 (the “First Amendment to the CDA”) to the Second Amended and Restated Contribution Deferral Agreement with the Trustees for the Central States, Southeast and Southwest Areas Pension Fund, certain pension funds party thereto, certain other pension funds party thereto as Exiting Funds (as defined therein) and Wilmington Trust Company, as agent (the “CDA”).</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First Amendment to the CDA, among other things: (a) extends the final maturity date of obligations under the CDA to December 31, 2022 and (b) provides for annual scheduled amortization equal to 2.0% of the amount outstanding as of November 30 of each applicable year.</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pursuant to the First Amendment to the CDA, a one-time payment of $25.0 million was made to Wilmington Trust Company, as agent under the CDA.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3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Series B Convertible Senior Secured Notes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July 22, 2011, we issued $100 million in aggregate principal of our Series B Notes that bore interest at a stated rate of 10.0% per year and matured on March 31, 2015. Interest was payable on a semiannual basis in arrears only in-kind through the issuance of additional Series B Notes.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25, 2015, we entered into an exchange agreement with certain holders of our Series B Notes to exchange their outstanding principal and accrued interest balances totaling $17.9 million at conversion price of $18.00 per share for an aggregate 994,689 shares of Common Stock. During the year ended December 31, 2015, we recorded $0.6 million of additional expense related to the fair value of the incremental shares provided to those holders who exchanged their outstanding balances. At maturity on March 31, 2015, we repaid the holders of the remaining outstanding Series B Notes approximately $0.3 million of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principal maturities over the next five years and thereafter of total debt as of December 31, 2017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4"/>
                <w:szCs w:val="14"/>
                <w:color w:val="auto"/>
              </w:rPr>
            </w:pPr>
          </w:p>
        </w:tc>
        <w:tc>
          <w:tcPr>
            <w:tcW w:w="14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Term Loan</w:t>
            </w:r>
          </w:p>
        </w:tc>
        <w:tc>
          <w:tcPr>
            <w:tcW w:w="360" w:type="dxa"/>
            <w:vAlign w:val="bottom"/>
          </w:tcPr>
          <w:p>
            <w:pPr>
              <w:spacing w:after="0"/>
              <w:rPr>
                <w:sz w:val="14"/>
                <w:szCs w:val="14"/>
                <w:color w:val="auto"/>
              </w:rPr>
            </w:pPr>
          </w:p>
        </w:tc>
        <w:tc>
          <w:tcPr>
            <w:tcW w:w="14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ABL Facility</w:t>
            </w:r>
          </w:p>
        </w:tc>
        <w:tc>
          <w:tcPr>
            <w:tcW w:w="240" w:type="dxa"/>
            <w:vAlign w:val="bottom"/>
          </w:tcPr>
          <w:p>
            <w:pPr>
              <w:spacing w:after="0"/>
              <w:rPr>
                <w:sz w:val="14"/>
                <w:szCs w:val="14"/>
                <w:color w:val="auto"/>
              </w:rPr>
            </w:pPr>
          </w:p>
        </w:tc>
        <w:tc>
          <w:tcPr>
            <w:tcW w:w="1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 xml:space="preserve">Second A&amp;R CDA </w:t>
            </w:r>
            <w:r>
              <w:rPr>
                <w:rFonts w:ascii="Arial" w:cs="Arial" w:eastAsia="Arial" w:hAnsi="Arial"/>
                <w:sz w:val="8"/>
                <w:szCs w:val="8"/>
                <w:b w:val="1"/>
                <w:bCs w:val="1"/>
                <w:color w:val="auto"/>
              </w:rPr>
              <w:t>(b)</w:t>
            </w:r>
          </w:p>
        </w:tc>
        <w:tc>
          <w:tcPr>
            <w:tcW w:w="300" w:type="dxa"/>
            <w:vAlign w:val="bottom"/>
          </w:tcPr>
          <w:p>
            <w:pPr>
              <w:spacing w:after="0"/>
              <w:rPr>
                <w:sz w:val="14"/>
                <w:szCs w:val="14"/>
                <w:color w:val="auto"/>
              </w:rPr>
            </w:pPr>
          </w:p>
        </w:tc>
        <w:tc>
          <w:tcPr>
            <w:tcW w:w="1520" w:type="dxa"/>
            <w:vAlign w:val="bottom"/>
          </w:tcPr>
          <w:p>
            <w:pPr>
              <w:jc w:val="right"/>
              <w:ind w:right="294"/>
              <w:spacing w:after="0"/>
              <w:rPr>
                <w:sz w:val="20"/>
                <w:szCs w:val="20"/>
                <w:color w:val="auto"/>
              </w:rPr>
            </w:pPr>
            <w:r>
              <w:rPr>
                <w:rFonts w:ascii="Arial" w:cs="Arial" w:eastAsia="Arial" w:hAnsi="Arial"/>
                <w:sz w:val="14"/>
                <w:szCs w:val="14"/>
                <w:b w:val="1"/>
                <w:bCs w:val="1"/>
                <w:color w:val="auto"/>
              </w:rPr>
              <w:t>Lease Financing</w:t>
            </w:r>
          </w:p>
        </w:tc>
        <w:tc>
          <w:tcPr>
            <w:tcW w:w="480" w:type="dxa"/>
            <w:vAlign w:val="bottom"/>
          </w:tcPr>
          <w:p>
            <w:pPr>
              <w:spacing w:after="0"/>
              <w:rPr>
                <w:sz w:val="14"/>
                <w:szCs w:val="14"/>
                <w:color w:val="auto"/>
              </w:rPr>
            </w:pPr>
          </w:p>
        </w:tc>
        <w:tc>
          <w:tcPr>
            <w:tcW w:w="138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Obligations</w:t>
            </w:r>
            <w:r>
              <w:rPr>
                <w:rFonts w:ascii="Arial" w:cs="Arial" w:eastAsia="Arial" w:hAnsi="Arial"/>
                <w:sz w:val="8"/>
                <w:szCs w:val="8"/>
                <w:b w:val="1"/>
                <w:bCs w:val="1"/>
                <w:color w:val="auto"/>
              </w:rPr>
              <w:t>(a)</w:t>
            </w: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21"/>
                <w:szCs w:val="21"/>
                <w:color w:val="auto"/>
              </w:rPr>
            </w:pPr>
          </w:p>
        </w:tc>
        <w:tc>
          <w:tcPr>
            <w:tcW w:w="1460" w:type="dxa"/>
            <w:vAlign w:val="bottom"/>
          </w:tcPr>
          <w:p>
            <w:pPr>
              <w:ind w:left="1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w:t>
            </w:r>
          </w:p>
        </w:tc>
        <w:tc>
          <w:tcPr>
            <w:tcW w:w="4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2021</w:t>
            </w: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21"/>
                <w:szCs w:val="21"/>
                <w:color w:val="auto"/>
              </w:rPr>
            </w:pPr>
          </w:p>
        </w:tc>
        <w:tc>
          <w:tcPr>
            <w:tcW w:w="1460" w:type="dxa"/>
            <w:vAlign w:val="bottom"/>
          </w:tcPr>
          <w:p>
            <w:pPr>
              <w:ind w:left="1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523.5</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596.4</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tcPr>
          <w:p>
            <w:pPr>
              <w:ind w:left="1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227.9</w:t>
            </w:r>
          </w:p>
        </w:tc>
        <w:tc>
          <w:tcPr>
            <w:tcW w:w="4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926.1</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400" w:right="20" w:hanging="324"/>
        <w:spacing w:after="0" w:line="250" w:lineRule="auto"/>
        <w:tabs>
          <w:tab w:leader="none" w:pos="4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Lease financing obligations subsequent to 2022 of $227.9 million represent principal cash obligations of $7.6 million and the estimated net book value of the underlying assets at the expiration of their associated lease agreements of $220.3 million.</w:t>
      </w:r>
    </w:p>
    <w:p>
      <w:pPr>
        <w:ind w:left="400" w:hanging="324"/>
        <w:spacing w:after="0"/>
        <w:tabs>
          <w:tab w:leader="none" w:pos="4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Second A&amp;R CDA obligations represent principal cash obligations per the amended Second A&amp;R CDA dated January 30, 2018.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book value and estimated fair values of our long-term debt, including current maturities and other financial instruments, are summarized as follows: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53"/>
              <w:spacing w:after="0"/>
              <w:rPr>
                <w:sz w:val="20"/>
                <w:szCs w:val="20"/>
                <w:color w:val="auto"/>
              </w:rPr>
            </w:pPr>
            <w:r>
              <w:rPr>
                <w:rFonts w:ascii="Arial" w:cs="Arial" w:eastAsia="Arial" w:hAnsi="Arial"/>
                <w:sz w:val="14"/>
                <w:szCs w:val="14"/>
                <w:b w:val="1"/>
                <w:bCs w:val="1"/>
                <w:color w:val="auto"/>
              </w:rPr>
              <w:t>December 31, 2016</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2"/>
                <w:szCs w:val="22"/>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color w:val="auto"/>
              </w:rPr>
              <w:t>Book Value</w:t>
            </w:r>
          </w:p>
        </w:tc>
        <w:tc>
          <w:tcPr>
            <w:tcW w:w="280" w:type="dxa"/>
            <w:vAlign w:val="bottom"/>
          </w:tcPr>
          <w:p>
            <w:pPr>
              <w:spacing w:after="0"/>
              <w:rPr>
                <w:sz w:val="22"/>
                <w:szCs w:val="22"/>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color w:val="auto"/>
              </w:rPr>
              <w:t>Fair Value</w:t>
            </w:r>
          </w:p>
        </w:tc>
        <w:tc>
          <w:tcPr>
            <w:tcW w:w="260" w:type="dxa"/>
            <w:vAlign w:val="bottom"/>
          </w:tcPr>
          <w:p>
            <w:pPr>
              <w:spacing w:after="0"/>
              <w:rPr>
                <w:sz w:val="22"/>
                <w:szCs w:val="22"/>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color w:val="auto"/>
              </w:rPr>
              <w:t>Book Value</w:t>
            </w:r>
          </w:p>
        </w:tc>
        <w:tc>
          <w:tcPr>
            <w:tcW w:w="280" w:type="dxa"/>
            <w:vAlign w:val="bottom"/>
          </w:tcPr>
          <w:p>
            <w:pPr>
              <w:spacing w:after="0"/>
              <w:rPr>
                <w:sz w:val="22"/>
                <w:szCs w:val="22"/>
                <w:color w:val="auto"/>
              </w:rPr>
            </w:pPr>
          </w:p>
        </w:tc>
        <w:tc>
          <w:tcPr>
            <w:tcW w:w="1200" w:type="dxa"/>
            <w:vAlign w:val="bottom"/>
          </w:tcPr>
          <w:p>
            <w:pPr>
              <w:jc w:val="right"/>
              <w:ind w:right="353"/>
              <w:spacing w:after="0"/>
              <w:rPr>
                <w:sz w:val="20"/>
                <w:szCs w:val="20"/>
                <w:color w:val="auto"/>
              </w:rPr>
            </w:pPr>
            <w:r>
              <w:rPr>
                <w:rFonts w:ascii="Arial" w:cs="Arial" w:eastAsia="Arial" w:hAnsi="Arial"/>
                <w:sz w:val="14"/>
                <w:szCs w:val="14"/>
                <w:color w:val="auto"/>
              </w:rPr>
              <w:t>Fair Value</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638.1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ABL Facility</w:t>
            </w: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financing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Second A&amp;R CDA</w:t>
            </w:r>
          </w:p>
        </w:tc>
        <w:tc>
          <w:tcPr>
            <w:tcW w:w="26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101.8</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906.1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Term Loan and Second A&amp;R CDA were estimated based on observable prices (level two inputs for fair value measurements). The fair value of the lease financing obligations is estimated using a publicly traded secured loan with similar characteristics (level three input for fair value measurement).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30"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principal sources of liquidity are cash and cash equivalents, available borrowings under our ABL Facility and any prospective net cash flow from operations. As of December 31, 2017, our availability under our ABL Facility was $68.9 million, which is derived by reducing the amount that may be advanced against eligible receivables plus eligible borrowing base cash by certain reserves imposed by the ABL Agent and our $352.6 million of outstanding letters of credit. Our Managed Accessibility was $26.7 million, which is the measure of availability management uses based on the ABL requirement to maintain availability in an amount at least equal to or above 10% of the collateral line cap if the fixed charge coverage ratio falls below 1.10. Our cash and cash equivalents and Managed Accessibility was $118.3 million as of December 31, 2017.</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2016, our availability under our ABL Facility was $89.0 million. Of the $89.0 million in availability, Managed Accessibility was $44.4 million. Our cash and cash equivalents and Managed Accessibility was $181.1 million as of December 31, 2016.</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Outside of funding normal operations, our principal uses of cash include making contributions to our single-employer pension plans and various multi-employer pension funds, and meeting our other cash obligations, including, but not limited to, paying principal and interest on our funded debt, payments on equipment leases and funding capital expenditures.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capital expenditures for the years ended December 31, 2017 and 2016 were $103.3 million and $100.6 million, respectively. These amounts were principally used to fund the purchase of used tractors and trailers, refurbish engines for our revenue fleet, and for capitalized costs to improve our technology infrastructure.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year ended December 31, 2017, we entered into new operating lease commitments for revenue equipment totaling $108.4 million, with such payments to be made over the average lease term of 5 years. As of December 31, 2017, our operating lease obligations for 2018 are $116.5 million and our operating lease obligations through 2030 total $352.5 million and are expected to increase as we lease additional revenue equipment in future years.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Equity-Based Compensation Plans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reserved 5.0 million shares for issuance to key management personnel and directors under the 2011 amended and restated long-term incentive and equity award plan. As of December 31, 2017, 1.9 million shares remain available for future issuance under this plan. The plan permits the issuance of restricted stock and stock units, as well as options, stock appreciation rights, and performance stock and performance stock unit awards. Awards under the plan can be satisfied in cash or shares at the discretion of the Board of Directors. According to the plan provisions, the stock units provide the holders the right to receive one share of our Common Stock upon vesting (and distribution) of one stock unit. The plan requires the exercise price of any option granted to equal the closing market price of our Common Stock on the date of grant.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 2010, we formalized the Second Union Employee Option Plan that provided for a grant of up to 31,000 options, including the effect of the reverse stock split, to purchase our Common Stock at an exercise price equal to $3,600.00 per share, of which all have been granted. As a part of the union wage reduction, we agreed to award a certain equity interest to all effected union employees. These options vested immediately, will expire 10 years from the grant date, and were exercisable upon shareholder approval, which was received on June 29, 2010, at our annual shareholder meeting. There has been no activity in these stock options and these options had no intrinsic value as of December 31, 2017, 2016, and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Awards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2015, the Company granted performance stock unit awards to employees under its 2015 long-term incentive plan. The awards provide a target number of stock units that vest equally over three years.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58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A summary of performance-based unvested stock unit activity is as follows:</w:t>
      </w:r>
    </w:p>
    <w:p>
      <w:pPr>
        <w:spacing w:after="0" w:line="36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(stock units in thousands)</w:t>
            </w:r>
          </w:p>
        </w:tc>
        <w:tc>
          <w:tcPr>
            <w:tcW w:w="1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Units (in thousands)</w:t>
            </w: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Weighted Average Grant-Date</w:t>
            </w:r>
          </w:p>
        </w:tc>
        <w:tc>
          <w:tcPr>
            <w:tcW w:w="0" w:type="dxa"/>
            <w:vAlign w:val="bottom"/>
          </w:tcPr>
          <w:p>
            <w:pPr>
              <w:spacing w:after="0"/>
              <w:rPr>
                <w:sz w:val="1"/>
                <w:szCs w:val="1"/>
                <w:color w:val="auto"/>
              </w:rPr>
            </w:pPr>
          </w:p>
        </w:tc>
      </w:tr>
      <w:tr>
        <w:trPr>
          <w:trHeight w:val="192"/>
        </w:trPr>
        <w:tc>
          <w:tcPr>
            <w:tcW w:w="76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2015</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w:t>
            </w: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tcPr>
          <w:p>
            <w:pPr>
              <w:jc w:val="right"/>
              <w:spacing w:after="0"/>
              <w:rPr>
                <w:sz w:val="20"/>
                <w:szCs w:val="20"/>
                <w:color w:val="auto"/>
              </w:rPr>
            </w:pPr>
            <w:r>
              <w:rPr>
                <w:rFonts w:ascii="Arial" w:cs="Arial" w:eastAsia="Arial" w:hAnsi="Arial"/>
                <w:sz w:val="18"/>
                <w:szCs w:val="18"/>
                <w:color w:val="auto"/>
              </w:rPr>
              <w:t>(140)</w:t>
            </w:r>
          </w:p>
        </w:tc>
        <w:tc>
          <w:tcPr>
            <w:tcW w:w="40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Unvested at December 31, 2016</w:t>
            </w:r>
          </w:p>
        </w:tc>
        <w:tc>
          <w:tcPr>
            <w:tcW w:w="1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261</w:t>
            </w:r>
          </w:p>
        </w:tc>
        <w:tc>
          <w:tcPr>
            <w:tcW w:w="40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2017</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4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7"/>
        </w:trPr>
        <w:tc>
          <w:tcPr>
            <w:tcW w:w="76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expenses the grant date fair value of the awards earned in the performance period over the respective service periods. The intrinsic value of unvested units as of December 31, 2017 was $1.6 million. For the years ended December 31, 2017 and 2016, the Company recognized compensation expense of $0.9 million and $2.3 million, respectively. Unrecognized compensation expense related to performance based awards of $0.1 million is expected to be fully expensed by February 2018.</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nonvested units is determined based on the closing trading price of our shares on the grant date. The fair value of shares vested and distributed during the year ended December 31, 2017 was $2.5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2016, the Company granted performance-based stock unit awards to employees that were to be settled in cash upon the achievement of specified performance criteria for 2016. No awards were earned as the 2016 performance criteria were not achieved.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of our unvested restricted stock and stock unit awards are presented in the following table:</w:t>
      </w:r>
    </w:p>
    <w:p>
      <w:pPr>
        <w:spacing w:after="0" w:line="379" w:lineRule="exact"/>
        <w:rPr>
          <w:sz w:val="20"/>
          <w:szCs w:val="20"/>
          <w:color w:val="auto"/>
        </w:rPr>
      </w:pPr>
    </w:p>
    <w:p>
      <w:pPr>
        <w:ind w:left="7160"/>
        <w:spacing w:after="0"/>
        <w:tabs>
          <w:tab w:leader="none" w:pos="9640" w:val="left"/>
        </w:tabs>
        <w:rPr>
          <w:sz w:val="20"/>
          <w:szCs w:val="20"/>
          <w:color w:val="auto"/>
        </w:rPr>
      </w:pPr>
      <w:r>
        <w:rPr>
          <w:rFonts w:ascii="Arial" w:cs="Arial" w:eastAsia="Arial" w:hAnsi="Arial"/>
          <w:sz w:val="14"/>
          <w:szCs w:val="14"/>
          <w:b w:val="1"/>
          <w:bCs w:val="1"/>
          <w:color w:val="auto"/>
        </w:rPr>
        <w:t>Shares/units</w:t>
      </w:r>
      <w:r>
        <w:rPr>
          <w:sz w:val="20"/>
          <w:szCs w:val="20"/>
          <w:color w:val="auto"/>
        </w:rPr>
        <w:tab/>
      </w:r>
      <w:r>
        <w:rPr>
          <w:rFonts w:ascii="Arial" w:cs="Arial" w:eastAsia="Arial" w:hAnsi="Arial"/>
          <w:sz w:val="14"/>
          <w:szCs w:val="14"/>
          <w:b w:val="1"/>
          <w:bCs w:val="1"/>
          <w:color w:val="auto"/>
        </w:rPr>
        <w:t>Weighted Average</w:t>
      </w:r>
    </w:p>
    <w:p>
      <w:pPr>
        <w:spacing w:after="0" w:line="4" w:lineRule="exact"/>
        <w:rPr>
          <w:sz w:val="20"/>
          <w:szCs w:val="20"/>
          <w:color w:val="auto"/>
        </w:rPr>
      </w:pPr>
    </w:p>
    <w:p>
      <w:pPr>
        <w:ind w:left="7120"/>
        <w:spacing w:after="0"/>
        <w:tabs>
          <w:tab w:leader="none" w:pos="9500" w:val="left"/>
        </w:tabs>
        <w:rPr>
          <w:sz w:val="20"/>
          <w:szCs w:val="20"/>
          <w:color w:val="auto"/>
        </w:rPr>
      </w:pPr>
      <w:r>
        <w:rPr>
          <w:rFonts w:ascii="Arial" w:cs="Arial" w:eastAsia="Arial" w:hAnsi="Arial"/>
          <w:sz w:val="14"/>
          <w:szCs w:val="14"/>
          <w:b w:val="1"/>
          <w:bCs w:val="1"/>
          <w:color w:val="auto"/>
        </w:rPr>
        <w:t>(in thousands)</w:t>
      </w:r>
      <w:r>
        <w:rPr>
          <w:sz w:val="20"/>
          <w:szCs w:val="20"/>
          <w:color w:val="auto"/>
        </w:rPr>
        <w:tab/>
      </w:r>
      <w:r>
        <w:rPr>
          <w:rFonts w:ascii="Arial" w:cs="Arial" w:eastAsia="Arial" w:hAnsi="Arial"/>
          <w:sz w:val="13"/>
          <w:szCs w:val="13"/>
          <w:b w:val="1"/>
          <w:bCs w:val="1"/>
          <w:color w:val="auto"/>
        </w:rPr>
        <w:t>Grant-Date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p>
      <w:pPr>
        <w:spacing w:after="0" w:line="47"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Unvested at December 31, 2014</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Vested and distributed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Unvested at December 31, 2015</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Vested and distributed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Unvested at December 31, 2016</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Granted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Vested and distributed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Forfeited</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5"/>
          <w:szCs w:val="15"/>
          <w:color w:val="auto"/>
        </w:rPr>
        <w:t>Unvested at December 31, 2017</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1,289</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12.86</w:t>
            </w:r>
          </w:p>
        </w:tc>
      </w:tr>
      <w:tr>
        <w:trPr>
          <w:trHeight w:val="270"/>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17.29</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(835)</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11.34</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(29)</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10.25</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767</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14.34</w:t>
            </w:r>
          </w:p>
        </w:tc>
      </w:tr>
      <w:tr>
        <w:trPr>
          <w:trHeight w:val="270"/>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730</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8.76</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(269)</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12.90</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(53)</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11.60</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11.30</w:t>
            </w:r>
          </w:p>
        </w:tc>
      </w:tr>
      <w:tr>
        <w:trPr>
          <w:trHeight w:val="270"/>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496</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12.43</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(306)</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11.91</w:t>
            </w:r>
          </w:p>
        </w:tc>
      </w:tr>
      <w:tr>
        <w:trPr>
          <w:trHeight w:val="270"/>
        </w:trPr>
        <w:tc>
          <w:tcPr>
            <w:tcW w:w="2960" w:type="dxa"/>
            <w:vAlign w:val="bottom"/>
          </w:tcPr>
          <w:p>
            <w:pPr>
              <w:jc w:val="right"/>
              <w:spacing w:after="0"/>
              <w:rPr>
                <w:sz w:val="20"/>
                <w:szCs w:val="20"/>
                <w:color w:val="auto"/>
              </w:rPr>
            </w:pPr>
            <w:r>
              <w:rPr>
                <w:rFonts w:ascii="Arial" w:cs="Arial" w:eastAsia="Arial" w:hAnsi="Arial"/>
                <w:sz w:val="18"/>
                <w:szCs w:val="18"/>
                <w:color w:val="auto"/>
              </w:rPr>
              <w:t>(58)</w:t>
            </w:r>
          </w:p>
        </w:tc>
        <w:tc>
          <w:tcPr>
            <w:tcW w:w="10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12.28</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jc w:val="right"/>
              <w:ind w:right="10"/>
              <w:spacing w:after="0"/>
              <w:rPr>
                <w:sz w:val="20"/>
                <w:szCs w:val="20"/>
                <w:color w:val="auto"/>
              </w:rPr>
            </w:pPr>
            <w:r>
              <w:rPr>
                <w:rFonts w:ascii="Arial" w:cs="Arial" w:eastAsia="Arial" w:hAnsi="Arial"/>
                <w:sz w:val="18"/>
                <w:szCs w:val="18"/>
                <w:color w:val="auto"/>
              </w:rPr>
              <w:t>1,307</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11.55</w:t>
            </w:r>
          </w:p>
        </w:tc>
      </w:tr>
      <w:tr>
        <w:trPr>
          <w:trHeight w:val="27"/>
        </w:trPr>
        <w:tc>
          <w:tcPr>
            <w:tcW w:w="2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-1937385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-1594485</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-1242695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-899795</wp:posOffset>
            </wp:positionV>
            <wp:extent cx="72466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-548005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-205105</wp:posOffset>
            </wp:positionV>
            <wp:extent cx="724662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530" w:right="239" w:bottom="1440" w:gutter="0" w:footer="0" w:header="0"/>
          <w:type w:val="continuous"/>
        </w:sectPr>
      </w:pPr>
    </w:p>
    <w:p>
      <w:pPr>
        <w:spacing w:after="0" w:line="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the members of the Board of Directors have deferred receipt of the Common Stock underlying some or all of the restricted stock units they have been awarded until each such director ceases to serve on the Board or, under certain circumstances, upon a change of control. Thus, while some of these restricted stock units have vested, the directors have not yet received the underlying Common Stock. For the years ended December 31, 2017, 2016, and 2015, the total number of restricted stock units that are vested but for which the underlying Common Stock has not been distributed was 528,000, 410,000, and 275,000, respectively; these shares are shown as unvested in the above table.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530" w:right="239" w:bottom="1440" w:gutter="0" w:footer="0" w:header="0"/>
          <w:type w:val="continuous"/>
        </w:sectPr>
      </w:pPr>
    </w:p>
    <w:bookmarkStart w:id="73" w:name="page74"/>
    <w:bookmarkEnd w:id="73"/>
    <w:p>
      <w:pPr>
        <w:jc w:val="both"/>
        <w:spacing w:after="0" w:line="259" w:lineRule="auto"/>
        <w:rPr>
          <w:sz w:val="20"/>
          <w:szCs w:val="20"/>
          <w:color w:val="auto"/>
        </w:rPr>
      </w:pPr>
      <w:r>
        <w:rPr>
          <w:rFonts w:ascii="Arial" w:cs="Arial" w:eastAsia="Arial" w:hAnsi="Arial"/>
          <w:sz w:val="18"/>
          <w:szCs w:val="18"/>
          <w:color w:val="auto"/>
        </w:rPr>
        <w:t>The intrinsic value of unvested shares as of December 31, 2017 was $18.8 million. The Company records expense on a straight-line basis over the vesting term. For the years ended December 31, 2017, 2016 and 2015, the Company recorded compensation expense for restricted stock awards of $5.6 million, $5.0 million, and $4.8 million, respectively. Unrecognized compensation expense related to restricted stock awards of $5.2 million at December 31, 2017 is expected to be recognized over a weighted-average period of 0.9 years.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vesting provisions for the restricted stock and stock unit awards and the related number of shares granted during the year ended December 31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Shares/units (in thousands)</w:t>
            </w:r>
          </w:p>
        </w:tc>
        <w:tc>
          <w:tcPr>
            <w:tcW w:w="1420" w:type="dxa"/>
            <w:vAlign w:val="bottom"/>
            <w:tcBorders>
              <w:bottom w:val="single" w:sz="8" w:color="auto"/>
            </w:tcBorders>
          </w:tcPr>
          <w:p>
            <w:pPr>
              <w:spacing w:after="0"/>
              <w:rPr>
                <w:sz w:val="16"/>
                <w:szCs w:val="16"/>
                <w:color w:val="auto"/>
              </w:rPr>
            </w:pPr>
          </w:p>
        </w:tc>
      </w:tr>
      <w:tr>
        <w:trPr>
          <w:trHeight w:val="197"/>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Vesting Terms</w:t>
            </w:r>
          </w:p>
        </w:tc>
        <w:tc>
          <w:tcPr>
            <w:tcW w:w="1460" w:type="dxa"/>
            <w:vAlign w:val="bottom"/>
            <w:tcBorders>
              <w:bottom w:val="single" w:sz="8" w:color="auto"/>
            </w:tcBorders>
          </w:tcPr>
          <w:p>
            <w:pPr>
              <w:jc w:val="center"/>
              <w:ind w:left="293"/>
              <w:spacing w:after="0"/>
              <w:rPr>
                <w:sz w:val="20"/>
                <w:szCs w:val="20"/>
                <w:color w:val="auto"/>
              </w:rPr>
            </w:pPr>
            <w:r>
              <w:rPr>
                <w:rFonts w:ascii="Arial" w:cs="Arial" w:eastAsia="Arial" w:hAnsi="Arial"/>
                <w:sz w:val="14"/>
                <w:szCs w:val="14"/>
                <w:b w:val="1"/>
                <w:bCs w:val="1"/>
                <w:color w:val="auto"/>
                <w:w w:val="89"/>
              </w:rPr>
              <w:t>2017</w:t>
            </w:r>
          </w:p>
        </w:tc>
        <w:tc>
          <w:tcPr>
            <w:tcW w:w="248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96"/>
              </w:rPr>
              <w:t>2016</w:t>
            </w:r>
          </w:p>
        </w:tc>
        <w:tc>
          <w:tcPr>
            <w:tcW w:w="142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25% per year for four years</w:t>
            </w:r>
          </w:p>
        </w:tc>
        <w:tc>
          <w:tcPr>
            <w:tcW w:w="1460" w:type="dxa"/>
            <w:vAlign w:val="bottom"/>
            <w:tcBorders>
              <w:bottom w:val="single" w:sz="8" w:color="CCEEFF"/>
            </w:tcBorders>
            <w:shd w:val="clear" w:color="auto" w:fill="CCEEFF"/>
          </w:tcPr>
          <w:p>
            <w:pPr>
              <w:jc w:val="center"/>
              <w:ind w:left="273"/>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center"/>
              <w:ind w:left="15"/>
              <w:spacing w:after="0"/>
              <w:rPr>
                <w:sz w:val="20"/>
                <w:szCs w:val="20"/>
                <w:color w:val="auto"/>
              </w:rPr>
            </w:pPr>
            <w:r>
              <w:rPr>
                <w:rFonts w:ascii="Arial" w:cs="Arial" w:eastAsia="Arial" w:hAnsi="Arial"/>
                <w:sz w:val="18"/>
                <w:szCs w:val="18"/>
                <w:color w:val="auto"/>
                <w:w w:val="99"/>
              </w:rPr>
              <w:t>8</w:t>
            </w:r>
          </w:p>
        </w:tc>
        <w:tc>
          <w:tcPr>
            <w:tcW w:w="1420" w:type="dxa"/>
            <w:vAlign w:val="bottom"/>
            <w:tcBorders>
              <w:bottom w:val="single" w:sz="8" w:color="CCEEFF"/>
            </w:tcBorders>
            <w:shd w:val="clear" w:color="auto" w:fill="CCEEFF"/>
          </w:tcPr>
          <w:p>
            <w:pPr>
              <w:jc w:val="center"/>
              <w:ind w:right="193"/>
              <w:spacing w:after="0"/>
              <w:rPr>
                <w:sz w:val="20"/>
                <w:szCs w:val="20"/>
                <w:color w:val="auto"/>
              </w:rPr>
            </w:pPr>
            <w:r>
              <w:rPr>
                <w:rFonts w:ascii="Arial" w:cs="Arial" w:eastAsia="Arial" w:hAnsi="Arial"/>
                <w:sz w:val="18"/>
                <w:szCs w:val="18"/>
                <w:color w:val="auto"/>
                <w:w w:val="99"/>
              </w:rPr>
              <w:t>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100% immediately</w:t>
            </w:r>
          </w:p>
        </w:tc>
        <w:tc>
          <w:tcPr>
            <w:tcW w:w="1460" w:type="dxa"/>
            <w:vAlign w:val="bottom"/>
          </w:tcPr>
          <w:p>
            <w:pPr>
              <w:jc w:val="center"/>
              <w:ind w:left="293"/>
              <w:spacing w:after="0"/>
              <w:rPr>
                <w:sz w:val="20"/>
                <w:szCs w:val="20"/>
                <w:color w:val="auto"/>
              </w:rPr>
            </w:pPr>
            <w:r>
              <w:rPr>
                <w:rFonts w:ascii="Arial" w:cs="Arial" w:eastAsia="Arial" w:hAnsi="Arial"/>
                <w:sz w:val="18"/>
                <w:szCs w:val="18"/>
                <w:color w:val="auto"/>
                <w:w w:val="93"/>
              </w:rPr>
              <w:t>106</w:t>
            </w:r>
          </w:p>
        </w:tc>
        <w:tc>
          <w:tcPr>
            <w:tcW w:w="2480" w:type="dxa"/>
            <w:vAlign w:val="bottom"/>
          </w:tcPr>
          <w:p>
            <w:pPr>
              <w:jc w:val="center"/>
              <w:ind w:left="15"/>
              <w:spacing w:after="0"/>
              <w:rPr>
                <w:sz w:val="20"/>
                <w:szCs w:val="20"/>
                <w:color w:val="auto"/>
              </w:rPr>
            </w:pPr>
            <w:r>
              <w:rPr>
                <w:rFonts w:ascii="Arial" w:cs="Arial" w:eastAsia="Arial" w:hAnsi="Arial"/>
                <w:sz w:val="18"/>
                <w:szCs w:val="18"/>
                <w:color w:val="auto"/>
                <w:w w:val="86"/>
              </w:rPr>
              <w:t>123</w:t>
            </w:r>
          </w:p>
        </w:tc>
        <w:tc>
          <w:tcPr>
            <w:tcW w:w="1420" w:type="dxa"/>
            <w:vAlign w:val="bottom"/>
          </w:tcPr>
          <w:p>
            <w:pPr>
              <w:jc w:val="center"/>
              <w:ind w:right="193"/>
              <w:spacing w:after="0"/>
              <w:rPr>
                <w:sz w:val="20"/>
                <w:szCs w:val="20"/>
                <w:color w:val="auto"/>
              </w:rPr>
            </w:pPr>
            <w:r>
              <w:rPr>
                <w:rFonts w:ascii="Arial" w:cs="Arial" w:eastAsia="Arial" w:hAnsi="Arial"/>
                <w:sz w:val="18"/>
                <w:szCs w:val="18"/>
                <w:color w:val="auto"/>
                <w:w w:val="89"/>
              </w:rPr>
              <w:t>69</w:t>
            </w:r>
          </w:p>
        </w:tc>
      </w:tr>
      <w:tr>
        <w:trPr>
          <w:trHeight w:val="27"/>
        </w:trPr>
        <w:tc>
          <w:tcPr>
            <w:tcW w:w="60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33.3% per year for three years</w:t>
            </w:r>
          </w:p>
        </w:tc>
        <w:tc>
          <w:tcPr>
            <w:tcW w:w="1460" w:type="dxa"/>
            <w:vAlign w:val="bottom"/>
            <w:tcBorders>
              <w:bottom w:val="single" w:sz="8" w:color="CCEEFF"/>
            </w:tcBorders>
            <w:shd w:val="clear" w:color="auto" w:fill="CCEEFF"/>
          </w:tcPr>
          <w:p>
            <w:pPr>
              <w:jc w:val="center"/>
              <w:ind w:left="273"/>
              <w:spacing w:after="0"/>
              <w:rPr>
                <w:sz w:val="20"/>
                <w:szCs w:val="20"/>
                <w:color w:val="auto"/>
              </w:rPr>
            </w:pPr>
            <w:r>
              <w:rPr>
                <w:rFonts w:ascii="Arial" w:cs="Arial" w:eastAsia="Arial" w:hAnsi="Arial"/>
                <w:sz w:val="18"/>
                <w:szCs w:val="18"/>
                <w:color w:val="auto"/>
                <w:w w:val="89"/>
              </w:rPr>
              <w:t>85</w:t>
            </w:r>
          </w:p>
        </w:tc>
        <w:tc>
          <w:tcPr>
            <w:tcW w:w="2480" w:type="dxa"/>
            <w:vAlign w:val="bottom"/>
            <w:tcBorders>
              <w:bottom w:val="single" w:sz="8" w:color="CCEEFF"/>
            </w:tcBorders>
            <w:shd w:val="clear" w:color="auto" w:fill="CCEEFF"/>
          </w:tcPr>
          <w:p>
            <w:pPr>
              <w:jc w:val="center"/>
              <w:ind w:left="15"/>
              <w:spacing w:after="0"/>
              <w:rPr>
                <w:sz w:val="20"/>
                <w:szCs w:val="20"/>
                <w:color w:val="auto"/>
              </w:rPr>
            </w:pPr>
            <w:r>
              <w:rPr>
                <w:rFonts w:ascii="Arial" w:cs="Arial" w:eastAsia="Arial" w:hAnsi="Arial"/>
                <w:sz w:val="18"/>
                <w:szCs w:val="18"/>
                <w:color w:val="auto"/>
                <w:w w:val="86"/>
              </w:rPr>
              <w:t>599</w:t>
            </w:r>
          </w:p>
        </w:tc>
        <w:tc>
          <w:tcPr>
            <w:tcW w:w="1420" w:type="dxa"/>
            <w:vAlign w:val="bottom"/>
            <w:tcBorders>
              <w:bottom w:val="single" w:sz="8" w:color="CCEEFF"/>
            </w:tcBorders>
            <w:shd w:val="clear" w:color="auto" w:fill="CCEEFF"/>
          </w:tcPr>
          <w:p>
            <w:pPr>
              <w:jc w:val="center"/>
              <w:ind w:right="193"/>
              <w:spacing w:after="0"/>
              <w:rPr>
                <w:sz w:val="20"/>
                <w:szCs w:val="20"/>
                <w:color w:val="auto"/>
              </w:rPr>
            </w:pPr>
            <w:r>
              <w:rPr>
                <w:rFonts w:ascii="Arial" w:cs="Arial" w:eastAsia="Arial" w:hAnsi="Arial"/>
                <w:sz w:val="18"/>
                <w:szCs w:val="18"/>
                <w:color w:val="auto"/>
                <w:w w:val="86"/>
              </w:rPr>
              <w:t>269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100% on February 14, 2020</w:t>
            </w:r>
          </w:p>
        </w:tc>
        <w:tc>
          <w:tcPr>
            <w:tcW w:w="1460" w:type="dxa"/>
            <w:vAlign w:val="bottom"/>
          </w:tcPr>
          <w:p>
            <w:pPr>
              <w:jc w:val="center"/>
              <w:ind w:left="293"/>
              <w:spacing w:after="0"/>
              <w:rPr>
                <w:sz w:val="20"/>
                <w:szCs w:val="20"/>
                <w:color w:val="auto"/>
              </w:rPr>
            </w:pPr>
            <w:r>
              <w:rPr>
                <w:rFonts w:ascii="Arial" w:cs="Arial" w:eastAsia="Arial" w:hAnsi="Arial"/>
                <w:sz w:val="18"/>
                <w:szCs w:val="18"/>
                <w:color w:val="auto"/>
                <w:w w:val="93"/>
              </w:rPr>
              <w:t>305</w:t>
            </w:r>
          </w:p>
        </w:tc>
        <w:tc>
          <w:tcPr>
            <w:tcW w:w="2480" w:type="dxa"/>
            <w:vAlign w:val="bottom"/>
          </w:tcPr>
          <w:p>
            <w:pPr>
              <w:jc w:val="center"/>
              <w:ind w:left="15"/>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ind w:right="193"/>
              <w:spacing w:after="0"/>
              <w:rPr>
                <w:sz w:val="20"/>
                <w:szCs w:val="20"/>
                <w:color w:val="auto"/>
              </w:rPr>
            </w:pPr>
            <w:r>
              <w:rPr>
                <w:rFonts w:ascii="Arial" w:cs="Arial" w:eastAsia="Arial" w:hAnsi="Arial"/>
                <w:sz w:val="18"/>
                <w:szCs w:val="18"/>
                <w:color w:val="auto"/>
                <w:w w:val="99"/>
              </w:rPr>
              <w:t>—</w:t>
            </w:r>
          </w:p>
        </w:tc>
      </w:tr>
      <w:tr>
        <w:trPr>
          <w:trHeight w:val="27"/>
        </w:trPr>
        <w:tc>
          <w:tcPr>
            <w:tcW w:w="606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restricted stock and stock units granted</w:t>
            </w:r>
          </w:p>
        </w:tc>
        <w:tc>
          <w:tcPr>
            <w:tcW w:w="1460" w:type="dxa"/>
            <w:vAlign w:val="bottom"/>
            <w:tcBorders>
              <w:bottom w:val="single" w:sz="8" w:color="auto"/>
            </w:tcBorders>
            <w:shd w:val="clear" w:color="auto" w:fill="CCEEFF"/>
          </w:tcPr>
          <w:p>
            <w:pPr>
              <w:jc w:val="center"/>
              <w:ind w:left="293"/>
              <w:spacing w:after="0"/>
              <w:rPr>
                <w:sz w:val="20"/>
                <w:szCs w:val="20"/>
                <w:color w:val="auto"/>
              </w:rPr>
            </w:pPr>
            <w:r>
              <w:rPr>
                <w:rFonts w:ascii="Arial" w:cs="Arial" w:eastAsia="Arial" w:hAnsi="Arial"/>
                <w:sz w:val="18"/>
                <w:szCs w:val="18"/>
                <w:color w:val="auto"/>
                <w:w w:val="93"/>
              </w:rPr>
              <w:t>496</w:t>
            </w:r>
          </w:p>
        </w:tc>
        <w:tc>
          <w:tcPr>
            <w:tcW w:w="2480" w:type="dxa"/>
            <w:vAlign w:val="bottom"/>
            <w:tcBorders>
              <w:bottom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86"/>
              </w:rPr>
              <w:t>730</w:t>
            </w:r>
          </w:p>
        </w:tc>
        <w:tc>
          <w:tcPr>
            <w:tcW w:w="1420" w:type="dxa"/>
            <w:vAlign w:val="bottom"/>
            <w:tcBorders>
              <w:bottom w:val="single" w:sz="8" w:color="auto"/>
            </w:tcBorders>
            <w:shd w:val="clear" w:color="auto" w:fill="CCEEFF"/>
          </w:tcPr>
          <w:p>
            <w:pPr>
              <w:jc w:val="center"/>
              <w:ind w:right="193"/>
              <w:spacing w:after="0"/>
              <w:rPr>
                <w:sz w:val="20"/>
                <w:szCs w:val="20"/>
                <w:color w:val="auto"/>
              </w:rPr>
            </w:pPr>
            <w:r>
              <w:rPr>
                <w:rFonts w:ascii="Arial" w:cs="Arial" w:eastAsia="Arial" w:hAnsi="Arial"/>
                <w:sz w:val="18"/>
                <w:szCs w:val="18"/>
                <w:color w:val="auto"/>
                <w:w w:val="86"/>
              </w:rPr>
              <w:t>342</w:t>
            </w:r>
          </w:p>
        </w:tc>
      </w:tr>
      <w:tr>
        <w:trPr>
          <w:trHeight w:val="20"/>
        </w:trPr>
        <w:tc>
          <w:tcPr>
            <w:tcW w:w="60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nonvested shares is determined based on the closing trading price of our shares on the grant date. The fair value of shares vested and distributed during the years ended December 31, 2017, 2016 and 2015 was $3.6 million, $3.5 million, and $9.5 million,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outstanding awards under our stock compensation plans provide dividend participation features and are considered participating securities in our earnings per share calculation.</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Income Taxes</w:t>
      </w:r>
    </w:p>
    <w:p>
      <w:pPr>
        <w:spacing w:after="0" w:line="30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the asset and liability method to reflect income taxes on our financial statements, pursuant to ASC 740. We recognize deferred tax assets and liabilities by applying enacted tax rates to the differences between the carrying value of existing assets and liabilities and their respective tax basis and to loss carryforwards. Tax credit carryforwards are recorded as deferred tax assets. The effect on deferred tax assets and liabilities of a change in tax rates is recognized in income in the period that the change occurs. We assess the validity of deferred tax assets and loss and tax credit carryforwards and provide valuation allowances when we determine it is more likely than not that such assets, losses, or credits will not be realized. We have not recognized deferred taxes relative to foreign subsidiaries’ earnings that are deemed to be permanently reinvested. Any related taxes associated with such earnings are not material.</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adopted the guidance provided by Securities and Exchange Staff Accounting Bulletin No. 118 (“SAB 118”) regarding the public disclosures of certain of the accounting impacts of the The Tax Act. More specifically, the amount of the accumulated deferred net foreign earnings and profits, appropriately reduced to reflect the corresponding reduced federal tax rates and then required to be included in taxable income, has been estimated using the best available information, including the limited official guidance that has been released, as of the practical completion date necessary for inclusion in this timely-filed Form 10-K. That amount in turn affected the computation of the deferred tax relative to the outside GAAP and Tax basis difference in our foreign subsidiaries for which we do not claim permanent reinvestment. Ultimately, then, the total net deferred tax subject to revaluation for the reduction in the federal rate from 35% to 21%, the actual tax effect of the rate reduction and the corresponding change in the overall valuation allowance against net deferred tax assets, as disclosed in this footnote, are all impacted.</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ultimate state tax treatment, which may vary by state, of the inclusion in 2017 U.S.federal taxable income of this deemed repatriation of foreign earnings has not been determined by state tax authorities. The Company has presumed federal/state conformity consistent with current state law and accounted for state income taxes accordingly. That estimated state tax accounting is also subject to change as the state tax authorities publicize their intended treatment of the deemed repatriation.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accounting results affected by the estimated foreign earnings and profits included in 2017 taxable income are “provisional”, as described in SAB 118. The U.S. Treasury Department/IRS and state tax authorities are expected to issue further guidance in 2018. The approximate earnings and profits and all related accounting results will be finalized upon both the completion of the foreign jurisdiction tax returns for 2017 and review and analysis of that additional guidance.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Act also requires that beginning in 2018, all Global Intangible Low-Taxed Income (“GILTI”) earned by foreign subsidiaries of U.S. corporate taxpayers be included in U.S. taxable income. The computation of GILTI is complex and multiple technical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30" w:right="239" w:bottom="1440" w:gutter="0" w:footer="0" w:header="0"/>
        </w:sectPr>
      </w:pPr>
    </w:p>
    <w:bookmarkStart w:id="74" w:name="page75"/>
    <w:bookmarkEnd w:id="74"/>
    <w:p>
      <w:pPr>
        <w:jc w:val="both"/>
        <w:spacing w:after="0" w:line="279" w:lineRule="auto"/>
        <w:rPr>
          <w:sz w:val="20"/>
          <w:szCs w:val="20"/>
          <w:color w:val="auto"/>
        </w:rPr>
      </w:pPr>
      <w:r>
        <w:rPr>
          <w:rFonts w:ascii="Arial" w:cs="Arial" w:eastAsia="Arial" w:hAnsi="Arial"/>
          <w:sz w:val="17"/>
          <w:szCs w:val="17"/>
          <w:color w:val="auto"/>
        </w:rPr>
        <w:t>issues remain unresolved. Preliminary guidance from the FASB indicates that companies may choose to account for GILTI either immediately prior to or concurrent with the year in which it is realized. Recognizing a potential deferred tax liability in 2017 for post 2017 GILTI would require projections of relevant foreign earnings and consideration of any allowable structuring that would mitigate or eliminate any GILTI. Given the resulting uncertainty, the Company has made no accounting policy decision nor completed any accounting for GILTI for purposes of this Form 10-K.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identified multiple other relevant sections of The Tax Act. However, either because of post 2017 effective dates or the Company’s decision to opt out of certain changes, none of those sections resulted in any “provisional” accounting for this 2017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Deferred tax liabilities (assets) were comprised of the following at December 31:</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2016</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148.0</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15.8</w:t>
            </w:r>
          </w:p>
        </w:tc>
      </w:tr>
      <w:tr>
        <w:trPr>
          <w:trHeight w:val="27"/>
        </w:trPr>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Gain on debt redemption</w:t>
            </w:r>
          </w:p>
        </w:tc>
        <w:tc>
          <w:tcPr>
            <w:tcW w:w="4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25.7</w:t>
            </w:r>
          </w:p>
        </w:tc>
      </w:tr>
      <w:tr>
        <w:trPr>
          <w:trHeight w:val="27"/>
        </w:trPr>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taxes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31.5</w:t>
            </w:r>
          </w:p>
        </w:tc>
      </w:tr>
      <w:tr>
        <w:trPr>
          <w:trHeight w:val="27"/>
        </w:trPr>
        <w:tc>
          <w:tcPr>
            <w:tcW w:w="7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liabilities</w:t>
            </w: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209.4</w:t>
            </w: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341.6</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Claims and insurance</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w:t>
            </w:r>
          </w:p>
        </w:tc>
      </w:tr>
      <w:tr>
        <w:trPr>
          <w:trHeight w:val="27"/>
        </w:trPr>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 carryforwards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Employee benefit accruals</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(88.8)</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(201.8)</w:t>
            </w:r>
          </w:p>
        </w:tc>
      </w:tr>
      <w:tr>
        <w:trPr>
          <w:trHeight w:val="27"/>
        </w:trPr>
        <w:tc>
          <w:tcPr>
            <w:tcW w:w="7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Sale/Leaseback transaction</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(31.7)</w:t>
            </w: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7"/>
        </w:trPr>
        <w:tc>
          <w:tcPr>
            <w:tcW w:w="7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assets</w:t>
            </w: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(800.2)</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305.1</w:t>
            </w: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461.7</w:t>
            </w:r>
          </w:p>
        </w:tc>
      </w:tr>
      <w:tr>
        <w:trPr>
          <w:trHeight w:val="27"/>
        </w:trPr>
        <w:tc>
          <w:tcPr>
            <w:tcW w:w="77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deferred tax assets</w:t>
            </w: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(338.5)</w:t>
            </w: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Net deferred tax liability</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w:t>
            </w:r>
          </w:p>
        </w:tc>
      </w:tr>
      <w:tr>
        <w:trPr>
          <w:trHeight w:val="20"/>
        </w:trPr>
        <w:tc>
          <w:tcPr>
            <w:tcW w:w="7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deferred tax liability of $3.1 million and $3.1 million as of December 31, 2017 and 2016, respectively, is included as separate line items in the accompanying balance sheets. Current income tax receivable was $1.3 million and $9.1 million as of December 31, 2017 and 2016, respectively, and is included in “Prepaid expenses and other” in the accompanying balance sheets.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2017, the Company has remaining federal net operating loss carryforwards of approximately $805.4 million. Deemed ownership changes that occurred in July 2011, in July 2013 and in January 2014 imposed annual and cumulative limits under the Code on the utilization of these carryforwards. These limits are not expected to inhibit the Company’s ability to utilize these losses over their carry forward periods. These carryforwards expire between 2028 and 2037 if not used. As of December 31, 2017, the Company has foreign tax credit and other credit carryforwards of approximately $0.9 million. These credit carryforwards will likely not be utilized and will expire in 2018 if not used. As of December 31, 2017, the Company has a capital loss carryforward of approximately $13.8 million, which will expire in 2021 if not used.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and 2016, a valuation allowance of $305.1 million and $461.7 million has been established for deferred tax assets because, based on available sources of future taxable income, it is more likely than not that those assets will not be realized.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530"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A reconciliation between income taxes at the federal statutory rate and the consolidated effective tax rate follows:</w:t>
      </w:r>
    </w:p>
    <w:p>
      <w:pPr>
        <w:spacing w:after="0" w:line="379" w:lineRule="exact"/>
        <w:rPr>
          <w:sz w:val="20"/>
          <w:szCs w:val="20"/>
          <w:color w:val="auto"/>
        </w:rPr>
      </w:pPr>
    </w:p>
    <w:p>
      <w:pPr>
        <w:jc w:val="both"/>
        <w:ind w:left="6560"/>
        <w:spacing w:after="0"/>
        <w:tabs>
          <w:tab w:leader="none" w:pos="8460" w:val="left"/>
          <w:tab w:leader="none" w:pos="103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3"/>
          <w:szCs w:val="13"/>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746"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Federal statutory rate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State income taxes,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tax rate differential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Permanent differences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Valuation allowance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Benefit from intraperiod tax allocation under ASC 740</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change in unrecognized tax benefits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Benefit from settlement of litigation &amp; audits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Other, net (primarily prior year return to provision)</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35.0 %</w:t>
            </w: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35.0 %</w:t>
            </w:r>
          </w:p>
        </w:tc>
        <w:tc>
          <w:tcPr>
            <w:tcW w:w="132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(2.8)%</w:t>
            </w: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2.9 %</w:t>
            </w:r>
          </w:p>
        </w:tc>
        <w:tc>
          <w:tcPr>
            <w:tcW w:w="13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(10.0)%</w:t>
            </w:r>
          </w:p>
        </w:tc>
        <w:tc>
          <w:tcPr>
            <w:tcW w:w="1800" w:type="dxa"/>
            <w:vAlign w:val="bottom"/>
          </w:tcPr>
          <w:p>
            <w:pPr>
              <w:jc w:val="right"/>
              <w:ind w:right="530"/>
              <w:spacing w:after="0"/>
              <w:rPr>
                <w:sz w:val="20"/>
                <w:szCs w:val="20"/>
                <w:color w:val="auto"/>
              </w:rPr>
            </w:pPr>
            <w:r>
              <w:rPr>
                <w:rFonts w:ascii="Arial" w:cs="Arial" w:eastAsia="Arial" w:hAnsi="Arial"/>
                <w:sz w:val="18"/>
                <w:szCs w:val="18"/>
                <w:color w:val="auto"/>
              </w:rPr>
              <w:t>(3.3)%</w:t>
            </w:r>
          </w:p>
        </w:tc>
        <w:tc>
          <w:tcPr>
            <w:tcW w:w="1320" w:type="dxa"/>
            <w:vAlign w:val="bottom"/>
          </w:tcPr>
          <w:p>
            <w:pPr>
              <w:jc w:val="right"/>
              <w:spacing w:after="0"/>
              <w:rPr>
                <w:sz w:val="20"/>
                <w:szCs w:val="20"/>
                <w:color w:val="auto"/>
              </w:rPr>
            </w:pPr>
            <w:r>
              <w:rPr>
                <w:rFonts w:ascii="Arial" w:cs="Arial" w:eastAsia="Arial" w:hAnsi="Arial"/>
                <w:sz w:val="18"/>
                <w:szCs w:val="18"/>
                <w:color w:val="auto"/>
              </w:rPr>
              <w:t>43.2 %</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(8.9)%</w:t>
            </w: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6.9 %</w:t>
            </w:r>
          </w:p>
        </w:tc>
        <w:tc>
          <w:tcPr>
            <w:tcW w:w="1320" w:type="dxa"/>
            <w:vAlign w:val="bottom"/>
          </w:tcPr>
          <w:p>
            <w:pPr>
              <w:jc w:val="right"/>
              <w:spacing w:after="0"/>
              <w:rPr>
                <w:sz w:val="20"/>
                <w:szCs w:val="20"/>
                <w:color w:val="auto"/>
              </w:rPr>
            </w:pPr>
            <w:r>
              <w:rPr>
                <w:rFonts w:ascii="Arial" w:cs="Arial" w:eastAsia="Arial" w:hAnsi="Arial"/>
                <w:sz w:val="18"/>
                <w:szCs w:val="18"/>
                <w:color w:val="auto"/>
              </w:rPr>
              <w:t>(88.6)%</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(48.6)%</w:t>
            </w:r>
          </w:p>
        </w:tc>
        <w:tc>
          <w:tcPr>
            <w:tcW w:w="1800" w:type="dxa"/>
            <w:vAlign w:val="bottom"/>
          </w:tcPr>
          <w:p>
            <w:pPr>
              <w:jc w:val="right"/>
              <w:ind w:right="530"/>
              <w:spacing w:after="0"/>
              <w:rPr>
                <w:sz w:val="20"/>
                <w:szCs w:val="20"/>
                <w:color w:val="auto"/>
              </w:rPr>
            </w:pPr>
            <w:r>
              <w:rPr>
                <w:rFonts w:ascii="Arial" w:cs="Arial" w:eastAsia="Arial" w:hAnsi="Arial"/>
                <w:sz w:val="18"/>
                <w:szCs w:val="18"/>
                <w:color w:val="auto"/>
              </w:rPr>
              <w:t>(13.0)%</w:t>
            </w:r>
          </w:p>
        </w:tc>
        <w:tc>
          <w:tcPr>
            <w:tcW w:w="1320" w:type="dxa"/>
            <w:vAlign w:val="bottom"/>
          </w:tcPr>
          <w:p>
            <w:pPr>
              <w:jc w:val="right"/>
              <w:spacing w:after="0"/>
              <w:rPr>
                <w:sz w:val="20"/>
                <w:szCs w:val="20"/>
                <w:color w:val="auto"/>
              </w:rPr>
            </w:pPr>
            <w:r>
              <w:rPr>
                <w:rFonts w:ascii="Arial" w:cs="Arial" w:eastAsia="Arial" w:hAnsi="Arial"/>
                <w:sz w:val="18"/>
                <w:szCs w:val="18"/>
                <w:color w:val="auto"/>
              </w:rPr>
              <w:t>(243.2)%</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73.5 %</w:t>
            </w: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 %</w:t>
            </w:r>
          </w:p>
        </w:tc>
        <w:tc>
          <w:tcPr>
            <w:tcW w:w="1320" w:type="dxa"/>
            <w:vAlign w:val="bottom"/>
          </w:tcPr>
          <w:p>
            <w:pPr>
              <w:jc w:val="right"/>
              <w:spacing w:after="0"/>
              <w:rPr>
                <w:sz w:val="20"/>
                <w:szCs w:val="20"/>
                <w:color w:val="auto"/>
              </w:rPr>
            </w:pPr>
            <w:r>
              <w:rPr>
                <w:rFonts w:ascii="Arial" w:cs="Arial" w:eastAsia="Arial" w:hAnsi="Arial"/>
                <w:sz w:val="18"/>
                <w:szCs w:val="18"/>
                <w:color w:val="auto"/>
              </w:rPr>
              <w:t>265.9 %</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0.5 %</w:t>
            </w:r>
          </w:p>
        </w:tc>
        <w:tc>
          <w:tcPr>
            <w:tcW w:w="1800" w:type="dxa"/>
            <w:vAlign w:val="bottom"/>
          </w:tcPr>
          <w:p>
            <w:pPr>
              <w:jc w:val="right"/>
              <w:ind w:right="530"/>
              <w:spacing w:after="0"/>
              <w:rPr>
                <w:sz w:val="20"/>
                <w:szCs w:val="20"/>
                <w:color w:val="auto"/>
              </w:rPr>
            </w:pPr>
            <w:r>
              <w:rPr>
                <w:rFonts w:ascii="Arial" w:cs="Arial" w:eastAsia="Arial" w:hAnsi="Arial"/>
                <w:sz w:val="18"/>
                <w:szCs w:val="18"/>
                <w:color w:val="auto"/>
              </w:rPr>
              <w:t>(10.2)%</w:t>
            </w:r>
          </w:p>
        </w:tc>
        <w:tc>
          <w:tcPr>
            <w:tcW w:w="13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 %</w:t>
            </w: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 %</w:t>
            </w:r>
          </w:p>
        </w:tc>
        <w:tc>
          <w:tcPr>
            <w:tcW w:w="1320" w:type="dxa"/>
            <w:vAlign w:val="bottom"/>
          </w:tcPr>
          <w:p>
            <w:pPr>
              <w:jc w:val="right"/>
              <w:spacing w:after="0"/>
              <w:rPr>
                <w:sz w:val="20"/>
                <w:szCs w:val="20"/>
                <w:color w:val="auto"/>
              </w:rPr>
            </w:pPr>
            <w:r>
              <w:rPr>
                <w:rFonts w:ascii="Arial" w:cs="Arial" w:eastAsia="Arial" w:hAnsi="Arial"/>
                <w:sz w:val="18"/>
                <w:szCs w:val="18"/>
                <w:color w:val="auto"/>
              </w:rPr>
              <w:t>54.5 %</w:t>
            </w:r>
          </w:p>
        </w:tc>
      </w:tr>
      <w:tr>
        <w:trPr>
          <w:trHeight w:val="270"/>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1.6 %</w:t>
            </w:r>
          </w:p>
        </w:tc>
        <w:tc>
          <w:tcPr>
            <w:tcW w:w="1800" w:type="dxa"/>
            <w:vAlign w:val="bottom"/>
          </w:tcPr>
          <w:p>
            <w:pPr>
              <w:jc w:val="right"/>
              <w:ind w:right="530"/>
              <w:spacing w:after="0"/>
              <w:rPr>
                <w:sz w:val="20"/>
                <w:szCs w:val="20"/>
                <w:color w:val="auto"/>
              </w:rPr>
            </w:pPr>
            <w:r>
              <w:rPr>
                <w:rFonts w:ascii="Arial" w:cs="Arial" w:eastAsia="Arial" w:hAnsi="Arial"/>
                <w:sz w:val="18"/>
                <w:szCs w:val="18"/>
                <w:color w:val="auto"/>
              </w:rPr>
              <w:t>(5.7)%</w:t>
            </w:r>
          </w:p>
        </w:tc>
        <w:tc>
          <w:tcPr>
            <w:tcW w:w="1320" w:type="dxa"/>
            <w:vAlign w:val="bottom"/>
          </w:tcPr>
          <w:p>
            <w:pPr>
              <w:jc w:val="right"/>
              <w:spacing w:after="0"/>
              <w:rPr>
                <w:sz w:val="20"/>
                <w:szCs w:val="20"/>
                <w:color w:val="auto"/>
              </w:rPr>
            </w:pPr>
            <w:r>
              <w:rPr>
                <w:rFonts w:ascii="Arial" w:cs="Arial" w:eastAsia="Arial" w:hAnsi="Arial"/>
                <w:sz w:val="18"/>
                <w:szCs w:val="18"/>
                <w:color w:val="auto"/>
              </w:rPr>
              <w:t>110.5 %</w:t>
            </w:r>
          </w:p>
        </w:tc>
      </w:tr>
      <w:tr>
        <w:trPr>
          <w:trHeight w:val="27"/>
        </w:trPr>
        <w:tc>
          <w:tcPr>
            <w:tcW w:w="2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2600" w:type="dxa"/>
            <w:vAlign w:val="bottom"/>
          </w:tcPr>
          <w:p>
            <w:pPr>
              <w:jc w:val="right"/>
              <w:ind w:right="530"/>
              <w:spacing w:after="0"/>
              <w:rPr>
                <w:sz w:val="20"/>
                <w:szCs w:val="20"/>
                <w:color w:val="auto"/>
              </w:rPr>
            </w:pPr>
            <w:r>
              <w:rPr>
                <w:rFonts w:ascii="Arial" w:cs="Arial" w:eastAsia="Arial" w:hAnsi="Arial"/>
                <w:sz w:val="18"/>
                <w:szCs w:val="18"/>
                <w:color w:val="auto"/>
              </w:rPr>
              <w:t>40.3 %</w:t>
            </w:r>
          </w:p>
        </w:tc>
        <w:tc>
          <w:tcPr>
            <w:tcW w:w="1800" w:type="dxa"/>
            <w:vAlign w:val="bottom"/>
          </w:tcPr>
          <w:p>
            <w:pPr>
              <w:jc w:val="right"/>
              <w:ind w:right="550"/>
              <w:spacing w:after="0"/>
              <w:rPr>
                <w:sz w:val="20"/>
                <w:szCs w:val="20"/>
                <w:color w:val="auto"/>
              </w:rPr>
            </w:pPr>
            <w:r>
              <w:rPr>
                <w:rFonts w:ascii="Arial" w:cs="Arial" w:eastAsia="Arial" w:hAnsi="Arial"/>
                <w:sz w:val="18"/>
                <w:szCs w:val="18"/>
                <w:color w:val="auto"/>
              </w:rPr>
              <w:t>12.6 %</w:t>
            </w:r>
          </w:p>
        </w:tc>
        <w:tc>
          <w:tcPr>
            <w:tcW w:w="1320" w:type="dxa"/>
            <w:vAlign w:val="bottom"/>
          </w:tcPr>
          <w:p>
            <w:pPr>
              <w:jc w:val="right"/>
              <w:spacing w:after="0"/>
              <w:rPr>
                <w:sz w:val="20"/>
                <w:szCs w:val="20"/>
                <w:color w:val="auto"/>
              </w:rPr>
            </w:pPr>
            <w:r>
              <w:rPr>
                <w:rFonts w:ascii="Arial" w:cs="Arial" w:eastAsia="Arial" w:hAnsi="Arial"/>
                <w:sz w:val="18"/>
                <w:szCs w:val="18"/>
                <w:color w:val="auto"/>
              </w:rPr>
              <w:t>115.9 %</w:t>
            </w:r>
          </w:p>
        </w:tc>
      </w:tr>
      <w:tr>
        <w:trPr>
          <w:trHeight w:val="27"/>
        </w:trPr>
        <w:tc>
          <w:tcPr>
            <w:tcW w:w="2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-1405890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-1062990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-719455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-376555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720"/>
            <w:col w:w="5720"/>
          </w:cols>
          <w:pgMar w:left="240" w:top="746"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(benefit) consisted of the following: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Federal</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(0.9)</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Foreign</w:t>
            </w:r>
          </w:p>
        </w:tc>
        <w:tc>
          <w:tcPr>
            <w:tcW w:w="4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7.1</w:t>
            </w:r>
          </w:p>
        </w:tc>
      </w:tr>
      <w:tr>
        <w:trPr>
          <w:trHeight w:val="27"/>
        </w:trPr>
        <w:tc>
          <w:tcPr>
            <w:tcW w:w="5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r>
      <w:tr>
        <w:trPr>
          <w:trHeight w:val="291"/>
        </w:trPr>
        <w:tc>
          <w:tcPr>
            <w:tcW w:w="59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Federal</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(13.3)</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5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Foreign</w:t>
            </w:r>
          </w:p>
        </w:tc>
        <w:tc>
          <w:tcPr>
            <w:tcW w:w="4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w:t>
            </w:r>
          </w:p>
        </w:tc>
        <w:tc>
          <w:tcPr>
            <w:tcW w:w="46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59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benefit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91"/>
        </w:trPr>
        <w:tc>
          <w:tcPr>
            <w:tcW w:w="59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64"/>
        </w:trPr>
        <w:tc>
          <w:tcPr>
            <w:tcW w:w="596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Based on the income (loss) before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Domestic</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(30.5)</w:t>
            </w: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7"/>
        </w:trPr>
        <w:tc>
          <w:tcPr>
            <w:tcW w:w="5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w:t>
            </w: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4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r>
      <w:tr>
        <w:trPr>
          <w:trHeight w:val="257"/>
        </w:trPr>
        <w:tc>
          <w:tcPr>
            <w:tcW w:w="596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4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24.6</w:t>
            </w:r>
          </w:p>
        </w:tc>
        <w:tc>
          <w:tcPr>
            <w:tcW w:w="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5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applies the intraperiod tax allocation rules of ASC 740 to allocate income taxes among continuing operations, discontinued operations, extraordinary items, other comprehensive income (loss), and additional paid-in capital when our situation meets the criteria as prescribed in the rule. During 2017 and 2015, the Company recognized $13.3 million and $11.7 million, respectively, of deferred benefit in the statement of consolidated operations and an equal and offsetting deferred tax expense in other comprehensive income included in the statement of consolidated comprehensive loss due to the application of the exception within the intraperiod tax allocation rules. There was no deferred benefit recognized in 2016, as the exception did not apply. This allocation has no effect on total tax provision or total valuation allowance.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746" w:right="2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total amount of unrecognized tax benefits for the years ended December 31 is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January 1</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w:t>
            </w:r>
          </w:p>
        </w:tc>
      </w:tr>
      <w:tr>
        <w:trPr>
          <w:trHeight w:val="270"/>
        </w:trPr>
        <w:tc>
          <w:tcPr>
            <w:tcW w:w="7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Tax positions taken during a prior period</w:t>
            </w:r>
          </w:p>
        </w:tc>
        <w:tc>
          <w:tcPr>
            <w:tcW w:w="50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17.3</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Tax positions taken during the current period</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70"/>
        </w:trPr>
        <w:tc>
          <w:tcPr>
            <w:tcW w:w="7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Tax positions taken during a prior period</w:t>
            </w:r>
          </w:p>
        </w:tc>
        <w:tc>
          <w:tcPr>
            <w:tcW w:w="50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Lapse of applicable statute of limitations</w:t>
            </w:r>
          </w:p>
        </w:tc>
        <w:tc>
          <w:tcPr>
            <w:tcW w:w="5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Settlements with taxing authorities</w:t>
            </w:r>
          </w:p>
        </w:tc>
        <w:tc>
          <w:tcPr>
            <w:tcW w:w="500" w:type="dxa"/>
            <w:vAlign w:val="bottom"/>
          </w:tcPr>
          <w:p>
            <w:pPr>
              <w:spacing w:after="0"/>
              <w:rPr>
                <w:sz w:val="21"/>
                <w:szCs w:val="21"/>
                <w:color w:val="auto"/>
              </w:rPr>
            </w:pP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44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Unrecognized tax benefits at December 31</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56.8</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45.3</w:t>
            </w:r>
          </w:p>
        </w:tc>
      </w:tr>
      <w:tr>
        <w:trPr>
          <w:trHeight w:val="20"/>
        </w:trPr>
        <w:tc>
          <w:tcPr>
            <w:tcW w:w="7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December 31, 2017 and 2016, there are $10.8 million and $10.9 million of benefits that, if recognized, would affect the effective tax rate. We accrued interest of $0.8 million and $0.6 million for the years ended December 31, 2017 and 2016 and reversed $0.7 million and $1.5 million of previously accrued interest on uncertain tax positions during the years ended December 31, 2017 and 2016 for a net increase of $0.1 million for 2017 and a net reduction of $0.9 million for 2016. The reversal related primarily to settlements and other favorable resolution of prior uncertain positions. The total amount of interest accrued for uncertain tax positions is $2.3 million and $2.2 million as of December 31, 2017 and 2016. During the year ended December 31, 2017, we paid no amounts to settle audits. During the year ended December 31, 2016, we paid inconsequential amounts of tax and interest to settle foreign audits of tax years 2006 through 2011 for certain of our subsidiaries, and we reduced our previously recorded liability for unrecognized tax benefits accordingly. We have not accrued any penalties relative to uncertain tax positions. We have elected to treat interest and penalties on uncertain tax positions as interest expense and other operating expenses, respectively.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reasonably possible that the existing unrecognized tax benefits may decrease over the next twelve months by as much as $0.6 million as a result of developments in examinations and/or litigation, or from the expiration of statutes of limitation.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Tax years that remain subject to examination for our major tax jurisdictions as of December 31, 2017:</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Statute remains open</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2005-2016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Tax years currently under examination/exam completed</w:t>
            </w:r>
          </w:p>
        </w:tc>
        <w:tc>
          <w:tcPr>
            <w:tcW w:w="4100" w:type="dxa"/>
            <w:vAlign w:val="bottom"/>
          </w:tcPr>
          <w:p>
            <w:pPr>
              <w:jc w:val="right"/>
              <w:spacing w:after="0"/>
              <w:rPr>
                <w:sz w:val="20"/>
                <w:szCs w:val="20"/>
                <w:color w:val="auto"/>
              </w:rPr>
            </w:pPr>
            <w:r>
              <w:rPr>
                <w:rFonts w:ascii="Arial" w:cs="Arial" w:eastAsia="Arial" w:hAnsi="Arial"/>
                <w:sz w:val="18"/>
                <w:szCs w:val="18"/>
                <w:color w:val="auto"/>
              </w:rPr>
              <w:t>2005-2013</w:t>
            </w: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43"/>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years not examined</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2014-2017</w:t>
            </w:r>
          </w:p>
        </w:tc>
      </w:tr>
      <w:tr>
        <w:trPr>
          <w:trHeight w:val="27"/>
        </w:trPr>
        <w:tc>
          <w:tcPr>
            <w:tcW w:w="73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Business Segments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report financial and descriptive information about our reportable operating segments on a basis consistent with that used internally for evaluating segment performance and allocating resources to segments. We evaluate performance primarily on operating income.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charge management fees and other corporate services to our segments based upon usage or on an overhead allocation basis. Corporate and other operating losses represent operating expenses of YRC Worldwide, the parent company, including compensation and benefits and professional services for all periods presented. Corporate identifiable assets primarily refer to cash, cash equivalents, restricted cash and deferred debt issuance costs and our investment in JHJ until March 2016. Intersegment revenue relates to transportation services between our segments.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foreign sources totaled $99.3 million, $101.0 million, and $116.5 million for the years ended December 31, 2017, 2016, and 2015, respectively, and is mainly derived from Canada and, to a lesser extent, Mexico. Long-lived assets located in foreign countries totaled $5.3 million, $5.2 million and $6.5 million at December 31, 2017, 2016, and 2015,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746"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The following table summarizes our operations by business segment: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4"/>
                <w:szCs w:val="14"/>
                <w:color w:val="auto"/>
              </w:rPr>
            </w:pPr>
          </w:p>
        </w:tc>
        <w:tc>
          <w:tcPr>
            <w:tcW w:w="13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YRC Freight</w:t>
            </w:r>
          </w:p>
        </w:tc>
        <w:tc>
          <w:tcPr>
            <w:tcW w:w="260" w:type="dxa"/>
            <w:vAlign w:val="bottom"/>
          </w:tcPr>
          <w:p>
            <w:pPr>
              <w:spacing w:after="0"/>
              <w:rPr>
                <w:sz w:val="14"/>
                <w:szCs w:val="14"/>
                <w:color w:val="auto"/>
              </w:rPr>
            </w:pPr>
          </w:p>
        </w:tc>
        <w:tc>
          <w:tcPr>
            <w:tcW w:w="1320" w:type="dxa"/>
            <w:vAlign w:val="bottom"/>
          </w:tcPr>
          <w:p>
            <w:pPr>
              <w:jc w:val="right"/>
              <w:ind w:right="412"/>
              <w:spacing w:after="0"/>
              <w:rPr>
                <w:sz w:val="20"/>
                <w:szCs w:val="20"/>
                <w:color w:val="auto"/>
              </w:rPr>
            </w:pPr>
            <w:r>
              <w:rPr>
                <w:rFonts w:ascii="Arial" w:cs="Arial" w:eastAsia="Arial" w:hAnsi="Arial"/>
                <w:sz w:val="14"/>
                <w:szCs w:val="14"/>
                <w:b w:val="1"/>
                <w:bCs w:val="1"/>
                <w:color w:val="auto"/>
              </w:rPr>
              <w:t>Regional</w:t>
            </w:r>
          </w:p>
        </w:tc>
        <w:tc>
          <w:tcPr>
            <w:tcW w:w="1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8"/>
              </w:rPr>
              <w:t>Corporate/Eliminations</w:t>
            </w:r>
          </w:p>
        </w:tc>
        <w:tc>
          <w:tcPr>
            <w:tcW w:w="280" w:type="dxa"/>
            <w:vAlign w:val="bottom"/>
          </w:tcPr>
          <w:p>
            <w:pPr>
              <w:spacing w:after="0"/>
              <w:rPr>
                <w:sz w:val="14"/>
                <w:szCs w:val="14"/>
                <w:color w:val="auto"/>
              </w:rPr>
            </w:pPr>
          </w:p>
        </w:tc>
        <w:tc>
          <w:tcPr>
            <w:tcW w:w="12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99"/>
              </w:rPr>
              <w:t>Consolidated</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Transportation</w:t>
            </w:r>
          </w:p>
        </w:tc>
        <w:tc>
          <w:tcPr>
            <w:tcW w:w="16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3,067.9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1,823.4</w:t>
            </w:r>
          </w:p>
        </w:tc>
        <w:tc>
          <w:tcPr>
            <w:tcW w:w="600" w:type="dxa"/>
            <w:vAlign w:val="bottom"/>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4,891.0</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41.4</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67.9</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Identifiable assets</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1,042.1</w:t>
            </w:r>
          </w:p>
        </w:tc>
        <w:tc>
          <w:tcPr>
            <w:tcW w:w="26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607.4</w:t>
            </w: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(64.0)</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1,585.5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6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84.8</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62.9</w:t>
            </w:r>
          </w:p>
        </w:tc>
        <w:tc>
          <w:tcPr>
            <w:tcW w:w="6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37"/>
        </w:trPr>
        <w:tc>
          <w:tcPr>
            <w:tcW w:w="45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2016</w:t>
            </w:r>
          </w:p>
        </w:tc>
        <w:tc>
          <w:tcPr>
            <w:tcW w:w="8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External revenue</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2,958.9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1,739.3</w:t>
            </w:r>
          </w:p>
        </w:tc>
        <w:tc>
          <w:tcPr>
            <w:tcW w:w="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4,697.5</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Operating income (loss)</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53.2</w:t>
            </w:r>
          </w:p>
        </w:tc>
        <w:tc>
          <w:tcPr>
            <w:tcW w:w="26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81.3</w:t>
            </w:r>
          </w:p>
        </w:tc>
        <w:tc>
          <w:tcPr>
            <w:tcW w:w="6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Identifiable assets</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1,208.7</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642.9</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1,770.0</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8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(73.2)</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w:t>
            </w:r>
          </w:p>
        </w:tc>
        <w:tc>
          <w:tcPr>
            <w:tcW w:w="6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31.3</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90.3</w:t>
            </w:r>
          </w:p>
        </w:tc>
        <w:tc>
          <w:tcPr>
            <w:tcW w:w="26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69.5</w:t>
            </w:r>
          </w:p>
        </w:tc>
        <w:tc>
          <w:tcPr>
            <w:tcW w:w="6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7"/>
        </w:trPr>
        <w:tc>
          <w:tcPr>
            <w:tcW w:w="4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2015</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External revenue</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3,055.7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1,776.9</w:t>
            </w:r>
          </w:p>
        </w:tc>
        <w:tc>
          <w:tcPr>
            <w:tcW w:w="600" w:type="dxa"/>
            <w:vAlign w:val="bottom"/>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4,832.4</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18.0</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85.4</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line="270" w:lineRule="exact"/>
              <w:rPr>
                <w:sz w:val="20"/>
                <w:szCs w:val="20"/>
                <w:color w:val="auto"/>
              </w:rPr>
            </w:pPr>
            <w:r>
              <w:rPr>
                <w:rFonts w:ascii="Arial" w:cs="Arial" w:eastAsia="Arial" w:hAnsi="Arial"/>
                <w:sz w:val="18"/>
                <w:szCs w:val="18"/>
                <w:color w:val="auto"/>
              </w:rPr>
              <w:t>Identifiable assets</w:t>
            </w:r>
            <w:r>
              <w:rPr>
                <w:rFonts w:ascii="Arial" w:cs="Arial" w:eastAsia="Arial" w:hAnsi="Arial"/>
                <w:sz w:val="25"/>
                <w:szCs w:val="25"/>
                <w:color w:val="auto"/>
                <w:vertAlign w:val="superscript"/>
              </w:rPr>
              <w:t>(a)</w:t>
            </w:r>
          </w:p>
        </w:tc>
        <w:tc>
          <w:tcPr>
            <w:tcW w:w="880" w:type="dxa"/>
            <w:vAlign w:val="bottom"/>
          </w:tcPr>
          <w:p>
            <w:pPr>
              <w:spacing w:after="0"/>
              <w:rPr>
                <w:sz w:val="23"/>
                <w:szCs w:val="23"/>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1,351.5</w:t>
            </w:r>
          </w:p>
        </w:tc>
        <w:tc>
          <w:tcPr>
            <w:tcW w:w="260" w:type="dxa"/>
            <w:vAlign w:val="bottom"/>
          </w:tcPr>
          <w:p>
            <w:pPr>
              <w:spacing w:after="0"/>
              <w:rPr>
                <w:sz w:val="23"/>
                <w:szCs w:val="23"/>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652.9</w:t>
            </w:r>
          </w:p>
        </w:tc>
        <w:tc>
          <w:tcPr>
            <w:tcW w:w="6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(125.0)</w:t>
            </w:r>
          </w:p>
        </w:tc>
        <w:tc>
          <w:tcPr>
            <w:tcW w:w="28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1,879.4</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8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880" w:type="dxa"/>
            <w:vAlign w:val="bottom"/>
          </w:tcPr>
          <w:p>
            <w:pPr>
              <w:spacing w:after="0"/>
              <w:rPr>
                <w:sz w:val="21"/>
                <w:szCs w:val="21"/>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5.5</w:t>
            </w:r>
          </w:p>
        </w:tc>
        <w:tc>
          <w:tcPr>
            <w:tcW w:w="6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23"/>
                <w:szCs w:val="23"/>
                <w:color w:val="auto"/>
              </w:rPr>
            </w:pPr>
          </w:p>
        </w:tc>
        <w:tc>
          <w:tcPr>
            <w:tcW w:w="1300" w:type="dxa"/>
            <w:vAlign w:val="bottom"/>
          </w:tcPr>
          <w:p>
            <w:pPr>
              <w:jc w:val="right"/>
              <w:ind w:right="51"/>
              <w:spacing w:after="0"/>
              <w:rPr>
                <w:sz w:val="20"/>
                <w:szCs w:val="20"/>
                <w:color w:val="auto"/>
              </w:rPr>
            </w:pPr>
            <w:r>
              <w:rPr>
                <w:rFonts w:ascii="Arial" w:cs="Arial" w:eastAsia="Arial" w:hAnsi="Arial"/>
                <w:sz w:val="18"/>
                <w:szCs w:val="18"/>
                <w:color w:val="auto"/>
              </w:rPr>
              <w:t>93.1</w:t>
            </w:r>
          </w:p>
        </w:tc>
        <w:tc>
          <w:tcPr>
            <w:tcW w:w="260" w:type="dxa"/>
            <w:vAlign w:val="bottom"/>
          </w:tcPr>
          <w:p>
            <w:pPr>
              <w:spacing w:after="0"/>
              <w:rPr>
                <w:sz w:val="23"/>
                <w:szCs w:val="23"/>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70.7</w:t>
            </w:r>
          </w:p>
        </w:tc>
        <w:tc>
          <w:tcPr>
            <w:tcW w:w="6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40" w:hanging="332"/>
        <w:spacing w:after="0"/>
        <w:tabs>
          <w:tab w:leader="none" w:pos="340" w:val="left"/>
        </w:tabs>
        <w:numPr>
          <w:ilvl w:val="0"/>
          <w:numId w:val="49"/>
        </w:numPr>
        <w:rPr>
          <w:rFonts w:ascii="Arial" w:cs="Arial" w:eastAsia="Arial" w:hAnsi="Arial"/>
          <w:sz w:val="13"/>
          <w:szCs w:val="13"/>
          <w:color w:val="auto"/>
        </w:rPr>
      </w:pPr>
      <w:r>
        <w:rPr>
          <w:rFonts w:ascii="Arial" w:cs="Arial" w:eastAsia="Arial" w:hAnsi="Arial"/>
          <w:sz w:val="13"/>
          <w:szCs w:val="13"/>
          <w:color w:val="auto"/>
        </w:rPr>
        <w:t xml:space="preserve">Due to the adoption of ASU 2015-03, </w:t>
      </w:r>
      <w:r>
        <w:rPr>
          <w:rFonts w:ascii="Arial" w:cs="Arial" w:eastAsia="Arial" w:hAnsi="Arial"/>
          <w:sz w:val="13"/>
          <w:szCs w:val="13"/>
          <w:i w:val="1"/>
          <w:iCs w:val="1"/>
          <w:color w:val="auto"/>
        </w:rPr>
        <w:t>Interest - Imputation of Interest</w:t>
      </w:r>
      <w:r>
        <w:rPr>
          <w:rFonts w:ascii="Arial" w:cs="Arial" w:eastAsia="Arial" w:hAnsi="Arial"/>
          <w:sz w:val="13"/>
          <w:szCs w:val="13"/>
          <w:color w:val="auto"/>
        </w:rPr>
        <w:t>, “Identifiable assets” were updated for respective years to reflect the reclassification of unamortized debt issuance costs.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Shareholders’ Deficit</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14, 2014, the Company held a special meeting of stockholders at which our stockholders approved amending our Certificate of Incorporation to increase the number of authorized shares of Common Stock to 95.0 million and to allow certain investors involved in other financing transactions to own more than 19.99% of outstanding Common Stock.</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2011, the Company designated one of its authorized shares of preferred stock as its Series A Voting Preferred Stock. The Series A Voting Preferred Stock has a $1 liquidation value and entitles the holder to elect two directors to the Company’s Board of Directors. The one share of Series A Voting Preferred Stock was issued to the IBT on July 22, 2011 in connection with the financial restructuring. The Series A Voting Preferred Stock was recorded at its liquidation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the activity in the shares of our common stock for the years ended December 31:</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Common Shares</w:t>
            </w:r>
          </w:p>
        </w:tc>
        <w:tc>
          <w:tcPr>
            <w:tcW w:w="2280" w:type="dxa"/>
            <w:vAlign w:val="bottom"/>
            <w:tcBorders>
              <w:bottom w:val="single" w:sz="8" w:color="auto"/>
            </w:tcBorders>
          </w:tcPr>
          <w:p>
            <w:pPr>
              <w:jc w:val="right"/>
              <w:ind w:right="1094"/>
              <w:spacing w:after="0"/>
              <w:rPr>
                <w:sz w:val="20"/>
                <w:szCs w:val="20"/>
                <w:color w:val="auto"/>
              </w:rPr>
            </w:pPr>
            <w:r>
              <w:rPr>
                <w:rFonts w:ascii="Arial" w:cs="Arial" w:eastAsia="Arial" w:hAnsi="Arial"/>
                <w:sz w:val="14"/>
                <w:szCs w:val="14"/>
                <w:b w:val="1"/>
                <w:bCs w:val="1"/>
                <w:color w:val="auto"/>
              </w:rPr>
              <w:t>2017</w:t>
            </w:r>
          </w:p>
        </w:tc>
        <w:tc>
          <w:tcPr>
            <w:tcW w:w="1920" w:type="dxa"/>
            <w:vAlign w:val="bottom"/>
            <w:tcBorders>
              <w:bottom w:val="single" w:sz="8" w:color="auto"/>
            </w:tcBorders>
          </w:tcPr>
          <w:p>
            <w:pPr>
              <w:jc w:val="right"/>
              <w:ind w:right="1074"/>
              <w:spacing w:after="0"/>
              <w:rPr>
                <w:sz w:val="20"/>
                <w:szCs w:val="20"/>
                <w:color w:val="auto"/>
              </w:rPr>
            </w:pPr>
            <w:r>
              <w:rPr>
                <w:rFonts w:ascii="Arial" w:cs="Arial" w:eastAsia="Arial" w:hAnsi="Arial"/>
                <w:sz w:val="14"/>
                <w:szCs w:val="14"/>
                <w:b w:val="1"/>
                <w:bCs w:val="1"/>
                <w:color w:val="auto"/>
              </w:rPr>
              <w:t>2016</w:t>
            </w:r>
          </w:p>
        </w:tc>
        <w:tc>
          <w:tcPr>
            <w:tcW w:w="15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2015</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Beginning balance</w:t>
            </w:r>
          </w:p>
        </w:tc>
        <w:tc>
          <w:tcPr>
            <w:tcW w:w="2280" w:type="dxa"/>
            <w:vAlign w:val="bottom"/>
          </w:tcPr>
          <w:p>
            <w:pPr>
              <w:jc w:val="right"/>
              <w:ind w:right="374"/>
              <w:spacing w:after="0"/>
              <w:rPr>
                <w:sz w:val="20"/>
                <w:szCs w:val="20"/>
                <w:color w:val="auto"/>
              </w:rPr>
            </w:pPr>
            <w:r>
              <w:rPr>
                <w:rFonts w:ascii="Arial" w:cs="Arial" w:eastAsia="Arial" w:hAnsi="Arial"/>
                <w:sz w:val="18"/>
                <w:szCs w:val="18"/>
                <w:color w:val="auto"/>
              </w:rPr>
              <w:t>32,473</w:t>
            </w:r>
          </w:p>
        </w:tc>
        <w:tc>
          <w:tcPr>
            <w:tcW w:w="1920" w:type="dxa"/>
            <w:vAlign w:val="bottom"/>
          </w:tcPr>
          <w:p>
            <w:pPr>
              <w:jc w:val="right"/>
              <w:ind w:right="374"/>
              <w:spacing w:after="0"/>
              <w:rPr>
                <w:sz w:val="20"/>
                <w:szCs w:val="20"/>
                <w:color w:val="auto"/>
              </w:rPr>
            </w:pPr>
            <w:r>
              <w:rPr>
                <w:rFonts w:ascii="Arial" w:cs="Arial" w:eastAsia="Arial" w:hAnsi="Arial"/>
                <w:sz w:val="18"/>
                <w:szCs w:val="18"/>
                <w:color w:val="auto"/>
              </w:rPr>
              <w:t>32,141</w:t>
            </w: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30,667</w:t>
            </w:r>
          </w:p>
        </w:tc>
      </w:tr>
      <w:tr>
        <w:trPr>
          <w:trHeight w:val="27"/>
        </w:trPr>
        <w:tc>
          <w:tcPr>
            <w:tcW w:w="55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Issuance of equity in exchange for debt</w:t>
            </w:r>
          </w:p>
        </w:tc>
        <w:tc>
          <w:tcPr>
            <w:tcW w:w="228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995</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Issuance of equity awards, net</w:t>
            </w:r>
          </w:p>
        </w:tc>
        <w:tc>
          <w:tcPr>
            <w:tcW w:w="2280" w:type="dxa"/>
            <w:vAlign w:val="bottom"/>
          </w:tcPr>
          <w:p>
            <w:pPr>
              <w:jc w:val="right"/>
              <w:ind w:right="374"/>
              <w:spacing w:after="0"/>
              <w:rPr>
                <w:sz w:val="20"/>
                <w:szCs w:val="20"/>
                <w:color w:val="auto"/>
              </w:rPr>
            </w:pPr>
            <w:r>
              <w:rPr>
                <w:rFonts w:ascii="Arial" w:cs="Arial" w:eastAsia="Arial" w:hAnsi="Arial"/>
                <w:sz w:val="18"/>
                <w:szCs w:val="18"/>
                <w:color w:val="auto"/>
              </w:rPr>
              <w:t>260</w:t>
            </w:r>
          </w:p>
        </w:tc>
        <w:tc>
          <w:tcPr>
            <w:tcW w:w="1920" w:type="dxa"/>
            <w:vAlign w:val="bottom"/>
          </w:tcPr>
          <w:p>
            <w:pPr>
              <w:jc w:val="right"/>
              <w:ind w:right="374"/>
              <w:spacing w:after="0"/>
              <w:rPr>
                <w:sz w:val="20"/>
                <w:szCs w:val="20"/>
                <w:color w:val="auto"/>
              </w:rPr>
            </w:pPr>
            <w:r>
              <w:rPr>
                <w:rFonts w:ascii="Arial" w:cs="Arial" w:eastAsia="Arial" w:hAnsi="Arial"/>
                <w:sz w:val="18"/>
                <w:szCs w:val="18"/>
                <w:color w:val="auto"/>
              </w:rPr>
              <w:t>332</w:t>
            </w: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479</w:t>
            </w:r>
          </w:p>
        </w:tc>
      </w:tr>
      <w:tr>
        <w:trPr>
          <w:trHeight w:val="27"/>
        </w:trPr>
        <w:tc>
          <w:tcPr>
            <w:tcW w:w="558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28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color w:val="auto"/>
              </w:rPr>
              <w:t>32,733</w:t>
            </w:r>
          </w:p>
        </w:tc>
        <w:tc>
          <w:tcPr>
            <w:tcW w:w="192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color w:val="auto"/>
              </w:rPr>
              <w:t>32,473</w:t>
            </w: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32,141</w:t>
            </w:r>
          </w:p>
        </w:tc>
      </w:tr>
      <w:tr>
        <w:trPr>
          <w:trHeight w:val="20"/>
        </w:trPr>
        <w:tc>
          <w:tcPr>
            <w:tcW w:w="558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Our Term Loan agreement in place as of December 31, 2017, restricts the ability of YRC Worldwide to declare dividends on its outstanding capital stock.</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746" w:right="239" w:bottom="1440" w:gutter="0" w:footer="0" w:header="0"/>
        </w:sectPr>
      </w:pPr>
    </w:p>
    <w:bookmarkStart w:id="78" w:name="page79"/>
    <w:bookmarkEnd w:id="78"/>
    <w:p>
      <w:pPr>
        <w:spacing w:after="0"/>
        <w:rPr>
          <w:sz w:val="20"/>
          <w:szCs w:val="20"/>
          <w:color w:val="auto"/>
        </w:rPr>
      </w:pPr>
      <w:r>
        <w:rPr>
          <w:rFonts w:ascii="Arial" w:cs="Arial" w:eastAsia="Arial" w:hAnsi="Arial"/>
          <w:sz w:val="20"/>
          <w:szCs w:val="20"/>
          <w:b w:val="1"/>
          <w:bCs w:val="1"/>
          <w:color w:val="auto"/>
        </w:rPr>
        <w:t>11. Earnings (Loss) Per Share</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calculate basic earnings (loss) per share by dividing our net earnings (loss) available to common shareholders by our weighted-average shares outstanding at the end of the period. The calculation for diluted earnings (loss) per share adjusts the weighted average shares outstanding for our dilutive unvested shares and stock units using the treasury stock method and for our convertible notes using the if-converted method. Our calculations for basic and dilutive earnings (loss) per share for the years ended December 31, 2017, 2016, and 2015 are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 except per share data, shares and stock units in thousands)</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dilutive net income (loss) available to common shareholders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r>
      <w:tr>
        <w:trPr>
          <w:trHeight w:val="324"/>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31,736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Unvested shares and stock units</w:t>
            </w:r>
            <w:r>
              <w:rPr>
                <w:rFonts w:ascii="Arial" w:cs="Arial" w:eastAsia="Arial" w:hAnsi="Arial"/>
                <w:sz w:val="25"/>
                <w:szCs w:val="25"/>
                <w:color w:val="auto"/>
                <w:vertAlign w:val="superscript"/>
              </w:rPr>
              <w:t>(b)</w:t>
            </w: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Series B Notes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240</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weighted average shares outstanding</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32,685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32,592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Basic earnings (loss) per share</w:t>
            </w:r>
            <w:r>
              <w:rPr>
                <w:rFonts w:ascii="Arial" w:cs="Arial" w:eastAsia="Arial" w:hAnsi="Arial"/>
                <w:sz w:val="25"/>
                <w:szCs w:val="25"/>
                <w:color w:val="auto"/>
                <w:vertAlign w:val="superscript"/>
              </w:rPr>
              <w:t>(a)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0.02</w:t>
            </w:r>
          </w:p>
        </w:tc>
      </w:tr>
      <w:tr>
        <w:trPr>
          <w:trHeight w:val="263"/>
        </w:trPr>
        <w:tc>
          <w:tcPr>
            <w:tcW w:w="7440" w:type="dxa"/>
            <w:vAlign w:val="bottom"/>
          </w:tcPr>
          <w:p>
            <w:pPr>
              <w:ind w:left="40"/>
              <w:spacing w:after="0" w:line="263" w:lineRule="exact"/>
              <w:rPr>
                <w:sz w:val="20"/>
                <w:szCs w:val="20"/>
                <w:color w:val="auto"/>
              </w:rPr>
            </w:pPr>
            <w:r>
              <w:rPr>
                <w:rFonts w:ascii="Arial" w:cs="Arial" w:eastAsia="Arial" w:hAnsi="Arial"/>
                <w:sz w:val="18"/>
                <w:szCs w:val="18"/>
                <w:color w:val="auto"/>
              </w:rPr>
              <w:t>Diluted earnings (loss) per share</w:t>
            </w:r>
            <w:r>
              <w:rPr>
                <w:rFonts w:ascii="Arial" w:cs="Arial" w:eastAsia="Arial" w:hAnsi="Arial"/>
                <w:sz w:val="25"/>
                <w:szCs w:val="25"/>
                <w:color w:val="auto"/>
                <w:vertAlign w:val="superscript"/>
              </w:rPr>
              <w:t>(a)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0.02</w:t>
            </w:r>
          </w:p>
        </w:tc>
      </w:tr>
    </w:tbl>
    <w:p>
      <w:pPr>
        <w:ind w:left="220" w:hanging="131"/>
        <w:spacing w:after="0"/>
        <w:tabs>
          <w:tab w:leader="none" w:pos="220" w:val="left"/>
        </w:tabs>
        <w:numPr>
          <w:ilvl w:val="0"/>
          <w:numId w:val="50"/>
        </w:numPr>
        <w:rPr>
          <w:rFonts w:ascii="Arial" w:cs="Arial" w:eastAsia="Arial" w:hAnsi="Arial"/>
          <w:sz w:val="9"/>
          <w:szCs w:val="9"/>
          <w:color w:val="auto"/>
        </w:rPr>
      </w:pPr>
      <w:r>
        <w:rPr>
          <w:rFonts w:ascii="Arial" w:cs="Arial" w:eastAsia="Arial" w:hAnsi="Arial"/>
          <w:sz w:val="14"/>
          <w:szCs w:val="14"/>
          <w:color w:val="auto"/>
        </w:rPr>
        <w:t>Earnings (loss) per share is based on unrounded figures and not the rounded figures presented.</w:t>
      </w:r>
    </w:p>
    <w:p>
      <w:pPr>
        <w:spacing w:after="0" w:line="1" w:lineRule="exact"/>
        <w:rPr>
          <w:rFonts w:ascii="Arial" w:cs="Arial" w:eastAsia="Arial" w:hAnsi="Arial"/>
          <w:sz w:val="9"/>
          <w:szCs w:val="9"/>
          <w:color w:val="auto"/>
        </w:rPr>
      </w:pPr>
    </w:p>
    <w:p>
      <w:pPr>
        <w:ind w:left="220" w:hanging="131"/>
        <w:spacing w:after="0"/>
        <w:tabs>
          <w:tab w:leader="none" w:pos="220" w:val="left"/>
        </w:tabs>
        <w:numPr>
          <w:ilvl w:val="0"/>
          <w:numId w:val="50"/>
        </w:numPr>
        <w:rPr>
          <w:rFonts w:ascii="Arial" w:cs="Arial" w:eastAsia="Arial" w:hAnsi="Arial"/>
          <w:sz w:val="9"/>
          <w:szCs w:val="9"/>
          <w:color w:val="auto"/>
        </w:rPr>
      </w:pPr>
      <w:r>
        <w:rPr>
          <w:rFonts w:ascii="Arial" w:cs="Arial" w:eastAsia="Arial" w:hAnsi="Arial"/>
          <w:sz w:val="14"/>
          <w:szCs w:val="14"/>
          <w:color w:val="auto"/>
        </w:rPr>
        <w:t>Includes unvested shares of Common Stock, unvested stock units, and vested stock units for which the underlying Common Stock has not been distributed.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Given our net loss position for the year ended December 31, 2017, there are no dilutive securities for this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anti-dilutive securities for the years ended December 31 are as follows:</w:t>
      </w:r>
    </w:p>
    <w:p>
      <w:pPr>
        <w:spacing w:after="0" w:line="379"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(shares and stock units in thousands)</w:t>
            </w:r>
          </w:p>
        </w:tc>
        <w:tc>
          <w:tcPr>
            <w:tcW w:w="12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r>
      <w:tr>
        <w:trPr>
          <w:trHeight w:val="270"/>
        </w:trPr>
        <w:tc>
          <w:tcPr>
            <w:tcW w:w="4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Anti-dilutive unvested shares, options, and stock units</w:t>
            </w:r>
            <w:r>
              <w:rPr>
                <w:rFonts w:ascii="Arial" w:cs="Arial" w:eastAsia="Arial" w:hAnsi="Arial"/>
                <w:sz w:val="25"/>
                <w:szCs w:val="25"/>
                <w:color w:val="auto"/>
                <w:vertAlign w:val="superscript"/>
              </w:rPr>
              <w:t>(a)</w:t>
            </w:r>
          </w:p>
        </w:tc>
        <w:tc>
          <w:tcPr>
            <w:tcW w:w="1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959"/>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bl>
    <w:p>
      <w:pPr>
        <w:spacing w:after="0" w:line="62" w:lineRule="exact"/>
        <w:rPr>
          <w:sz w:val="20"/>
          <w:szCs w:val="20"/>
          <w:color w:val="auto"/>
        </w:rPr>
      </w:pPr>
    </w:p>
    <w:p>
      <w:pPr>
        <w:ind w:left="140" w:hanging="132"/>
        <w:spacing w:after="0"/>
        <w:tabs>
          <w:tab w:leader="none" w:pos="140" w:val="left"/>
        </w:tabs>
        <w:numPr>
          <w:ilvl w:val="0"/>
          <w:numId w:val="51"/>
        </w:numPr>
        <w:rPr>
          <w:rFonts w:ascii="Arial" w:cs="Arial" w:eastAsia="Arial" w:hAnsi="Arial"/>
          <w:sz w:val="9"/>
          <w:szCs w:val="9"/>
          <w:color w:val="auto"/>
        </w:rPr>
      </w:pPr>
      <w:r>
        <w:rPr>
          <w:rFonts w:ascii="Arial" w:cs="Arial" w:eastAsia="Arial" w:hAnsi="Arial"/>
          <w:sz w:val="14"/>
          <w:szCs w:val="14"/>
          <w:color w:val="auto"/>
        </w:rPr>
        <w:t>Includes unvested shares of Common Stock, unvested stock units, and vested stock units for which the underlying Common Stock has not been distributed.</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Commitments, Contingencies, and Uncertainties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incur rental expenses under noncancelable operating lease agreements for certain buildings and operating equipment. Rental expense is charged to “Operating expense and supplies” or “Purchased transportation” on the accompanying statements of operations. Rental expense was $159.2 million, $140.8 million and $119.3 million for the years ended December 31, 2017, 2016 and 2015, respectively.</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2017, we were committed under noncancelable lease agreements for building and revenue equipment, requiring minimum annual rentals payable as follows:</w:t>
      </w:r>
    </w:p>
    <w:p>
      <w:pPr>
        <w:spacing w:after="0" w:line="108" w:lineRule="exact"/>
        <w:rPr>
          <w:sz w:val="20"/>
          <w:szCs w:val="20"/>
          <w:color w:val="auto"/>
        </w:rPr>
      </w:pPr>
    </w:p>
    <w:tbl>
      <w:tblPr>
        <w:tblLayout w:type="fixed"/>
        <w:tblInd w:w="380" w:type="dxa"/>
        <w:tblCellMar>
          <w:top w:w="0" w:type="dxa"/>
          <w:left w:w="0" w:type="dxa"/>
          <w:bottom w:w="0" w:type="dxa"/>
          <w:right w:w="0" w:type="dxa"/>
        </w:tblCellMar>
      </w:tblPr>
      <w:tr>
        <w:trPr>
          <w:trHeight w:val="192"/>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Thereafter</w:t>
            </w:r>
          </w:p>
        </w:tc>
      </w:tr>
      <w:tr>
        <w:trPr>
          <w:trHeight w:val="243"/>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annual rentals</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16.7</w:t>
            </w:r>
          </w:p>
        </w:tc>
      </w:tr>
      <w:tr>
        <w:trPr>
          <w:trHeight w:val="27"/>
        </w:trPr>
        <w:tc>
          <w:tcPr>
            <w:tcW w:w="24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in the ordinary course of business that leases will be renewed or replaced as they expire. The leases provide for fixed and escalating rentals and contingent escalating rentals based on the Consumer Price Index not to exceed certain specified amounts. We record rent expense for our operating leases on a straight-line basis over the base term of the lease agreements.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we have $80.0 million committed for capital expenditures to be completed during 2018, which primarily includes noncancelable orders for revenue equipment leases not yet delivered, whereby the cash obligations will be scheduled over the multi-year term of the lease and are not included on the Company’s consolidated balance sheets.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22"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Other Legal Matters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involved in litigation or proceedings that arise in ordinary business activities. When possible, we insure against these risks to the extent we deem prudent, but no assurance can be given that the nature or amount of such insurance will be sufficient to fully indemnify us against liabilities arising out of pending and future legal proceedings. Many of these insurance policies contain self-insured retentions in amounts we deem prudent. Based on our current assessment of information available as of the date of these consolidated financial statements, we believe that our consolidated financial statements include adequate provisions for estimated costs and losses that may be incurred within the litigation and proceedings to which we are a party.</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Related Party Transactions</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Logistics Planning Services (“LPS”), which does business with YRCW, was acquired by GlobalTranz Enterprises, Inc. (“GlobalTranz”) in May 2017. Prior to the GlobalTranz acquisition, Mr. Justin Hall, Chief Customer Officer, and his family owned LPS via their ownership of Hall Enterprises, Inc. (“HEI”), the sole shareholder of LPS. Mr Hall’s stake in HEI was 14.9%. Mr. Hall served as a director of HEI and his father served as the chairman of the board. Immediately prior to joining YRCW in 2016, Mr. Hall served as the president of LPS. In 2017 and 2016, the Company had approximately $0.6 million and $5.1 million, respectively, in revenues related to transportation services and $0.2 million and $3.3 million, respectively, in purchased transportation expense for transportation management and logistics services with LPS. Mr. Hall did not set pricing, negotiate transactions, or otherwise control the Company’s business relationship with LPS.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Subsequent Events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30, 2018, the company entered into an amendment to its Second A&amp;R CDA Notes, which extended the maturity date to December 2022, among other things, as referenced in the “Debt and Financing” footnote to the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179"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YRC Worldwide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YRC Worldwide Inc. and subsidiaries (the Company) as of December 31, 2017 and 2016, the related statements of consolidated operations, comprehensive income (loss), shareholders’ deficit, and cash flows for each of the years in the three-year period ended December 31, 2017, and the related notes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three-year period ended December 31, 2017, in conformity with U.S. generally accepted accounting principles.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15, 2018 expressed an unqualified opinion on the effectiveness of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3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YRC Worldwide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have audited YRC Worldwide Inc. and subsidiaries (the Company) internal control over financial reporting as of December 31, 2017,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In our opinion, the Company maintained, in all material respects, effective internal control over financial reporting as of December 31,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2017 and 2016, the related statements of consolidated operations, comprehensive income (loss), shareholders’ deficit, and cash flows for each of the years in the three-year period ended December 31, 2017, and the related notes (collectively, the consolidated financial statements), and our report dated February 15, 2018 expressed an unqualified opinion on those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9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appearing under Item 9A of the December 31, 2017 annual report on Form 10-K.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2018</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30"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auto"/>
        </w:rPr>
        <w:t>Item 9. Changes in and Disagreements with Accountants on Accounting and Financial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the Exchange Act, we maintain disclosure controls and procedures designed to ensure that information we are required to disclose in reports that we file or submit under the Exchange Act, is recorded, processed, summarized and reported within the time periods specified in the SEC’s rules and forms. Our disclosure controls and procedures include, without limitation, controls and procedures designed to ensure that information we are required to disclose in reports that we file or submit under the Exchange Act is accumulated and communicated to our management, including our principal executive and principal financial officers, as appropriate to allow timely decisions regarding required disclosure. Our management, with the participation of our principal executive and financial officers, has evaluated our disclosure controls and procedures as of December 31, 2017 and has concluded that our disclosure controls and procedures were effective as of December 31, 2017.</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Effective January 1, 2018, we implemented the human resources and payroll modules of a new comprehensive enterprise resource planning (ERP) system, at several of our companies, including our largest operating company. Although the processes that constitute our internal control over financial reporting will be affected by the implementation, the Company has performed procedures at each phase as part of its assessment of the effectiveness of internal control over financial reporting. We do not believe that the implementation will have a material adverse effect on our internal controls over financial reporting.</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than as described above, there were no changes in our internal controls over financial reporting that occurred during the fiscal quarter ended December 31, 2017 that have materially affected, or are reasonably likely to materially affect our internal controls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management is responsible for establishing and maintaining effective internal control over our financial reporting, which is designed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 xml:space="preserve">Our management assessed the effectiveness of our system of internal control over financial reporting as of December 31, 2017 based on the framework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its assessment using those criteria, our management concluded that, as of December 31, 2017, our system of internal control over financial reporting was effective.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KPMG LLP, the independent registered public accounting firm that audited our December 31, 2017 consolidated financial statements, has issued an audit report on our system of internal control over financial reporting. The KPMG LLP audit report is included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30"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Directors, Executive Officers and Corporate Governance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General Instruction G to Form 10-K, the information required by this item, other than information regarding (i) our executive officers, which is incorporated by reference to Part I of this Form 10-K under the heading “Executive Officers of the Registrant,” and (ii) our code of ethics, which is described below and titled the “Code of Business Conduct,” is included under the captions “Directors to be Elected by our Stockholders,” “Directors Selected by the Holder of our Series A Preferred Stock,” “Stockholder Proposals and Director Nomination for 2018 Annual Meeting,” “Structure and Functioning of the Board Audit &amp; Ethics Committee,” and “Section 16(a) Beneficial Ownership Reporting Compliance” in our Proxy Statement related to the 2018 Annual Meeting of Stockholders and is incorporated herein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written Code of Business Conduct that applies to all of our directors, officers and employees, including our chief executive officer, chief financial officer and chief accounting officer. It is available under “Board Committee Charters and Code of Business Conduct” on our website located at www.yrcw.com. We intend to disclose any amendments or waivers to our Code of Business Conduct by posting such information on our website located at www.yrcw.com, other than technical, administrative or non-substantive amendments, and any waivers, including implicit waivers, from any provision of our Code of Business Conduct that applies to our principal executive officer, principal financial officer, principal accounting officer or controller, which information will be disclosed via SEC filing.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11. Executive Compensation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General Instruction G to Form 10-K, the information required by this item is included under the captions “Compensation Committee Interlocks and Insider Participation,” “Director Compensation,” “Compensation Discussion and Analysis,” “Compensation Committee Report” and “Executive Compensation” in our Proxy Statement related to the 2018 Annual Meeting of Stockholders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12. Security Ownership of Certain Beneficial Owners and Management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captions “Security Ownership of Management and Directors,” “Security Ownership of Certain Beneficial Owners” and “Equity Compensation Plan Information” in our Proxy Statement related to the 2018 Annual Meeting of Stockholders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13. Certain Relationships and Related Transactions, and Director Independence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captions “Structure and Functioning of the Board” and “Certain Relationships and Related Transactions” in our Proxy Statement related to the 2018 Annual Meeting of Stockholders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14. Principal Accountant Fees and Services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General Instruction G to Form 10-K, the information required by this item is included under the caption “Audit and Audit-Related Fees” in our Proxy Statement related to the 2018 Annual Meeting of Stockholders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526" w:right="239" w:bottom="1440" w:gutter="0" w:footer="0" w:header="0"/>
        </w:sectPr>
      </w:pPr>
    </w:p>
    <w:bookmarkStart w:id="84" w:name="page85"/>
    <w:bookmarkEnd w:id="84"/>
    <w:p>
      <w:pPr>
        <w:spacing w:after="0"/>
        <w:rPr>
          <w:sz w:val="20"/>
          <w:szCs w:val="20"/>
          <w:color w:val="auto"/>
        </w:rPr>
      </w:pPr>
      <w:r>
        <w:rPr>
          <w:rFonts w:ascii="Arial" w:cs="Arial" w:eastAsia="Arial" w:hAnsi="Arial"/>
          <w:sz w:val="20"/>
          <w:szCs w:val="20"/>
          <w:b w:val="1"/>
          <w:bCs w:val="1"/>
          <w:color w:val="auto"/>
        </w:rPr>
        <w:t>PART IV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15. Exhibits, Financial Statement Schedules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of the Company included under Item 8 -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25" w:lineRule="exact"/>
        <w:rPr>
          <w:sz w:val="20"/>
          <w:szCs w:val="20"/>
          <w:color w:val="auto"/>
        </w:rPr>
      </w:pPr>
    </w:p>
    <w:p>
      <w:pPr>
        <w:jc w:val="both"/>
        <w:ind w:left="880" w:firstLine="648"/>
        <w:spacing w:after="0" w:line="258" w:lineRule="auto"/>
        <w:rPr>
          <w:rFonts w:ascii="Arial" w:cs="Arial" w:eastAsia="Arial" w:hAnsi="Arial"/>
          <w:sz w:val="18"/>
          <w:szCs w:val="18"/>
          <w:color w:val="0000FF"/>
        </w:rPr>
      </w:pPr>
      <w:hyperlink r:id="rId55">
        <w:r>
          <w:rPr>
            <w:rFonts w:ascii="Arial" w:cs="Arial" w:eastAsia="Arial" w:hAnsi="Arial"/>
            <w:sz w:val="18"/>
            <w:szCs w:val="18"/>
            <w:u w:val="single" w:color="auto"/>
            <w:color w:val="0000FF"/>
          </w:rPr>
          <w:t>3.1.1</w:t>
        </w:r>
      </w:hyperlink>
      <w:r>
        <w:rPr>
          <w:rFonts w:ascii="Arial" w:cs="Arial" w:eastAsia="Arial" w:hAnsi="Arial"/>
          <w:sz w:val="18"/>
          <w:szCs w:val="18"/>
          <w:color w:val="000000"/>
        </w:rPr>
        <w:t>Amended</w:t>
      </w:r>
      <w:r>
        <w:rPr>
          <w:rFonts w:ascii="Arial" w:cs="Arial" w:eastAsia="Arial" w:hAnsi="Arial"/>
          <w:sz w:val="18"/>
          <w:szCs w:val="18"/>
          <w:color w:val="0000FF"/>
        </w:rPr>
        <w:t xml:space="preserve"> </w:t>
      </w:r>
      <w:r>
        <w:rPr>
          <w:rFonts w:ascii="Arial" w:cs="Arial" w:eastAsia="Arial" w:hAnsi="Arial"/>
          <w:sz w:val="18"/>
          <w:szCs w:val="18"/>
          <w:color w:val="000000"/>
        </w:rPr>
        <w:t>and Restated Certificate of Incorporation of the Company (incorporated by reference to Exhibit 3.1 to Current Report on</w:t>
      </w:r>
      <w:r>
        <w:rPr>
          <w:rFonts w:ascii="Arial" w:cs="Arial" w:eastAsia="Arial" w:hAnsi="Arial"/>
          <w:sz w:val="18"/>
          <w:szCs w:val="18"/>
          <w:color w:val="0000FF"/>
        </w:rPr>
        <w:t xml:space="preserve"> </w:t>
      </w:r>
      <w:r>
        <w:rPr>
          <w:rFonts w:ascii="Arial" w:cs="Arial" w:eastAsia="Arial" w:hAnsi="Arial"/>
          <w:sz w:val="18"/>
          <w:szCs w:val="18"/>
          <w:color w:val="000000"/>
        </w:rPr>
        <w:t>Form 8-K, filed on September 16, 2011, File No. 000-12255).</w:t>
      </w:r>
    </w:p>
    <w:p>
      <w:pPr>
        <w:spacing w:after="0" w:line="1" w:lineRule="exact"/>
        <w:rPr>
          <w:sz w:val="20"/>
          <w:szCs w:val="20"/>
          <w:color w:val="auto"/>
        </w:rPr>
      </w:pPr>
    </w:p>
    <w:p>
      <w:pPr>
        <w:jc w:val="both"/>
        <w:ind w:left="880" w:right="20" w:firstLine="648"/>
        <w:spacing w:after="0" w:line="250" w:lineRule="auto"/>
        <w:rPr>
          <w:rFonts w:ascii="Arial" w:cs="Arial" w:eastAsia="Arial" w:hAnsi="Arial"/>
          <w:sz w:val="18"/>
          <w:szCs w:val="18"/>
          <w:color w:val="0000FF"/>
        </w:rPr>
      </w:pPr>
      <w:hyperlink r:id="rId56">
        <w:r>
          <w:rPr>
            <w:rFonts w:ascii="Arial" w:cs="Arial" w:eastAsia="Arial" w:hAnsi="Arial"/>
            <w:sz w:val="18"/>
            <w:szCs w:val="18"/>
            <w:u w:val="single" w:color="auto"/>
            <w:color w:val="0000FF"/>
          </w:rPr>
          <w:t>3.1.2</w:t>
        </w:r>
      </w:hyperlink>
      <w:r>
        <w:rPr>
          <w:rFonts w:ascii="Arial" w:cs="Arial" w:eastAsia="Arial" w:hAnsi="Arial"/>
          <w:sz w:val="18"/>
          <w:szCs w:val="18"/>
          <w:color w:val="000000"/>
        </w:rPr>
        <w:t>Certificate</w:t>
      </w:r>
      <w:r>
        <w:rPr>
          <w:rFonts w:ascii="Arial" w:cs="Arial" w:eastAsia="Arial" w:hAnsi="Arial"/>
          <w:sz w:val="18"/>
          <w:szCs w:val="18"/>
          <w:color w:val="0000FF"/>
        </w:rPr>
        <w:t xml:space="preserve"> </w:t>
      </w:r>
      <w:r>
        <w:rPr>
          <w:rFonts w:ascii="Arial" w:cs="Arial" w:eastAsia="Arial" w:hAnsi="Arial"/>
          <w:sz w:val="18"/>
          <w:szCs w:val="18"/>
          <w:color w:val="000000"/>
        </w:rPr>
        <w:t>of Amendment to the Certificate of Incorporation of the Company reducing the number of authorized shares</w:t>
      </w:r>
      <w:r>
        <w:rPr>
          <w:rFonts w:ascii="Arial" w:cs="Arial" w:eastAsia="Arial" w:hAnsi="Arial"/>
          <w:sz w:val="18"/>
          <w:szCs w:val="18"/>
          <w:color w:val="0000FF"/>
        </w:rPr>
        <w:t xml:space="preserve"> </w:t>
      </w:r>
      <w:r>
        <w:rPr>
          <w:rFonts w:ascii="Arial" w:cs="Arial" w:eastAsia="Arial" w:hAnsi="Arial"/>
          <w:sz w:val="18"/>
          <w:szCs w:val="18"/>
          <w:color w:val="000000"/>
        </w:rPr>
        <w:t>(incorporated by reference to Exhibit 3.1 to Current Report on Form 8-K, filed on December 1, 2011, File No. 000-12255).</w:t>
      </w:r>
    </w:p>
    <w:p>
      <w:pPr>
        <w:spacing w:after="0" w:line="1"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57">
        <w:r>
          <w:rPr>
            <w:rFonts w:ascii="Arial" w:cs="Arial" w:eastAsia="Arial" w:hAnsi="Arial"/>
            <w:sz w:val="18"/>
            <w:szCs w:val="18"/>
            <w:u w:val="single" w:color="auto"/>
            <w:color w:val="0000FF"/>
          </w:rPr>
          <w:t>3.1.3</w:t>
        </w:r>
      </w:hyperlink>
      <w:r>
        <w:rPr>
          <w:rFonts w:ascii="Arial" w:cs="Arial" w:eastAsia="Arial" w:hAnsi="Arial"/>
          <w:sz w:val="18"/>
          <w:szCs w:val="18"/>
          <w:color w:val="000000"/>
        </w:rPr>
        <w:t>Certificate</w:t>
      </w:r>
      <w:r>
        <w:rPr>
          <w:rFonts w:ascii="Arial" w:cs="Arial" w:eastAsia="Arial" w:hAnsi="Arial"/>
          <w:sz w:val="18"/>
          <w:szCs w:val="18"/>
          <w:color w:val="0000FF"/>
        </w:rPr>
        <w:t xml:space="preserve"> </w:t>
      </w:r>
      <w:r>
        <w:rPr>
          <w:rFonts w:ascii="Arial" w:cs="Arial" w:eastAsia="Arial" w:hAnsi="Arial"/>
          <w:sz w:val="18"/>
          <w:szCs w:val="18"/>
          <w:color w:val="000000"/>
        </w:rPr>
        <w:t>of Elimination of Series B Convertible Preferred Stock (incorporated by reference to Exhibit 3.2 to Current Report on</w:t>
      </w:r>
      <w:r>
        <w:rPr>
          <w:rFonts w:ascii="Arial" w:cs="Arial" w:eastAsia="Arial" w:hAnsi="Arial"/>
          <w:sz w:val="18"/>
          <w:szCs w:val="18"/>
          <w:color w:val="0000FF"/>
        </w:rPr>
        <w:t xml:space="preserve"> </w:t>
      </w:r>
      <w:r>
        <w:rPr>
          <w:rFonts w:ascii="Arial" w:cs="Arial" w:eastAsia="Arial" w:hAnsi="Arial"/>
          <w:sz w:val="18"/>
          <w:szCs w:val="18"/>
          <w:color w:val="000000"/>
        </w:rPr>
        <w:t>Form 8-K, filed on December 1, 2011, File No. 000-12255).</w:t>
      </w:r>
    </w:p>
    <w:p>
      <w:pPr>
        <w:spacing w:after="0" w:line="1" w:lineRule="exact"/>
        <w:rPr>
          <w:sz w:val="20"/>
          <w:szCs w:val="20"/>
          <w:color w:val="auto"/>
        </w:rPr>
      </w:pPr>
    </w:p>
    <w:p>
      <w:pPr>
        <w:ind w:left="1520"/>
        <w:spacing w:after="0"/>
        <w:rPr>
          <w:rFonts w:ascii="Arial" w:cs="Arial" w:eastAsia="Arial" w:hAnsi="Arial"/>
          <w:sz w:val="16"/>
          <w:szCs w:val="16"/>
          <w:color w:val="0000FF"/>
        </w:rPr>
      </w:pPr>
      <w:hyperlink r:id="rId58">
        <w:r>
          <w:rPr>
            <w:rFonts w:ascii="Arial" w:cs="Arial" w:eastAsia="Arial" w:hAnsi="Arial"/>
            <w:sz w:val="16"/>
            <w:szCs w:val="16"/>
            <w:u w:val="single" w:color="auto"/>
            <w:color w:val="0000FF"/>
          </w:rPr>
          <w:t>3.1.4</w:t>
        </w:r>
      </w:hyperlink>
      <w:r>
        <w:rPr>
          <w:rFonts w:ascii="Arial" w:cs="Arial" w:eastAsia="Arial" w:hAnsi="Arial"/>
          <w:sz w:val="16"/>
          <w:szCs w:val="16"/>
          <w:color w:val="000000"/>
        </w:rPr>
        <w:t>Certificate</w:t>
      </w:r>
      <w:r>
        <w:rPr>
          <w:rFonts w:ascii="Arial" w:cs="Arial" w:eastAsia="Arial" w:hAnsi="Arial"/>
          <w:sz w:val="16"/>
          <w:szCs w:val="16"/>
          <w:color w:val="0000FF"/>
        </w:rPr>
        <w:t xml:space="preserve"> </w:t>
      </w:r>
      <w:r>
        <w:rPr>
          <w:rFonts w:ascii="Arial" w:cs="Arial" w:eastAsia="Arial" w:hAnsi="Arial"/>
          <w:sz w:val="16"/>
          <w:szCs w:val="16"/>
          <w:color w:val="000000"/>
        </w:rPr>
        <w:t>of Designations of Series A Voting Preferred Stock (incorporated by reference to Exhibit 3.1 to Current Report on Form</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8-K, filed on July 25, 2011, File No. 000-12255).</w:t>
      </w:r>
    </w:p>
    <w:p>
      <w:pPr>
        <w:spacing w:after="0" w:line="9"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59">
        <w:r>
          <w:rPr>
            <w:rFonts w:ascii="Arial" w:cs="Arial" w:eastAsia="Arial" w:hAnsi="Arial"/>
            <w:sz w:val="18"/>
            <w:szCs w:val="18"/>
            <w:u w:val="single" w:color="auto"/>
            <w:color w:val="0000FF"/>
          </w:rPr>
          <w:t>3.1.5</w:t>
        </w:r>
      </w:hyperlink>
      <w:r>
        <w:rPr>
          <w:rFonts w:ascii="Arial" w:cs="Arial" w:eastAsia="Arial" w:hAnsi="Arial"/>
          <w:sz w:val="18"/>
          <w:szCs w:val="18"/>
          <w:color w:val="000000"/>
        </w:rPr>
        <w:t>Certificate</w:t>
      </w:r>
      <w:r>
        <w:rPr>
          <w:rFonts w:ascii="Arial" w:cs="Arial" w:eastAsia="Arial" w:hAnsi="Arial"/>
          <w:sz w:val="18"/>
          <w:szCs w:val="18"/>
          <w:color w:val="0000FF"/>
        </w:rPr>
        <w:t xml:space="preserve"> </w:t>
      </w:r>
      <w:r>
        <w:rPr>
          <w:rFonts w:ascii="Arial" w:cs="Arial" w:eastAsia="Arial" w:hAnsi="Arial"/>
          <w:sz w:val="18"/>
          <w:szCs w:val="18"/>
          <w:color w:val="000000"/>
        </w:rPr>
        <w:t>of Designations, Preferences, Powers and Rights of Series B Convertible Preferred Stock (incorporated by reference to</w:t>
      </w:r>
      <w:r>
        <w:rPr>
          <w:rFonts w:ascii="Arial" w:cs="Arial" w:eastAsia="Arial" w:hAnsi="Arial"/>
          <w:sz w:val="18"/>
          <w:szCs w:val="18"/>
          <w:color w:val="0000FF"/>
        </w:rPr>
        <w:t xml:space="preserve"> </w:t>
      </w:r>
      <w:r>
        <w:rPr>
          <w:rFonts w:ascii="Arial" w:cs="Arial" w:eastAsia="Arial" w:hAnsi="Arial"/>
          <w:sz w:val="18"/>
          <w:szCs w:val="18"/>
          <w:color w:val="000000"/>
        </w:rPr>
        <w:t>Exhibit 3.2 to Current Report on Form 8-K, filed on July 25, 2011, File No. 000-12255).</w:t>
      </w:r>
    </w:p>
    <w:p>
      <w:pPr>
        <w:spacing w:after="0" w:line="1" w:lineRule="exact"/>
        <w:rPr>
          <w:sz w:val="20"/>
          <w:szCs w:val="20"/>
          <w:color w:val="auto"/>
        </w:rPr>
      </w:pPr>
    </w:p>
    <w:p>
      <w:pPr>
        <w:ind w:left="900" w:right="680"/>
        <w:spacing w:after="0" w:line="265" w:lineRule="auto"/>
        <w:rPr>
          <w:sz w:val="20"/>
          <w:szCs w:val="20"/>
          <w:color w:val="auto"/>
        </w:rPr>
      </w:pPr>
      <w:r>
        <w:rPr>
          <w:rFonts w:ascii="Arial" w:cs="Arial" w:eastAsia="Arial" w:hAnsi="Arial"/>
          <w:sz w:val="17"/>
          <w:szCs w:val="17"/>
          <w:color w:val="auto"/>
        </w:rPr>
        <w:t>Certificate of Amendment of the Certificate of Incorporation of the Company amending the number of authorized shares of capital stock (incorporated by reference to Exhibit 3.1 to Current Report on Form 8-K, filed on March 17, 2014, File No. 000-12255).</w:t>
      </w:r>
    </w:p>
    <w:p>
      <w:pPr>
        <w:jc w:val="both"/>
        <w:ind w:left="880" w:right="20" w:firstLine="648"/>
        <w:spacing w:after="0" w:line="261" w:lineRule="auto"/>
        <w:rPr>
          <w:rFonts w:ascii="Arial" w:cs="Arial" w:eastAsia="Arial" w:hAnsi="Arial"/>
          <w:sz w:val="18"/>
          <w:szCs w:val="18"/>
          <w:color w:val="0000FF"/>
        </w:rPr>
      </w:pPr>
      <w:hyperlink r:id="rId60">
        <w:r>
          <w:rPr>
            <w:rFonts w:ascii="Arial" w:cs="Arial" w:eastAsia="Arial" w:hAnsi="Arial"/>
            <w:sz w:val="18"/>
            <w:szCs w:val="18"/>
            <w:u w:val="single" w:color="auto"/>
            <w:color w:val="0000FF"/>
          </w:rPr>
          <w:t>3.2</w:t>
        </w:r>
      </w:hyperlink>
      <w:r>
        <w:rPr>
          <w:rFonts w:ascii="Arial" w:cs="Arial" w:eastAsia="Arial" w:hAnsi="Arial"/>
          <w:sz w:val="18"/>
          <w:szCs w:val="18"/>
          <w:color w:val="000000"/>
        </w:rPr>
        <w:t>Amended</w:t>
      </w:r>
      <w:r>
        <w:rPr>
          <w:rFonts w:ascii="Arial" w:cs="Arial" w:eastAsia="Arial" w:hAnsi="Arial"/>
          <w:sz w:val="18"/>
          <w:szCs w:val="18"/>
          <w:color w:val="0000FF"/>
        </w:rPr>
        <w:t xml:space="preserve"> </w:t>
      </w:r>
      <w:r>
        <w:rPr>
          <w:rFonts w:ascii="Arial" w:cs="Arial" w:eastAsia="Arial" w:hAnsi="Arial"/>
          <w:sz w:val="18"/>
          <w:szCs w:val="18"/>
          <w:color w:val="000000"/>
        </w:rPr>
        <w:t>and Restated Bylaws of the Company, adopted as of September 16, 2011 (incorporated by reference to Exhibit 3.2 to</w:t>
      </w:r>
      <w:r>
        <w:rPr>
          <w:rFonts w:ascii="Arial" w:cs="Arial" w:eastAsia="Arial" w:hAnsi="Arial"/>
          <w:sz w:val="18"/>
          <w:szCs w:val="18"/>
          <w:color w:val="0000FF"/>
        </w:rPr>
        <w:t xml:space="preserve"> </w:t>
      </w:r>
      <w:r>
        <w:rPr>
          <w:rFonts w:ascii="Arial" w:cs="Arial" w:eastAsia="Arial" w:hAnsi="Arial"/>
          <w:sz w:val="18"/>
          <w:szCs w:val="18"/>
          <w:color w:val="000000"/>
        </w:rPr>
        <w:t>Current Report on Form 8-K, filed on September 16, 2011, File No. 000-12255).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(10) Material Contracts</w:t>
      </w:r>
    </w:p>
    <w:p>
      <w:pPr>
        <w:spacing w:after="0" w:line="225" w:lineRule="exact"/>
        <w:rPr>
          <w:sz w:val="20"/>
          <w:szCs w:val="20"/>
          <w:color w:val="auto"/>
        </w:rPr>
      </w:pPr>
    </w:p>
    <w:p>
      <w:pPr>
        <w:jc w:val="both"/>
        <w:ind w:left="880" w:firstLine="648"/>
        <w:spacing w:after="0" w:line="256" w:lineRule="auto"/>
        <w:rPr>
          <w:rFonts w:ascii="Arial" w:cs="Arial" w:eastAsia="Arial" w:hAnsi="Arial"/>
          <w:sz w:val="18"/>
          <w:szCs w:val="18"/>
          <w:color w:val="0000FF"/>
        </w:rPr>
      </w:pPr>
      <w:hyperlink r:id="rId61">
        <w:r>
          <w:rPr>
            <w:rFonts w:ascii="Arial" w:cs="Arial" w:eastAsia="Arial" w:hAnsi="Arial"/>
            <w:sz w:val="18"/>
            <w:szCs w:val="18"/>
            <w:u w:val="single" w:color="auto"/>
            <w:color w:val="0000FF"/>
          </w:rPr>
          <w:t>10.1.1</w:t>
        </w:r>
      </w:hyperlink>
      <w:r>
        <w:rPr>
          <w:rFonts w:ascii="Arial" w:cs="Arial" w:eastAsia="Arial" w:hAnsi="Arial"/>
          <w:sz w:val="18"/>
          <w:szCs w:val="18"/>
          <w:color w:val="000000"/>
        </w:rPr>
        <w:t>National</w:t>
      </w:r>
      <w:r>
        <w:rPr>
          <w:rFonts w:ascii="Arial" w:cs="Arial" w:eastAsia="Arial" w:hAnsi="Arial"/>
          <w:sz w:val="18"/>
          <w:szCs w:val="18"/>
          <w:color w:val="0000FF"/>
        </w:rPr>
        <w:t xml:space="preserve"> </w:t>
      </w:r>
      <w:r>
        <w:rPr>
          <w:rFonts w:ascii="Arial" w:cs="Arial" w:eastAsia="Arial" w:hAnsi="Arial"/>
          <w:sz w:val="18"/>
          <w:szCs w:val="18"/>
          <w:color w:val="000000"/>
        </w:rPr>
        <w:t>Master Freight Agreement, effective April 1, 2008, among the International Brotherhood of Teamsters, YRC Inc.</w:t>
      </w:r>
      <w:r>
        <w:rPr>
          <w:rFonts w:ascii="Arial" w:cs="Arial" w:eastAsia="Arial" w:hAnsi="Arial"/>
          <w:sz w:val="18"/>
          <w:szCs w:val="18"/>
          <w:color w:val="0000FF"/>
        </w:rPr>
        <w:t xml:space="preserve"> </w:t>
      </w:r>
      <w:r>
        <w:rPr>
          <w:rFonts w:ascii="Arial" w:cs="Arial" w:eastAsia="Arial" w:hAnsi="Arial"/>
          <w:sz w:val="18"/>
          <w:szCs w:val="18"/>
          <w:color w:val="000000"/>
        </w:rPr>
        <w:t>(formerly, Yellow Transportation, Inc. and Roadway Express, Inc.), USF Holland Inc. and New Penn Motor Express, Inc. (incorporated by reference to Exhibit 10.1 to Current Report on Form 8-K, filed on February 11, 2008, File No. 000-12255).</w:t>
      </w:r>
    </w:p>
    <w:p>
      <w:pPr>
        <w:jc w:val="both"/>
        <w:ind w:left="880" w:firstLine="648"/>
        <w:spacing w:after="0" w:line="250" w:lineRule="auto"/>
        <w:rPr>
          <w:rFonts w:ascii="Arial" w:cs="Arial" w:eastAsia="Arial" w:hAnsi="Arial"/>
          <w:sz w:val="18"/>
          <w:szCs w:val="18"/>
          <w:color w:val="0000FF"/>
        </w:rPr>
      </w:pPr>
      <w:hyperlink r:id="rId62">
        <w:r>
          <w:rPr>
            <w:rFonts w:ascii="Arial" w:cs="Arial" w:eastAsia="Arial" w:hAnsi="Arial"/>
            <w:sz w:val="18"/>
            <w:szCs w:val="18"/>
            <w:u w:val="single" w:color="auto"/>
            <w:color w:val="0000FF"/>
          </w:rPr>
          <w:t>10.1.2</w:t>
        </w:r>
      </w:hyperlink>
      <w:r>
        <w:rPr>
          <w:rFonts w:ascii="Arial" w:cs="Arial" w:eastAsia="Arial" w:hAnsi="Arial"/>
          <w:sz w:val="18"/>
          <w:szCs w:val="18"/>
          <w:color w:val="000000"/>
        </w:rPr>
        <w:t>Amended</w:t>
      </w:r>
      <w:r>
        <w:rPr>
          <w:rFonts w:ascii="Arial" w:cs="Arial" w:eastAsia="Arial" w:hAnsi="Arial"/>
          <w:sz w:val="18"/>
          <w:szCs w:val="18"/>
          <w:color w:val="0000FF"/>
        </w:rPr>
        <w:t xml:space="preserve"> </w:t>
      </w:r>
      <w:r>
        <w:rPr>
          <w:rFonts w:ascii="Arial" w:cs="Arial" w:eastAsia="Arial" w:hAnsi="Arial"/>
          <w:sz w:val="18"/>
          <w:szCs w:val="18"/>
          <w:color w:val="000000"/>
        </w:rPr>
        <w:t>and Restated Memorandum of Understanding on the Job Security Plan, dated July 9, 2009, among the International</w:t>
      </w:r>
      <w:r>
        <w:rPr>
          <w:rFonts w:ascii="Arial" w:cs="Arial" w:eastAsia="Arial" w:hAnsi="Arial"/>
          <w:sz w:val="18"/>
          <w:szCs w:val="18"/>
          <w:color w:val="0000FF"/>
        </w:rPr>
        <w:t xml:space="preserve"> </w:t>
      </w:r>
      <w:r>
        <w:rPr>
          <w:rFonts w:ascii="Arial" w:cs="Arial" w:eastAsia="Arial" w:hAnsi="Arial"/>
          <w:sz w:val="18"/>
          <w:szCs w:val="18"/>
          <w:color w:val="000000"/>
        </w:rPr>
        <w:t>Brotherhood of Teamsters, YRC Inc., USF Holland Inc. and New Penn Motor Express, Inc. (incorporated by reference to Exhibit 10.1 to Current Report on Form 8-K, filed on July 14, 2009, File No. 000-12255).</w:t>
      </w:r>
    </w:p>
    <w:p>
      <w:pPr>
        <w:spacing w:after="0" w:line="1" w:lineRule="exact"/>
        <w:rPr>
          <w:sz w:val="20"/>
          <w:szCs w:val="20"/>
          <w:color w:val="auto"/>
        </w:rPr>
      </w:pPr>
    </w:p>
    <w:p>
      <w:pPr>
        <w:jc w:val="both"/>
        <w:ind w:left="880" w:firstLine="648"/>
        <w:spacing w:after="0" w:line="281" w:lineRule="auto"/>
        <w:rPr>
          <w:rFonts w:ascii="Arial" w:cs="Arial" w:eastAsia="Arial" w:hAnsi="Arial"/>
          <w:sz w:val="16"/>
          <w:szCs w:val="16"/>
          <w:color w:val="0000FF"/>
        </w:rPr>
      </w:pPr>
      <w:hyperlink r:id="rId63">
        <w:r>
          <w:rPr>
            <w:rFonts w:ascii="Arial" w:cs="Arial" w:eastAsia="Arial" w:hAnsi="Arial"/>
            <w:sz w:val="16"/>
            <w:szCs w:val="16"/>
            <w:u w:val="single" w:color="auto"/>
            <w:color w:val="0000FF"/>
          </w:rPr>
          <w:t>10.1.3</w:t>
        </w:r>
      </w:hyperlink>
      <w:r>
        <w:rPr>
          <w:rFonts w:ascii="Arial" w:cs="Arial" w:eastAsia="Arial" w:hAnsi="Arial"/>
          <w:sz w:val="16"/>
          <w:szCs w:val="16"/>
          <w:color w:val="000000"/>
        </w:rPr>
        <w:t>Agreement</w:t>
      </w:r>
      <w:r>
        <w:rPr>
          <w:rFonts w:ascii="Arial" w:cs="Arial" w:eastAsia="Arial" w:hAnsi="Arial"/>
          <w:sz w:val="16"/>
          <w:szCs w:val="16"/>
          <w:color w:val="0000FF"/>
        </w:rPr>
        <w:t xml:space="preserve"> </w:t>
      </w:r>
      <w:r>
        <w:rPr>
          <w:rFonts w:ascii="Arial" w:cs="Arial" w:eastAsia="Arial" w:hAnsi="Arial"/>
          <w:sz w:val="16"/>
          <w:szCs w:val="16"/>
          <w:color w:val="000000"/>
        </w:rPr>
        <w:t>for the Restructuring of the YRC Worldwide Inc. Operating Companies and related Term Sheet/Proposal (the</w:t>
      </w:r>
      <w:r>
        <w:rPr>
          <w:rFonts w:ascii="Arial" w:cs="Arial" w:eastAsia="Arial" w:hAnsi="Arial"/>
          <w:sz w:val="16"/>
          <w:szCs w:val="16"/>
          <w:color w:val="0000FF"/>
        </w:rPr>
        <w:t xml:space="preserve"> </w:t>
      </w:r>
      <w:r>
        <w:rPr>
          <w:rFonts w:ascii="Arial" w:cs="Arial" w:eastAsia="Arial" w:hAnsi="Arial"/>
          <w:sz w:val="16"/>
          <w:szCs w:val="16"/>
          <w:color w:val="000000"/>
        </w:rPr>
        <w:t>“Restructuring Plan”), dated September 24, 2010, among the International Brotherhood of Teamsters, YRC Inc., USF Holland Inc. and New Penn Motor Express, Inc. (incorporated by reference to Exhibit 10.1 to Current Report on Form 8-K, filed on September 29, 2010, File No. 000-12255).</w:t>
      </w:r>
    </w:p>
    <w:p>
      <w:pPr>
        <w:spacing w:after="0" w:line="2"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64">
        <w:r>
          <w:rPr>
            <w:rFonts w:ascii="Arial" w:cs="Arial" w:eastAsia="Arial" w:hAnsi="Arial"/>
            <w:sz w:val="18"/>
            <w:szCs w:val="18"/>
            <w:u w:val="single" w:color="auto"/>
            <w:color w:val="0000FF"/>
          </w:rPr>
          <w:t>10.1.4</w:t>
        </w:r>
      </w:hyperlink>
      <w:r>
        <w:rPr>
          <w:rFonts w:ascii="Arial" w:cs="Arial" w:eastAsia="Arial" w:hAnsi="Arial"/>
          <w:sz w:val="18"/>
          <w:szCs w:val="18"/>
          <w:color w:val="000000"/>
        </w:rPr>
        <w:t>Certification</w:t>
      </w:r>
      <w:r>
        <w:rPr>
          <w:rFonts w:ascii="Arial" w:cs="Arial" w:eastAsia="Arial" w:hAnsi="Arial"/>
          <w:sz w:val="18"/>
          <w:szCs w:val="18"/>
          <w:color w:val="0000FF"/>
        </w:rPr>
        <w:t xml:space="preserve"> </w:t>
      </w:r>
      <w:r>
        <w:rPr>
          <w:rFonts w:ascii="Arial" w:cs="Arial" w:eastAsia="Arial" w:hAnsi="Arial"/>
          <w:sz w:val="18"/>
          <w:szCs w:val="18"/>
          <w:color w:val="000000"/>
        </w:rPr>
        <w:t>and Amendment (dated December 31, 2010) and Certification and Second Amendment (dated February 28, 2011) to</w:t>
      </w:r>
      <w:r>
        <w:rPr>
          <w:rFonts w:ascii="Arial" w:cs="Arial" w:eastAsia="Arial" w:hAnsi="Arial"/>
          <w:sz w:val="18"/>
          <w:szCs w:val="18"/>
          <w:color w:val="0000FF"/>
        </w:rPr>
        <w:t xml:space="preserve"> </w:t>
      </w:r>
      <w:r>
        <w:rPr>
          <w:rFonts w:ascii="Arial" w:cs="Arial" w:eastAsia="Arial" w:hAnsi="Arial"/>
          <w:sz w:val="18"/>
          <w:szCs w:val="18"/>
          <w:color w:val="000000"/>
        </w:rPr>
        <w:t>the Restructuring Plan Term Sheet (incorporated by reference to Exhibit 10.3.4 to Annual Report on Form 10-K for the year ended December 31, 2010, filed on March 14, 2011, File No. 000-12255).</w:t>
      </w:r>
    </w:p>
    <w:p>
      <w:pPr>
        <w:spacing w:after="0" w:line="1"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65">
        <w:r>
          <w:rPr>
            <w:rFonts w:ascii="Arial" w:cs="Arial" w:eastAsia="Arial" w:hAnsi="Arial"/>
            <w:sz w:val="18"/>
            <w:szCs w:val="18"/>
            <w:u w:val="single" w:color="auto"/>
            <w:color w:val="0000FF"/>
          </w:rPr>
          <w:t>10.1.5</w:t>
        </w:r>
      </w:hyperlink>
      <w:r>
        <w:rPr>
          <w:rFonts w:ascii="Arial" w:cs="Arial" w:eastAsia="Arial" w:hAnsi="Arial"/>
          <w:sz w:val="18"/>
          <w:szCs w:val="18"/>
          <w:color w:val="000000"/>
        </w:rPr>
        <w:t>Extension</w:t>
      </w:r>
      <w:r>
        <w:rPr>
          <w:rFonts w:ascii="Arial" w:cs="Arial" w:eastAsia="Arial" w:hAnsi="Arial"/>
          <w:sz w:val="18"/>
          <w:szCs w:val="18"/>
          <w:color w:val="0000FF"/>
        </w:rPr>
        <w:t xml:space="preserve"> </w:t>
      </w:r>
      <w:r>
        <w:rPr>
          <w:rFonts w:ascii="Arial" w:cs="Arial" w:eastAsia="Arial" w:hAnsi="Arial"/>
          <w:sz w:val="18"/>
          <w:szCs w:val="18"/>
          <w:color w:val="000000"/>
        </w:rPr>
        <w:t>of the Agreement for the Restructuring of the YRC Worldwide Inc. Operating Companies, dated February 7, 2014, by</w:t>
      </w:r>
      <w:r>
        <w:rPr>
          <w:rFonts w:ascii="Arial" w:cs="Arial" w:eastAsia="Arial" w:hAnsi="Arial"/>
          <w:sz w:val="18"/>
          <w:szCs w:val="18"/>
          <w:color w:val="0000FF"/>
        </w:rPr>
        <w:t xml:space="preserve"> </w:t>
      </w:r>
      <w:r>
        <w:rPr>
          <w:rFonts w:ascii="Arial" w:cs="Arial" w:eastAsia="Arial" w:hAnsi="Arial"/>
          <w:sz w:val="18"/>
          <w:szCs w:val="18"/>
          <w:color w:val="000000"/>
        </w:rPr>
        <w:t>and among YRC Inc. (d/b/a YRC Freight), USF Holland Inc., New Penn Motor Express, Inc., USF Reddaway Inc. and the Teamsters National Freight Industry Negotiating Committee of the International Brotherhood of Teamsters (incorporated by reference to Exhibit 10.1 to Current Report on Form 8-K, filed on February 10, 2014, File No. 000-12255).</w:t>
      </w:r>
    </w:p>
    <w:p>
      <w:pPr>
        <w:spacing w:after="0" w:line="2" w:lineRule="exact"/>
        <w:rPr>
          <w:sz w:val="20"/>
          <w:szCs w:val="20"/>
          <w:color w:val="auto"/>
        </w:rPr>
      </w:pPr>
    </w:p>
    <w:p>
      <w:pPr>
        <w:jc w:val="both"/>
        <w:ind w:left="880" w:firstLine="648"/>
        <w:spacing w:after="0" w:line="255" w:lineRule="auto"/>
        <w:rPr>
          <w:rFonts w:ascii="Arial" w:cs="Arial" w:eastAsia="Arial" w:hAnsi="Arial"/>
          <w:sz w:val="18"/>
          <w:szCs w:val="18"/>
          <w:color w:val="0000FF"/>
        </w:rPr>
      </w:pPr>
      <w:hyperlink r:id="rId66">
        <w:r>
          <w:rPr>
            <w:rFonts w:ascii="Arial" w:cs="Arial" w:eastAsia="Arial" w:hAnsi="Arial"/>
            <w:sz w:val="18"/>
            <w:szCs w:val="18"/>
            <w:u w:val="single" w:color="auto"/>
            <w:color w:val="0000FF"/>
          </w:rPr>
          <w:t>10.2.1</w:t>
        </w:r>
      </w:hyperlink>
      <w:r>
        <w:rPr>
          <w:rFonts w:ascii="Arial" w:cs="Arial" w:eastAsia="Arial" w:hAnsi="Arial"/>
          <w:sz w:val="18"/>
          <w:szCs w:val="18"/>
          <w:color w:val="000000"/>
        </w:rPr>
        <w:t>Amended</w:t>
      </w:r>
      <w:r>
        <w:rPr>
          <w:rFonts w:ascii="Arial" w:cs="Arial" w:eastAsia="Arial" w:hAnsi="Arial"/>
          <w:sz w:val="18"/>
          <w:szCs w:val="18"/>
          <w:color w:val="0000FF"/>
        </w:rPr>
        <w:t xml:space="preserve"> </w:t>
      </w:r>
      <w:r>
        <w:rPr>
          <w:rFonts w:ascii="Arial" w:cs="Arial" w:eastAsia="Arial" w:hAnsi="Arial"/>
          <w:sz w:val="18"/>
          <w:szCs w:val="18"/>
          <w:color w:val="000000"/>
        </w:rPr>
        <w:t>and Restated Contribution Deferral Agreement, dated as of July 22, 2011, among YRC Inc., USF Holland Inc., New</w:t>
      </w:r>
      <w:r>
        <w:rPr>
          <w:rFonts w:ascii="Arial" w:cs="Arial" w:eastAsia="Arial" w:hAnsi="Arial"/>
          <w:sz w:val="18"/>
          <w:szCs w:val="18"/>
          <w:color w:val="0000FF"/>
        </w:rPr>
        <w:t xml:space="preserve"> </w:t>
      </w:r>
      <w:r>
        <w:rPr>
          <w:rFonts w:ascii="Arial" w:cs="Arial" w:eastAsia="Arial" w:hAnsi="Arial"/>
          <w:sz w:val="18"/>
          <w:szCs w:val="18"/>
          <w:color w:val="000000"/>
        </w:rPr>
        <w:t>Penn Motor Express, Inc. and USF Reddaway Inc., collectively as primary obligors, the Trustees for the Central States, Southeast and Southwest Areas Pension Fund, the Wilmington Trust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51" w:right="239" w:bottom="1440" w:gutter="0" w:footer="0" w:header="0"/>
        </w:sectPr>
      </w:pPr>
    </w:p>
    <w:bookmarkStart w:id="85" w:name="page86"/>
    <w:bookmarkEnd w:id="85"/>
    <w:p>
      <w:pPr>
        <w:jc w:val="both"/>
        <w:ind w:left="880"/>
        <w:spacing w:after="0" w:line="258" w:lineRule="auto"/>
        <w:rPr>
          <w:sz w:val="20"/>
          <w:szCs w:val="20"/>
          <w:color w:val="auto"/>
        </w:rPr>
      </w:pPr>
      <w:r>
        <w:rPr>
          <w:rFonts w:ascii="Arial" w:cs="Arial" w:eastAsia="Arial" w:hAnsi="Arial"/>
          <w:sz w:val="18"/>
          <w:szCs w:val="18"/>
          <w:color w:val="auto"/>
        </w:rPr>
        <w:t>Company, as agent, and the other funds party thereto (incorporated by reference to Exhibit 10.6 to Quarterly Report on Form 10-Q for the quarter ended June 30, 2011, filed on August 8, 2011, File No. 000-12255).</w:t>
      </w:r>
    </w:p>
    <w:p>
      <w:pPr>
        <w:spacing w:after="0" w:line="1"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67">
        <w:r>
          <w:rPr>
            <w:rFonts w:ascii="Arial" w:cs="Arial" w:eastAsia="Arial" w:hAnsi="Arial"/>
            <w:sz w:val="18"/>
            <w:szCs w:val="18"/>
            <w:u w:val="single" w:color="auto"/>
            <w:color w:val="0000FF"/>
          </w:rPr>
          <w:t>10.2.2</w:t>
        </w:r>
      </w:hyperlink>
      <w:r>
        <w:rPr>
          <w:rFonts w:ascii="Arial" w:cs="Arial" w:eastAsia="Arial" w:hAnsi="Arial"/>
          <w:sz w:val="18"/>
          <w:szCs w:val="18"/>
          <w:color w:val="000000"/>
        </w:rPr>
        <w:t>Consent</w:t>
      </w:r>
      <w:r>
        <w:rPr>
          <w:rFonts w:ascii="Arial" w:cs="Arial" w:eastAsia="Arial" w:hAnsi="Arial"/>
          <w:sz w:val="18"/>
          <w:szCs w:val="18"/>
          <w:color w:val="0000FF"/>
        </w:rPr>
        <w:t xml:space="preserve"> </w:t>
      </w:r>
      <w:r>
        <w:rPr>
          <w:rFonts w:ascii="Arial" w:cs="Arial" w:eastAsia="Arial" w:hAnsi="Arial"/>
          <w:sz w:val="18"/>
          <w:szCs w:val="18"/>
          <w:color w:val="000000"/>
        </w:rPr>
        <w:t>and First Amendment to the Amended and Restated Contribution Deferral Agreement, dated as of October 17, 2011,</w:t>
      </w:r>
      <w:r>
        <w:rPr>
          <w:rFonts w:ascii="Arial" w:cs="Arial" w:eastAsia="Arial" w:hAnsi="Arial"/>
          <w:sz w:val="18"/>
          <w:szCs w:val="18"/>
          <w:color w:val="0000FF"/>
        </w:rPr>
        <w:t xml:space="preserve"> </w:t>
      </w:r>
      <w:r>
        <w:rPr>
          <w:rFonts w:ascii="Arial" w:cs="Arial" w:eastAsia="Arial" w:hAnsi="Arial"/>
          <w:sz w:val="18"/>
          <w:szCs w:val="18"/>
          <w:color w:val="000000"/>
        </w:rPr>
        <w:t>among YRC Inc., USF Holland Inc., New Penn Motor Express, Inc. and USF Reddaway Inc., collectively as primary obligors, the Trustees for the Central States, Southeast and Southwest Areas Pension Fund, the Wilmington Trust Company, as agent, and the other funds party thereto (incorporated by reference to Exhibit 10.8.2 to Annual Report on Form 10-K for the year ended December 31, 2011, filed February 28, 2012, File No. 000-12255).</w:t>
      </w:r>
    </w:p>
    <w:p>
      <w:pPr>
        <w:spacing w:after="0" w:line="2" w:lineRule="exact"/>
        <w:rPr>
          <w:sz w:val="20"/>
          <w:szCs w:val="20"/>
          <w:color w:val="auto"/>
        </w:rPr>
      </w:pPr>
    </w:p>
    <w:p>
      <w:pPr>
        <w:jc w:val="both"/>
        <w:ind w:left="880" w:firstLine="648"/>
        <w:spacing w:after="0" w:line="265" w:lineRule="auto"/>
        <w:rPr>
          <w:rFonts w:ascii="Arial" w:cs="Arial" w:eastAsia="Arial" w:hAnsi="Arial"/>
          <w:sz w:val="17"/>
          <w:szCs w:val="17"/>
          <w:color w:val="0000FF"/>
        </w:rPr>
      </w:pPr>
      <w:hyperlink r:id="rId68">
        <w:r>
          <w:rPr>
            <w:rFonts w:ascii="Arial" w:cs="Arial" w:eastAsia="Arial" w:hAnsi="Arial"/>
            <w:sz w:val="17"/>
            <w:szCs w:val="17"/>
            <w:u w:val="single" w:color="auto"/>
            <w:color w:val="0000FF"/>
          </w:rPr>
          <w:t>10.2.3</w:t>
        </w:r>
      </w:hyperlink>
      <w:r>
        <w:rPr>
          <w:rFonts w:ascii="Arial" w:cs="Arial" w:eastAsia="Arial" w:hAnsi="Arial"/>
          <w:sz w:val="17"/>
          <w:szCs w:val="17"/>
          <w:color w:val="000000"/>
        </w:rPr>
        <w:t>Second</w:t>
      </w:r>
      <w:r>
        <w:rPr>
          <w:rFonts w:ascii="Arial" w:cs="Arial" w:eastAsia="Arial" w:hAnsi="Arial"/>
          <w:sz w:val="17"/>
          <w:szCs w:val="17"/>
          <w:color w:val="0000FF"/>
        </w:rPr>
        <w:t xml:space="preserve"> </w:t>
      </w:r>
      <w:r>
        <w:rPr>
          <w:rFonts w:ascii="Arial" w:cs="Arial" w:eastAsia="Arial" w:hAnsi="Arial"/>
          <w:sz w:val="17"/>
          <w:szCs w:val="17"/>
          <w:color w:val="000000"/>
        </w:rPr>
        <w:t>Amended and Restated Contribution Deferral Agreement, dated as of January 31, 2014, among YRC Inc., USF Holland</w:t>
      </w:r>
      <w:r>
        <w:rPr>
          <w:rFonts w:ascii="Arial" w:cs="Arial" w:eastAsia="Arial" w:hAnsi="Arial"/>
          <w:sz w:val="17"/>
          <w:szCs w:val="17"/>
          <w:color w:val="0000FF"/>
        </w:rPr>
        <w:t xml:space="preserve"> </w:t>
      </w:r>
      <w:r>
        <w:rPr>
          <w:rFonts w:ascii="Arial" w:cs="Arial" w:eastAsia="Arial" w:hAnsi="Arial"/>
          <w:sz w:val="17"/>
          <w:szCs w:val="17"/>
          <w:color w:val="000000"/>
        </w:rPr>
        <w:t>Inc., New Penn Motor Express, Inc. and USF Reddaway Inc., collectively as primary obligors, the Trustees for the Central States, Southeast and Southwest Areas Pension Fund, the Wilmington Trust Company, as agent, and the other funds party thereto (incorporated by reference to Exhibit 10.1 to the Current Report on Form 8-K, filed on January 31, 2014, File No. 000-12255).</w:t>
      </w:r>
    </w:p>
    <w:p>
      <w:pPr>
        <w:spacing w:after="0" w:line="1"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69">
        <w:r>
          <w:rPr>
            <w:rFonts w:ascii="Arial" w:cs="Arial" w:eastAsia="Arial" w:hAnsi="Arial"/>
            <w:sz w:val="18"/>
            <w:szCs w:val="18"/>
            <w:u w:val="single" w:color="auto"/>
            <w:color w:val="0000FF"/>
          </w:rPr>
          <w:t>10.2.4</w:t>
        </w:r>
      </w:hyperlink>
      <w:r>
        <w:rPr>
          <w:rFonts w:ascii="Arial" w:cs="Arial" w:eastAsia="Arial" w:hAnsi="Arial"/>
          <w:sz w:val="18"/>
          <w:szCs w:val="18"/>
          <w:color w:val="000000"/>
        </w:rPr>
        <w:t>Letter</w:t>
      </w:r>
      <w:r>
        <w:rPr>
          <w:rFonts w:ascii="Arial" w:cs="Arial" w:eastAsia="Arial" w:hAnsi="Arial"/>
          <w:sz w:val="18"/>
          <w:szCs w:val="18"/>
          <w:color w:val="0000FF"/>
        </w:rPr>
        <w:t xml:space="preserve"> </w:t>
      </w:r>
      <w:r>
        <w:rPr>
          <w:rFonts w:ascii="Arial" w:cs="Arial" w:eastAsia="Arial" w:hAnsi="Arial"/>
          <w:sz w:val="18"/>
          <w:szCs w:val="18"/>
          <w:color w:val="000000"/>
        </w:rPr>
        <w:t>Agreement, dated as of January 29, 2014 and effective as of January 31, 2014, among Central States, Southeast and</w:t>
      </w:r>
      <w:r>
        <w:rPr>
          <w:rFonts w:ascii="Arial" w:cs="Arial" w:eastAsia="Arial" w:hAnsi="Arial"/>
          <w:sz w:val="18"/>
          <w:szCs w:val="18"/>
          <w:color w:val="0000FF"/>
        </w:rPr>
        <w:t xml:space="preserve"> </w:t>
      </w:r>
      <w:r>
        <w:rPr>
          <w:rFonts w:ascii="Arial" w:cs="Arial" w:eastAsia="Arial" w:hAnsi="Arial"/>
          <w:sz w:val="18"/>
          <w:szCs w:val="18"/>
          <w:color w:val="000000"/>
        </w:rPr>
        <w:t>Southwest Areas Pension Fund, YRC, Inc., USF Holland Inc., New Penn Motor Express, Inc., USF Reddaway Inc., as primary obligors, YRC Worldwide Inc., as primary guarantor, and certain additional guarantors (incorporated by reference to Exhibit 10.2 to Current Report on Form 8-K, filed on January 31, 2014, File No. 000-12255).</w:t>
      </w:r>
    </w:p>
    <w:p>
      <w:pPr>
        <w:spacing w:after="0" w:line="2"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70">
        <w:r>
          <w:rPr>
            <w:rFonts w:ascii="Arial" w:cs="Arial" w:eastAsia="Arial" w:hAnsi="Arial"/>
            <w:sz w:val="18"/>
            <w:szCs w:val="18"/>
            <w:u w:val="single" w:color="auto"/>
            <w:color w:val="0000FF"/>
          </w:rPr>
          <w:t>10.2.5</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No. 1 to Second Amended and Restated Contribution Deferral Agreement among YRC Inc., USF Holland LLC, New</w:t>
      </w:r>
      <w:r>
        <w:rPr>
          <w:rFonts w:ascii="Arial" w:cs="Arial" w:eastAsia="Arial" w:hAnsi="Arial"/>
          <w:sz w:val="18"/>
          <w:szCs w:val="18"/>
          <w:color w:val="0000FF"/>
        </w:rPr>
        <w:t xml:space="preserve"> </w:t>
      </w:r>
      <w:r>
        <w:rPr>
          <w:rFonts w:ascii="Arial" w:cs="Arial" w:eastAsia="Arial" w:hAnsi="Arial"/>
          <w:sz w:val="18"/>
          <w:szCs w:val="18"/>
          <w:color w:val="000000"/>
        </w:rPr>
        <w:t>Penn Motor Express LLC and USF Reddaway Inc., collectively as primary obligors, the Trustees for the Central States, Southeast and Southwest Areas Pension Fund, the Wilmington Trust Company, as agent, and the other funds party thereto (incorporated by reference to Exhibit 10.1 to Current Report on Form 8-K, filed on January 31, 2018, File No. 000-12255).</w:t>
      </w:r>
    </w:p>
    <w:p>
      <w:pPr>
        <w:spacing w:after="0" w:line="2"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71">
        <w:r>
          <w:rPr>
            <w:rFonts w:ascii="Arial" w:cs="Arial" w:eastAsia="Arial" w:hAnsi="Arial"/>
            <w:sz w:val="18"/>
            <w:szCs w:val="18"/>
            <w:u w:val="single" w:color="auto"/>
            <w:color w:val="0000FF"/>
          </w:rPr>
          <w:t>10.3.1</w:t>
        </w:r>
      </w:hyperlink>
      <w:r>
        <w:rPr>
          <w:rFonts w:ascii="Arial" w:cs="Arial" w:eastAsia="Arial" w:hAnsi="Arial"/>
          <w:sz w:val="18"/>
          <w:szCs w:val="18"/>
          <w:color w:val="000000"/>
        </w:rPr>
        <w:t>Credit</w:t>
      </w:r>
      <w:r>
        <w:rPr>
          <w:rFonts w:ascii="Arial" w:cs="Arial" w:eastAsia="Arial" w:hAnsi="Arial"/>
          <w:sz w:val="18"/>
          <w:szCs w:val="18"/>
          <w:color w:val="0000FF"/>
        </w:rPr>
        <w:t xml:space="preserve"> </w:t>
      </w:r>
      <w:r>
        <w:rPr>
          <w:rFonts w:ascii="Arial" w:cs="Arial" w:eastAsia="Arial" w:hAnsi="Arial"/>
          <w:sz w:val="18"/>
          <w:szCs w:val="18"/>
          <w:color w:val="000000"/>
        </w:rPr>
        <w:t>Agreement, dated as of February 13, 2014, by and among the Company, as borrower, the subsidiaries of the borrower party</w:t>
      </w:r>
      <w:r>
        <w:rPr>
          <w:rFonts w:ascii="Arial" w:cs="Arial" w:eastAsia="Arial" w:hAnsi="Arial"/>
          <w:sz w:val="18"/>
          <w:szCs w:val="18"/>
          <w:color w:val="0000FF"/>
        </w:rPr>
        <w:t xml:space="preserve"> </w:t>
      </w:r>
      <w:r>
        <w:rPr>
          <w:rFonts w:ascii="Arial" w:cs="Arial" w:eastAsia="Arial" w:hAnsi="Arial"/>
          <w:sz w:val="18"/>
          <w:szCs w:val="18"/>
          <w:color w:val="000000"/>
        </w:rPr>
        <w:t>thereto from time to time, the lenders from time to time party thereto, and Credit Suisse AG, Cayman Islands Branch, as administrative agent and collateral agent for the lenders (incorporated by reference to Exhibit 10.10 to the Annual Report on Form 10-K for the year ended December 31, 2013, filed on March 10, 2014, File No. 000-12255).</w:t>
      </w:r>
    </w:p>
    <w:p>
      <w:pPr>
        <w:spacing w:after="0" w:line="2" w:lineRule="exact"/>
        <w:rPr>
          <w:sz w:val="20"/>
          <w:szCs w:val="20"/>
          <w:color w:val="auto"/>
        </w:rPr>
      </w:pPr>
    </w:p>
    <w:p>
      <w:pPr>
        <w:jc w:val="both"/>
        <w:ind w:left="880" w:right="20" w:firstLine="648"/>
        <w:spacing w:after="0" w:line="250" w:lineRule="auto"/>
        <w:rPr>
          <w:rFonts w:ascii="Arial" w:cs="Arial" w:eastAsia="Arial" w:hAnsi="Arial"/>
          <w:sz w:val="18"/>
          <w:szCs w:val="18"/>
          <w:color w:val="0000FF"/>
        </w:rPr>
      </w:pPr>
      <w:hyperlink r:id="rId72">
        <w:r>
          <w:rPr>
            <w:rFonts w:ascii="Arial" w:cs="Arial" w:eastAsia="Arial" w:hAnsi="Arial"/>
            <w:sz w:val="18"/>
            <w:szCs w:val="18"/>
            <w:u w:val="single" w:color="auto"/>
            <w:color w:val="0000FF"/>
          </w:rPr>
          <w:t>10.3.2</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No. 1 to Credit Agreement dated as of September 25, 2014, by and among the Company, as borrower, the subsidiaries</w:t>
      </w:r>
      <w:r>
        <w:rPr>
          <w:rFonts w:ascii="Arial" w:cs="Arial" w:eastAsia="Arial" w:hAnsi="Arial"/>
          <w:sz w:val="18"/>
          <w:szCs w:val="18"/>
          <w:color w:val="0000FF"/>
        </w:rPr>
        <w:t xml:space="preserve"> </w:t>
      </w:r>
      <w:r>
        <w:rPr>
          <w:rFonts w:ascii="Arial" w:cs="Arial" w:eastAsia="Arial" w:hAnsi="Arial"/>
          <w:sz w:val="18"/>
          <w:szCs w:val="18"/>
          <w:color w:val="000000"/>
        </w:rPr>
        <w:t>of the borrower party thereto from time to time, the lenders from time to time party thereto, and Credit Suisse AG, Cayman Islands Branch, as administrative agent and collateral agent for the lenders (incorporated by reference to Exhibit 10.1 to Current Report on Form 8-K, filed on September 25, 2014, File No. 000-12255).</w:t>
      </w:r>
    </w:p>
    <w:p>
      <w:pPr>
        <w:spacing w:after="0" w:line="2"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73">
        <w:r>
          <w:rPr>
            <w:rFonts w:ascii="Arial" w:cs="Arial" w:eastAsia="Arial" w:hAnsi="Arial"/>
            <w:sz w:val="18"/>
            <w:szCs w:val="18"/>
            <w:u w:val="single" w:color="auto"/>
            <w:color w:val="0000FF"/>
          </w:rPr>
          <w:t>10.3.3</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No. 2 to Credit Agreement, dated September 23, 2015, by and among the Company, the lenders party thereto and</w:t>
      </w:r>
      <w:r>
        <w:rPr>
          <w:rFonts w:ascii="Arial" w:cs="Arial" w:eastAsia="Arial" w:hAnsi="Arial"/>
          <w:sz w:val="18"/>
          <w:szCs w:val="18"/>
          <w:color w:val="0000FF"/>
        </w:rPr>
        <w:t xml:space="preserve"> </w:t>
      </w:r>
      <w:r>
        <w:rPr>
          <w:rFonts w:ascii="Arial" w:cs="Arial" w:eastAsia="Arial" w:hAnsi="Arial"/>
          <w:sz w:val="18"/>
          <w:szCs w:val="18"/>
          <w:color w:val="000000"/>
        </w:rPr>
        <w:t>Credit Suisse AG, Cayman Islands Branch, as administrative agent (incorporated by reference to Exhibit 10.1 to Current Report on Form 8-K, filed on September 25, 2015, File No. 000-12255).</w:t>
      </w:r>
    </w:p>
    <w:p>
      <w:pPr>
        <w:spacing w:after="0" w:line="1"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74">
        <w:r>
          <w:rPr>
            <w:rFonts w:ascii="Arial" w:cs="Arial" w:eastAsia="Arial" w:hAnsi="Arial"/>
            <w:sz w:val="18"/>
            <w:szCs w:val="18"/>
            <w:u w:val="single" w:color="auto"/>
            <w:color w:val="0000FF"/>
          </w:rPr>
          <w:t>10.3.4</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No. 3 to Credit Agreement, dated January 31, 2017, by and among the Company, the lenders party thereto and Credit</w:t>
      </w:r>
      <w:r>
        <w:rPr>
          <w:rFonts w:ascii="Arial" w:cs="Arial" w:eastAsia="Arial" w:hAnsi="Arial"/>
          <w:sz w:val="18"/>
          <w:szCs w:val="18"/>
          <w:color w:val="0000FF"/>
        </w:rPr>
        <w:t xml:space="preserve"> </w:t>
      </w:r>
      <w:r>
        <w:rPr>
          <w:rFonts w:ascii="Arial" w:cs="Arial" w:eastAsia="Arial" w:hAnsi="Arial"/>
          <w:sz w:val="18"/>
          <w:szCs w:val="18"/>
          <w:color w:val="000000"/>
        </w:rPr>
        <w:t>Suisse AG, Cayman Islands Branch, as administrative agent (incorporated by reference to Exhibit 10.1 to Current Report on Form 8-K, filed on January 31, 2017, File No. 000-12255).</w:t>
      </w:r>
    </w:p>
    <w:p>
      <w:pPr>
        <w:spacing w:after="0" w:line="1"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75">
        <w:r>
          <w:rPr>
            <w:rFonts w:ascii="Arial" w:cs="Arial" w:eastAsia="Arial" w:hAnsi="Arial"/>
            <w:sz w:val="18"/>
            <w:szCs w:val="18"/>
            <w:u w:val="single" w:color="auto"/>
            <w:color w:val="0000FF"/>
          </w:rPr>
          <w:t>10.3.5</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No. 4 and Refinancing Amendment to Credit Agreement, by and among the Company, certain of its subsidiaries, the</w:t>
      </w:r>
      <w:r>
        <w:rPr>
          <w:rFonts w:ascii="Arial" w:cs="Arial" w:eastAsia="Arial" w:hAnsi="Arial"/>
          <w:sz w:val="18"/>
          <w:szCs w:val="18"/>
          <w:color w:val="0000FF"/>
        </w:rPr>
        <w:t xml:space="preserve"> </w:t>
      </w:r>
      <w:r>
        <w:rPr>
          <w:rFonts w:ascii="Arial" w:cs="Arial" w:eastAsia="Arial" w:hAnsi="Arial"/>
          <w:sz w:val="18"/>
          <w:szCs w:val="18"/>
          <w:color w:val="000000"/>
        </w:rPr>
        <w:t>lender party thereto and Credit Suisse AG, Cayman Islands Branch, as administrative agent (incorporated by reference to Exhibit 10.1 to Current Report on Form 8-K, filed on July 26, 2017, File No. 000-12255).</w:t>
      </w:r>
    </w:p>
    <w:p>
      <w:pPr>
        <w:spacing w:after="0" w:line="1" w:lineRule="exact"/>
        <w:rPr>
          <w:sz w:val="20"/>
          <w:szCs w:val="20"/>
          <w:color w:val="auto"/>
        </w:rPr>
      </w:pPr>
    </w:p>
    <w:p>
      <w:pPr>
        <w:jc w:val="both"/>
        <w:ind w:left="900" w:hanging="892"/>
        <w:spacing w:after="0" w:line="250"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Loan and Security Agreement, dated as of February 13, 2014, among the Company, as administrative borrower, the other borrowers named therein, the guarantors named therein, certain financial institutions, as lenders, and RBS Citizens Business Capital a division of RBS Asset Finance, Inc., a subsidiary of RBS Citizens, N.A., as agent, and RBS Citizens, N.A., Merrill Lynch, Pierce, Fenner &amp; Smith and CIT Finance LLC, as joint lead arrangers and joint bookrunners (incorporated by reference to Exhibit 10.11 to Annual Report on Form 10-K for the year ended December 31, 2013, File No. 000-12255).</w:t>
      </w:r>
    </w:p>
    <w:p>
      <w:pPr>
        <w:spacing w:after="0" w:line="2" w:lineRule="exact"/>
        <w:rPr>
          <w:rFonts w:ascii="Arial" w:cs="Arial" w:eastAsia="Arial" w:hAnsi="Arial"/>
          <w:sz w:val="18"/>
          <w:szCs w:val="18"/>
          <w:color w:val="auto"/>
        </w:rPr>
      </w:pPr>
    </w:p>
    <w:p>
      <w:pPr>
        <w:jc w:val="both"/>
        <w:ind w:left="880" w:firstLine="648"/>
        <w:spacing w:after="0" w:line="250" w:lineRule="auto"/>
        <w:rPr>
          <w:rFonts w:ascii="Arial" w:cs="Arial" w:eastAsia="Arial" w:hAnsi="Arial"/>
          <w:sz w:val="18"/>
          <w:szCs w:val="18"/>
          <w:color w:val="0000FF"/>
        </w:rPr>
      </w:pPr>
      <w:hyperlink r:id="rId76">
        <w:r>
          <w:rPr>
            <w:rFonts w:ascii="Arial" w:cs="Arial" w:eastAsia="Arial" w:hAnsi="Arial"/>
            <w:sz w:val="18"/>
            <w:szCs w:val="18"/>
            <w:u w:val="single" w:color="auto"/>
            <w:color w:val="0000FF"/>
          </w:rPr>
          <w:t>10.4.2</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No. 1 to Loan and Security Agreement, by and among the Company, certain of the Company’s subsidiaries party</w:t>
      </w:r>
      <w:r>
        <w:rPr>
          <w:rFonts w:ascii="Arial" w:cs="Arial" w:eastAsia="Arial" w:hAnsi="Arial"/>
          <w:sz w:val="18"/>
          <w:szCs w:val="18"/>
          <w:color w:val="0000FF"/>
        </w:rPr>
        <w:t xml:space="preserve"> </w:t>
      </w:r>
      <w:r>
        <w:rPr>
          <w:rFonts w:ascii="Arial" w:cs="Arial" w:eastAsia="Arial" w:hAnsi="Arial"/>
          <w:sz w:val="18"/>
          <w:szCs w:val="18"/>
          <w:color w:val="000000"/>
        </w:rPr>
        <w:t>thereto, the lenders party thereto and RBS Citizens Business Capital, as agent (incorporated by reference to Exhibit 10.2 to Current Report on Form 8-K, filed on September 25, 2015, File No. 000-12255) .</w:t>
      </w:r>
    </w:p>
    <w:p>
      <w:pPr>
        <w:spacing w:after="0" w:line="1" w:lineRule="exact"/>
        <w:rPr>
          <w:rFonts w:ascii="Arial" w:cs="Arial" w:eastAsia="Arial" w:hAnsi="Arial"/>
          <w:sz w:val="18"/>
          <w:szCs w:val="18"/>
          <w:color w:val="0000FF"/>
        </w:rPr>
      </w:pPr>
    </w:p>
    <w:p>
      <w:pPr>
        <w:jc w:val="both"/>
        <w:ind w:left="900" w:right="100"/>
        <w:spacing w:after="0" w:line="255" w:lineRule="auto"/>
        <w:rPr>
          <w:rFonts w:ascii="Arial" w:cs="Arial" w:eastAsia="Arial" w:hAnsi="Arial"/>
          <w:sz w:val="18"/>
          <w:szCs w:val="18"/>
          <w:color w:val="0000FF"/>
        </w:rPr>
      </w:pPr>
      <w:r>
        <w:rPr>
          <w:rFonts w:ascii="Arial" w:cs="Arial" w:eastAsia="Arial" w:hAnsi="Arial"/>
          <w:sz w:val="18"/>
          <w:szCs w:val="18"/>
          <w:color w:val="auto"/>
        </w:rPr>
        <w:t>Amendment No. 2 to Loan and Security Agreement by and among the Company, certain of the Company’s subsidiaries party thereto, the lenders party thereto and Citizens Business Capital as agent (incorporated by reference to Exhibit 10.1 to Current Report on Form 8-K, filed on June 30, 2016, File No. 000-12255).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30" w:right="239" w:bottom="1440" w:gutter="0" w:footer="0" w:header="0"/>
        </w:sectPr>
      </w:pPr>
    </w:p>
    <w:bookmarkStart w:id="86" w:name="page87"/>
    <w:bookmarkEnd w:id="86"/>
    <w:p>
      <w:pPr>
        <w:ind w:left="900" w:right="120" w:firstLine="648"/>
        <w:spacing w:after="0" w:line="264" w:lineRule="auto"/>
        <w:rPr>
          <w:rFonts w:ascii="Arial" w:cs="Arial" w:eastAsia="Arial" w:hAnsi="Arial"/>
          <w:sz w:val="18"/>
          <w:szCs w:val="18"/>
          <w:color w:val="0000FF"/>
        </w:rPr>
      </w:pPr>
      <w:hyperlink r:id="rId77">
        <w:r>
          <w:rPr>
            <w:rFonts w:ascii="Arial" w:cs="Arial" w:eastAsia="Arial" w:hAnsi="Arial"/>
            <w:sz w:val="18"/>
            <w:szCs w:val="18"/>
            <w:u w:val="single" w:color="auto"/>
            <w:color w:val="0000FF"/>
          </w:rPr>
          <w:t>10.4.4</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No. 3 to Loan and Security Agreement by and among the Company, certain of the Company’s subsidiaries party</w:t>
      </w:r>
      <w:r>
        <w:rPr>
          <w:rFonts w:ascii="Arial" w:cs="Arial" w:eastAsia="Arial" w:hAnsi="Arial"/>
          <w:sz w:val="18"/>
          <w:szCs w:val="18"/>
          <w:color w:val="0000FF"/>
        </w:rPr>
        <w:t xml:space="preserve"> </w:t>
      </w:r>
      <w:r>
        <w:rPr>
          <w:rFonts w:ascii="Arial" w:cs="Arial" w:eastAsia="Arial" w:hAnsi="Arial"/>
          <w:sz w:val="18"/>
          <w:szCs w:val="18"/>
          <w:color w:val="000000"/>
        </w:rPr>
        <w:t>thereto, the lenders party thereto and Citizens Business Capital as agent (incorporated by reference to Exhibit 10.2 to Current Report on Form 8-K, filed on January 31, 2018, File No. 000-12255).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(10) Management Contracts, Compensatory Plans and Arrangements</w:t>
      </w:r>
    </w:p>
    <w:p>
      <w:pPr>
        <w:spacing w:after="0" w:line="225" w:lineRule="exact"/>
        <w:rPr>
          <w:sz w:val="20"/>
          <w:szCs w:val="20"/>
          <w:color w:val="auto"/>
        </w:rPr>
      </w:pPr>
    </w:p>
    <w:p>
      <w:pPr>
        <w:jc w:val="both"/>
        <w:ind w:left="880" w:firstLine="648"/>
        <w:spacing w:after="0" w:line="258" w:lineRule="auto"/>
        <w:rPr>
          <w:rFonts w:ascii="Arial" w:cs="Arial" w:eastAsia="Arial" w:hAnsi="Arial"/>
          <w:sz w:val="18"/>
          <w:szCs w:val="18"/>
          <w:color w:val="0000FF"/>
        </w:rPr>
      </w:pPr>
      <w:hyperlink r:id="rId78">
        <w:r>
          <w:rPr>
            <w:rFonts w:ascii="Arial" w:cs="Arial" w:eastAsia="Arial" w:hAnsi="Arial"/>
            <w:sz w:val="18"/>
            <w:szCs w:val="18"/>
            <w:u w:val="single" w:color="auto"/>
            <w:color w:val="0000FF"/>
          </w:rPr>
          <w:t>10.5.1</w:t>
        </w:r>
      </w:hyperlink>
      <w:r>
        <w:rPr>
          <w:rFonts w:ascii="Arial" w:cs="Arial" w:eastAsia="Arial" w:hAnsi="Arial"/>
          <w:sz w:val="18"/>
          <w:szCs w:val="18"/>
          <w:color w:val="000000"/>
        </w:rPr>
        <w:t>YRC</w:t>
      </w:r>
      <w:r>
        <w:rPr>
          <w:rFonts w:ascii="Arial" w:cs="Arial" w:eastAsia="Arial" w:hAnsi="Arial"/>
          <w:sz w:val="18"/>
          <w:szCs w:val="18"/>
          <w:color w:val="0000FF"/>
        </w:rPr>
        <w:t xml:space="preserve"> </w:t>
      </w:r>
      <w:r>
        <w:rPr>
          <w:rFonts w:ascii="Arial" w:cs="Arial" w:eastAsia="Arial" w:hAnsi="Arial"/>
          <w:sz w:val="18"/>
          <w:szCs w:val="18"/>
          <w:color w:val="000000"/>
        </w:rPr>
        <w:t>Worldwide Inc. Director Compensation Plan, effective May 6, 2015 (incorporated by reference to Exhibit 10.1 to Quarterly</w:t>
      </w:r>
      <w:r>
        <w:rPr>
          <w:rFonts w:ascii="Arial" w:cs="Arial" w:eastAsia="Arial" w:hAnsi="Arial"/>
          <w:sz w:val="18"/>
          <w:szCs w:val="18"/>
          <w:color w:val="0000FF"/>
        </w:rPr>
        <w:t xml:space="preserve"> </w:t>
      </w:r>
      <w:r>
        <w:rPr>
          <w:rFonts w:ascii="Arial" w:cs="Arial" w:eastAsia="Arial" w:hAnsi="Arial"/>
          <w:sz w:val="18"/>
          <w:szCs w:val="18"/>
          <w:color w:val="000000"/>
        </w:rPr>
        <w:t>Report on Form 10-Q for the quarter ended June 30, 2015, filed on July 30, 2015, File No. 000-12255).</w:t>
      </w:r>
    </w:p>
    <w:p>
      <w:pPr>
        <w:spacing w:after="0" w:line="1"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79">
        <w:r>
          <w:rPr>
            <w:rFonts w:ascii="Arial" w:cs="Arial" w:eastAsia="Arial" w:hAnsi="Arial"/>
            <w:sz w:val="18"/>
            <w:szCs w:val="18"/>
            <w:u w:val="single" w:color="auto"/>
            <w:color w:val="0000FF"/>
          </w:rPr>
          <w:t>10.5.2</w:t>
        </w:r>
      </w:hyperlink>
      <w:r>
        <w:rPr>
          <w:rFonts w:ascii="Arial" w:cs="Arial" w:eastAsia="Arial" w:hAnsi="Arial"/>
          <w:sz w:val="18"/>
          <w:szCs w:val="18"/>
          <w:color w:val="000000"/>
        </w:rPr>
        <w:t>Form</w:t>
      </w:r>
      <w:r>
        <w:rPr>
          <w:rFonts w:ascii="Arial" w:cs="Arial" w:eastAsia="Arial" w:hAnsi="Arial"/>
          <w:sz w:val="18"/>
          <w:szCs w:val="18"/>
          <w:color w:val="0000FF"/>
        </w:rPr>
        <w:t xml:space="preserve"> </w:t>
      </w:r>
      <w:r>
        <w:rPr>
          <w:rFonts w:ascii="Arial" w:cs="Arial" w:eastAsia="Arial" w:hAnsi="Arial"/>
          <w:sz w:val="18"/>
          <w:szCs w:val="18"/>
          <w:color w:val="000000"/>
        </w:rPr>
        <w:t>of Director Restricted Stock Unit Agreement for Non-Employee Director under 2015 Director Compensation Plan</w:t>
      </w:r>
      <w:r>
        <w:rPr>
          <w:rFonts w:ascii="Arial" w:cs="Arial" w:eastAsia="Arial" w:hAnsi="Arial"/>
          <w:sz w:val="18"/>
          <w:szCs w:val="18"/>
          <w:color w:val="0000FF"/>
        </w:rPr>
        <w:t xml:space="preserve"> </w:t>
      </w:r>
      <w:r>
        <w:rPr>
          <w:rFonts w:ascii="Arial" w:cs="Arial" w:eastAsia="Arial" w:hAnsi="Arial"/>
          <w:sz w:val="18"/>
          <w:szCs w:val="18"/>
          <w:color w:val="000000"/>
        </w:rPr>
        <w:t>(incorporated by reference to Exhibit 10.2 to Quarterly Report on Form 10-Q for the quarter ended June 30, 2015, filed on July 30, 2015, File No. 000-12255).</w:t>
      </w:r>
    </w:p>
    <w:p>
      <w:pPr>
        <w:spacing w:after="0" w:line="1"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80">
        <w:r>
          <w:rPr>
            <w:rFonts w:ascii="Arial" w:cs="Arial" w:eastAsia="Arial" w:hAnsi="Arial"/>
            <w:sz w:val="18"/>
            <w:szCs w:val="18"/>
            <w:u w:val="single" w:color="auto"/>
            <w:color w:val="0000FF"/>
          </w:rPr>
          <w:t>10.6</w:t>
        </w:r>
      </w:hyperlink>
      <w:r>
        <w:rPr>
          <w:rFonts w:ascii="Arial" w:cs="Arial" w:eastAsia="Arial" w:hAnsi="Arial"/>
          <w:sz w:val="18"/>
          <w:szCs w:val="18"/>
          <w:color w:val="000000"/>
        </w:rPr>
        <w:t>Form</w:t>
      </w:r>
      <w:r>
        <w:rPr>
          <w:rFonts w:ascii="Arial" w:cs="Arial" w:eastAsia="Arial" w:hAnsi="Arial"/>
          <w:sz w:val="18"/>
          <w:szCs w:val="18"/>
          <w:color w:val="0000FF"/>
        </w:rPr>
        <w:t xml:space="preserve"> </w:t>
      </w:r>
      <w:r>
        <w:rPr>
          <w:rFonts w:ascii="Arial" w:cs="Arial" w:eastAsia="Arial" w:hAnsi="Arial"/>
          <w:sz w:val="18"/>
          <w:szCs w:val="18"/>
          <w:color w:val="000000"/>
        </w:rPr>
        <w:t>of Indemnification Agreement between the Company and each of its directors and executive officers (incorporated by</w:t>
      </w:r>
      <w:r>
        <w:rPr>
          <w:rFonts w:ascii="Arial" w:cs="Arial" w:eastAsia="Arial" w:hAnsi="Arial"/>
          <w:sz w:val="18"/>
          <w:szCs w:val="18"/>
          <w:color w:val="0000FF"/>
        </w:rPr>
        <w:t xml:space="preserve"> </w:t>
      </w:r>
      <w:r>
        <w:rPr>
          <w:rFonts w:ascii="Arial" w:cs="Arial" w:eastAsia="Arial" w:hAnsi="Arial"/>
          <w:sz w:val="18"/>
          <w:szCs w:val="18"/>
          <w:color w:val="000000"/>
        </w:rPr>
        <w:t>reference to Exhibit 10.5 to Current Report on Form 8-K, filed on March 15, 2007, File No. 000-12255).</w:t>
      </w:r>
    </w:p>
    <w:p>
      <w:pPr>
        <w:spacing w:after="0" w:line="1"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81">
        <w:r>
          <w:rPr>
            <w:rFonts w:ascii="Arial" w:cs="Arial" w:eastAsia="Arial" w:hAnsi="Arial"/>
            <w:sz w:val="18"/>
            <w:szCs w:val="18"/>
            <w:u w:val="single" w:color="auto"/>
            <w:color w:val="0000FF"/>
          </w:rPr>
          <w:t>10.7.1</w:t>
        </w:r>
      </w:hyperlink>
      <w:r>
        <w:rPr>
          <w:rFonts w:ascii="Arial" w:cs="Arial" w:eastAsia="Arial" w:hAnsi="Arial"/>
          <w:sz w:val="18"/>
          <w:szCs w:val="18"/>
          <w:color w:val="000000"/>
        </w:rPr>
        <w:t>YRC</w:t>
      </w:r>
      <w:r>
        <w:rPr>
          <w:rFonts w:ascii="Arial" w:cs="Arial" w:eastAsia="Arial" w:hAnsi="Arial"/>
          <w:sz w:val="18"/>
          <w:szCs w:val="18"/>
          <w:color w:val="0000FF"/>
        </w:rPr>
        <w:t xml:space="preserve"> </w:t>
      </w:r>
      <w:r>
        <w:rPr>
          <w:rFonts w:ascii="Arial" w:cs="Arial" w:eastAsia="Arial" w:hAnsi="Arial"/>
          <w:sz w:val="18"/>
          <w:szCs w:val="18"/>
          <w:color w:val="000000"/>
        </w:rPr>
        <w:t>Worldwide Inc. 2011 Incentive and Equity Award Plan (incorporated by reference to Exhibit 99.1 to Registration Statement</w:t>
      </w:r>
      <w:r>
        <w:rPr>
          <w:rFonts w:ascii="Arial" w:cs="Arial" w:eastAsia="Arial" w:hAnsi="Arial"/>
          <w:sz w:val="18"/>
          <w:szCs w:val="18"/>
          <w:color w:val="0000FF"/>
        </w:rPr>
        <w:t xml:space="preserve"> </w:t>
      </w:r>
      <w:r>
        <w:rPr>
          <w:rFonts w:ascii="Arial" w:cs="Arial" w:eastAsia="Arial" w:hAnsi="Arial"/>
          <w:sz w:val="18"/>
          <w:szCs w:val="18"/>
          <w:color w:val="000000"/>
        </w:rPr>
        <w:t>on Form S-8, filed on November 30, 2011, File No. 333-178223).</w:t>
      </w:r>
    </w:p>
    <w:p>
      <w:pPr>
        <w:spacing w:after="0" w:line="1" w:lineRule="exact"/>
        <w:rPr>
          <w:sz w:val="20"/>
          <w:szCs w:val="20"/>
          <w:color w:val="auto"/>
        </w:rPr>
      </w:pPr>
    </w:p>
    <w:p>
      <w:pPr>
        <w:jc w:val="both"/>
        <w:ind w:left="880" w:right="20" w:firstLine="648"/>
        <w:spacing w:after="0" w:line="250" w:lineRule="auto"/>
        <w:rPr>
          <w:rFonts w:ascii="Arial" w:cs="Arial" w:eastAsia="Arial" w:hAnsi="Arial"/>
          <w:sz w:val="18"/>
          <w:szCs w:val="18"/>
          <w:color w:val="0000FF"/>
        </w:rPr>
      </w:pPr>
      <w:hyperlink r:id="rId82">
        <w:r>
          <w:rPr>
            <w:rFonts w:ascii="Arial" w:cs="Arial" w:eastAsia="Arial" w:hAnsi="Arial"/>
            <w:sz w:val="18"/>
            <w:szCs w:val="18"/>
            <w:u w:val="single" w:color="auto"/>
            <w:color w:val="0000FF"/>
          </w:rPr>
          <w:t>10.7.2</w:t>
        </w:r>
      </w:hyperlink>
      <w:r>
        <w:rPr>
          <w:rFonts w:ascii="Arial" w:cs="Arial" w:eastAsia="Arial" w:hAnsi="Arial"/>
          <w:sz w:val="18"/>
          <w:szCs w:val="18"/>
          <w:color w:val="000000"/>
        </w:rPr>
        <w:t>YRC</w:t>
      </w:r>
      <w:r>
        <w:rPr>
          <w:rFonts w:ascii="Arial" w:cs="Arial" w:eastAsia="Arial" w:hAnsi="Arial"/>
          <w:sz w:val="18"/>
          <w:szCs w:val="18"/>
          <w:color w:val="0000FF"/>
        </w:rPr>
        <w:t xml:space="preserve"> </w:t>
      </w:r>
      <w:r>
        <w:rPr>
          <w:rFonts w:ascii="Arial" w:cs="Arial" w:eastAsia="Arial" w:hAnsi="Arial"/>
          <w:sz w:val="18"/>
          <w:szCs w:val="18"/>
          <w:color w:val="000000"/>
        </w:rPr>
        <w:t>Worldwide Inc. Amended and Restated 2011 Incentive and Equity Award Plan (incorporated by reference to Exhibit 10.7 to</w:t>
      </w:r>
      <w:r>
        <w:rPr>
          <w:rFonts w:ascii="Arial" w:cs="Arial" w:eastAsia="Arial" w:hAnsi="Arial"/>
          <w:sz w:val="18"/>
          <w:szCs w:val="18"/>
          <w:color w:val="0000FF"/>
        </w:rPr>
        <w:t xml:space="preserve"> </w:t>
      </w:r>
      <w:r>
        <w:rPr>
          <w:rFonts w:ascii="Arial" w:cs="Arial" w:eastAsia="Arial" w:hAnsi="Arial"/>
          <w:sz w:val="18"/>
          <w:szCs w:val="18"/>
          <w:color w:val="000000"/>
        </w:rPr>
        <w:t>Quarterly Report on Form 10-Q for the quarter ended March 31, 2014, filed on May 1, 2014, File No. 000-12255).</w:t>
      </w:r>
    </w:p>
    <w:p>
      <w:pPr>
        <w:spacing w:after="0" w:line="1" w:lineRule="exact"/>
        <w:rPr>
          <w:sz w:val="20"/>
          <w:szCs w:val="20"/>
          <w:color w:val="auto"/>
        </w:rPr>
      </w:pPr>
    </w:p>
    <w:p>
      <w:pPr>
        <w:jc w:val="both"/>
        <w:ind w:left="880"/>
        <w:spacing w:after="0" w:line="250" w:lineRule="auto"/>
        <w:rPr>
          <w:sz w:val="20"/>
          <w:szCs w:val="20"/>
          <w:color w:val="auto"/>
        </w:rPr>
      </w:pPr>
      <w:r>
        <w:rPr>
          <w:rFonts w:ascii="Arial" w:cs="Arial" w:eastAsia="Arial" w:hAnsi="Arial"/>
          <w:sz w:val="18"/>
          <w:szCs w:val="18"/>
          <w:color w:val="auto"/>
        </w:rPr>
        <w:t>Form of Restricted Stock Agreement under YRC Worldwide Inc. 2011 Incentive and Equity Award Plan (incorporated by reference to Exhibit 10.1 to Current Report on Form 8-K, filed on February 24, 2017, File No. 000-12255).</w:t>
      </w:r>
    </w:p>
    <w:p>
      <w:pPr>
        <w:spacing w:after="0" w:line="1" w:lineRule="exact"/>
        <w:rPr>
          <w:sz w:val="20"/>
          <w:szCs w:val="20"/>
          <w:color w:val="auto"/>
        </w:rPr>
      </w:pPr>
    </w:p>
    <w:p>
      <w:pPr>
        <w:ind w:left="900" w:right="100"/>
        <w:spacing w:after="0" w:line="250" w:lineRule="auto"/>
        <w:rPr>
          <w:sz w:val="20"/>
          <w:szCs w:val="20"/>
          <w:color w:val="auto"/>
        </w:rPr>
      </w:pPr>
      <w:r>
        <w:rPr>
          <w:rFonts w:ascii="Arial" w:cs="Arial" w:eastAsia="Arial" w:hAnsi="Arial"/>
          <w:sz w:val="18"/>
          <w:szCs w:val="18"/>
          <w:color w:val="auto"/>
        </w:rPr>
        <w:t>Form of Cash-Settled Performance Stock Unit Agreement under the YRC Amended and Restated 2011 Incentive and Equity Award Plan (incorporated by reference to Exhibit 10.1 to Quarterly Report on Form 10-Q for the quarter ended March 31, 2016, filed on April 28, 2016, File No. 000-12255).</w:t>
      </w:r>
    </w:p>
    <w:p>
      <w:pPr>
        <w:spacing w:after="0" w:line="1" w:lineRule="exact"/>
        <w:rPr>
          <w:sz w:val="20"/>
          <w:szCs w:val="20"/>
          <w:color w:val="auto"/>
        </w:rPr>
      </w:pPr>
    </w:p>
    <w:p>
      <w:pPr>
        <w:jc w:val="both"/>
        <w:ind w:left="880" w:right="20" w:firstLine="648"/>
        <w:spacing w:after="0" w:line="250" w:lineRule="auto"/>
        <w:rPr>
          <w:rFonts w:ascii="Arial" w:cs="Arial" w:eastAsia="Arial" w:hAnsi="Arial"/>
          <w:sz w:val="18"/>
          <w:szCs w:val="18"/>
          <w:color w:val="0000FF"/>
        </w:rPr>
      </w:pPr>
      <w:hyperlink r:id="rId83">
        <w:r>
          <w:rPr>
            <w:rFonts w:ascii="Arial" w:cs="Arial" w:eastAsia="Arial" w:hAnsi="Arial"/>
            <w:sz w:val="18"/>
            <w:szCs w:val="18"/>
            <w:u w:val="single" w:color="auto"/>
            <w:color w:val="0000FF"/>
          </w:rPr>
          <w:t>10.9.1</w:t>
        </w:r>
      </w:hyperlink>
      <w:r>
        <w:rPr>
          <w:rFonts w:ascii="Arial" w:cs="Arial" w:eastAsia="Arial" w:hAnsi="Arial"/>
          <w:sz w:val="18"/>
          <w:szCs w:val="18"/>
          <w:color w:val="000000"/>
        </w:rPr>
        <w:t>YRC</w:t>
      </w:r>
      <w:r>
        <w:rPr>
          <w:rFonts w:ascii="Arial" w:cs="Arial" w:eastAsia="Arial" w:hAnsi="Arial"/>
          <w:sz w:val="18"/>
          <w:szCs w:val="18"/>
          <w:color w:val="0000FF"/>
        </w:rPr>
        <w:t xml:space="preserve"> </w:t>
      </w:r>
      <w:r>
        <w:rPr>
          <w:rFonts w:ascii="Arial" w:cs="Arial" w:eastAsia="Arial" w:hAnsi="Arial"/>
          <w:sz w:val="18"/>
          <w:szCs w:val="18"/>
          <w:color w:val="000000"/>
        </w:rPr>
        <w:t>Worldwide Inc. Supplemental Executive Pension Plan, effective January 1, 2005 (incorporated by reference to Exhibit 10.1</w:t>
      </w:r>
      <w:r>
        <w:rPr>
          <w:rFonts w:ascii="Arial" w:cs="Arial" w:eastAsia="Arial" w:hAnsi="Arial"/>
          <w:sz w:val="18"/>
          <w:szCs w:val="18"/>
          <w:color w:val="0000FF"/>
        </w:rPr>
        <w:t xml:space="preserve"> </w:t>
      </w:r>
      <w:r>
        <w:rPr>
          <w:rFonts w:ascii="Arial" w:cs="Arial" w:eastAsia="Arial" w:hAnsi="Arial"/>
          <w:sz w:val="18"/>
          <w:szCs w:val="18"/>
          <w:color w:val="000000"/>
        </w:rPr>
        <w:t>to Current Report on Form 8-K, filed on July 25, 2006, File No. 000-12255).</w:t>
      </w:r>
    </w:p>
    <w:p>
      <w:pPr>
        <w:spacing w:after="0" w:line="1"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84">
        <w:r>
          <w:rPr>
            <w:rFonts w:ascii="Arial" w:cs="Arial" w:eastAsia="Arial" w:hAnsi="Arial"/>
            <w:sz w:val="18"/>
            <w:szCs w:val="18"/>
            <w:u w:val="single" w:color="auto"/>
            <w:color w:val="0000FF"/>
          </w:rPr>
          <w:t>10.9.2</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to YRC Worldwide Inc. Supplemental Executive Pension Plan (incorporated by reference to Exhibit 10.3 to Current</w:t>
      </w:r>
      <w:r>
        <w:rPr>
          <w:rFonts w:ascii="Arial" w:cs="Arial" w:eastAsia="Arial" w:hAnsi="Arial"/>
          <w:sz w:val="18"/>
          <w:szCs w:val="18"/>
          <w:color w:val="0000FF"/>
        </w:rPr>
        <w:t xml:space="preserve"> </w:t>
      </w:r>
      <w:r>
        <w:rPr>
          <w:rFonts w:ascii="Arial" w:cs="Arial" w:eastAsia="Arial" w:hAnsi="Arial"/>
          <w:sz w:val="18"/>
          <w:szCs w:val="18"/>
          <w:color w:val="000000"/>
        </w:rPr>
        <w:t>Report on Form 8-K, filed on July 8, 2008, File No. 000-12255).</w:t>
      </w:r>
    </w:p>
    <w:p>
      <w:pPr>
        <w:spacing w:after="0" w:line="1" w:lineRule="exact"/>
        <w:rPr>
          <w:sz w:val="20"/>
          <w:szCs w:val="20"/>
          <w:color w:val="auto"/>
        </w:rPr>
      </w:pPr>
    </w:p>
    <w:p>
      <w:pPr>
        <w:jc w:val="both"/>
        <w:ind w:left="880" w:right="20" w:firstLine="648"/>
        <w:spacing w:after="0" w:line="265" w:lineRule="auto"/>
        <w:rPr>
          <w:rFonts w:ascii="Arial" w:cs="Arial" w:eastAsia="Arial" w:hAnsi="Arial"/>
          <w:sz w:val="17"/>
          <w:szCs w:val="17"/>
          <w:color w:val="0000FF"/>
        </w:rPr>
      </w:pPr>
      <w:hyperlink r:id="rId85">
        <w:r>
          <w:rPr>
            <w:rFonts w:ascii="Arial" w:cs="Arial" w:eastAsia="Arial" w:hAnsi="Arial"/>
            <w:sz w:val="17"/>
            <w:szCs w:val="17"/>
            <w:u w:val="single" w:color="auto"/>
            <w:color w:val="0000FF"/>
          </w:rPr>
          <w:t>10.9.3</w:t>
        </w:r>
      </w:hyperlink>
      <w:r>
        <w:rPr>
          <w:rFonts w:ascii="Arial" w:cs="Arial" w:eastAsia="Arial" w:hAnsi="Arial"/>
          <w:sz w:val="17"/>
          <w:szCs w:val="17"/>
          <w:color w:val="000000"/>
        </w:rPr>
        <w:t>Second</w:t>
      </w:r>
      <w:r>
        <w:rPr>
          <w:rFonts w:ascii="Arial" w:cs="Arial" w:eastAsia="Arial" w:hAnsi="Arial"/>
          <w:sz w:val="17"/>
          <w:szCs w:val="17"/>
          <w:color w:val="0000FF"/>
        </w:rPr>
        <w:t xml:space="preserve"> </w:t>
      </w:r>
      <w:r>
        <w:rPr>
          <w:rFonts w:ascii="Arial" w:cs="Arial" w:eastAsia="Arial" w:hAnsi="Arial"/>
          <w:sz w:val="17"/>
          <w:szCs w:val="17"/>
          <w:color w:val="000000"/>
        </w:rPr>
        <w:t>Amendment to YRC Worldwide Inc. Supplemental Executive Pension Plan (incorporated by reference to Exhibit 10.30.3</w:t>
      </w:r>
      <w:r>
        <w:rPr>
          <w:rFonts w:ascii="Arial" w:cs="Arial" w:eastAsia="Arial" w:hAnsi="Arial"/>
          <w:sz w:val="17"/>
          <w:szCs w:val="17"/>
          <w:color w:val="0000FF"/>
        </w:rPr>
        <w:t xml:space="preserve"> </w:t>
      </w:r>
      <w:r>
        <w:rPr>
          <w:rFonts w:ascii="Arial" w:cs="Arial" w:eastAsia="Arial" w:hAnsi="Arial"/>
          <w:sz w:val="17"/>
          <w:szCs w:val="17"/>
          <w:color w:val="000000"/>
        </w:rPr>
        <w:t>to Annual Report on Form 10-K for the year ended December 31, 2011, filed February 28, 2012, File No. 000-12255).</w:t>
      </w:r>
    </w:p>
    <w:p>
      <w:pPr>
        <w:jc w:val="both"/>
        <w:ind w:left="880" w:firstLine="648"/>
        <w:spacing w:after="0" w:line="250" w:lineRule="auto"/>
        <w:rPr>
          <w:rFonts w:ascii="Arial" w:cs="Arial" w:eastAsia="Arial" w:hAnsi="Arial"/>
          <w:sz w:val="18"/>
          <w:szCs w:val="18"/>
          <w:color w:val="0000FF"/>
        </w:rPr>
      </w:pPr>
      <w:hyperlink r:id="rId86">
        <w:r>
          <w:rPr>
            <w:rFonts w:ascii="Arial" w:cs="Arial" w:eastAsia="Arial" w:hAnsi="Arial"/>
            <w:sz w:val="18"/>
            <w:szCs w:val="18"/>
            <w:u w:val="single" w:color="auto"/>
            <w:color w:val="0000FF"/>
          </w:rPr>
          <w:t>10.10.1</w:t>
        </w:r>
      </w:hyperlink>
      <w:r>
        <w:rPr>
          <w:rFonts w:ascii="Arial" w:cs="Arial" w:eastAsia="Arial" w:hAnsi="Arial"/>
          <w:sz w:val="18"/>
          <w:szCs w:val="18"/>
          <w:color w:val="000000"/>
        </w:rPr>
        <w:t>Yellow</w:t>
      </w:r>
      <w:r>
        <w:rPr>
          <w:rFonts w:ascii="Arial" w:cs="Arial" w:eastAsia="Arial" w:hAnsi="Arial"/>
          <w:sz w:val="18"/>
          <w:szCs w:val="18"/>
          <w:color w:val="0000FF"/>
        </w:rPr>
        <w:t xml:space="preserve"> </w:t>
      </w:r>
      <w:r>
        <w:rPr>
          <w:rFonts w:ascii="Arial" w:cs="Arial" w:eastAsia="Arial" w:hAnsi="Arial"/>
          <w:sz w:val="18"/>
          <w:szCs w:val="18"/>
          <w:color w:val="000000"/>
        </w:rPr>
        <w:t>Corporation Pension Plan, as amended and restated as of January 1, 2004 (incorporated by reference to Exhibit 10.27 to</w:t>
      </w:r>
      <w:r>
        <w:rPr>
          <w:rFonts w:ascii="Arial" w:cs="Arial" w:eastAsia="Arial" w:hAnsi="Arial"/>
          <w:sz w:val="18"/>
          <w:szCs w:val="18"/>
          <w:color w:val="0000FF"/>
        </w:rPr>
        <w:t xml:space="preserve"> </w:t>
      </w:r>
      <w:r>
        <w:rPr>
          <w:rFonts w:ascii="Arial" w:cs="Arial" w:eastAsia="Arial" w:hAnsi="Arial"/>
          <w:sz w:val="18"/>
          <w:szCs w:val="18"/>
          <w:color w:val="000000"/>
        </w:rPr>
        <w:t>Annual Report on Form 10-K for the year ended December 31, 2003, filed on March 15, 2004, File No. 000-12255).</w:t>
      </w:r>
    </w:p>
    <w:p>
      <w:pPr>
        <w:spacing w:after="0" w:line="1" w:lineRule="exact"/>
        <w:rPr>
          <w:sz w:val="20"/>
          <w:szCs w:val="20"/>
          <w:color w:val="auto"/>
        </w:rPr>
      </w:pPr>
    </w:p>
    <w:p>
      <w:pPr>
        <w:jc w:val="both"/>
        <w:ind w:left="880" w:firstLine="648"/>
        <w:spacing w:after="0" w:line="281" w:lineRule="auto"/>
        <w:rPr>
          <w:rFonts w:ascii="Arial" w:cs="Arial" w:eastAsia="Arial" w:hAnsi="Arial"/>
          <w:sz w:val="16"/>
          <w:szCs w:val="16"/>
          <w:color w:val="0000FF"/>
        </w:rPr>
      </w:pPr>
      <w:hyperlink r:id="rId87">
        <w:r>
          <w:rPr>
            <w:rFonts w:ascii="Arial" w:cs="Arial" w:eastAsia="Arial" w:hAnsi="Arial"/>
            <w:sz w:val="16"/>
            <w:szCs w:val="16"/>
            <w:u w:val="single" w:color="auto"/>
            <w:color w:val="0000FF"/>
          </w:rPr>
          <w:t>10.10.2</w:t>
        </w:r>
      </w:hyperlink>
      <w:r>
        <w:rPr>
          <w:rFonts w:ascii="Arial" w:cs="Arial" w:eastAsia="Arial" w:hAnsi="Arial"/>
          <w:sz w:val="16"/>
          <w:szCs w:val="16"/>
          <w:color w:val="000000"/>
        </w:rPr>
        <w:t>Amendment</w:t>
      </w:r>
      <w:r>
        <w:rPr>
          <w:rFonts w:ascii="Arial" w:cs="Arial" w:eastAsia="Arial" w:hAnsi="Arial"/>
          <w:sz w:val="16"/>
          <w:szCs w:val="16"/>
          <w:color w:val="0000FF"/>
        </w:rPr>
        <w:t xml:space="preserve"> </w:t>
      </w:r>
      <w:r>
        <w:rPr>
          <w:rFonts w:ascii="Arial" w:cs="Arial" w:eastAsia="Arial" w:hAnsi="Arial"/>
          <w:sz w:val="16"/>
          <w:szCs w:val="16"/>
          <w:color w:val="000000"/>
        </w:rPr>
        <w:t>No. 1 to Yellow Corporation Pension Plan, as amended and restated as of January 1, 2004 (incorporated by reference</w:t>
      </w:r>
      <w:r>
        <w:rPr>
          <w:rFonts w:ascii="Arial" w:cs="Arial" w:eastAsia="Arial" w:hAnsi="Arial"/>
          <w:sz w:val="16"/>
          <w:szCs w:val="16"/>
          <w:color w:val="0000FF"/>
        </w:rPr>
        <w:t xml:space="preserve"> </w:t>
      </w:r>
      <w:r>
        <w:rPr>
          <w:rFonts w:ascii="Arial" w:cs="Arial" w:eastAsia="Arial" w:hAnsi="Arial"/>
          <w:sz w:val="16"/>
          <w:szCs w:val="16"/>
          <w:color w:val="000000"/>
        </w:rPr>
        <w:t>to Exhibit 10.2 to Quarterly Report on Form 10-Q for the quarter ended September 30, 2005, filed on November 9, 2005, File No. 000-12255).</w:t>
      </w:r>
    </w:p>
    <w:p>
      <w:pPr>
        <w:spacing w:after="0" w:line="1" w:lineRule="exact"/>
        <w:rPr>
          <w:sz w:val="20"/>
          <w:szCs w:val="20"/>
          <w:color w:val="auto"/>
        </w:rPr>
      </w:pPr>
    </w:p>
    <w:p>
      <w:pPr>
        <w:jc w:val="both"/>
        <w:ind w:left="880" w:firstLine="648"/>
        <w:spacing w:after="0" w:line="281" w:lineRule="auto"/>
        <w:rPr>
          <w:rFonts w:ascii="Arial" w:cs="Arial" w:eastAsia="Arial" w:hAnsi="Arial"/>
          <w:sz w:val="16"/>
          <w:szCs w:val="16"/>
          <w:color w:val="0000FF"/>
        </w:rPr>
      </w:pPr>
      <w:hyperlink r:id="rId88">
        <w:r>
          <w:rPr>
            <w:rFonts w:ascii="Arial" w:cs="Arial" w:eastAsia="Arial" w:hAnsi="Arial"/>
            <w:sz w:val="16"/>
            <w:szCs w:val="16"/>
            <w:u w:val="single" w:color="auto"/>
            <w:color w:val="0000FF"/>
          </w:rPr>
          <w:t>10.10.3</w:t>
        </w:r>
      </w:hyperlink>
      <w:r>
        <w:rPr>
          <w:rFonts w:ascii="Arial" w:cs="Arial" w:eastAsia="Arial" w:hAnsi="Arial"/>
          <w:sz w:val="16"/>
          <w:szCs w:val="16"/>
          <w:color w:val="000000"/>
        </w:rPr>
        <w:t>Amendment</w:t>
      </w:r>
      <w:r>
        <w:rPr>
          <w:rFonts w:ascii="Arial" w:cs="Arial" w:eastAsia="Arial" w:hAnsi="Arial"/>
          <w:sz w:val="16"/>
          <w:szCs w:val="16"/>
          <w:color w:val="0000FF"/>
        </w:rPr>
        <w:t xml:space="preserve"> </w:t>
      </w:r>
      <w:r>
        <w:rPr>
          <w:rFonts w:ascii="Arial" w:cs="Arial" w:eastAsia="Arial" w:hAnsi="Arial"/>
          <w:sz w:val="16"/>
          <w:szCs w:val="16"/>
          <w:color w:val="000000"/>
        </w:rPr>
        <w:t>No. 2 to Yellow Corporation Pension Plan, as amended and restated as of January 1, 2004 (incorporated by reference</w:t>
      </w:r>
      <w:r>
        <w:rPr>
          <w:rFonts w:ascii="Arial" w:cs="Arial" w:eastAsia="Arial" w:hAnsi="Arial"/>
          <w:sz w:val="16"/>
          <w:szCs w:val="16"/>
          <w:color w:val="0000FF"/>
        </w:rPr>
        <w:t xml:space="preserve"> </w:t>
      </w:r>
      <w:r>
        <w:rPr>
          <w:rFonts w:ascii="Arial" w:cs="Arial" w:eastAsia="Arial" w:hAnsi="Arial"/>
          <w:sz w:val="16"/>
          <w:szCs w:val="16"/>
          <w:color w:val="000000"/>
        </w:rPr>
        <w:t>to Exhibit 10.28.3 to Annual Report on Form 10-K for the year ended December 31, 2010, filed on March 14, 2011, File No. 000-12255).</w:t>
      </w:r>
    </w:p>
    <w:p>
      <w:pPr>
        <w:spacing w:after="0" w:line="1"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89">
        <w:r>
          <w:rPr>
            <w:rFonts w:ascii="Arial" w:cs="Arial" w:eastAsia="Arial" w:hAnsi="Arial"/>
            <w:sz w:val="18"/>
            <w:szCs w:val="18"/>
            <w:u w:val="single" w:color="auto"/>
            <w:color w:val="0000FF"/>
          </w:rPr>
          <w:t>10.10.4</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No. 3 to Yellow Corporation Pension Plan, as amended and restated as of January 1, 2004 (incorporated by reference</w:t>
      </w:r>
      <w:r>
        <w:rPr>
          <w:rFonts w:ascii="Arial" w:cs="Arial" w:eastAsia="Arial" w:hAnsi="Arial"/>
          <w:sz w:val="18"/>
          <w:szCs w:val="18"/>
          <w:color w:val="0000FF"/>
        </w:rPr>
        <w:t xml:space="preserve"> </w:t>
      </w:r>
      <w:r>
        <w:rPr>
          <w:rFonts w:ascii="Arial" w:cs="Arial" w:eastAsia="Arial" w:hAnsi="Arial"/>
          <w:sz w:val="18"/>
          <w:szCs w:val="18"/>
          <w:color w:val="000000"/>
        </w:rPr>
        <w:t>to Exhibit 10.2 to Current Report on Form 8-K, filed on July 8, 2008, File No. 000-12255).</w:t>
      </w:r>
    </w:p>
    <w:p>
      <w:pPr>
        <w:spacing w:after="0" w:line="1" w:lineRule="exact"/>
        <w:rPr>
          <w:sz w:val="20"/>
          <w:szCs w:val="20"/>
          <w:color w:val="auto"/>
        </w:rPr>
      </w:pPr>
    </w:p>
    <w:p>
      <w:pPr>
        <w:jc w:val="both"/>
        <w:ind w:left="880" w:firstLine="648"/>
        <w:spacing w:after="0" w:line="281" w:lineRule="auto"/>
        <w:rPr>
          <w:rFonts w:ascii="Arial" w:cs="Arial" w:eastAsia="Arial" w:hAnsi="Arial"/>
          <w:sz w:val="16"/>
          <w:szCs w:val="16"/>
          <w:color w:val="0000FF"/>
        </w:rPr>
      </w:pPr>
      <w:hyperlink r:id="rId90">
        <w:r>
          <w:rPr>
            <w:rFonts w:ascii="Arial" w:cs="Arial" w:eastAsia="Arial" w:hAnsi="Arial"/>
            <w:sz w:val="16"/>
            <w:szCs w:val="16"/>
            <w:u w:val="single" w:color="auto"/>
            <w:color w:val="0000FF"/>
          </w:rPr>
          <w:t>10.10.5</w:t>
        </w:r>
      </w:hyperlink>
      <w:r>
        <w:rPr>
          <w:rFonts w:ascii="Arial" w:cs="Arial" w:eastAsia="Arial" w:hAnsi="Arial"/>
          <w:sz w:val="16"/>
          <w:szCs w:val="16"/>
          <w:color w:val="000000"/>
        </w:rPr>
        <w:t>Amendment</w:t>
      </w:r>
      <w:r>
        <w:rPr>
          <w:rFonts w:ascii="Arial" w:cs="Arial" w:eastAsia="Arial" w:hAnsi="Arial"/>
          <w:sz w:val="16"/>
          <w:szCs w:val="16"/>
          <w:color w:val="0000FF"/>
        </w:rPr>
        <w:t xml:space="preserve"> </w:t>
      </w:r>
      <w:r>
        <w:rPr>
          <w:rFonts w:ascii="Arial" w:cs="Arial" w:eastAsia="Arial" w:hAnsi="Arial"/>
          <w:sz w:val="16"/>
          <w:szCs w:val="16"/>
          <w:color w:val="000000"/>
        </w:rPr>
        <w:t>No. 4 to Yellow Corporation Pension Plan, as amended and restated as of January 1, 2004 (incorporated by reference</w:t>
      </w:r>
      <w:r>
        <w:rPr>
          <w:rFonts w:ascii="Arial" w:cs="Arial" w:eastAsia="Arial" w:hAnsi="Arial"/>
          <w:sz w:val="16"/>
          <w:szCs w:val="16"/>
          <w:color w:val="0000FF"/>
        </w:rPr>
        <w:t xml:space="preserve"> </w:t>
      </w:r>
      <w:r>
        <w:rPr>
          <w:rFonts w:ascii="Arial" w:cs="Arial" w:eastAsia="Arial" w:hAnsi="Arial"/>
          <w:sz w:val="16"/>
          <w:szCs w:val="16"/>
          <w:color w:val="000000"/>
        </w:rPr>
        <w:t>to Exhibit 10.22.5 to Annual Report on Form 10-K for the year ended December 31, 2008, filed on March 2, 2009, File No. 000-12255).</w:t>
      </w:r>
    </w:p>
    <w:p>
      <w:pPr>
        <w:spacing w:after="0" w:line="1"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91">
        <w:r>
          <w:rPr>
            <w:rFonts w:ascii="Arial" w:cs="Arial" w:eastAsia="Arial" w:hAnsi="Arial"/>
            <w:sz w:val="18"/>
            <w:szCs w:val="18"/>
            <w:u w:val="single" w:color="auto"/>
            <w:color w:val="0000FF"/>
          </w:rPr>
          <w:t>10.10.6</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No. 5 and Amendment No. 6 to Yellow Corporation Pension Plan, as amended and restated as of January 1, 2004</w:t>
      </w:r>
      <w:r>
        <w:rPr>
          <w:rFonts w:ascii="Arial" w:cs="Arial" w:eastAsia="Arial" w:hAnsi="Arial"/>
          <w:sz w:val="18"/>
          <w:szCs w:val="18"/>
          <w:color w:val="0000FF"/>
        </w:rPr>
        <w:t xml:space="preserve"> </w:t>
      </w:r>
      <w:r>
        <w:rPr>
          <w:rFonts w:ascii="Arial" w:cs="Arial" w:eastAsia="Arial" w:hAnsi="Arial"/>
          <w:sz w:val="18"/>
          <w:szCs w:val="18"/>
          <w:color w:val="000000"/>
        </w:rPr>
        <w:t>(incorporated by reference to Exhibit 10.28.6 to Annual Report on Form 10-K for the year ended December 31, 2009, filed on March 16, 2010, File No. 000-12255).</w:t>
      </w:r>
    </w:p>
    <w:p>
      <w:pPr>
        <w:spacing w:after="0" w:line="1" w:lineRule="exact"/>
        <w:rPr>
          <w:sz w:val="20"/>
          <w:szCs w:val="20"/>
          <w:color w:val="auto"/>
        </w:rPr>
      </w:pPr>
    </w:p>
    <w:p>
      <w:pPr>
        <w:jc w:val="both"/>
        <w:ind w:left="880" w:firstLine="648"/>
        <w:spacing w:after="0" w:line="281" w:lineRule="auto"/>
        <w:rPr>
          <w:rFonts w:ascii="Arial" w:cs="Arial" w:eastAsia="Arial" w:hAnsi="Arial"/>
          <w:sz w:val="16"/>
          <w:szCs w:val="16"/>
          <w:color w:val="0000FF"/>
        </w:rPr>
      </w:pPr>
      <w:hyperlink r:id="rId92">
        <w:r>
          <w:rPr>
            <w:rFonts w:ascii="Arial" w:cs="Arial" w:eastAsia="Arial" w:hAnsi="Arial"/>
            <w:sz w:val="16"/>
            <w:szCs w:val="16"/>
            <w:u w:val="single" w:color="auto"/>
            <w:color w:val="0000FF"/>
          </w:rPr>
          <w:t>10.10.7</w:t>
        </w:r>
      </w:hyperlink>
      <w:r>
        <w:rPr>
          <w:rFonts w:ascii="Arial" w:cs="Arial" w:eastAsia="Arial" w:hAnsi="Arial"/>
          <w:sz w:val="16"/>
          <w:szCs w:val="16"/>
          <w:color w:val="000000"/>
        </w:rPr>
        <w:t>Amendment</w:t>
      </w:r>
      <w:r>
        <w:rPr>
          <w:rFonts w:ascii="Arial" w:cs="Arial" w:eastAsia="Arial" w:hAnsi="Arial"/>
          <w:sz w:val="16"/>
          <w:szCs w:val="16"/>
          <w:color w:val="0000FF"/>
        </w:rPr>
        <w:t xml:space="preserve"> </w:t>
      </w:r>
      <w:r>
        <w:rPr>
          <w:rFonts w:ascii="Arial" w:cs="Arial" w:eastAsia="Arial" w:hAnsi="Arial"/>
          <w:sz w:val="16"/>
          <w:szCs w:val="16"/>
          <w:color w:val="000000"/>
        </w:rPr>
        <w:t>No. 7 to Yellow Corporation Pension Plan, as amended and restated as of January 1, 2004 (incorporated by reference</w:t>
      </w:r>
      <w:r>
        <w:rPr>
          <w:rFonts w:ascii="Arial" w:cs="Arial" w:eastAsia="Arial" w:hAnsi="Arial"/>
          <w:sz w:val="16"/>
          <w:szCs w:val="16"/>
          <w:color w:val="0000FF"/>
        </w:rPr>
        <w:t xml:space="preserve"> </w:t>
      </w:r>
      <w:r>
        <w:rPr>
          <w:rFonts w:ascii="Arial" w:cs="Arial" w:eastAsia="Arial" w:hAnsi="Arial"/>
          <w:sz w:val="16"/>
          <w:szCs w:val="16"/>
          <w:color w:val="000000"/>
        </w:rPr>
        <w:t>to Exhibit 10.7 to Quarterly Report on Form 10-Q for the quarter ended June 30, 2010, filed on August 9, 2010, File No. 000-12255).</w:t>
      </w:r>
    </w:p>
    <w:p>
      <w:pPr>
        <w:spacing w:after="0" w:line="1" w:lineRule="exact"/>
        <w:rPr>
          <w:sz w:val="20"/>
          <w:szCs w:val="20"/>
          <w:color w:val="auto"/>
        </w:rPr>
      </w:pPr>
    </w:p>
    <w:p>
      <w:pPr>
        <w:jc w:val="both"/>
        <w:ind w:left="880" w:firstLine="648"/>
        <w:spacing w:after="0" w:line="250" w:lineRule="auto"/>
        <w:rPr>
          <w:rFonts w:ascii="Arial" w:cs="Arial" w:eastAsia="Arial" w:hAnsi="Arial"/>
          <w:sz w:val="18"/>
          <w:szCs w:val="18"/>
          <w:color w:val="0000FF"/>
        </w:rPr>
      </w:pPr>
      <w:hyperlink r:id="rId93">
        <w:r>
          <w:rPr>
            <w:rFonts w:ascii="Arial" w:cs="Arial" w:eastAsia="Arial" w:hAnsi="Arial"/>
            <w:sz w:val="18"/>
            <w:szCs w:val="18"/>
            <w:u w:val="single" w:color="auto"/>
            <w:color w:val="0000FF"/>
          </w:rPr>
          <w:t>10.11</w:t>
        </w:r>
      </w:hyperlink>
      <w:r>
        <w:rPr>
          <w:rFonts w:ascii="Arial" w:cs="Arial" w:eastAsia="Arial" w:hAnsi="Arial"/>
          <w:sz w:val="18"/>
          <w:szCs w:val="18"/>
          <w:color w:val="000000"/>
        </w:rPr>
        <w:t>YRC</w:t>
      </w:r>
      <w:r>
        <w:rPr>
          <w:rFonts w:ascii="Arial" w:cs="Arial" w:eastAsia="Arial" w:hAnsi="Arial"/>
          <w:sz w:val="18"/>
          <w:szCs w:val="18"/>
          <w:color w:val="0000FF"/>
        </w:rPr>
        <w:t xml:space="preserve"> </w:t>
      </w:r>
      <w:r>
        <w:rPr>
          <w:rFonts w:ascii="Arial" w:cs="Arial" w:eastAsia="Arial" w:hAnsi="Arial"/>
          <w:sz w:val="18"/>
          <w:szCs w:val="18"/>
          <w:color w:val="000000"/>
        </w:rPr>
        <w:t>Worldwide Inc. Non-Union Employee Option Plan (incorporated by reference to Exhibit 10.3 to Current Report on Form 8-K,</w:t>
      </w:r>
      <w:r>
        <w:rPr>
          <w:rFonts w:ascii="Arial" w:cs="Arial" w:eastAsia="Arial" w:hAnsi="Arial"/>
          <w:sz w:val="18"/>
          <w:szCs w:val="18"/>
          <w:color w:val="0000FF"/>
        </w:rPr>
        <w:t xml:space="preserve"> </w:t>
      </w:r>
      <w:r>
        <w:rPr>
          <w:rFonts w:ascii="Arial" w:cs="Arial" w:eastAsia="Arial" w:hAnsi="Arial"/>
          <w:sz w:val="18"/>
          <w:szCs w:val="18"/>
          <w:color w:val="000000"/>
        </w:rPr>
        <w:t>filed on January 6, 2009, File No. 000-12255).</w:t>
      </w:r>
    </w:p>
    <w:p>
      <w:pPr>
        <w:spacing w:after="0" w:line="1" w:lineRule="exact"/>
        <w:rPr>
          <w:sz w:val="20"/>
          <w:szCs w:val="20"/>
          <w:color w:val="auto"/>
        </w:rPr>
      </w:pPr>
    </w:p>
    <w:p>
      <w:pPr>
        <w:jc w:val="both"/>
        <w:ind w:left="880" w:firstLine="648"/>
        <w:spacing w:after="0" w:line="261" w:lineRule="auto"/>
        <w:rPr>
          <w:rFonts w:ascii="Arial" w:cs="Arial" w:eastAsia="Arial" w:hAnsi="Arial"/>
          <w:sz w:val="18"/>
          <w:szCs w:val="18"/>
          <w:color w:val="0000FF"/>
        </w:rPr>
      </w:pPr>
      <w:hyperlink r:id="rId94">
        <w:r>
          <w:rPr>
            <w:rFonts w:ascii="Arial" w:cs="Arial" w:eastAsia="Arial" w:hAnsi="Arial"/>
            <w:sz w:val="18"/>
            <w:szCs w:val="18"/>
            <w:u w:val="single" w:color="auto"/>
            <w:color w:val="0000FF"/>
          </w:rPr>
          <w:t>10.12</w:t>
        </w:r>
      </w:hyperlink>
      <w:r>
        <w:rPr>
          <w:rFonts w:ascii="Arial" w:cs="Arial" w:eastAsia="Arial" w:hAnsi="Arial"/>
          <w:sz w:val="18"/>
          <w:szCs w:val="18"/>
          <w:color w:val="000000"/>
        </w:rPr>
        <w:t>YRC</w:t>
      </w:r>
      <w:r>
        <w:rPr>
          <w:rFonts w:ascii="Arial" w:cs="Arial" w:eastAsia="Arial" w:hAnsi="Arial"/>
          <w:sz w:val="18"/>
          <w:szCs w:val="18"/>
          <w:color w:val="0000FF"/>
        </w:rPr>
        <w:t xml:space="preserve"> </w:t>
      </w:r>
      <w:r>
        <w:rPr>
          <w:rFonts w:ascii="Arial" w:cs="Arial" w:eastAsia="Arial" w:hAnsi="Arial"/>
          <w:sz w:val="18"/>
          <w:szCs w:val="18"/>
          <w:color w:val="000000"/>
        </w:rPr>
        <w:t>Worldwide Inc. Union Employee Option Plan (incorporated by reference to Exhibit 10.25 to Annual Report on Form 10-K</w:t>
      </w:r>
      <w:r>
        <w:rPr>
          <w:rFonts w:ascii="Arial" w:cs="Arial" w:eastAsia="Arial" w:hAnsi="Arial"/>
          <w:sz w:val="18"/>
          <w:szCs w:val="18"/>
          <w:color w:val="0000FF"/>
        </w:rPr>
        <w:t xml:space="preserve"> </w:t>
      </w:r>
      <w:r>
        <w:rPr>
          <w:rFonts w:ascii="Arial" w:cs="Arial" w:eastAsia="Arial" w:hAnsi="Arial"/>
          <w:sz w:val="18"/>
          <w:szCs w:val="18"/>
          <w:color w:val="000000"/>
        </w:rPr>
        <w:t>for the year ended December 31, 2008, filed on March 2, 2009, File No. 000-12255).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30" w:right="239" w:bottom="1440" w:gutter="0" w:footer="0" w:header="0"/>
        </w:sectPr>
      </w:pPr>
    </w:p>
    <w:bookmarkStart w:id="87" w:name="page88"/>
    <w:bookmarkEnd w:id="87"/>
    <w:p>
      <w:pPr>
        <w:ind w:left="1520"/>
        <w:spacing w:after="0"/>
        <w:rPr>
          <w:rFonts w:ascii="Arial" w:cs="Arial" w:eastAsia="Arial" w:hAnsi="Arial"/>
          <w:sz w:val="16"/>
          <w:szCs w:val="16"/>
          <w:color w:val="0000FF"/>
        </w:rPr>
      </w:pPr>
      <w:hyperlink r:id="rId95">
        <w:r>
          <w:rPr>
            <w:rFonts w:ascii="Arial" w:cs="Arial" w:eastAsia="Arial" w:hAnsi="Arial"/>
            <w:sz w:val="16"/>
            <w:szCs w:val="16"/>
            <w:u w:val="single" w:color="auto"/>
            <w:color w:val="0000FF"/>
          </w:rPr>
          <w:t>10.13</w:t>
        </w:r>
      </w:hyperlink>
      <w:r>
        <w:rPr>
          <w:rFonts w:ascii="Arial" w:cs="Arial" w:eastAsia="Arial" w:hAnsi="Arial"/>
          <w:sz w:val="16"/>
          <w:szCs w:val="16"/>
          <w:color w:val="000000"/>
        </w:rPr>
        <w:t>YRC</w:t>
      </w:r>
      <w:r>
        <w:rPr>
          <w:rFonts w:ascii="Arial" w:cs="Arial" w:eastAsia="Arial" w:hAnsi="Arial"/>
          <w:sz w:val="16"/>
          <w:szCs w:val="16"/>
          <w:color w:val="0000FF"/>
        </w:rPr>
        <w:t xml:space="preserve"> </w:t>
      </w:r>
      <w:r>
        <w:rPr>
          <w:rFonts w:ascii="Arial" w:cs="Arial" w:eastAsia="Arial" w:hAnsi="Arial"/>
          <w:sz w:val="16"/>
          <w:szCs w:val="16"/>
          <w:color w:val="000000"/>
        </w:rPr>
        <w:t>Worldwide Inc. Second Union Employee Option Plan (incorporated by reference to Exhibit 10.1 to Current Report on Form</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8-K, filed on March 5, 2010, File No. 000-12255).</w:t>
      </w:r>
    </w:p>
    <w:p>
      <w:pPr>
        <w:spacing w:after="0" w:line="9" w:lineRule="exact"/>
        <w:rPr>
          <w:sz w:val="20"/>
          <w:szCs w:val="20"/>
          <w:color w:val="auto"/>
        </w:rPr>
      </w:pPr>
    </w:p>
    <w:p>
      <w:pPr>
        <w:jc w:val="both"/>
        <w:ind w:left="880" w:firstLine="648"/>
        <w:spacing w:after="0" w:line="265" w:lineRule="auto"/>
        <w:rPr>
          <w:rFonts w:ascii="Arial" w:cs="Arial" w:eastAsia="Arial" w:hAnsi="Arial"/>
          <w:sz w:val="17"/>
          <w:szCs w:val="17"/>
          <w:color w:val="0000FF"/>
        </w:rPr>
      </w:pPr>
      <w:hyperlink r:id="rId96">
        <w:r>
          <w:rPr>
            <w:rFonts w:ascii="Arial" w:cs="Arial" w:eastAsia="Arial" w:hAnsi="Arial"/>
            <w:sz w:val="17"/>
            <w:szCs w:val="17"/>
            <w:u w:val="single" w:color="auto"/>
            <w:color w:val="0000FF"/>
          </w:rPr>
          <w:t>10.14.1</w:t>
        </w:r>
      </w:hyperlink>
      <w:r>
        <w:rPr>
          <w:rFonts w:ascii="Arial" w:cs="Arial" w:eastAsia="Arial" w:hAnsi="Arial"/>
          <w:sz w:val="17"/>
          <w:szCs w:val="17"/>
          <w:color w:val="000000"/>
        </w:rPr>
        <w:t>Employment</w:t>
      </w:r>
      <w:r>
        <w:rPr>
          <w:rFonts w:ascii="Arial" w:cs="Arial" w:eastAsia="Arial" w:hAnsi="Arial"/>
          <w:sz w:val="17"/>
          <w:szCs w:val="17"/>
          <w:color w:val="0000FF"/>
        </w:rPr>
        <w:t xml:space="preserve"> </w:t>
      </w:r>
      <w:r>
        <w:rPr>
          <w:rFonts w:ascii="Arial" w:cs="Arial" w:eastAsia="Arial" w:hAnsi="Arial"/>
          <w:sz w:val="17"/>
          <w:szCs w:val="17"/>
          <w:color w:val="000000"/>
        </w:rPr>
        <w:t>Agreement, dated as of July 22, 2011, between the Company and James L. Welch (incorporated by reference to</w:t>
      </w:r>
      <w:r>
        <w:rPr>
          <w:rFonts w:ascii="Arial" w:cs="Arial" w:eastAsia="Arial" w:hAnsi="Arial"/>
          <w:sz w:val="17"/>
          <w:szCs w:val="17"/>
          <w:color w:val="0000FF"/>
        </w:rPr>
        <w:t xml:space="preserve"> </w:t>
      </w:r>
      <w:r>
        <w:rPr>
          <w:rFonts w:ascii="Arial" w:cs="Arial" w:eastAsia="Arial" w:hAnsi="Arial"/>
          <w:sz w:val="17"/>
          <w:szCs w:val="17"/>
          <w:color w:val="000000"/>
        </w:rPr>
        <w:t>Exhibit 10.16 to Quarterly Report on Form 10-Q for the quarter ended June 30, 2011, filed on August 8, 2011, File No. 000-12255).</w:t>
      </w:r>
    </w:p>
    <w:p>
      <w:pPr>
        <w:jc w:val="both"/>
        <w:ind w:left="880" w:firstLine="648"/>
        <w:spacing w:after="0" w:line="250" w:lineRule="auto"/>
        <w:rPr>
          <w:rFonts w:ascii="Arial" w:cs="Arial" w:eastAsia="Arial" w:hAnsi="Arial"/>
          <w:sz w:val="18"/>
          <w:szCs w:val="18"/>
          <w:color w:val="0000FF"/>
        </w:rPr>
      </w:pPr>
      <w:hyperlink r:id="rId97">
        <w:r>
          <w:rPr>
            <w:rFonts w:ascii="Arial" w:cs="Arial" w:eastAsia="Arial" w:hAnsi="Arial"/>
            <w:sz w:val="18"/>
            <w:szCs w:val="18"/>
            <w:u w:val="single" w:color="auto"/>
            <w:color w:val="0000FF"/>
          </w:rPr>
          <w:t>10.14.2</w:t>
        </w:r>
      </w:hyperlink>
      <w:r>
        <w:rPr>
          <w:rFonts w:ascii="Arial" w:cs="Arial" w:eastAsia="Arial" w:hAnsi="Arial"/>
          <w:sz w:val="18"/>
          <w:szCs w:val="18"/>
          <w:color w:val="000000"/>
        </w:rPr>
        <w:t>Amendment</w:t>
      </w:r>
      <w:r>
        <w:rPr>
          <w:rFonts w:ascii="Arial" w:cs="Arial" w:eastAsia="Arial" w:hAnsi="Arial"/>
          <w:sz w:val="18"/>
          <w:szCs w:val="18"/>
          <w:color w:val="0000FF"/>
        </w:rPr>
        <w:t xml:space="preserve"> </w:t>
      </w:r>
      <w:r>
        <w:rPr>
          <w:rFonts w:ascii="Arial" w:cs="Arial" w:eastAsia="Arial" w:hAnsi="Arial"/>
          <w:sz w:val="18"/>
          <w:szCs w:val="18"/>
          <w:color w:val="000000"/>
        </w:rPr>
        <w:t>to Employment Agreement, dated as of October 30, 2012, between the Company and James L. Welch (incorporated</w:t>
      </w:r>
      <w:r>
        <w:rPr>
          <w:rFonts w:ascii="Arial" w:cs="Arial" w:eastAsia="Arial" w:hAnsi="Arial"/>
          <w:sz w:val="18"/>
          <w:szCs w:val="18"/>
          <w:color w:val="0000FF"/>
        </w:rPr>
        <w:t xml:space="preserve"> </w:t>
      </w:r>
      <w:r>
        <w:rPr>
          <w:rFonts w:ascii="Arial" w:cs="Arial" w:eastAsia="Arial" w:hAnsi="Arial"/>
          <w:sz w:val="18"/>
          <w:szCs w:val="18"/>
          <w:color w:val="000000"/>
        </w:rPr>
        <w:t>by reference to Exhibit 10.1 to Quarterly Report on Form 10-Q for the quarter ended September 30, 2012, filed on November 2, 2012, File No. 000-12255).</w:t>
      </w:r>
    </w:p>
    <w:p>
      <w:pPr>
        <w:spacing w:after="0" w:line="1" w:lineRule="exact"/>
        <w:rPr>
          <w:sz w:val="20"/>
          <w:szCs w:val="20"/>
          <w:color w:val="auto"/>
        </w:rPr>
      </w:pPr>
    </w:p>
    <w:p>
      <w:pPr>
        <w:jc w:val="both"/>
        <w:ind w:left="880" w:right="20" w:firstLine="648"/>
        <w:spacing w:after="0" w:line="265" w:lineRule="auto"/>
        <w:rPr>
          <w:rFonts w:ascii="Arial" w:cs="Arial" w:eastAsia="Arial" w:hAnsi="Arial"/>
          <w:sz w:val="17"/>
          <w:szCs w:val="17"/>
          <w:color w:val="0000FF"/>
        </w:rPr>
      </w:pPr>
      <w:hyperlink r:id="rId98">
        <w:r>
          <w:rPr>
            <w:rFonts w:ascii="Arial" w:cs="Arial" w:eastAsia="Arial" w:hAnsi="Arial"/>
            <w:sz w:val="17"/>
            <w:szCs w:val="17"/>
            <w:u w:val="single" w:color="auto"/>
            <w:color w:val="0000FF"/>
          </w:rPr>
          <w:t>10.14.3</w:t>
        </w:r>
      </w:hyperlink>
      <w:r>
        <w:rPr>
          <w:rFonts w:ascii="Arial" w:cs="Arial" w:eastAsia="Arial" w:hAnsi="Arial"/>
          <w:sz w:val="17"/>
          <w:szCs w:val="17"/>
          <w:color w:val="000000"/>
        </w:rPr>
        <w:t>Employment</w:t>
      </w:r>
      <w:r>
        <w:rPr>
          <w:rFonts w:ascii="Arial" w:cs="Arial" w:eastAsia="Arial" w:hAnsi="Arial"/>
          <w:sz w:val="17"/>
          <w:szCs w:val="17"/>
          <w:color w:val="0000FF"/>
        </w:rPr>
        <w:t xml:space="preserve"> </w:t>
      </w:r>
      <w:r>
        <w:rPr>
          <w:rFonts w:ascii="Arial" w:cs="Arial" w:eastAsia="Arial" w:hAnsi="Arial"/>
          <w:sz w:val="17"/>
          <w:szCs w:val="17"/>
          <w:color w:val="000000"/>
        </w:rPr>
        <w:t>Agreement Cancellation Agreement, dated as of December 30, 2014, between the Company and James L. Welch</w:t>
      </w:r>
      <w:r>
        <w:rPr>
          <w:rFonts w:ascii="Arial" w:cs="Arial" w:eastAsia="Arial" w:hAnsi="Arial"/>
          <w:sz w:val="17"/>
          <w:szCs w:val="17"/>
          <w:color w:val="0000FF"/>
        </w:rPr>
        <w:t xml:space="preserve"> </w:t>
      </w:r>
      <w:r>
        <w:rPr>
          <w:rFonts w:ascii="Arial" w:cs="Arial" w:eastAsia="Arial" w:hAnsi="Arial"/>
          <w:sz w:val="17"/>
          <w:szCs w:val="17"/>
          <w:color w:val="000000"/>
        </w:rPr>
        <w:t>(incorporated by reference to Exhibit 10.1 to Current Report on Form 8-K, filed on January 2, 2015, File No. 000-12255).</w:t>
      </w:r>
    </w:p>
    <w:p>
      <w:pPr>
        <w:jc w:val="both"/>
        <w:ind w:left="880" w:firstLine="648"/>
        <w:spacing w:after="0" w:line="250" w:lineRule="auto"/>
        <w:rPr>
          <w:rFonts w:ascii="Arial" w:cs="Arial" w:eastAsia="Arial" w:hAnsi="Arial"/>
          <w:sz w:val="18"/>
          <w:szCs w:val="18"/>
          <w:color w:val="0000FF"/>
        </w:rPr>
      </w:pPr>
      <w:hyperlink r:id="rId99">
        <w:r>
          <w:rPr>
            <w:rFonts w:ascii="Arial" w:cs="Arial" w:eastAsia="Arial" w:hAnsi="Arial"/>
            <w:sz w:val="18"/>
            <w:szCs w:val="18"/>
            <w:u w:val="single" w:color="auto"/>
            <w:color w:val="0000FF"/>
          </w:rPr>
          <w:t>10.15</w:t>
        </w:r>
      </w:hyperlink>
      <w:r>
        <w:rPr>
          <w:rFonts w:ascii="Arial" w:cs="Arial" w:eastAsia="Arial" w:hAnsi="Arial"/>
          <w:sz w:val="18"/>
          <w:szCs w:val="18"/>
          <w:color w:val="000000"/>
        </w:rPr>
        <w:t>Severance</w:t>
      </w:r>
      <w:r>
        <w:rPr>
          <w:rFonts w:ascii="Arial" w:cs="Arial" w:eastAsia="Arial" w:hAnsi="Arial"/>
          <w:sz w:val="18"/>
          <w:szCs w:val="18"/>
          <w:color w:val="0000FF"/>
        </w:rPr>
        <w:t xml:space="preserve"> </w:t>
      </w:r>
      <w:r>
        <w:rPr>
          <w:rFonts w:ascii="Arial" w:cs="Arial" w:eastAsia="Arial" w:hAnsi="Arial"/>
          <w:sz w:val="18"/>
          <w:szCs w:val="18"/>
          <w:color w:val="000000"/>
        </w:rPr>
        <w:t>Agreement, dated as of December 30, 2014, between the Company and James L. Welch (incorporated by reference to</w:t>
      </w:r>
      <w:r>
        <w:rPr>
          <w:rFonts w:ascii="Arial" w:cs="Arial" w:eastAsia="Arial" w:hAnsi="Arial"/>
          <w:sz w:val="18"/>
          <w:szCs w:val="18"/>
          <w:color w:val="0000FF"/>
        </w:rPr>
        <w:t xml:space="preserve"> </w:t>
      </w:r>
      <w:r>
        <w:rPr>
          <w:rFonts w:ascii="Arial" w:cs="Arial" w:eastAsia="Arial" w:hAnsi="Arial"/>
          <w:sz w:val="18"/>
          <w:szCs w:val="18"/>
          <w:color w:val="000000"/>
        </w:rPr>
        <w:t>Exhibit 10.3 to Current Report on Form 8-K, filed on January 2, 2015, File No. 000-12255).</w:t>
      </w:r>
    </w:p>
    <w:p>
      <w:pPr>
        <w:spacing w:after="0" w:line="1" w:lineRule="exact"/>
        <w:rPr>
          <w:sz w:val="20"/>
          <w:szCs w:val="20"/>
          <w:color w:val="auto"/>
        </w:rPr>
      </w:pPr>
    </w:p>
    <w:p>
      <w:pPr>
        <w:ind w:left="900" w:right="160" w:firstLine="648"/>
        <w:spacing w:after="0" w:line="281" w:lineRule="auto"/>
        <w:rPr>
          <w:rFonts w:ascii="Arial" w:cs="Arial" w:eastAsia="Arial" w:hAnsi="Arial"/>
          <w:sz w:val="16"/>
          <w:szCs w:val="16"/>
          <w:color w:val="0000FF"/>
        </w:rPr>
      </w:pPr>
      <w:hyperlink r:id="rId100">
        <w:r>
          <w:rPr>
            <w:rFonts w:ascii="Arial" w:cs="Arial" w:eastAsia="Arial" w:hAnsi="Arial"/>
            <w:sz w:val="16"/>
            <w:szCs w:val="16"/>
            <w:u w:val="single" w:color="auto"/>
            <w:color w:val="0000FF"/>
          </w:rPr>
          <w:t>10.16</w:t>
        </w:r>
      </w:hyperlink>
      <w:r>
        <w:rPr>
          <w:rFonts w:ascii="Arial" w:cs="Arial" w:eastAsia="Arial" w:hAnsi="Arial"/>
          <w:sz w:val="16"/>
          <w:szCs w:val="16"/>
          <w:color w:val="000000"/>
        </w:rPr>
        <w:t>General</w:t>
      </w:r>
      <w:r>
        <w:rPr>
          <w:rFonts w:ascii="Arial" w:cs="Arial" w:eastAsia="Arial" w:hAnsi="Arial"/>
          <w:sz w:val="16"/>
          <w:szCs w:val="16"/>
          <w:color w:val="0000FF"/>
        </w:rPr>
        <w:t xml:space="preserve"> </w:t>
      </w:r>
      <w:r>
        <w:rPr>
          <w:rFonts w:ascii="Arial" w:cs="Arial" w:eastAsia="Arial" w:hAnsi="Arial"/>
          <w:sz w:val="16"/>
          <w:szCs w:val="16"/>
          <w:color w:val="000000"/>
        </w:rPr>
        <w:t>Release and Post-Employment Consulting Agreement, dated as of December 30, 2016, between the Company and Jamie</w:t>
      </w:r>
      <w:r>
        <w:rPr>
          <w:rFonts w:ascii="Arial" w:cs="Arial" w:eastAsia="Arial" w:hAnsi="Arial"/>
          <w:sz w:val="16"/>
          <w:szCs w:val="16"/>
          <w:color w:val="0000FF"/>
        </w:rPr>
        <w:t xml:space="preserve"> </w:t>
      </w:r>
      <w:r>
        <w:rPr>
          <w:rFonts w:ascii="Arial" w:cs="Arial" w:eastAsia="Arial" w:hAnsi="Arial"/>
          <w:sz w:val="16"/>
          <w:szCs w:val="16"/>
          <w:color w:val="000000"/>
        </w:rPr>
        <w:t>G. Pierson (incorporated by reference to Exhibit 10.1 to Current Report on Form 8-K, filed on January 4, 2017, File No. 000-12255).</w:t>
      </w:r>
    </w:p>
    <w:p>
      <w:pPr>
        <w:spacing w:after="0" w:line="1" w:lineRule="exact"/>
        <w:rPr>
          <w:sz w:val="20"/>
          <w:szCs w:val="20"/>
          <w:color w:val="auto"/>
        </w:rPr>
      </w:pPr>
    </w:p>
    <w:p>
      <w:pPr>
        <w:ind w:left="1520"/>
        <w:spacing w:after="0"/>
        <w:rPr>
          <w:rFonts w:ascii="Arial" w:cs="Arial" w:eastAsia="Arial" w:hAnsi="Arial"/>
          <w:sz w:val="18"/>
          <w:szCs w:val="18"/>
          <w:color w:val="0000FF"/>
        </w:rPr>
      </w:pPr>
      <w:hyperlink w:anchor="page91">
        <w:r>
          <w:rPr>
            <w:rFonts w:ascii="Arial" w:cs="Arial" w:eastAsia="Arial" w:hAnsi="Arial"/>
            <w:sz w:val="18"/>
            <w:szCs w:val="18"/>
            <w:u w:val="single" w:color="auto"/>
            <w:color w:val="0000FF"/>
          </w:rPr>
          <w:t>21.1*</w:t>
        </w:r>
      </w:hyperlink>
      <w:r>
        <w:rPr>
          <w:rFonts w:ascii="Arial" w:cs="Arial" w:eastAsia="Arial" w:hAnsi="Arial"/>
          <w:sz w:val="18"/>
          <w:szCs w:val="18"/>
          <w:color w:val="000000"/>
        </w:rPr>
        <w:t>Subsidiaries</w:t>
      </w:r>
      <w:r>
        <w:rPr>
          <w:rFonts w:ascii="Arial" w:cs="Arial" w:eastAsia="Arial" w:hAnsi="Arial"/>
          <w:sz w:val="18"/>
          <w:szCs w:val="18"/>
          <w:color w:val="0000FF"/>
        </w:rPr>
        <w:t xml:space="preserve"> </w:t>
      </w:r>
      <w:r>
        <w:rPr>
          <w:rFonts w:ascii="Arial" w:cs="Arial" w:eastAsia="Arial" w:hAnsi="Arial"/>
          <w:sz w:val="18"/>
          <w:szCs w:val="18"/>
          <w:color w:val="000000"/>
        </w:rPr>
        <w:t>of the Company.</w:t>
      </w:r>
    </w:p>
    <w:p>
      <w:pPr>
        <w:spacing w:after="0" w:line="9" w:lineRule="exact"/>
        <w:rPr>
          <w:sz w:val="20"/>
          <w:szCs w:val="20"/>
          <w:color w:val="auto"/>
        </w:rPr>
      </w:pPr>
    </w:p>
    <w:p>
      <w:pPr>
        <w:ind w:left="1520"/>
        <w:spacing w:after="0"/>
        <w:rPr>
          <w:rFonts w:ascii="Arial" w:cs="Arial" w:eastAsia="Arial" w:hAnsi="Arial"/>
          <w:sz w:val="18"/>
          <w:szCs w:val="18"/>
          <w:color w:val="0000FF"/>
        </w:rPr>
      </w:pPr>
      <w:hyperlink w:anchor="page93">
        <w:r>
          <w:rPr>
            <w:rFonts w:ascii="Arial" w:cs="Arial" w:eastAsia="Arial" w:hAnsi="Arial"/>
            <w:sz w:val="18"/>
            <w:szCs w:val="18"/>
            <w:u w:val="single" w:color="auto"/>
            <w:color w:val="0000FF"/>
          </w:rPr>
          <w:t>23.1*</w:t>
        </w:r>
      </w:hyperlink>
      <w:r>
        <w:rPr>
          <w:rFonts w:ascii="Arial" w:cs="Arial" w:eastAsia="Arial" w:hAnsi="Arial"/>
          <w:sz w:val="18"/>
          <w:szCs w:val="18"/>
          <w:color w:val="000000"/>
        </w:rPr>
        <w:t>Consent</w:t>
      </w:r>
      <w:r>
        <w:rPr>
          <w:rFonts w:ascii="Arial" w:cs="Arial" w:eastAsia="Arial" w:hAnsi="Arial"/>
          <w:sz w:val="18"/>
          <w:szCs w:val="18"/>
          <w:color w:val="0000FF"/>
        </w:rPr>
        <w:t xml:space="preserve"> </w:t>
      </w:r>
      <w:r>
        <w:rPr>
          <w:rFonts w:ascii="Arial" w:cs="Arial" w:eastAsia="Arial" w:hAnsi="Arial"/>
          <w:sz w:val="18"/>
          <w:szCs w:val="18"/>
          <w:color w:val="000000"/>
        </w:rPr>
        <w:t>of KPMG LLP, Independent Registered Public Accounting Firm.</w:t>
      </w:r>
    </w:p>
    <w:p>
      <w:pPr>
        <w:spacing w:after="0" w:line="9" w:lineRule="exact"/>
        <w:rPr>
          <w:sz w:val="20"/>
          <w:szCs w:val="20"/>
          <w:color w:val="auto"/>
        </w:rPr>
      </w:pPr>
    </w:p>
    <w:p>
      <w:pPr>
        <w:ind w:left="880" w:firstLine="648"/>
        <w:spacing w:after="0" w:line="250" w:lineRule="auto"/>
        <w:rPr>
          <w:rFonts w:ascii="Arial" w:cs="Arial" w:eastAsia="Arial" w:hAnsi="Arial"/>
          <w:sz w:val="18"/>
          <w:szCs w:val="18"/>
          <w:color w:val="0000FF"/>
        </w:rPr>
      </w:pPr>
      <w:hyperlink w:anchor="page94">
        <w:r>
          <w:rPr>
            <w:rFonts w:ascii="Arial" w:cs="Arial" w:eastAsia="Arial" w:hAnsi="Arial"/>
            <w:sz w:val="18"/>
            <w:szCs w:val="18"/>
            <w:u w:val="single" w:color="auto"/>
            <w:color w:val="0000FF"/>
          </w:rPr>
          <w:t>31.1*</w:t>
        </w:r>
      </w:hyperlink>
      <w:r>
        <w:rPr>
          <w:rFonts w:ascii="Arial" w:cs="Arial" w:eastAsia="Arial" w:hAnsi="Arial"/>
          <w:sz w:val="18"/>
          <w:szCs w:val="18"/>
          <w:color w:val="000000"/>
        </w:rPr>
        <w:t>Certification</w:t>
      </w:r>
      <w:r>
        <w:rPr>
          <w:rFonts w:ascii="Arial" w:cs="Arial" w:eastAsia="Arial" w:hAnsi="Arial"/>
          <w:sz w:val="18"/>
          <w:szCs w:val="18"/>
          <w:color w:val="0000FF"/>
        </w:rPr>
        <w:t xml:space="preserve"> </w:t>
      </w:r>
      <w:r>
        <w:rPr>
          <w:rFonts w:ascii="Arial" w:cs="Arial" w:eastAsia="Arial" w:hAnsi="Arial"/>
          <w:sz w:val="18"/>
          <w:szCs w:val="18"/>
          <w:color w:val="000000"/>
        </w:rPr>
        <w:t>of James L. Welch pursuant to Exchange Act Rules 13a-14 and 15d-14, as adopted pursuant to Section 302 of the</w:t>
      </w:r>
      <w:r>
        <w:rPr>
          <w:rFonts w:ascii="Arial" w:cs="Arial" w:eastAsia="Arial" w:hAnsi="Arial"/>
          <w:sz w:val="18"/>
          <w:szCs w:val="18"/>
          <w:color w:val="0000FF"/>
        </w:rPr>
        <w:t xml:space="preserve"> </w:t>
      </w:r>
      <w:r>
        <w:rPr>
          <w:rFonts w:ascii="Arial" w:cs="Arial" w:eastAsia="Arial" w:hAnsi="Arial"/>
          <w:sz w:val="18"/>
          <w:szCs w:val="18"/>
          <w:color w:val="000000"/>
        </w:rPr>
        <w:t>Sarbanes-Oxley Act of 2002.</w:t>
      </w:r>
    </w:p>
    <w:p>
      <w:pPr>
        <w:spacing w:after="0" w:line="1" w:lineRule="exact"/>
        <w:rPr>
          <w:sz w:val="20"/>
          <w:szCs w:val="20"/>
          <w:color w:val="auto"/>
        </w:rPr>
      </w:pPr>
    </w:p>
    <w:p>
      <w:pPr>
        <w:jc w:val="right"/>
        <w:spacing w:after="0"/>
        <w:rPr>
          <w:rFonts w:ascii="Arial" w:cs="Arial" w:eastAsia="Arial" w:hAnsi="Arial"/>
          <w:sz w:val="18"/>
          <w:szCs w:val="18"/>
          <w:color w:val="0000FF"/>
        </w:rPr>
      </w:pPr>
      <w:hyperlink w:anchor="page95">
        <w:r>
          <w:rPr>
            <w:rFonts w:ascii="Arial" w:cs="Arial" w:eastAsia="Arial" w:hAnsi="Arial"/>
            <w:sz w:val="18"/>
            <w:szCs w:val="18"/>
            <w:u w:val="single" w:color="auto"/>
            <w:color w:val="0000FF"/>
          </w:rPr>
          <w:t>31.2*</w:t>
        </w:r>
      </w:hyperlink>
      <w:r>
        <w:rPr>
          <w:rFonts w:ascii="Arial" w:cs="Arial" w:eastAsia="Arial" w:hAnsi="Arial"/>
          <w:sz w:val="18"/>
          <w:szCs w:val="18"/>
          <w:color w:val="000000"/>
        </w:rPr>
        <w:t>Certification</w:t>
      </w:r>
      <w:r>
        <w:rPr>
          <w:rFonts w:ascii="Arial" w:cs="Arial" w:eastAsia="Arial" w:hAnsi="Arial"/>
          <w:sz w:val="18"/>
          <w:szCs w:val="18"/>
          <w:color w:val="0000FF"/>
        </w:rPr>
        <w:t xml:space="preserve"> </w:t>
      </w:r>
      <w:r>
        <w:rPr>
          <w:rFonts w:ascii="Arial" w:cs="Arial" w:eastAsia="Arial" w:hAnsi="Arial"/>
          <w:sz w:val="18"/>
          <w:szCs w:val="18"/>
          <w:color w:val="000000"/>
        </w:rPr>
        <w:t>of Stephanie D. Fisher pursuant to Exchange Act Rules 13a-14 and 15d-14, as adopted pursuant to Section 302 of the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10600" w:type="dxa"/>
            <w:vAlign w:val="bottom"/>
            <w:gridSpan w:val="3"/>
          </w:tcPr>
          <w:p>
            <w:pPr>
              <w:ind w:left="60"/>
              <w:spacing w:after="0"/>
              <w:rPr>
                <w:sz w:val="20"/>
                <w:szCs w:val="20"/>
                <w:color w:val="auto"/>
              </w:rPr>
            </w:pPr>
            <w:r>
              <w:rPr>
                <w:rFonts w:ascii="Arial" w:cs="Arial" w:eastAsia="Arial" w:hAnsi="Arial"/>
                <w:sz w:val="18"/>
                <w:szCs w:val="18"/>
                <w:color w:val="auto"/>
              </w:rPr>
              <w:t>Sarbanes-Oxley Act of 2002.</w:t>
            </w:r>
          </w:p>
        </w:tc>
      </w:tr>
      <w:tr>
        <w:trPr>
          <w:trHeight w:val="190"/>
        </w:trPr>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900" w:type="dxa"/>
            <w:vAlign w:val="bottom"/>
            <w:gridSpan w:val="2"/>
          </w:tcPr>
          <w:p>
            <w:pPr>
              <w:spacing w:after="0" w:line="190" w:lineRule="exact"/>
              <w:rPr>
                <w:rFonts w:ascii="Arial" w:cs="Arial" w:eastAsia="Arial" w:hAnsi="Arial"/>
                <w:sz w:val="18"/>
                <w:szCs w:val="18"/>
                <w:color w:val="0000FF"/>
                <w:w w:val="90"/>
              </w:rPr>
            </w:pPr>
            <w:hyperlink w:anchor="page96">
              <w:r>
                <w:rPr>
                  <w:rFonts w:ascii="Arial" w:cs="Arial" w:eastAsia="Arial" w:hAnsi="Arial"/>
                  <w:sz w:val="18"/>
                  <w:szCs w:val="18"/>
                  <w:color w:val="0000FF"/>
                  <w:w w:val="90"/>
                </w:rPr>
                <w:t>32.</w:t>
              </w:r>
              <w:r>
                <w:rPr>
                  <w:rFonts w:ascii="Arial" w:cs="Arial" w:eastAsia="Arial" w:hAnsi="Arial"/>
                  <w:sz w:val="18"/>
                  <w:szCs w:val="18"/>
                  <w:u w:val="single" w:color="auto"/>
                  <w:color w:val="0000FF"/>
                  <w:w w:val="90"/>
                </w:rPr>
                <w:t>1*</w:t>
              </w:r>
            </w:hyperlink>
            <w:r>
              <w:rPr>
                <w:rFonts w:ascii="Arial" w:cs="Arial" w:eastAsia="Arial" w:hAnsi="Arial"/>
                <w:sz w:val="18"/>
                <w:szCs w:val="18"/>
                <w:color w:val="000000"/>
                <w:w w:val="90"/>
              </w:rPr>
              <w:t>Certification</w:t>
            </w:r>
            <w:r>
              <w:rPr>
                <w:rFonts w:ascii="Arial" w:cs="Arial" w:eastAsia="Arial" w:hAnsi="Arial"/>
                <w:sz w:val="18"/>
                <w:szCs w:val="18"/>
                <w:color w:val="0000FF"/>
                <w:w w:val="90"/>
              </w:rPr>
              <w:t xml:space="preserve"> </w:t>
            </w:r>
            <w:r>
              <w:rPr>
                <w:rFonts w:ascii="Arial" w:cs="Arial" w:eastAsia="Arial" w:hAnsi="Arial"/>
                <w:sz w:val="18"/>
                <w:szCs w:val="18"/>
                <w:color w:val="000000"/>
                <w:w w:val="90"/>
              </w:rPr>
              <w:t>of James L. Welch pursuant to 18 U.S.C. Section 1350, as adopted pursuant to Section 906 of the Sarbanes-Oxley Act</w:t>
            </w:r>
          </w:p>
        </w:tc>
      </w:tr>
      <w:tr>
        <w:trPr>
          <w:trHeight w:val="222"/>
        </w:trPr>
        <w:tc>
          <w:tcPr>
            <w:tcW w:w="820" w:type="dxa"/>
            <w:vAlign w:val="bottom"/>
          </w:tcPr>
          <w:p>
            <w:pPr>
              <w:spacing w:after="0"/>
              <w:rPr>
                <w:sz w:val="19"/>
                <w:szCs w:val="19"/>
                <w:color w:val="auto"/>
              </w:rPr>
            </w:pPr>
          </w:p>
        </w:tc>
        <w:tc>
          <w:tcPr>
            <w:tcW w:w="700" w:type="dxa"/>
            <w:vAlign w:val="bottom"/>
          </w:tcPr>
          <w:p>
            <w:pPr>
              <w:ind w:left="60"/>
              <w:spacing w:after="0"/>
              <w:rPr>
                <w:sz w:val="20"/>
                <w:szCs w:val="20"/>
                <w:color w:val="auto"/>
              </w:rPr>
            </w:pPr>
            <w:r>
              <w:rPr>
                <w:rFonts w:ascii="Arial" w:cs="Arial" w:eastAsia="Arial" w:hAnsi="Arial"/>
                <w:sz w:val="18"/>
                <w:szCs w:val="18"/>
                <w:color w:val="auto"/>
                <w:w w:val="95"/>
              </w:rPr>
              <w:t>of 2002.</w:t>
            </w:r>
          </w:p>
        </w:tc>
        <w:tc>
          <w:tcPr>
            <w:tcW w:w="400" w:type="dxa"/>
            <w:vAlign w:val="bottom"/>
            <w:tcBorders>
              <w:top w:val="single" w:sz="8" w:color="0000FF"/>
            </w:tcBorders>
          </w:tcPr>
          <w:p>
            <w:pPr>
              <w:spacing w:after="0"/>
              <w:rPr>
                <w:sz w:val="19"/>
                <w:szCs w:val="19"/>
                <w:color w:val="auto"/>
              </w:rPr>
            </w:pPr>
          </w:p>
        </w:tc>
        <w:tc>
          <w:tcPr>
            <w:tcW w:w="9500" w:type="dxa"/>
            <w:vAlign w:val="bottom"/>
          </w:tcPr>
          <w:p>
            <w:pPr>
              <w:spacing w:after="0"/>
              <w:rPr>
                <w:sz w:val="19"/>
                <w:szCs w:val="19"/>
                <w:color w:val="auto"/>
              </w:rPr>
            </w:pPr>
          </w:p>
        </w:tc>
      </w:tr>
      <w:tr>
        <w:trPr>
          <w:trHeight w:val="190"/>
        </w:trPr>
        <w:tc>
          <w:tcPr>
            <w:tcW w:w="8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900" w:type="dxa"/>
            <w:vAlign w:val="bottom"/>
            <w:gridSpan w:val="2"/>
          </w:tcPr>
          <w:p>
            <w:pPr>
              <w:spacing w:after="0" w:line="190" w:lineRule="exact"/>
              <w:rPr>
                <w:rFonts w:ascii="Arial" w:cs="Arial" w:eastAsia="Arial" w:hAnsi="Arial"/>
                <w:sz w:val="18"/>
                <w:szCs w:val="18"/>
                <w:color w:val="0000FF"/>
                <w:w w:val="90"/>
              </w:rPr>
            </w:pPr>
            <w:hyperlink w:anchor="page97">
              <w:r>
                <w:rPr>
                  <w:rFonts w:ascii="Arial" w:cs="Arial" w:eastAsia="Arial" w:hAnsi="Arial"/>
                  <w:sz w:val="18"/>
                  <w:szCs w:val="18"/>
                  <w:color w:val="0000FF"/>
                  <w:w w:val="90"/>
                </w:rPr>
                <w:t>32.</w:t>
              </w:r>
              <w:r>
                <w:rPr>
                  <w:rFonts w:ascii="Arial" w:cs="Arial" w:eastAsia="Arial" w:hAnsi="Arial"/>
                  <w:sz w:val="18"/>
                  <w:szCs w:val="18"/>
                  <w:u w:val="single" w:color="auto"/>
                  <w:color w:val="0000FF"/>
                  <w:w w:val="90"/>
                </w:rPr>
                <w:t>2*</w:t>
              </w:r>
            </w:hyperlink>
            <w:r>
              <w:rPr>
                <w:rFonts w:ascii="Arial" w:cs="Arial" w:eastAsia="Arial" w:hAnsi="Arial"/>
                <w:sz w:val="18"/>
                <w:szCs w:val="18"/>
                <w:color w:val="000000"/>
                <w:w w:val="90"/>
              </w:rPr>
              <w:t>Certification</w:t>
            </w:r>
            <w:r>
              <w:rPr>
                <w:rFonts w:ascii="Arial" w:cs="Arial" w:eastAsia="Arial" w:hAnsi="Arial"/>
                <w:sz w:val="18"/>
                <w:szCs w:val="18"/>
                <w:color w:val="0000FF"/>
                <w:w w:val="90"/>
              </w:rPr>
              <w:t xml:space="preserve"> </w:t>
            </w:r>
            <w:r>
              <w:rPr>
                <w:rFonts w:ascii="Arial" w:cs="Arial" w:eastAsia="Arial" w:hAnsi="Arial"/>
                <w:sz w:val="18"/>
                <w:szCs w:val="18"/>
                <w:color w:val="000000"/>
                <w:w w:val="90"/>
              </w:rPr>
              <w:t>of Stephanie D. Fisher pursuant to 18 U.S.C. Section 1350, as adopted pursuant to Section 906 of the Sarbanes-Oxley</w:t>
            </w:r>
          </w:p>
        </w:tc>
      </w:tr>
      <w:tr>
        <w:trPr>
          <w:trHeight w:val="20"/>
        </w:trPr>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10600" w:type="dxa"/>
            <w:vAlign w:val="bottom"/>
            <w:gridSpan w:val="3"/>
          </w:tcPr>
          <w:p>
            <w:pPr>
              <w:ind w:left="60"/>
              <w:spacing w:after="0"/>
              <w:rPr>
                <w:sz w:val="20"/>
                <w:szCs w:val="20"/>
                <w:color w:val="auto"/>
              </w:rPr>
            </w:pPr>
            <w:r>
              <w:rPr>
                <w:rFonts w:ascii="Arial" w:cs="Arial" w:eastAsia="Arial" w:hAnsi="Arial"/>
                <w:sz w:val="18"/>
                <w:szCs w:val="18"/>
                <w:color w:val="auto"/>
              </w:rPr>
              <w:t>Act of 2002.</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10600" w:type="dxa"/>
            <w:vAlign w:val="bottom"/>
            <w:gridSpan w:val="3"/>
          </w:tcPr>
          <w:p>
            <w:pPr>
              <w:ind w:left="60"/>
              <w:spacing w:after="0"/>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w w:val="99"/>
              </w:rPr>
              <w:t>101.SCH*</w:t>
            </w:r>
          </w:p>
        </w:tc>
        <w:tc>
          <w:tcPr>
            <w:tcW w:w="106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106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106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106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10600" w:type="dxa"/>
            <w:vAlign w:val="bottom"/>
            <w:gridSpan w:val="3"/>
          </w:tcPr>
          <w:p>
            <w:pPr>
              <w:ind w:left="60"/>
              <w:spacing w:after="0"/>
              <w:rPr>
                <w:sz w:val="20"/>
                <w:szCs w:val="20"/>
                <w:color w:val="auto"/>
              </w:rPr>
            </w:pPr>
            <w:r>
              <w:rPr>
                <w:rFonts w:ascii="Arial" w:cs="Arial" w:eastAsia="Arial" w:hAnsi="Arial"/>
                <w:sz w:val="18"/>
                <w:szCs w:val="18"/>
                <w:color w:val="auto"/>
              </w:rPr>
              <w:t>XBRL Taxonomy Extension Presentation Linkbase</w:t>
            </w:r>
          </w:p>
        </w:tc>
      </w:tr>
    </w:tbl>
    <w:p>
      <w:pPr>
        <w:spacing w:after="0"/>
        <w:rPr>
          <w:sz w:val="20"/>
          <w:szCs w:val="20"/>
          <w:color w:val="auto"/>
        </w:rPr>
      </w:pPr>
      <w:r>
        <w:rPr>
          <w:rFonts w:ascii="Arial" w:cs="Arial" w:eastAsia="Arial" w:hAnsi="Arial"/>
          <w:sz w:val="18"/>
          <w:szCs w:val="18"/>
          <w:color w:val="auto"/>
        </w:rPr>
        <w:t>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Indicates documents filed herewith.</w:t>
      </w:r>
    </w:p>
    <w:p>
      <w:pPr>
        <w:spacing w:after="0" w:line="9" w:lineRule="exact"/>
        <w:rPr>
          <w:sz w:val="20"/>
          <w:szCs w:val="20"/>
          <w:color w:val="auto"/>
        </w:rPr>
      </w:pPr>
    </w:p>
    <w:p>
      <w:pPr>
        <w:ind w:left="5620" w:right="2120" w:hanging="5612"/>
        <w:spacing w:after="0" w:line="793" w:lineRule="auto"/>
        <w:tabs>
          <w:tab w:leader="none" w:pos="3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Confidential portions of this exhibit have been filed separately with the SEC pursuant to a request for confidential treatment. 88</w:t>
      </w:r>
    </w:p>
    <w:p>
      <w:pPr>
        <w:sectPr>
          <w:pgSz w:w="11900" w:h="16838" w:orient="portrait"/>
          <w:cols w:equalWidth="0" w:num="1">
            <w:col w:w="11420"/>
          </w:cols>
          <w:pgMar w:left="240" w:top="530"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auto"/>
        </w:rPr>
        <w:t>Item 16. 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YRC Worldwide Inc.</w:t>
      </w:r>
    </w:p>
    <w:p>
      <w:pPr>
        <w:spacing w:after="0" w:line="38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15, 2018</w:t>
      </w:r>
      <w:r>
        <w:rPr>
          <w:sz w:val="20"/>
          <w:szCs w:val="20"/>
          <w:color w:val="auto"/>
        </w:rPr>
        <w:tab/>
      </w:r>
      <w:r>
        <w:rPr>
          <w:rFonts w:ascii="Arial" w:cs="Arial" w:eastAsia="Arial" w:hAnsi="Arial"/>
          <w:sz w:val="16"/>
          <w:szCs w:val="16"/>
          <w:u w:val="single" w:color="auto"/>
          <w:color w:val="auto"/>
        </w:rPr>
        <w:t>By: /s/ 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Know all people by these presents, that each person whose signature appears below constitutes and appoints James L. Welch and Stephanie D. Fisher, and each of them, his or her true and lawful attorney-in-fact and agent, with full power of substitution and resubstitution, for him or her and in his or her name, place and stead, in any and all capacities, to sign any amendments to this annual report on Form 10-K, and to file the same, with all exhibits thereto, with the Securities and Exchange Commission, granting unto said attorney-in-fact and agent full power and authority to do and perform each and every act and thing requisite and necessary to be done in and about the premises, as fully and to all intents and purposes as he or she might or could do in person, hereby confirming all that said attorney-in-fact and agent, or his substitute, may lawfully do or cause to be done by virtue hereof.</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30" w:right="239" w:bottom="1440" w:gutter="0" w:footer="0" w:header="0"/>
        </w:sectPr>
      </w:pPr>
    </w:p>
    <w:bookmarkStart w:id="89" w:name="page90"/>
    <w:bookmarkEnd w:id="89"/>
    <w:tbl>
      <w:tblPr>
        <w:tblLayout w:type="fixed"/>
        <w:tblInd w:w="1000" w:type="dxa"/>
        <w:tblCellMar>
          <w:top w:w="0" w:type="dxa"/>
          <w:left w:w="0" w:type="dxa"/>
          <w:bottom w:w="0" w:type="dxa"/>
          <w:right w:w="0" w:type="dxa"/>
        </w:tblCellMar>
      </w:tblPr>
      <w:tr>
        <w:trPr>
          <w:trHeight w:val="207"/>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James L. Welch</w:t>
            </w:r>
          </w:p>
        </w:tc>
        <w:tc>
          <w:tcPr>
            <w:tcW w:w="420" w:type="dxa"/>
            <w:vAlign w:val="bottom"/>
            <w:gridSpan w:val="10"/>
          </w:tcPr>
          <w:p>
            <w:pPr>
              <w:spacing w:after="0"/>
              <w:rPr>
                <w:sz w:val="17"/>
                <w:szCs w:val="17"/>
                <w:color w:val="auto"/>
              </w:rPr>
            </w:pPr>
          </w:p>
        </w:tc>
        <w:tc>
          <w:tcPr>
            <w:tcW w:w="4260" w:type="dxa"/>
            <w:vAlign w:val="bottom"/>
          </w:tcPr>
          <w:p>
            <w:pPr>
              <w:ind w:left="1080"/>
              <w:spacing w:after="0"/>
              <w:rPr>
                <w:sz w:val="20"/>
                <w:szCs w:val="20"/>
                <w:color w:val="auto"/>
              </w:rPr>
            </w:pPr>
            <w:r>
              <w:rPr>
                <w:rFonts w:ascii="Arial" w:cs="Arial" w:eastAsia="Arial" w:hAnsi="Arial"/>
                <w:sz w:val="18"/>
                <w:szCs w:val="18"/>
                <w:color w:val="auto"/>
              </w:rPr>
              <w:t>Chief Executive Officer</w:t>
            </w:r>
          </w:p>
        </w:tc>
        <w:tc>
          <w:tcPr>
            <w:tcW w:w="2380" w:type="dxa"/>
            <w:vAlign w:val="bottom"/>
          </w:tcPr>
          <w:p>
            <w:pPr>
              <w:ind w:left="1060"/>
              <w:spacing w:after="0"/>
              <w:rPr>
                <w:sz w:val="20"/>
                <w:szCs w:val="20"/>
                <w:color w:val="auto"/>
              </w:rPr>
            </w:pPr>
            <w:r>
              <w:rPr>
                <w:rFonts w:ascii="Arial" w:cs="Arial" w:eastAsia="Arial" w:hAnsi="Arial"/>
                <w:sz w:val="18"/>
                <w:szCs w:val="18"/>
                <w:color w:val="auto"/>
                <w:w w:val="88"/>
              </w:rPr>
              <w:t>February 15, 2018</w:t>
            </w:r>
          </w:p>
        </w:tc>
      </w:tr>
      <w:tr>
        <w:trPr>
          <w:trHeight w:val="291"/>
        </w:trPr>
        <w:tc>
          <w:tcPr>
            <w:tcW w:w="1780" w:type="dxa"/>
            <w:vAlign w:val="bottom"/>
            <w:gridSpan w:val="11"/>
          </w:tcPr>
          <w:p>
            <w:pPr>
              <w:spacing w:after="0"/>
              <w:rPr>
                <w:sz w:val="20"/>
                <w:szCs w:val="20"/>
                <w:color w:val="auto"/>
              </w:rPr>
            </w:pPr>
            <w:r>
              <w:rPr>
                <w:rFonts w:ascii="Arial" w:cs="Arial" w:eastAsia="Arial" w:hAnsi="Arial"/>
                <w:sz w:val="18"/>
                <w:szCs w:val="18"/>
                <w:color w:val="auto"/>
              </w:rPr>
              <w:t>James L. Welch</w:t>
            </w:r>
          </w:p>
        </w:tc>
        <w:tc>
          <w:tcPr>
            <w:tcW w:w="42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51"/>
        </w:trPr>
        <w:tc>
          <w:tcPr>
            <w:tcW w:w="16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0"/>
              </w:rPr>
              <w:t>/s/ Stephanie D. Fisher</w:t>
            </w:r>
          </w:p>
        </w:tc>
        <w:tc>
          <w:tcPr>
            <w:tcW w:w="100" w:type="dxa"/>
            <w:vAlign w:val="bottom"/>
            <w:gridSpan w:val="4"/>
          </w:tcPr>
          <w:p>
            <w:pPr>
              <w:spacing w:after="0"/>
              <w:rPr>
                <w:sz w:val="24"/>
                <w:szCs w:val="24"/>
                <w:color w:val="auto"/>
              </w:rPr>
            </w:pPr>
          </w:p>
        </w:tc>
        <w:tc>
          <w:tcPr>
            <w:tcW w:w="4260" w:type="dxa"/>
            <w:vAlign w:val="bottom"/>
          </w:tcPr>
          <w:p>
            <w:pPr>
              <w:ind w:left="1080"/>
              <w:spacing w:after="0"/>
              <w:rPr>
                <w:sz w:val="20"/>
                <w:szCs w:val="20"/>
                <w:color w:val="auto"/>
              </w:rPr>
            </w:pPr>
            <w:r>
              <w:rPr>
                <w:rFonts w:ascii="Arial" w:cs="Arial" w:eastAsia="Arial" w:hAnsi="Arial"/>
                <w:sz w:val="18"/>
                <w:szCs w:val="18"/>
                <w:color w:val="auto"/>
              </w:rPr>
              <w:t>Chief Financial Officer</w:t>
            </w:r>
          </w:p>
        </w:tc>
        <w:tc>
          <w:tcPr>
            <w:tcW w:w="2380" w:type="dxa"/>
            <w:vAlign w:val="bottom"/>
          </w:tcPr>
          <w:p>
            <w:pPr>
              <w:ind w:left="1060"/>
              <w:spacing w:after="0"/>
              <w:rPr>
                <w:sz w:val="20"/>
                <w:szCs w:val="20"/>
                <w:color w:val="auto"/>
              </w:rPr>
            </w:pPr>
            <w:r>
              <w:rPr>
                <w:rFonts w:ascii="Arial" w:cs="Arial" w:eastAsia="Arial" w:hAnsi="Arial"/>
                <w:sz w:val="18"/>
                <w:szCs w:val="18"/>
                <w:color w:val="auto"/>
                <w:w w:val="88"/>
              </w:rPr>
              <w:t>February 15, 2018</w:t>
            </w:r>
          </w:p>
        </w:tc>
      </w:tr>
      <w:tr>
        <w:trPr>
          <w:trHeight w:val="291"/>
        </w:trPr>
        <w:tc>
          <w:tcPr>
            <w:tcW w:w="1780" w:type="dxa"/>
            <w:vAlign w:val="bottom"/>
            <w:gridSpan w:val="11"/>
          </w:tcPr>
          <w:p>
            <w:pPr>
              <w:spacing w:after="0"/>
              <w:rPr>
                <w:sz w:val="20"/>
                <w:szCs w:val="20"/>
                <w:color w:val="auto"/>
              </w:rPr>
            </w:pPr>
            <w:r>
              <w:rPr>
                <w:rFonts w:ascii="Arial" w:cs="Arial" w:eastAsia="Arial" w:hAnsi="Arial"/>
                <w:sz w:val="18"/>
                <w:szCs w:val="18"/>
                <w:color w:val="auto"/>
              </w:rPr>
              <w:t>Stephanie D. Fisher</w:t>
            </w:r>
          </w:p>
        </w:tc>
        <w:tc>
          <w:tcPr>
            <w:tcW w:w="42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51"/>
        </w:trPr>
        <w:tc>
          <w:tcPr>
            <w:tcW w:w="176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0"/>
              </w:rPr>
              <w:t>/s/ Brianne L. Simoneau</w:t>
            </w:r>
          </w:p>
        </w:tc>
        <w:tc>
          <w:tcPr>
            <w:tcW w:w="20" w:type="dxa"/>
            <w:vAlign w:val="bottom"/>
          </w:tcPr>
          <w:p>
            <w:pPr>
              <w:spacing w:after="0"/>
              <w:rPr>
                <w:sz w:val="24"/>
                <w:szCs w:val="24"/>
                <w:color w:val="auto"/>
              </w:rPr>
            </w:pPr>
          </w:p>
        </w:tc>
        <w:tc>
          <w:tcPr>
            <w:tcW w:w="4260" w:type="dxa"/>
            <w:vAlign w:val="bottom"/>
          </w:tcPr>
          <w:p>
            <w:pPr>
              <w:ind w:left="1080"/>
              <w:spacing w:after="0"/>
              <w:rPr>
                <w:sz w:val="20"/>
                <w:szCs w:val="20"/>
                <w:color w:val="auto"/>
              </w:rPr>
            </w:pPr>
            <w:r>
              <w:rPr>
                <w:rFonts w:ascii="Arial" w:cs="Arial" w:eastAsia="Arial" w:hAnsi="Arial"/>
                <w:sz w:val="18"/>
                <w:szCs w:val="18"/>
                <w:color w:val="auto"/>
              </w:rPr>
              <w:t>Vice President and Controller</w:t>
            </w:r>
          </w:p>
        </w:tc>
        <w:tc>
          <w:tcPr>
            <w:tcW w:w="2380" w:type="dxa"/>
            <w:vAlign w:val="bottom"/>
          </w:tcPr>
          <w:p>
            <w:pPr>
              <w:ind w:left="1060"/>
              <w:spacing w:after="0"/>
              <w:rPr>
                <w:sz w:val="20"/>
                <w:szCs w:val="20"/>
                <w:color w:val="auto"/>
              </w:rPr>
            </w:pPr>
            <w:r>
              <w:rPr>
                <w:rFonts w:ascii="Arial" w:cs="Arial" w:eastAsia="Arial" w:hAnsi="Arial"/>
                <w:sz w:val="18"/>
                <w:szCs w:val="18"/>
                <w:color w:val="auto"/>
                <w:w w:val="88"/>
              </w:rPr>
              <w:t>February 15, 2018</w:t>
            </w:r>
          </w:p>
        </w:tc>
      </w:tr>
      <w:tr>
        <w:trPr>
          <w:trHeight w:val="291"/>
        </w:trPr>
        <w:tc>
          <w:tcPr>
            <w:tcW w:w="1780" w:type="dxa"/>
            <w:vAlign w:val="bottom"/>
            <w:gridSpan w:val="11"/>
          </w:tcPr>
          <w:p>
            <w:pPr>
              <w:spacing w:after="0"/>
              <w:rPr>
                <w:sz w:val="20"/>
                <w:szCs w:val="20"/>
                <w:color w:val="auto"/>
              </w:rPr>
            </w:pPr>
            <w:r>
              <w:rPr>
                <w:rFonts w:ascii="Arial" w:cs="Arial" w:eastAsia="Arial" w:hAnsi="Arial"/>
                <w:sz w:val="18"/>
                <w:szCs w:val="18"/>
                <w:color w:val="auto"/>
              </w:rPr>
              <w:t>Brianne L. Simoneau</w:t>
            </w:r>
          </w:p>
        </w:tc>
        <w:tc>
          <w:tcPr>
            <w:tcW w:w="42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51"/>
        </w:trPr>
        <w:tc>
          <w:tcPr>
            <w:tcW w:w="176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90"/>
              </w:rPr>
              <w:t>/s/ Raymond J. Bromark</w:t>
            </w:r>
          </w:p>
        </w:tc>
        <w:tc>
          <w:tcPr>
            <w:tcW w:w="20" w:type="dxa"/>
            <w:vAlign w:val="bottom"/>
          </w:tcPr>
          <w:p>
            <w:pPr>
              <w:spacing w:after="0"/>
              <w:rPr>
                <w:sz w:val="24"/>
                <w:szCs w:val="24"/>
                <w:color w:val="auto"/>
              </w:rPr>
            </w:pPr>
          </w:p>
        </w:tc>
        <w:tc>
          <w:tcPr>
            <w:tcW w:w="42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060"/>
              <w:spacing w:after="0"/>
              <w:rPr>
                <w:sz w:val="20"/>
                <w:szCs w:val="20"/>
                <w:color w:val="auto"/>
              </w:rPr>
            </w:pPr>
            <w:r>
              <w:rPr>
                <w:rFonts w:ascii="Arial" w:cs="Arial" w:eastAsia="Arial" w:hAnsi="Arial"/>
                <w:sz w:val="18"/>
                <w:szCs w:val="18"/>
                <w:color w:val="auto"/>
                <w:w w:val="88"/>
              </w:rPr>
              <w:t>February 15, 2018</w:t>
            </w:r>
          </w:p>
        </w:tc>
      </w:tr>
      <w:tr>
        <w:trPr>
          <w:trHeight w:val="291"/>
        </w:trPr>
        <w:tc>
          <w:tcPr>
            <w:tcW w:w="1780" w:type="dxa"/>
            <w:vAlign w:val="bottom"/>
            <w:gridSpan w:val="11"/>
          </w:tcPr>
          <w:p>
            <w:pPr>
              <w:spacing w:after="0"/>
              <w:rPr>
                <w:sz w:val="20"/>
                <w:szCs w:val="20"/>
                <w:color w:val="auto"/>
              </w:rPr>
            </w:pPr>
            <w:r>
              <w:rPr>
                <w:rFonts w:ascii="Arial" w:cs="Arial" w:eastAsia="Arial" w:hAnsi="Arial"/>
                <w:sz w:val="18"/>
                <w:szCs w:val="18"/>
                <w:color w:val="auto"/>
              </w:rPr>
              <w:t>Raymond J. Bromark</w:t>
            </w:r>
          </w:p>
        </w:tc>
        <w:tc>
          <w:tcPr>
            <w:tcW w:w="42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51"/>
        </w:trPr>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/s/ Douglas A. Carty</w:t>
            </w:r>
          </w:p>
        </w:tc>
        <w:tc>
          <w:tcPr>
            <w:tcW w:w="300" w:type="dxa"/>
            <w:vAlign w:val="bottom"/>
            <w:gridSpan w:val="8"/>
          </w:tcPr>
          <w:p>
            <w:pPr>
              <w:spacing w:after="0"/>
              <w:rPr>
                <w:sz w:val="24"/>
                <w:szCs w:val="24"/>
                <w:color w:val="auto"/>
              </w:rPr>
            </w:pPr>
          </w:p>
        </w:tc>
        <w:tc>
          <w:tcPr>
            <w:tcW w:w="42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060"/>
              <w:spacing w:after="0"/>
              <w:rPr>
                <w:sz w:val="20"/>
                <w:szCs w:val="20"/>
                <w:color w:val="auto"/>
              </w:rPr>
            </w:pPr>
            <w:r>
              <w:rPr>
                <w:rFonts w:ascii="Arial" w:cs="Arial" w:eastAsia="Arial" w:hAnsi="Arial"/>
                <w:sz w:val="18"/>
                <w:szCs w:val="18"/>
                <w:color w:val="auto"/>
                <w:w w:val="88"/>
              </w:rPr>
              <w:t>February 15, 2018</w:t>
            </w:r>
          </w:p>
        </w:tc>
      </w:tr>
      <w:tr>
        <w:trPr>
          <w:trHeight w:val="291"/>
        </w:trPr>
        <w:tc>
          <w:tcPr>
            <w:tcW w:w="1780" w:type="dxa"/>
            <w:vAlign w:val="bottom"/>
            <w:gridSpan w:val="11"/>
          </w:tcPr>
          <w:p>
            <w:pPr>
              <w:spacing w:after="0"/>
              <w:rPr>
                <w:sz w:val="20"/>
                <w:szCs w:val="20"/>
                <w:color w:val="auto"/>
              </w:rPr>
            </w:pPr>
            <w:r>
              <w:rPr>
                <w:rFonts w:ascii="Arial" w:cs="Arial" w:eastAsia="Arial" w:hAnsi="Arial"/>
                <w:sz w:val="18"/>
                <w:szCs w:val="18"/>
                <w:color w:val="auto"/>
              </w:rPr>
              <w:t>Douglas A. Carty</w:t>
            </w:r>
          </w:p>
        </w:tc>
        <w:tc>
          <w:tcPr>
            <w:tcW w:w="42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51"/>
        </w:trPr>
        <w:tc>
          <w:tcPr>
            <w:tcW w:w="174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2"/>
              </w:rPr>
              <w:t>/s/ William R. Davidson</w:t>
            </w:r>
          </w:p>
        </w:tc>
        <w:tc>
          <w:tcPr>
            <w:tcW w:w="40" w:type="dxa"/>
            <w:vAlign w:val="bottom"/>
            <w:gridSpan w:val="2"/>
          </w:tcPr>
          <w:p>
            <w:pPr>
              <w:spacing w:after="0"/>
              <w:rPr>
                <w:sz w:val="24"/>
                <w:szCs w:val="24"/>
                <w:color w:val="auto"/>
              </w:rPr>
            </w:pPr>
          </w:p>
        </w:tc>
        <w:tc>
          <w:tcPr>
            <w:tcW w:w="42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060"/>
              <w:spacing w:after="0"/>
              <w:rPr>
                <w:sz w:val="20"/>
                <w:szCs w:val="20"/>
                <w:color w:val="auto"/>
              </w:rPr>
            </w:pPr>
            <w:r>
              <w:rPr>
                <w:rFonts w:ascii="Arial" w:cs="Arial" w:eastAsia="Arial" w:hAnsi="Arial"/>
                <w:sz w:val="18"/>
                <w:szCs w:val="18"/>
                <w:color w:val="auto"/>
                <w:w w:val="88"/>
              </w:rPr>
              <w:t>February 15, 2018</w:t>
            </w:r>
          </w:p>
        </w:tc>
      </w:tr>
      <w:tr>
        <w:trPr>
          <w:trHeight w:val="291"/>
        </w:trPr>
        <w:tc>
          <w:tcPr>
            <w:tcW w:w="1780" w:type="dxa"/>
            <w:vAlign w:val="bottom"/>
            <w:gridSpan w:val="11"/>
          </w:tcPr>
          <w:p>
            <w:pPr>
              <w:spacing w:after="0"/>
              <w:rPr>
                <w:sz w:val="20"/>
                <w:szCs w:val="20"/>
                <w:color w:val="auto"/>
              </w:rPr>
            </w:pPr>
            <w:r>
              <w:rPr>
                <w:rFonts w:ascii="Arial" w:cs="Arial" w:eastAsia="Arial" w:hAnsi="Arial"/>
                <w:sz w:val="18"/>
                <w:szCs w:val="18"/>
                <w:color w:val="auto"/>
              </w:rPr>
              <w:t>William R. Davidson</w:t>
            </w:r>
          </w:p>
        </w:tc>
        <w:tc>
          <w:tcPr>
            <w:tcW w:w="42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51"/>
        </w:trPr>
        <w:tc>
          <w:tcPr>
            <w:tcW w:w="1780" w:type="dxa"/>
            <w:vAlign w:val="bottom"/>
            <w:gridSpan w:val="11"/>
          </w:tcPr>
          <w:p>
            <w:pPr>
              <w:spacing w:after="0"/>
              <w:rPr>
                <w:sz w:val="20"/>
                <w:szCs w:val="20"/>
                <w:color w:val="auto"/>
              </w:rPr>
            </w:pPr>
            <w:r>
              <w:rPr>
                <w:rFonts w:ascii="Arial" w:cs="Arial" w:eastAsia="Arial" w:hAnsi="Arial"/>
                <w:sz w:val="18"/>
                <w:szCs w:val="18"/>
                <w:color w:val="auto"/>
              </w:rPr>
              <w:t>/s/ Matthew Doheny</w:t>
            </w:r>
          </w:p>
        </w:tc>
        <w:tc>
          <w:tcPr>
            <w:tcW w:w="42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060"/>
              <w:spacing w:after="0"/>
              <w:rPr>
                <w:sz w:val="20"/>
                <w:szCs w:val="20"/>
                <w:color w:val="auto"/>
              </w:rPr>
            </w:pPr>
            <w:r>
              <w:rPr>
                <w:rFonts w:ascii="Arial" w:cs="Arial" w:eastAsia="Arial" w:hAnsi="Arial"/>
                <w:sz w:val="18"/>
                <w:szCs w:val="18"/>
                <w:color w:val="auto"/>
                <w:w w:val="88"/>
              </w:rPr>
              <w:t>February 15, 2018</w:t>
            </w:r>
          </w:p>
        </w:tc>
      </w:tr>
      <w:tr>
        <w:trPr>
          <w:trHeight w:val="291"/>
        </w:trPr>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Matthew Doheny</w:t>
            </w:r>
          </w:p>
        </w:tc>
        <w:tc>
          <w:tcPr>
            <w:tcW w:w="320" w:type="dxa"/>
            <w:vAlign w:val="bottom"/>
            <w:gridSpan w:val="9"/>
          </w:tcPr>
          <w:p>
            <w:pPr>
              <w:spacing w:after="0"/>
              <w:rPr>
                <w:sz w:val="24"/>
                <w:szCs w:val="24"/>
                <w:color w:val="auto"/>
              </w:rPr>
            </w:pPr>
          </w:p>
        </w:tc>
        <w:tc>
          <w:tcPr>
            <w:tcW w:w="42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51"/>
        </w:trPr>
        <w:tc>
          <w:tcPr>
            <w:tcW w:w="16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1"/>
              </w:rPr>
              <w:t>/s/ Robert L. Friedman</w:t>
            </w:r>
          </w:p>
        </w:tc>
        <w:tc>
          <w:tcPr>
            <w:tcW w:w="120" w:type="dxa"/>
            <w:vAlign w:val="bottom"/>
            <w:gridSpan w:val="5"/>
          </w:tcPr>
          <w:p>
            <w:pPr>
              <w:spacing w:after="0"/>
              <w:rPr>
                <w:sz w:val="24"/>
                <w:szCs w:val="24"/>
                <w:color w:val="auto"/>
              </w:rPr>
            </w:pPr>
          </w:p>
        </w:tc>
        <w:tc>
          <w:tcPr>
            <w:tcW w:w="42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060"/>
              <w:spacing w:after="0"/>
              <w:rPr>
                <w:sz w:val="20"/>
                <w:szCs w:val="20"/>
                <w:color w:val="auto"/>
              </w:rPr>
            </w:pPr>
            <w:r>
              <w:rPr>
                <w:rFonts w:ascii="Arial" w:cs="Arial" w:eastAsia="Arial" w:hAnsi="Arial"/>
                <w:sz w:val="18"/>
                <w:szCs w:val="18"/>
                <w:color w:val="auto"/>
                <w:w w:val="88"/>
              </w:rPr>
              <w:t>February 15, 2018</w:t>
            </w:r>
          </w:p>
        </w:tc>
      </w:tr>
      <w:tr>
        <w:trPr>
          <w:trHeight w:val="291"/>
        </w:trPr>
        <w:tc>
          <w:tcPr>
            <w:tcW w:w="1780" w:type="dxa"/>
            <w:vAlign w:val="bottom"/>
            <w:gridSpan w:val="11"/>
          </w:tcPr>
          <w:p>
            <w:pPr>
              <w:spacing w:after="0"/>
              <w:rPr>
                <w:sz w:val="20"/>
                <w:szCs w:val="20"/>
                <w:color w:val="auto"/>
              </w:rPr>
            </w:pPr>
            <w:r>
              <w:rPr>
                <w:rFonts w:ascii="Arial" w:cs="Arial" w:eastAsia="Arial" w:hAnsi="Arial"/>
                <w:sz w:val="18"/>
                <w:szCs w:val="18"/>
                <w:color w:val="auto"/>
              </w:rPr>
              <w:t>Robert L. Friedman</w:t>
            </w:r>
          </w:p>
        </w:tc>
        <w:tc>
          <w:tcPr>
            <w:tcW w:w="42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51"/>
        </w:trPr>
        <w:tc>
          <w:tcPr>
            <w:tcW w:w="1780" w:type="dxa"/>
            <w:vAlign w:val="bottom"/>
            <w:gridSpan w:val="11"/>
          </w:tcPr>
          <w:p>
            <w:pPr>
              <w:spacing w:after="0"/>
              <w:rPr>
                <w:sz w:val="20"/>
                <w:szCs w:val="20"/>
                <w:color w:val="auto"/>
              </w:rPr>
            </w:pPr>
            <w:r>
              <w:rPr>
                <w:rFonts w:ascii="Arial" w:cs="Arial" w:eastAsia="Arial" w:hAnsi="Arial"/>
                <w:sz w:val="18"/>
                <w:szCs w:val="18"/>
                <w:color w:val="auto"/>
              </w:rPr>
              <w:t>/s/ James E. Hoffman</w:t>
            </w:r>
          </w:p>
        </w:tc>
        <w:tc>
          <w:tcPr>
            <w:tcW w:w="42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060"/>
              <w:spacing w:after="0"/>
              <w:rPr>
                <w:sz w:val="20"/>
                <w:szCs w:val="20"/>
                <w:color w:val="auto"/>
              </w:rPr>
            </w:pPr>
            <w:r>
              <w:rPr>
                <w:rFonts w:ascii="Arial" w:cs="Arial" w:eastAsia="Arial" w:hAnsi="Arial"/>
                <w:sz w:val="18"/>
                <w:szCs w:val="18"/>
                <w:color w:val="auto"/>
                <w:w w:val="88"/>
              </w:rPr>
              <w:t>February 15, 2018</w:t>
            </w:r>
          </w:p>
        </w:tc>
      </w:tr>
      <w:tr>
        <w:trPr>
          <w:trHeight w:val="291"/>
        </w:trPr>
        <w:tc>
          <w:tcPr>
            <w:tcW w:w="15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James E. Hoffman</w:t>
            </w:r>
          </w:p>
        </w:tc>
        <w:tc>
          <w:tcPr>
            <w:tcW w:w="240" w:type="dxa"/>
            <w:vAlign w:val="bottom"/>
            <w:gridSpan w:val="7"/>
          </w:tcPr>
          <w:p>
            <w:pPr>
              <w:spacing w:after="0"/>
              <w:rPr>
                <w:sz w:val="24"/>
                <w:szCs w:val="24"/>
                <w:color w:val="auto"/>
              </w:rPr>
            </w:pPr>
          </w:p>
        </w:tc>
        <w:tc>
          <w:tcPr>
            <w:tcW w:w="42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51"/>
        </w:trPr>
        <w:tc>
          <w:tcPr>
            <w:tcW w:w="170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90"/>
              </w:rPr>
              <w:t>/s/ Michael J. Kneeland</w:t>
            </w:r>
          </w:p>
        </w:tc>
        <w:tc>
          <w:tcPr>
            <w:tcW w:w="80" w:type="dxa"/>
            <w:vAlign w:val="bottom"/>
            <w:gridSpan w:val="3"/>
          </w:tcPr>
          <w:p>
            <w:pPr>
              <w:spacing w:after="0"/>
              <w:rPr>
                <w:sz w:val="24"/>
                <w:szCs w:val="24"/>
                <w:color w:val="auto"/>
              </w:rPr>
            </w:pPr>
          </w:p>
        </w:tc>
        <w:tc>
          <w:tcPr>
            <w:tcW w:w="42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060"/>
              <w:spacing w:after="0"/>
              <w:rPr>
                <w:sz w:val="20"/>
                <w:szCs w:val="20"/>
                <w:color w:val="auto"/>
              </w:rPr>
            </w:pPr>
            <w:r>
              <w:rPr>
                <w:rFonts w:ascii="Arial" w:cs="Arial" w:eastAsia="Arial" w:hAnsi="Arial"/>
                <w:sz w:val="18"/>
                <w:szCs w:val="18"/>
                <w:color w:val="auto"/>
                <w:w w:val="88"/>
              </w:rPr>
              <w:t>February 15, 2018</w:t>
            </w:r>
          </w:p>
        </w:tc>
      </w:tr>
      <w:tr>
        <w:trPr>
          <w:trHeight w:val="291"/>
        </w:trPr>
        <w:tc>
          <w:tcPr>
            <w:tcW w:w="1780" w:type="dxa"/>
            <w:vAlign w:val="bottom"/>
            <w:gridSpan w:val="11"/>
          </w:tcPr>
          <w:p>
            <w:pPr>
              <w:spacing w:after="0"/>
              <w:rPr>
                <w:sz w:val="20"/>
                <w:szCs w:val="20"/>
                <w:color w:val="auto"/>
              </w:rPr>
            </w:pPr>
            <w:r>
              <w:rPr>
                <w:rFonts w:ascii="Arial" w:cs="Arial" w:eastAsia="Arial" w:hAnsi="Arial"/>
                <w:sz w:val="18"/>
                <w:szCs w:val="18"/>
                <w:color w:val="auto"/>
              </w:rPr>
              <w:t>Michael J. Kneeland</w:t>
            </w:r>
          </w:p>
        </w:tc>
        <w:tc>
          <w:tcPr>
            <w:tcW w:w="42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51"/>
        </w:trPr>
        <w:tc>
          <w:tcPr>
            <w:tcW w:w="178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0"/>
              </w:rPr>
              <w:t>/s/ Patricia M. Nazemetz</w:t>
            </w:r>
          </w:p>
        </w:tc>
        <w:tc>
          <w:tcPr>
            <w:tcW w:w="42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060"/>
              <w:spacing w:after="0"/>
              <w:rPr>
                <w:sz w:val="20"/>
                <w:szCs w:val="20"/>
                <w:color w:val="auto"/>
              </w:rPr>
            </w:pPr>
            <w:r>
              <w:rPr>
                <w:rFonts w:ascii="Arial" w:cs="Arial" w:eastAsia="Arial" w:hAnsi="Arial"/>
                <w:sz w:val="18"/>
                <w:szCs w:val="18"/>
                <w:color w:val="auto"/>
                <w:w w:val="88"/>
              </w:rPr>
              <w:t>February 15, 2018</w:t>
            </w:r>
          </w:p>
        </w:tc>
      </w:tr>
      <w:tr>
        <w:trPr>
          <w:trHeight w:val="291"/>
        </w:trPr>
        <w:tc>
          <w:tcPr>
            <w:tcW w:w="1780" w:type="dxa"/>
            <w:vAlign w:val="bottom"/>
            <w:gridSpan w:val="11"/>
          </w:tcPr>
          <w:p>
            <w:pPr>
              <w:spacing w:after="0"/>
              <w:rPr>
                <w:sz w:val="20"/>
                <w:szCs w:val="20"/>
                <w:color w:val="auto"/>
              </w:rPr>
            </w:pPr>
            <w:r>
              <w:rPr>
                <w:rFonts w:ascii="Arial" w:cs="Arial" w:eastAsia="Arial" w:hAnsi="Arial"/>
                <w:sz w:val="18"/>
                <w:szCs w:val="18"/>
                <w:color w:val="auto"/>
              </w:rPr>
              <w:t>Patricia M. Nazemetz</w:t>
            </w:r>
          </w:p>
        </w:tc>
        <w:tc>
          <w:tcPr>
            <w:tcW w:w="42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351"/>
        </w:trPr>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7"/>
              </w:rPr>
              <w:t>/s/ James F. Winestock</w:t>
            </w:r>
          </w:p>
        </w:tc>
        <w:tc>
          <w:tcPr>
            <w:tcW w:w="140" w:type="dxa"/>
            <w:vAlign w:val="bottom"/>
            <w:gridSpan w:val="6"/>
          </w:tcPr>
          <w:p>
            <w:pPr>
              <w:spacing w:after="0"/>
              <w:rPr>
                <w:sz w:val="24"/>
                <w:szCs w:val="24"/>
                <w:color w:val="auto"/>
              </w:rPr>
            </w:pPr>
          </w:p>
        </w:tc>
        <w:tc>
          <w:tcPr>
            <w:tcW w:w="4260" w:type="dxa"/>
            <w:vAlign w:val="bottom"/>
          </w:tcPr>
          <w:p>
            <w:pPr>
              <w:ind w:left="1080"/>
              <w:spacing w:after="0"/>
              <w:rPr>
                <w:sz w:val="20"/>
                <w:szCs w:val="20"/>
                <w:color w:val="auto"/>
              </w:rPr>
            </w:pPr>
            <w:r>
              <w:rPr>
                <w:rFonts w:ascii="Arial" w:cs="Arial" w:eastAsia="Arial" w:hAnsi="Arial"/>
                <w:sz w:val="18"/>
                <w:szCs w:val="18"/>
                <w:color w:val="auto"/>
              </w:rPr>
              <w:t>Director</w:t>
            </w:r>
          </w:p>
        </w:tc>
        <w:tc>
          <w:tcPr>
            <w:tcW w:w="2380" w:type="dxa"/>
            <w:vAlign w:val="bottom"/>
          </w:tcPr>
          <w:p>
            <w:pPr>
              <w:ind w:left="1060"/>
              <w:spacing w:after="0"/>
              <w:rPr>
                <w:sz w:val="20"/>
                <w:szCs w:val="20"/>
                <w:color w:val="auto"/>
              </w:rPr>
            </w:pPr>
            <w:r>
              <w:rPr>
                <w:rFonts w:ascii="Arial" w:cs="Arial" w:eastAsia="Arial" w:hAnsi="Arial"/>
                <w:sz w:val="18"/>
                <w:szCs w:val="18"/>
                <w:color w:val="auto"/>
                <w:w w:val="88"/>
              </w:rPr>
              <w:t>February 15, 2018</w:t>
            </w:r>
          </w:p>
        </w:tc>
      </w:tr>
      <w:tr>
        <w:trPr>
          <w:trHeight w:val="291"/>
        </w:trPr>
        <w:tc>
          <w:tcPr>
            <w:tcW w:w="1780" w:type="dxa"/>
            <w:vAlign w:val="bottom"/>
            <w:gridSpan w:val="11"/>
          </w:tcPr>
          <w:p>
            <w:pPr>
              <w:spacing w:after="0"/>
              <w:rPr>
                <w:sz w:val="20"/>
                <w:szCs w:val="20"/>
                <w:color w:val="auto"/>
              </w:rPr>
            </w:pPr>
            <w:r>
              <w:rPr>
                <w:rFonts w:ascii="Arial" w:cs="Arial" w:eastAsia="Arial" w:hAnsi="Arial"/>
                <w:sz w:val="18"/>
                <w:szCs w:val="18"/>
                <w:color w:val="auto"/>
              </w:rPr>
              <w:t>James F. Winestock</w:t>
            </w:r>
          </w:p>
        </w:tc>
        <w:tc>
          <w:tcPr>
            <w:tcW w:w="42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702"/>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Pr>
          <w:p>
            <w:pPr>
              <w:ind w:left="1640"/>
              <w:spacing w:after="0"/>
              <w:rPr>
                <w:sz w:val="20"/>
                <w:szCs w:val="20"/>
                <w:color w:val="auto"/>
              </w:rPr>
            </w:pPr>
            <w:r>
              <w:rPr>
                <w:rFonts w:ascii="Arial" w:cs="Arial" w:eastAsia="Arial" w:hAnsi="Arial"/>
                <w:sz w:val="18"/>
                <w:szCs w:val="18"/>
                <w:color w:val="auto"/>
              </w:rPr>
              <w:t>90</w:t>
            </w:r>
          </w:p>
        </w:tc>
        <w:tc>
          <w:tcPr>
            <w:tcW w:w="2380" w:type="dxa"/>
            <w:vAlign w:val="bottom"/>
          </w:tcPr>
          <w:p>
            <w:pPr>
              <w:spacing w:after="0"/>
              <w:rPr>
                <w:sz w:val="24"/>
                <w:szCs w:val="24"/>
                <w:color w:val="auto"/>
              </w:rPr>
            </w:pPr>
          </w:p>
        </w:tc>
      </w:tr>
    </w:tbl>
    <w:p>
      <w:pPr>
        <w:sectPr>
          <w:pgSz w:w="11900" w:h="16838" w:orient="portrait"/>
          <w:cols w:equalWidth="0" w:num="1">
            <w:col w:w="9420"/>
          </w:cols>
          <w:pgMar w:left="1440" w:top="797" w:right="10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4900" w:type="dxa"/>
            <w:vAlign w:val="bottom"/>
            <w:vMerge w:val="restart"/>
          </w:tcPr>
          <w:p>
            <w:pPr>
              <w:ind w:left="80"/>
              <w:spacing w:after="0"/>
              <w:rPr>
                <w:sz w:val="20"/>
                <w:szCs w:val="20"/>
                <w:color w:val="auto"/>
              </w:rPr>
            </w:pPr>
            <w:r>
              <w:rPr>
                <w:rFonts w:ascii="Arial" w:cs="Arial" w:eastAsia="Arial" w:hAnsi="Arial"/>
                <w:sz w:val="18"/>
                <w:szCs w:val="18"/>
                <w:color w:val="auto"/>
              </w:rPr>
              <w:t>Subsidiaries of YRC Worldwide Inc.</w:t>
            </w:r>
          </w:p>
        </w:tc>
        <w:tc>
          <w:tcPr>
            <w:tcW w:w="2220" w:type="dxa"/>
            <w:vAlign w:val="bottom"/>
          </w:tcPr>
          <w:p>
            <w:pPr>
              <w:ind w:left="1080"/>
              <w:spacing w:after="0"/>
              <w:rPr>
                <w:sz w:val="20"/>
                <w:szCs w:val="20"/>
                <w:color w:val="auto"/>
              </w:rPr>
            </w:pPr>
            <w:r>
              <w:rPr>
                <w:rFonts w:ascii="Arial" w:cs="Arial" w:eastAsia="Arial" w:hAnsi="Arial"/>
                <w:sz w:val="18"/>
                <w:szCs w:val="18"/>
                <w:b w:val="1"/>
                <w:bCs w:val="1"/>
                <w:color w:val="auto"/>
              </w:rPr>
              <w:t>EXHIBIT 21.1</w:t>
            </w:r>
          </w:p>
        </w:tc>
        <w:tc>
          <w:tcPr>
            <w:tcW w:w="0" w:type="dxa"/>
            <w:vAlign w:val="bottom"/>
          </w:tcPr>
          <w:p>
            <w:pPr>
              <w:spacing w:after="0"/>
              <w:rPr>
                <w:sz w:val="1"/>
                <w:szCs w:val="1"/>
                <w:color w:val="auto"/>
              </w:rPr>
            </w:pPr>
          </w:p>
        </w:tc>
      </w:tr>
      <w:tr>
        <w:trPr>
          <w:trHeight w:val="202"/>
        </w:trPr>
        <w:tc>
          <w:tcPr>
            <w:tcW w:w="4300" w:type="dxa"/>
            <w:vAlign w:val="bottom"/>
          </w:tcPr>
          <w:p>
            <w:pPr>
              <w:spacing w:after="0"/>
              <w:rPr>
                <w:sz w:val="17"/>
                <w:szCs w:val="17"/>
                <w:color w:val="auto"/>
              </w:rPr>
            </w:pPr>
          </w:p>
        </w:tc>
        <w:tc>
          <w:tcPr>
            <w:tcW w:w="4900" w:type="dxa"/>
            <w:vAlign w:val="bottom"/>
            <w:vMerge w:val="continue"/>
          </w:tcPr>
          <w:p>
            <w:pPr>
              <w:spacing w:after="0"/>
              <w:rPr>
                <w:sz w:val="17"/>
                <w:szCs w:val="17"/>
                <w:color w:val="auto"/>
              </w:rPr>
            </w:pP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p>
        </w:tc>
        <w:tc>
          <w:tcPr>
            <w:tcW w:w="4900" w:type="dxa"/>
            <w:vAlign w:val="bottom"/>
          </w:tcPr>
          <w:p>
            <w:pPr>
              <w:ind w:left="600"/>
              <w:spacing w:after="0"/>
              <w:rPr>
                <w:sz w:val="20"/>
                <w:szCs w:val="20"/>
                <w:color w:val="auto"/>
              </w:rPr>
            </w:pPr>
            <w:r>
              <w:rPr>
                <w:rFonts w:ascii="Arial" w:cs="Arial" w:eastAsia="Arial" w:hAnsi="Arial"/>
                <w:sz w:val="18"/>
                <w:szCs w:val="18"/>
                <w:color w:val="auto"/>
              </w:rPr>
              <w:t>At December 31, 2017</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3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220" w:type="dxa"/>
            <w:vAlign w:val="bottom"/>
          </w:tcPr>
          <w:p>
            <w:pPr>
              <w:jc w:val="center"/>
              <w:ind w:left="90"/>
              <w:spacing w:after="0"/>
              <w:rPr>
                <w:sz w:val="20"/>
                <w:szCs w:val="20"/>
                <w:color w:val="auto"/>
              </w:rPr>
            </w:pPr>
            <w:r>
              <w:rPr>
                <w:rFonts w:ascii="Arial" w:cs="Arial" w:eastAsia="Arial" w:hAnsi="Arial"/>
                <w:sz w:val="18"/>
                <w:szCs w:val="18"/>
                <w:b w:val="1"/>
                <w:bCs w:val="1"/>
                <w:color w:val="auto"/>
                <w:w w:val="90"/>
              </w:rPr>
              <w:t>Jurisdiction of</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tcPr>
          <w:p>
            <w:pPr>
              <w:ind w:left="3840"/>
              <w:spacing w:after="0"/>
              <w:rPr>
                <w:sz w:val="20"/>
                <w:szCs w:val="20"/>
                <w:color w:val="auto"/>
              </w:rPr>
            </w:pPr>
            <w:r>
              <w:rPr>
                <w:rFonts w:ascii="Arial" w:cs="Arial" w:eastAsia="Arial" w:hAnsi="Arial"/>
                <w:sz w:val="18"/>
                <w:szCs w:val="18"/>
                <w:b w:val="1"/>
                <w:bCs w:val="1"/>
                <w:color w:val="auto"/>
              </w:rPr>
              <w:t>Percentage</w:t>
            </w:r>
          </w:p>
        </w:tc>
        <w:tc>
          <w:tcPr>
            <w:tcW w:w="222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Incorporation or</w:t>
            </w:r>
          </w:p>
        </w:tc>
        <w:tc>
          <w:tcPr>
            <w:tcW w:w="0" w:type="dxa"/>
            <w:vAlign w:val="bottom"/>
          </w:tcPr>
          <w:p>
            <w:pPr>
              <w:spacing w:after="0"/>
              <w:rPr>
                <w:sz w:val="1"/>
                <w:szCs w:val="1"/>
                <w:color w:val="auto"/>
              </w:rPr>
            </w:pPr>
          </w:p>
        </w:tc>
      </w:tr>
      <w:tr>
        <w:trPr>
          <w:trHeight w:val="234"/>
        </w:trPr>
        <w:tc>
          <w:tcPr>
            <w:tcW w:w="4300" w:type="dxa"/>
            <w:vAlign w:val="bottom"/>
          </w:tcPr>
          <w:p>
            <w:pPr>
              <w:ind w:left="3660"/>
              <w:spacing w:after="0"/>
              <w:rPr>
                <w:sz w:val="20"/>
                <w:szCs w:val="20"/>
                <w:color w:val="auto"/>
              </w:rPr>
            </w:pPr>
            <w:r>
              <w:rPr>
                <w:rFonts w:ascii="Arial" w:cs="Arial" w:eastAsia="Arial" w:hAnsi="Arial"/>
                <w:sz w:val="18"/>
                <w:szCs w:val="18"/>
                <w:b w:val="1"/>
                <w:bCs w:val="1"/>
                <w:color w:val="auto"/>
              </w:rPr>
              <w:t>Name</w:t>
            </w:r>
          </w:p>
        </w:tc>
        <w:tc>
          <w:tcPr>
            <w:tcW w:w="4900" w:type="dxa"/>
            <w:vAlign w:val="bottom"/>
          </w:tcPr>
          <w:p>
            <w:pPr>
              <w:ind w:left="3840"/>
              <w:spacing w:after="0"/>
              <w:rPr>
                <w:sz w:val="20"/>
                <w:szCs w:val="20"/>
                <w:color w:val="auto"/>
              </w:rPr>
            </w:pPr>
            <w:r>
              <w:rPr>
                <w:rFonts w:ascii="Arial" w:cs="Arial" w:eastAsia="Arial" w:hAnsi="Arial"/>
                <w:sz w:val="18"/>
                <w:szCs w:val="18"/>
                <w:b w:val="1"/>
                <w:bCs w:val="1"/>
                <w:color w:val="auto"/>
              </w:rPr>
              <w:t>Ownership</w:t>
            </w:r>
          </w:p>
        </w:tc>
        <w:tc>
          <w:tcPr>
            <w:tcW w:w="2220" w:type="dxa"/>
            <w:vAlign w:val="bottom"/>
          </w:tcPr>
          <w:p>
            <w:pPr>
              <w:jc w:val="center"/>
              <w:ind w:left="70"/>
              <w:spacing w:after="0"/>
              <w:rPr>
                <w:sz w:val="20"/>
                <w:szCs w:val="20"/>
                <w:color w:val="auto"/>
              </w:rPr>
            </w:pPr>
            <w:r>
              <w:rPr>
                <w:rFonts w:ascii="Arial" w:cs="Arial" w:eastAsia="Arial" w:hAnsi="Arial"/>
                <w:sz w:val="18"/>
                <w:szCs w:val="18"/>
                <w:b w:val="1"/>
                <w:bCs w:val="1"/>
                <w:color w:val="auto"/>
                <w:w w:val="93"/>
              </w:rPr>
              <w:t>Formation</w:t>
            </w:r>
          </w:p>
        </w:tc>
        <w:tc>
          <w:tcPr>
            <w:tcW w:w="0" w:type="dxa"/>
            <w:vAlign w:val="bottom"/>
          </w:tcPr>
          <w:p>
            <w:pPr>
              <w:spacing w:after="0"/>
              <w:rPr>
                <w:sz w:val="1"/>
                <w:szCs w:val="1"/>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00" w:type="dxa"/>
            <w:vAlign w:val="bottom"/>
          </w:tcPr>
          <w:p>
            <w:pPr>
              <w:ind w:left="40"/>
              <w:spacing w:after="0"/>
              <w:rPr>
                <w:sz w:val="20"/>
                <w:szCs w:val="20"/>
                <w:color w:val="auto"/>
              </w:rPr>
            </w:pPr>
            <w:r>
              <w:rPr>
                <w:rFonts w:ascii="Arial" w:cs="Arial" w:eastAsia="Arial" w:hAnsi="Arial"/>
                <w:sz w:val="18"/>
                <w:szCs w:val="18"/>
                <w:color w:val="auto"/>
              </w:rPr>
              <w:t>1105481 Ontario,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Express Lane Service,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New Penn Motor Express LLC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OPK Insurance Co. Ltd.</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270"/>
        </w:trPr>
        <w:tc>
          <w:tcPr>
            <w:tcW w:w="4300" w:type="dxa"/>
            <w:vAlign w:val="bottom"/>
            <w:vMerge w:val="restart"/>
          </w:tcPr>
          <w:p>
            <w:pPr>
              <w:ind w:left="40"/>
              <w:spacing w:after="0"/>
              <w:rPr>
                <w:sz w:val="20"/>
                <w:szCs w:val="20"/>
                <w:color w:val="auto"/>
              </w:rPr>
            </w:pPr>
            <w:r>
              <w:rPr>
                <w:rFonts w:ascii="Arial" w:cs="Arial" w:eastAsia="Arial" w:hAnsi="Arial"/>
                <w:sz w:val="18"/>
                <w:szCs w:val="18"/>
                <w:color w:val="auto"/>
              </w:rPr>
              <w:t>Roadway LLC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00" w:type="dxa"/>
            <w:vAlign w:val="bottom"/>
            <w:vMerge w:val="continue"/>
          </w:tcPr>
          <w:p>
            <w:pPr>
              <w:spacing w:after="0"/>
              <w:rPr>
                <w:sz w:val="18"/>
                <w:szCs w:val="18"/>
                <w:color w:val="auto"/>
              </w:rPr>
            </w:pPr>
          </w:p>
        </w:tc>
        <w:tc>
          <w:tcPr>
            <w:tcW w:w="4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vMerge w:val="restart"/>
          </w:tcPr>
          <w:p>
            <w:pPr>
              <w:ind w:left="280"/>
              <w:spacing w:after="0"/>
              <w:rPr>
                <w:sz w:val="20"/>
                <w:szCs w:val="20"/>
                <w:color w:val="auto"/>
              </w:rPr>
            </w:pPr>
            <w:r>
              <w:rPr>
                <w:rFonts w:ascii="Arial" w:cs="Arial" w:eastAsia="Arial" w:hAnsi="Arial"/>
                <w:sz w:val="18"/>
                <w:szCs w:val="18"/>
                <w:color w:val="auto"/>
              </w:rPr>
              <w:t>Roadway Next Day Corporation</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300" w:type="dxa"/>
            <w:vAlign w:val="bottom"/>
            <w:vMerge w:val="continue"/>
          </w:tcPr>
          <w:p>
            <w:pPr>
              <w:spacing w:after="0"/>
              <w:rPr>
                <w:sz w:val="18"/>
                <w:szCs w:val="18"/>
                <w:color w:val="auto"/>
              </w:rPr>
            </w:pPr>
          </w:p>
        </w:tc>
        <w:tc>
          <w:tcPr>
            <w:tcW w:w="4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vMerge w:val="restart"/>
          </w:tcPr>
          <w:p>
            <w:pPr>
              <w:ind w:left="280"/>
              <w:spacing w:after="0"/>
              <w:rPr>
                <w:sz w:val="20"/>
                <w:szCs w:val="20"/>
                <w:color w:val="auto"/>
              </w:rPr>
            </w:pPr>
            <w:r>
              <w:rPr>
                <w:rFonts w:ascii="Arial" w:cs="Arial" w:eastAsia="Arial" w:hAnsi="Arial"/>
                <w:sz w:val="18"/>
                <w:szCs w:val="18"/>
                <w:color w:val="auto"/>
              </w:rPr>
              <w:t>Delaware LLC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00" w:type="dxa"/>
            <w:vAlign w:val="bottom"/>
            <w:vMerge w:val="continue"/>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500"/>
              <w:spacing w:after="0"/>
              <w:rPr>
                <w:sz w:val="20"/>
                <w:szCs w:val="20"/>
                <w:color w:val="auto"/>
              </w:rPr>
            </w:pPr>
            <w:r>
              <w:rPr>
                <w:rFonts w:ascii="Arial" w:cs="Arial" w:eastAsia="Arial" w:hAnsi="Arial"/>
                <w:sz w:val="18"/>
                <w:szCs w:val="18"/>
                <w:color w:val="auto"/>
              </w:rPr>
              <w:t>Reimer Express Lines Ltd.</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4300" w:type="dxa"/>
            <w:vAlign w:val="bottom"/>
          </w:tcPr>
          <w:p>
            <w:pPr>
              <w:ind w:left="720"/>
              <w:spacing w:after="0"/>
              <w:rPr>
                <w:sz w:val="20"/>
                <w:szCs w:val="20"/>
                <w:color w:val="auto"/>
              </w:rPr>
            </w:pPr>
            <w:r>
              <w:rPr>
                <w:rFonts w:ascii="Arial" w:cs="Arial" w:eastAsia="Arial" w:hAnsi="Arial"/>
                <w:sz w:val="18"/>
                <w:szCs w:val="18"/>
                <w:color w:val="auto"/>
              </w:rPr>
              <w:t>YRC Transportation, S.A. de C.V.</w:t>
            </w:r>
          </w:p>
        </w:tc>
        <w:tc>
          <w:tcPr>
            <w:tcW w:w="4900" w:type="dxa"/>
            <w:vAlign w:val="bottom"/>
          </w:tcPr>
          <w:p>
            <w:pPr>
              <w:ind w:left="350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25"/>
                <w:szCs w:val="25"/>
                <w:color w:val="auto"/>
                <w:vertAlign w:val="superscript"/>
              </w:rPr>
              <w:t>1</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118"/>
        </w:trPr>
        <w:tc>
          <w:tcPr>
            <w:tcW w:w="430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2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500"/>
              <w:spacing w:after="0"/>
              <w:rPr>
                <w:sz w:val="20"/>
                <w:szCs w:val="20"/>
                <w:color w:val="auto"/>
              </w:rPr>
            </w:pPr>
            <w:r>
              <w:rPr>
                <w:rFonts w:ascii="Arial" w:cs="Arial" w:eastAsia="Arial" w:hAnsi="Arial"/>
                <w:sz w:val="18"/>
                <w:szCs w:val="18"/>
                <w:color w:val="auto"/>
              </w:rPr>
              <w:t>Roadway Express International,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1140"/>
              <w:spacing w:after="0"/>
              <w:rPr>
                <w:sz w:val="20"/>
                <w:szCs w:val="20"/>
                <w:color w:val="auto"/>
              </w:rPr>
            </w:pPr>
            <w:r>
              <w:rPr>
                <w:rFonts w:ascii="Arial" w:cs="Arial" w:eastAsia="Arial" w:hAnsi="Arial"/>
                <w:sz w:val="18"/>
                <w:szCs w:val="18"/>
                <w:color w:val="auto"/>
                <w:w w:val="91"/>
              </w:rPr>
              <w:t>Transcontinental Lease, S. de R.L. de C.V.</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 xml:space="preserve">.01% </w:t>
            </w:r>
            <w:r>
              <w:rPr>
                <w:rFonts w:ascii="Arial" w:cs="Arial" w:eastAsia="Arial" w:hAnsi="Arial"/>
                <w:sz w:val="25"/>
                <w:szCs w:val="25"/>
                <w:color w:val="auto"/>
                <w:vertAlign w:val="superscript"/>
              </w:rPr>
              <w:t>2</w:t>
            </w:r>
          </w:p>
        </w:tc>
        <w:tc>
          <w:tcPr>
            <w:tcW w:w="2220" w:type="dxa"/>
            <w:vAlign w:val="bottom"/>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2"/>
                <w:szCs w:val="22"/>
                <w:color w:val="auto"/>
              </w:rPr>
            </w:pPr>
          </w:p>
        </w:tc>
        <w:tc>
          <w:tcPr>
            <w:tcW w:w="4900" w:type="dxa"/>
            <w:vAlign w:val="bottom"/>
            <w:vMerge w:val="continue"/>
          </w:tcPr>
          <w:p>
            <w:pPr>
              <w:spacing w:after="0"/>
              <w:rPr>
                <w:sz w:val="22"/>
                <w:szCs w:val="22"/>
                <w:color w:val="auto"/>
              </w:rPr>
            </w:pPr>
          </w:p>
        </w:tc>
        <w:tc>
          <w:tcPr>
            <w:tcW w:w="2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Roadway Express, S.A. de C.V.</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 xml:space="preserve">99.99% </w:t>
            </w:r>
            <w:r>
              <w:rPr>
                <w:rFonts w:ascii="Arial" w:cs="Arial" w:eastAsia="Arial" w:hAnsi="Arial"/>
                <w:sz w:val="25"/>
                <w:szCs w:val="25"/>
                <w:color w:val="auto"/>
                <w:vertAlign w:val="superscript"/>
              </w:rPr>
              <w:t>3</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2"/>
                <w:szCs w:val="22"/>
                <w:color w:val="auto"/>
              </w:rPr>
            </w:pPr>
          </w:p>
        </w:tc>
        <w:tc>
          <w:tcPr>
            <w:tcW w:w="490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Roadway Reverse Logistics,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500"/>
              <w:spacing w:after="0"/>
              <w:rPr>
                <w:sz w:val="20"/>
                <w:szCs w:val="20"/>
                <w:color w:val="auto"/>
              </w:rPr>
            </w:pPr>
            <w:r>
              <w:rPr>
                <w:rFonts w:ascii="Arial" w:cs="Arial" w:eastAsia="Arial" w:hAnsi="Arial"/>
                <w:sz w:val="18"/>
                <w:szCs w:val="18"/>
                <w:color w:val="auto"/>
              </w:rPr>
              <w:t>Transcontinental Lease, S. de R.L. de C.V.</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 xml:space="preserve">99.99% </w:t>
            </w:r>
            <w:r>
              <w:rPr>
                <w:rFonts w:ascii="Arial" w:cs="Arial" w:eastAsia="Arial" w:hAnsi="Arial"/>
                <w:sz w:val="25"/>
                <w:szCs w:val="25"/>
                <w:color w:val="auto"/>
                <w:vertAlign w:val="superscript"/>
              </w:rPr>
              <w:t>2</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2"/>
                <w:szCs w:val="22"/>
                <w:color w:val="auto"/>
              </w:rPr>
            </w:pPr>
          </w:p>
        </w:tc>
        <w:tc>
          <w:tcPr>
            <w:tcW w:w="490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1140"/>
              <w:spacing w:after="0"/>
              <w:rPr>
                <w:sz w:val="20"/>
                <w:szCs w:val="20"/>
                <w:color w:val="auto"/>
              </w:rPr>
            </w:pPr>
            <w:r>
              <w:rPr>
                <w:rFonts w:ascii="Arial" w:cs="Arial" w:eastAsia="Arial" w:hAnsi="Arial"/>
                <w:sz w:val="18"/>
                <w:szCs w:val="18"/>
                <w:color w:val="auto"/>
              </w:rPr>
              <w:t>Roadway Express, S.A. de C.V.</w:t>
            </w:r>
          </w:p>
        </w:tc>
        <w:tc>
          <w:tcPr>
            <w:tcW w:w="4900" w:type="dxa"/>
            <w:vAlign w:val="bottom"/>
          </w:tcPr>
          <w:p>
            <w:pPr>
              <w:ind w:left="3500"/>
              <w:spacing w:after="0" w:line="270" w:lineRule="exact"/>
              <w:rPr>
                <w:sz w:val="20"/>
                <w:szCs w:val="20"/>
                <w:color w:val="auto"/>
              </w:rPr>
            </w:pPr>
            <w:r>
              <w:rPr>
                <w:rFonts w:ascii="Arial" w:cs="Arial" w:eastAsia="Arial" w:hAnsi="Arial"/>
                <w:sz w:val="18"/>
                <w:szCs w:val="18"/>
                <w:color w:val="auto"/>
              </w:rPr>
              <w:t xml:space="preserve">.01% </w:t>
            </w:r>
            <w:r>
              <w:rPr>
                <w:rFonts w:ascii="Arial" w:cs="Arial" w:eastAsia="Arial" w:hAnsi="Arial"/>
                <w:sz w:val="25"/>
                <w:szCs w:val="25"/>
                <w:color w:val="auto"/>
                <w:vertAlign w:val="superscript"/>
              </w:rPr>
              <w:t>3</w:t>
            </w:r>
          </w:p>
        </w:tc>
        <w:tc>
          <w:tcPr>
            <w:tcW w:w="2220" w:type="dxa"/>
            <w:vAlign w:val="bottom"/>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30"/>
        </w:trPr>
        <w:tc>
          <w:tcPr>
            <w:tcW w:w="4300" w:type="dxa"/>
            <w:vAlign w:val="bottom"/>
          </w:tcPr>
          <w:p>
            <w:pPr>
              <w:ind w:left="500"/>
              <w:spacing w:after="0"/>
              <w:rPr>
                <w:sz w:val="20"/>
                <w:szCs w:val="20"/>
                <w:color w:val="auto"/>
              </w:rPr>
            </w:pPr>
            <w:r>
              <w:rPr>
                <w:rFonts w:ascii="Arial" w:cs="Arial" w:eastAsia="Arial" w:hAnsi="Arial"/>
                <w:sz w:val="18"/>
                <w:szCs w:val="18"/>
                <w:color w:val="auto"/>
              </w:rPr>
              <w:t>YRC Transportation, S.A. de C.V.</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 xml:space="preserve">58.9% </w:t>
            </w:r>
            <w:r>
              <w:rPr>
                <w:rFonts w:ascii="Arial" w:cs="Arial" w:eastAsia="Arial" w:hAnsi="Arial"/>
                <w:sz w:val="25"/>
                <w:szCs w:val="25"/>
                <w:color w:val="auto"/>
                <w:vertAlign w:val="superscript"/>
              </w:rPr>
              <w:t>1</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56"/>
        </w:trPr>
        <w:tc>
          <w:tcPr>
            <w:tcW w:w="4300" w:type="dxa"/>
            <w:vAlign w:val="bottom"/>
          </w:tcPr>
          <w:p>
            <w:pPr>
              <w:spacing w:after="0"/>
              <w:rPr>
                <w:sz w:val="22"/>
                <w:szCs w:val="22"/>
                <w:color w:val="auto"/>
              </w:rPr>
            </w:pPr>
          </w:p>
        </w:tc>
        <w:tc>
          <w:tcPr>
            <w:tcW w:w="4900" w:type="dxa"/>
            <w:vAlign w:val="bottom"/>
            <w:vMerge w:val="continue"/>
          </w:tcPr>
          <w:p>
            <w:pPr>
              <w:spacing w:after="0"/>
              <w:rPr>
                <w:sz w:val="22"/>
                <w:szCs w:val="22"/>
                <w:color w:val="auto"/>
              </w:rPr>
            </w:pPr>
          </w:p>
        </w:tc>
        <w:tc>
          <w:tcPr>
            <w:tcW w:w="22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920"/>
              <w:spacing w:after="0"/>
              <w:rPr>
                <w:sz w:val="20"/>
                <w:szCs w:val="20"/>
                <w:color w:val="auto"/>
              </w:rPr>
            </w:pPr>
            <w:r>
              <w:rPr>
                <w:rFonts w:ascii="Arial" w:cs="Arial" w:eastAsia="Arial" w:hAnsi="Arial"/>
                <w:sz w:val="18"/>
                <w:szCs w:val="18"/>
                <w:color w:val="auto"/>
              </w:rPr>
              <w:t>YRC Services S. de R.L. de C.V.</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USF Holland LLC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Holland International Sales Corporation</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Nova Scotia</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 Association Solutions,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 International Investments,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vMerge w:val="restart"/>
          </w:tcPr>
          <w:p>
            <w:pPr>
              <w:ind w:left="40"/>
              <w:spacing w:after="0"/>
              <w:rPr>
                <w:sz w:val="20"/>
                <w:szCs w:val="20"/>
                <w:color w:val="auto"/>
              </w:rPr>
            </w:pPr>
            <w:r>
              <w:rPr>
                <w:rFonts w:ascii="Arial" w:cs="Arial" w:eastAsia="Arial" w:hAnsi="Arial"/>
                <w:sz w:val="18"/>
                <w:szCs w:val="18"/>
                <w:color w:val="auto"/>
              </w:rPr>
              <w:t>YRC Logistics Asia Limited</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4300" w:type="dxa"/>
            <w:vAlign w:val="bottom"/>
            <w:vMerge w:val="continue"/>
          </w:tcPr>
          <w:p>
            <w:pPr>
              <w:spacing w:after="0"/>
              <w:rPr>
                <w:sz w:val="18"/>
                <w:szCs w:val="18"/>
                <w:color w:val="auto"/>
              </w:rPr>
            </w:pPr>
          </w:p>
        </w:tc>
        <w:tc>
          <w:tcPr>
            <w:tcW w:w="49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PT Meridian IQ Indonesia International</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w w:val="98"/>
              </w:rPr>
              <w:t>YRC (Shanghai) Management Consulting Co., Ltd.</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 Mortgages, LLC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 Regional Transportation,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Bestway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Dugan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Kansas</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Glen Moore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Reddaway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USF RedStar LLC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280"/>
              <w:spacing w:after="0"/>
              <w:rPr>
                <w:sz w:val="20"/>
                <w:szCs w:val="20"/>
                <w:color w:val="auto"/>
              </w:rPr>
            </w:pPr>
            <w:r>
              <w:rPr>
                <w:rFonts w:ascii="Arial" w:cs="Arial" w:eastAsia="Arial" w:hAnsi="Arial"/>
                <w:sz w:val="18"/>
                <w:szCs w:val="18"/>
                <w:color w:val="auto"/>
              </w:rPr>
              <w:t>YRC Logistics Services,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Illinois</w:t>
            </w:r>
          </w:p>
        </w:tc>
        <w:tc>
          <w:tcPr>
            <w:tcW w:w="0" w:type="dxa"/>
            <w:vAlign w:val="bottom"/>
          </w:tcPr>
          <w:p>
            <w:pPr>
              <w:spacing w:after="0"/>
              <w:rPr>
                <w:sz w:val="1"/>
                <w:szCs w:val="1"/>
                <w:color w:val="auto"/>
              </w:rPr>
            </w:pPr>
          </w:p>
        </w:tc>
      </w:tr>
      <w:tr>
        <w:trPr>
          <w:trHeight w:val="270"/>
        </w:trPr>
        <w:tc>
          <w:tcPr>
            <w:tcW w:w="4300" w:type="dxa"/>
            <w:vAlign w:val="bottom"/>
          </w:tcPr>
          <w:p>
            <w:pPr>
              <w:ind w:left="500"/>
              <w:spacing w:after="0"/>
              <w:rPr>
                <w:sz w:val="20"/>
                <w:szCs w:val="20"/>
                <w:color w:val="auto"/>
              </w:rPr>
            </w:pPr>
            <w:r>
              <w:rPr>
                <w:rFonts w:ascii="Arial" w:cs="Arial" w:eastAsia="Arial" w:hAnsi="Arial"/>
                <w:sz w:val="18"/>
                <w:szCs w:val="18"/>
                <w:color w:val="auto"/>
              </w:rPr>
              <w:t>YRC Logistics Inc.</w:t>
            </w:r>
          </w:p>
        </w:tc>
        <w:tc>
          <w:tcPr>
            <w:tcW w:w="4900" w:type="dxa"/>
            <w:vAlign w:val="bottom"/>
            <w:vMerge w:val="restart"/>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rPr>
              <w:t>Ontario</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2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 Enterprise Services, Inc.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70"/>
        </w:trPr>
        <w:tc>
          <w:tcPr>
            <w:tcW w:w="4300" w:type="dxa"/>
            <w:vAlign w:val="bottom"/>
          </w:tcPr>
          <w:p>
            <w:pPr>
              <w:ind w:left="40"/>
              <w:spacing w:after="0"/>
              <w:rPr>
                <w:sz w:val="20"/>
                <w:szCs w:val="20"/>
                <w:color w:val="auto"/>
              </w:rPr>
            </w:pPr>
            <w:r>
              <w:rPr>
                <w:rFonts w:ascii="Arial" w:cs="Arial" w:eastAsia="Arial" w:hAnsi="Arial"/>
                <w:sz w:val="18"/>
                <w:szCs w:val="18"/>
                <w:color w:val="auto"/>
              </w:rPr>
              <w:t>YRCW Receivables LLC</w:t>
            </w:r>
          </w:p>
        </w:tc>
        <w:tc>
          <w:tcPr>
            <w:tcW w:w="4900" w:type="dxa"/>
            <w:vAlign w:val="bottom"/>
          </w:tcPr>
          <w:p>
            <w:pPr>
              <w:ind w:left="3500"/>
              <w:spacing w:after="0"/>
              <w:rPr>
                <w:sz w:val="20"/>
                <w:szCs w:val="20"/>
                <w:color w:val="auto"/>
              </w:rPr>
            </w:pPr>
            <w:r>
              <w:rPr>
                <w:rFonts w:ascii="Arial" w:cs="Arial" w:eastAsia="Arial" w:hAnsi="Arial"/>
                <w:sz w:val="18"/>
                <w:szCs w:val="18"/>
                <w:color w:val="auto"/>
              </w:rPr>
              <w:t>100%</w:t>
            </w:r>
          </w:p>
        </w:tc>
        <w:tc>
          <w:tcPr>
            <w:tcW w:w="2220" w:type="dxa"/>
            <w:vAlign w:val="bottom"/>
          </w:tcPr>
          <w:p>
            <w:pPr>
              <w:ind w:left="2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0" w:hanging="72"/>
        <w:spacing w:after="0"/>
        <w:tabs>
          <w:tab w:leader="none" w:pos="80" w:val="left"/>
        </w:tabs>
        <w:numPr>
          <w:ilvl w:val="0"/>
          <w:numId w:val="54"/>
        </w:numPr>
        <w:rPr>
          <w:rFonts w:ascii="Arial" w:cs="Arial" w:eastAsia="Arial" w:hAnsi="Arial"/>
          <w:sz w:val="18"/>
          <w:szCs w:val="18"/>
          <w:color w:val="auto"/>
          <w:vertAlign w:val="superscript"/>
        </w:rPr>
      </w:pPr>
      <w:r>
        <w:rPr>
          <w:rFonts w:ascii="Arial" w:cs="Arial" w:eastAsia="Arial" w:hAnsi="Arial"/>
          <w:sz w:val="18"/>
          <w:szCs w:val="18"/>
          <w:color w:val="auto"/>
        </w:rPr>
        <w:t>YRC Transportation, S.A. de C.V. is owned 58.9% by YRC Inc. and 41.1% by Reimer Express Lines Ltd.</w:t>
      </w:r>
    </w:p>
    <w:p>
      <w:pPr>
        <w:spacing w:after="0" w:line="35" w:lineRule="exact"/>
        <w:rPr>
          <w:sz w:val="20"/>
          <w:szCs w:val="20"/>
          <w:color w:val="auto"/>
        </w:rPr>
      </w:pPr>
    </w:p>
    <w:p>
      <w:pPr>
        <w:ind w:left="80" w:hanging="72"/>
        <w:spacing w:after="0"/>
        <w:tabs>
          <w:tab w:leader="none" w:pos="80" w:val="left"/>
        </w:tabs>
        <w:numPr>
          <w:ilvl w:val="0"/>
          <w:numId w:val="55"/>
        </w:numPr>
        <w:rPr>
          <w:rFonts w:ascii="Arial" w:cs="Arial" w:eastAsia="Arial" w:hAnsi="Arial"/>
          <w:sz w:val="18"/>
          <w:szCs w:val="18"/>
          <w:color w:val="auto"/>
          <w:vertAlign w:val="superscript"/>
        </w:rPr>
      </w:pPr>
      <w:r>
        <w:rPr>
          <w:rFonts w:ascii="Arial" w:cs="Arial" w:eastAsia="Arial" w:hAnsi="Arial"/>
          <w:sz w:val="18"/>
          <w:szCs w:val="18"/>
          <w:color w:val="auto"/>
        </w:rPr>
        <w:t>Transcontinental Lease, S. de R.L. de C.V. is owned 99.99% by YRC Inc. and .01% by Roadway Express International, Inc.</w:t>
      </w:r>
    </w:p>
    <w:p>
      <w:pPr>
        <w:spacing w:after="0" w:line="22" w:lineRule="exact"/>
        <w:rPr>
          <w:rFonts w:ascii="Arial" w:cs="Arial" w:eastAsia="Arial" w:hAnsi="Arial"/>
          <w:sz w:val="18"/>
          <w:szCs w:val="18"/>
          <w:color w:val="auto"/>
          <w:vertAlign w:val="superscript"/>
        </w:rPr>
      </w:pPr>
    </w:p>
    <w:p>
      <w:pPr>
        <w:spacing w:after="0"/>
        <w:rPr>
          <w:rFonts w:ascii="Arial" w:cs="Arial" w:eastAsia="Arial" w:hAnsi="Arial"/>
          <w:sz w:val="18"/>
          <w:szCs w:val="18"/>
          <w:color w:val="auto"/>
          <w:vertAlign w:val="superscript"/>
        </w:rPr>
      </w:pPr>
      <w:r>
        <w:rPr>
          <w:rFonts w:ascii="Arial" w:cs="Arial" w:eastAsia="Arial" w:hAnsi="Arial"/>
          <w:sz w:val="18"/>
          <w:szCs w:val="18"/>
          <w:color w:val="auto"/>
          <w:vertAlign w:val="superscript"/>
        </w:rPr>
        <w:t>3</w:t>
      </w:r>
      <w:r>
        <w:rPr>
          <w:rFonts w:ascii="Arial" w:cs="Arial" w:eastAsia="Arial" w:hAnsi="Arial"/>
          <w:sz w:val="18"/>
          <w:szCs w:val="18"/>
          <w:color w:val="auto"/>
        </w:rPr>
        <w:t xml:space="preserve"> Roadway Express, S.A. de C.V. is owned 99.99% by YRC Inc. and .01% by Transcontinental Lease, S. de R.L. de C.V.</w:t>
      </w:r>
    </w:p>
    <w:p>
      <w:pPr>
        <w:sectPr>
          <w:pgSz w:w="11900" w:h="16838" w:orient="portrait"/>
          <w:cols w:equalWidth="0" w:num="1">
            <w:col w:w="11420"/>
          </w:cols>
          <w:pgMar w:left="240" w:top="580" w:right="239" w:bottom="0" w:gutter="0" w:footer="0" w:header="0"/>
        </w:sectPr>
      </w:pPr>
    </w:p>
    <w:bookmarkStart w:id="91" w:name="page92"/>
    <w:bookmarkEnd w:id="9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YRC Worldwide Inc.:</w:t>
      </w:r>
    </w:p>
    <w:p>
      <w:pPr>
        <w:spacing w:after="0" w:line="319" w:lineRule="exact"/>
        <w:rPr>
          <w:sz w:val="20"/>
          <w:szCs w:val="20"/>
          <w:color w:val="auto"/>
        </w:rPr>
      </w:pPr>
    </w:p>
    <w:p>
      <w:pPr>
        <w:ind w:right="60"/>
        <w:spacing w:after="0" w:line="218" w:lineRule="exact"/>
        <w:rPr>
          <w:sz w:val="20"/>
          <w:szCs w:val="20"/>
          <w:color w:val="auto"/>
        </w:rPr>
      </w:pPr>
      <w:r>
        <w:rPr>
          <w:rFonts w:ascii="Arial" w:cs="Arial" w:eastAsia="Arial" w:hAnsi="Arial"/>
          <w:sz w:val="18"/>
          <w:szCs w:val="18"/>
          <w:color w:val="auto"/>
        </w:rPr>
        <w:t>We consent to the incorporation by reference in the registration statements (Nos. 333</w:t>
      </w:r>
      <w:r>
        <w:rPr>
          <w:rFonts w:ascii="MS PGothic" w:cs="MS PGothic" w:eastAsia="MS PGothic" w:hAnsi="MS PGothic"/>
          <w:sz w:val="18"/>
          <w:szCs w:val="18"/>
          <w:color w:val="auto"/>
        </w:rPr>
        <w:t>‑</w:t>
      </w:r>
      <w:r>
        <w:rPr>
          <w:rFonts w:ascii="Arial" w:cs="Arial" w:eastAsia="Arial" w:hAnsi="Arial"/>
          <w:sz w:val="18"/>
          <w:szCs w:val="18"/>
          <w:color w:val="auto"/>
        </w:rPr>
        <w:t>215142 and 333-193752) on Form S-3, and (Nos. 333-121370, 333-121470, 333-124847, 333-139691, 333-144958, 333-150941, 333-159354, 333-167931, 333-168401, and 333-178223) on Form S-8 of YRC Worldwide Inc. of our reports dated February 15, 2018, with respect to the consolidated balance sheets of YRC Worldwide Inc. and subsidiaries as of December 31, 2017 and 2016, and the related statements of consolidated operations, comprehensive income (loss), shareholders’ deficit, and cash flows for each of the years in the three-year period ended December 31, 2017, and the related notes (collectively, the consolidated financial statements), and the effectiveness of internal control over financial reporting as of December 31, 2017, which reports appear in the December 31, 2017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YRC Worldwide Inc.</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2018</w:t>
      </w:r>
    </w:p>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James L. Welch, certify that:</w:t>
      </w:r>
    </w:p>
    <w:p>
      <w:pPr>
        <w:spacing w:after="0" w:line="90"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report on Form 10-K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15, 2018</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EXCHANGE ACT RULES 13A-14 AND 15D-14,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Stephanie D. Fisher, certify that:</w:t>
      </w:r>
    </w:p>
    <w:p>
      <w:pPr>
        <w:spacing w:after="0" w:line="90"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report on Form 10-K of YRC Worldwide Inc.;</w:t>
      </w:r>
    </w:p>
    <w:p>
      <w:pPr>
        <w:spacing w:after="0" w:line="90"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27" w:lineRule="exact"/>
        <w:rPr>
          <w:rFonts w:ascii="Arial" w:cs="Arial" w:eastAsia="Arial" w:hAnsi="Arial"/>
          <w:sz w:val="18"/>
          <w:szCs w:val="18"/>
          <w:color w:val="auto"/>
        </w:rPr>
      </w:pPr>
    </w:p>
    <w:p>
      <w:pPr>
        <w:ind w:left="1140" w:right="2300" w:hanging="443"/>
        <w:spacing w:after="0" w:line="259"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8"/>
          <w:szCs w:val="18"/>
          <w:color w:val="auto"/>
        </w:rPr>
      </w:pPr>
    </w:p>
    <w:p>
      <w:pPr>
        <w:ind w:left="1140" w:right="2280" w:hanging="443"/>
        <w:spacing w:after="0" w:line="259"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Arial" w:cs="Arial" w:eastAsia="Arial" w:hAnsi="Arial"/>
          <w:sz w:val="18"/>
          <w:szCs w:val="18"/>
          <w:color w:val="auto"/>
        </w:rPr>
      </w:pPr>
    </w:p>
    <w:p>
      <w:pPr>
        <w:jc w:val="both"/>
        <w:ind w:left="1140" w:right="2460" w:hanging="443"/>
        <w:spacing w:after="0" w:line="264"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140" w:right="2400" w:hanging="443"/>
        <w:spacing w:after="0" w:line="258"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2240" w:hanging="443"/>
        <w:spacing w:after="0" w:line="264"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1140" w:right="2360" w:hanging="443"/>
        <w:spacing w:after="0" w:line="277"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15, 2018</w:t>
      </w:r>
      <w:r>
        <w:rPr>
          <w:sz w:val="20"/>
          <w:szCs w:val="20"/>
          <w:color w:val="auto"/>
        </w:rPr>
        <w:tab/>
      </w:r>
      <w:r>
        <w:rPr>
          <w:rFonts w:ascii="Arial" w:cs="Arial" w:eastAsia="Arial" w:hAnsi="Arial"/>
          <w:sz w:val="16"/>
          <w:szCs w:val="16"/>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Stephanie D. Fisher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YRC Worldwide Inc. on Form 10-K for the year ended December 31, 2017, as filed with the Securities and Exchange Commission on the date hereof (the “Report”), I, James L. Welch, Chief Executive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15, 2018</w:t>
      </w:r>
      <w:r>
        <w:rPr>
          <w:sz w:val="20"/>
          <w:szCs w:val="20"/>
          <w:color w:val="auto"/>
        </w:rPr>
        <w:tab/>
      </w:r>
      <w:r>
        <w:rPr>
          <w:rFonts w:ascii="Arial" w:cs="Arial" w:eastAsia="Arial" w:hAnsi="Arial"/>
          <w:sz w:val="16"/>
          <w:szCs w:val="16"/>
          <w:color w:val="auto"/>
        </w:rPr>
        <w:t>/s/ James L.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James L. Welch</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YRC Worldwide Inc. on Form 10-K for the year ended December 31, 2017, as filed with the Securities and Exchange Commission on the date hereof (the “Report”), I, Stephanie D. Fisher, Chief Financial Officer of YRC Worldwide Inc., certify, pursuant to 18 U.S.C. Section 1350, as adopted pursuant to Section 906 of the Sarbanes-Oxley Act of 2002, that:</w:t>
      </w:r>
    </w:p>
    <w:p>
      <w:pPr>
        <w:spacing w:after="0" w:line="46"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YRC Worldwide Inc.</w:t>
      </w:r>
    </w:p>
    <w:p>
      <w:pPr>
        <w:spacing w:after="0" w:line="19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February 15, 2018</w:t>
      </w:r>
      <w:r>
        <w:rPr>
          <w:sz w:val="20"/>
          <w:szCs w:val="20"/>
          <w:color w:val="auto"/>
        </w:rPr>
        <w:tab/>
      </w:r>
      <w:r>
        <w:rPr>
          <w:rFonts w:ascii="Arial" w:cs="Arial" w:eastAsia="Arial" w:hAnsi="Arial"/>
          <w:sz w:val="16"/>
          <w:szCs w:val="16"/>
          <w:color w:val="auto"/>
        </w:rPr>
        <w:t>/s/ Stephanie D.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Stephanie D. Fisher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o"/>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1)"/>
      <w:numFmt w:val="lowerLetter"/>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lowerLetter"/>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1)"/>
      <w:numFmt w:val="lowerLetter"/>
      <w:start w:val="1"/>
    </w:lvl>
  </w:abstractNum>
  <w:abstractNum w:abstractNumId="22">
    <w:nsid w:val="153EA438"/>
    <w:multiLevelType w:val="hybridMultilevel"/>
    <w:lvl w:ilvl="0">
      <w:lvlJc w:val="left"/>
      <w:lvlText w:val="(%1)"/>
      <w:numFmt w:val="lowerLetter"/>
      <w:start w:val="1"/>
    </w:lvl>
  </w:abstractNum>
  <w:abstractNum w:abstractNumId="23">
    <w:nsid w:val="3855585C"/>
    <w:multiLevelType w:val="hybridMultilevel"/>
    <w:lvl w:ilvl="0">
      <w:lvlJc w:val="left"/>
      <w:lvlText w:val="(%1)"/>
      <w:numFmt w:val="lowerLetter"/>
      <w:start w:val="1"/>
    </w:lvl>
  </w:abstractNum>
  <w:abstractNum w:abstractNumId="24">
    <w:nsid w:val="70A64E2A"/>
    <w:multiLevelType w:val="hybridMultilevel"/>
    <w:lvl w:ilvl="0">
      <w:lvlJc w:val="left"/>
      <w:lvlText w:val="(%1)"/>
      <w:numFmt w:val="lowerLetter"/>
      <w:start w:val="1"/>
    </w:lvl>
  </w:abstractNum>
  <w:abstractNum w:abstractNumId="25">
    <w:nsid w:val="6A2342EC"/>
    <w:multiLevelType w:val="hybridMultilevel"/>
    <w:lvl w:ilvl="0">
      <w:lvlJc w:val="left"/>
      <w:lvlText w:val="(%1)"/>
      <w:numFmt w:val="lowerLetter"/>
      <w:start w:val="1"/>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1)"/>
      <w:numFmt w:val="lowerLetter"/>
      <w:start w:val="1"/>
    </w:lvl>
  </w:abstractNum>
  <w:abstractNum w:abstractNumId="28">
    <w:nsid w:val="725A06FB"/>
    <w:multiLevelType w:val="hybridMultilevel"/>
    <w:lvl w:ilvl="0">
      <w:lvlJc w:val="left"/>
      <w:lvlText w:val="(%1)"/>
      <w:numFmt w:val="lowerLetter"/>
      <w:start w:val="1"/>
    </w:lvl>
  </w:abstractNum>
  <w:abstractNum w:abstractNumId="29">
    <w:nsid w:val="2CD89A32"/>
    <w:multiLevelType w:val="hybridMultilevel"/>
    <w:lvl w:ilvl="0">
      <w:lvlJc w:val="left"/>
      <w:lvlText w:val="(%1)"/>
      <w:numFmt w:val="lowerLetter"/>
      <w:start w:val="1"/>
    </w:lvl>
  </w:abstractNum>
  <w:abstractNum w:abstractNumId="30">
    <w:nsid w:val="57E4CCAF"/>
    <w:multiLevelType w:val="hybridMultilevel"/>
    <w:lvl w:ilvl="0">
      <w:lvlJc w:val="left"/>
      <w:lvlText w:val="(%1)"/>
      <w:numFmt w:val="lowerLetter"/>
      <w:start w:val="1"/>
    </w:lvl>
  </w:abstractNum>
  <w:abstractNum w:abstractNumId="31">
    <w:nsid w:val="7A6D8D3C"/>
    <w:multiLevelType w:val="hybridMultilevel"/>
    <w:lvl w:ilvl="0">
      <w:lvlJc w:val="left"/>
      <w:lvlText w:val="(%1)"/>
      <w:numFmt w:val="lowerLetter"/>
      <w:start w:val="1"/>
    </w:lvl>
  </w:abstractNum>
  <w:abstractNum w:abstractNumId="32">
    <w:nsid w:val="4B588F54"/>
    <w:multiLevelType w:val="hybridMultilevel"/>
    <w:lvl w:ilvl="0">
      <w:lvlJc w:val="left"/>
      <w:lvlText w:val="(%1)"/>
      <w:numFmt w:val="lowerLetter"/>
      <w:start w:val="1"/>
    </w:lvl>
  </w:abstractNum>
  <w:abstractNum w:abstractNumId="33">
    <w:nsid w:val="542289EC"/>
    <w:multiLevelType w:val="hybridMultilevel"/>
    <w:lvl w:ilvl="0">
      <w:lvlJc w:val="left"/>
      <w:lvlText w:val="%1."/>
      <w:numFmt w:val="decimal"/>
      <w:start w:val="65"/>
    </w:lvl>
  </w:abstractNum>
  <w:abstractNum w:abstractNumId="34">
    <w:nsid w:val="6DE91B18"/>
    <w:multiLevelType w:val="hybridMultilevel"/>
    <w:lvl w:ilvl="0">
      <w:lvlJc w:val="left"/>
      <w:lvlText w:val="(%1)"/>
      <w:numFmt w:val="lowerLetter"/>
      <w:start w:val="1"/>
    </w:lvl>
  </w:abstractNum>
  <w:abstractNum w:abstractNumId="35">
    <w:nsid w:val="38437FDB"/>
    <w:multiLevelType w:val="hybridMultilevel"/>
    <w:lvl w:ilvl="0">
      <w:lvlJc w:val="left"/>
      <w:lvlText w:val="(%1)"/>
      <w:numFmt w:val="lowerLetter"/>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1."/>
      <w:numFmt w:val="decimal"/>
      <w:start w:val="1"/>
    </w:lvl>
    <w:lvl w:ilvl="1">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1)"/>
      <w:numFmt w:val="lowerLetter"/>
      <w:start w:val="1"/>
    </w:lvl>
  </w:abstractNum>
  <w:abstractNum w:abstractNumId="40">
    <w:nsid w:val="749ABB43"/>
    <w:multiLevelType w:val="hybridMultilevel"/>
    <w:lvl w:ilvl="0">
      <w:lvlJc w:val="left"/>
      <w:lvlText w:val="(%1)"/>
      <w:numFmt w:val="lowerLetter"/>
      <w:start w:val="1"/>
    </w:lvl>
  </w:abstractNum>
  <w:abstractNum w:abstractNumId="41">
    <w:nsid w:val="3DC240FB"/>
    <w:multiLevelType w:val="hybridMultilevel"/>
    <w:lvl w:ilvl="0">
      <w:lvlJc w:val="left"/>
      <w:lvlText w:val="(%1)"/>
      <w:numFmt w:val="lowerLetter"/>
      <w:start w:val="1"/>
    </w:lvl>
  </w:abstractNum>
  <w:abstractNum w:abstractNumId="42">
    <w:nsid w:val="1BA026FA"/>
    <w:multiLevelType w:val="hybridMultilevel"/>
    <w:lvl w:ilvl="0">
      <w:lvlJc w:val="left"/>
      <w:lvlText w:val="(%1)"/>
      <w:numFmt w:val="lowerLetter"/>
      <w:start w:val="1"/>
    </w:lvl>
  </w:abstractNum>
  <w:abstractNum w:abstractNumId="43">
    <w:nsid w:val="79A1DEAA"/>
    <w:multiLevelType w:val="hybridMultilevel"/>
    <w:lvl w:ilvl="0">
      <w:lvlJc w:val="left"/>
      <w:lvlText w:val="(%1)"/>
      <w:numFmt w:val="lowerLetter"/>
      <w:start w:val="1"/>
    </w:lvl>
  </w:abstractNum>
  <w:abstractNum w:abstractNumId="44">
    <w:nsid w:val="75C6C33A"/>
    <w:multiLevelType w:val="hybridMultilevel"/>
    <w:lvl w:ilvl="0">
      <w:lvlJc w:val="left"/>
      <w:lvlText w:val="(%1)"/>
      <w:numFmt w:val="lowerLetter"/>
      <w:start w:val="1"/>
    </w:lvl>
  </w:abstractNum>
  <w:abstractNum w:abstractNumId="45">
    <w:nsid w:val="12E685FB"/>
    <w:multiLevelType w:val="hybridMultilevel"/>
    <w:lvl w:ilvl="0">
      <w:lvlJc w:val="left"/>
      <w:lvlText w:val="(%1)"/>
      <w:numFmt w:val="lowerLetter"/>
      <w:start w:val="3"/>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lowerLetter"/>
      <w:start w:val="1"/>
    </w:lvl>
  </w:abstractNum>
  <w:abstractNum w:abstractNumId="48">
    <w:nsid w:val="374A3FE6"/>
    <w:multiLevelType w:val="hybridMultilevel"/>
    <w:lvl w:ilvl="0">
      <w:lvlJc w:val="left"/>
      <w:lvlText w:val="(%1)"/>
      <w:numFmt w:val="lowerLetter"/>
      <w:start w:val="1"/>
    </w:lvl>
  </w:abstractNum>
  <w:abstractNum w:abstractNumId="49">
    <w:nsid w:val="4F4EF005"/>
    <w:multiLevelType w:val="hybridMultilevel"/>
    <w:lvl w:ilvl="0">
      <w:lvlJc w:val="left"/>
      <w:lvlText w:val="(%1)"/>
      <w:numFmt w:val="lowerLetter"/>
      <w:start w:val="1"/>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1"/>
      <w:numFmt w:val="bullet"/>
      <w:start w:val="1"/>
    </w:lvl>
  </w:abstractNum>
  <w:abstractNum w:abstractNumId="54">
    <w:nsid w:val="1CF10FD8"/>
    <w:multiLevelType w:val="hybridMultilevel"/>
    <w:lvl w:ilvl="0">
      <w:lvlJc w:val="left"/>
      <w:lvlText w:val="2"/>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101" Type="http://schemas.openxmlformats.org/officeDocument/2006/relationships/image" Target="media/image48.png"/><Relationship Id="rId102" Type="http://schemas.openxmlformats.org/officeDocument/2006/relationships/image" Target="media/image49.png"/><Relationship Id="rId103" Type="http://schemas.openxmlformats.org/officeDocument/2006/relationships/image" Target="media/image50.png"/><Relationship Id="rId104" Type="http://schemas.openxmlformats.org/officeDocument/2006/relationships/image" Target="media/image51.png"/><Relationship Id="rId55" Type="http://schemas.openxmlformats.org/officeDocument/2006/relationships/hyperlink" Target="http://www.sec.gov/Archives/edgar/data/716006/000119312511250227/d233184dex31.htm" TargetMode="External"/><Relationship Id="rId56" Type="http://schemas.openxmlformats.org/officeDocument/2006/relationships/hyperlink" Target="http://www.sec.gov/Archives/edgar/data/716006/000119312511327484/d263760dex31.htm" TargetMode="External"/><Relationship Id="rId57" Type="http://schemas.openxmlformats.org/officeDocument/2006/relationships/hyperlink" Target="http://www.sec.gov/Archives/edgar/data/716006/000119312511327484/d263760dex32.htm" TargetMode="External"/><Relationship Id="rId58" Type="http://schemas.openxmlformats.org/officeDocument/2006/relationships/hyperlink" Target="http://www.sec.gov/Archives/edgar/data/716006/000119312511196217/dex31.htm" TargetMode="External"/><Relationship Id="rId59" Type="http://schemas.openxmlformats.org/officeDocument/2006/relationships/hyperlink" Target="http://www.sec.gov/Archives/edgar/data/716006/000119312511196217/dex32.htm" TargetMode="External"/><Relationship Id="rId60" Type="http://schemas.openxmlformats.org/officeDocument/2006/relationships/hyperlink" Target="http://www.sec.gov/Archives/edgar/data/716006/000119312511250227/d233184dex32.htm" TargetMode="External"/><Relationship Id="rId61" Type="http://schemas.openxmlformats.org/officeDocument/2006/relationships/hyperlink" Target="http://www.sec.gov/Archives/edgar/data/716006/000119312508025469/dex101.htm" TargetMode="External"/><Relationship Id="rId62" Type="http://schemas.openxmlformats.org/officeDocument/2006/relationships/hyperlink" Target="http://www.sec.gov/Archives/edgar/data/716006/000119312509148794/dex101.htm" TargetMode="External"/><Relationship Id="rId63" Type="http://schemas.openxmlformats.org/officeDocument/2006/relationships/hyperlink" Target="http://www.sec.gov/Archives/edgar/data/716006/000119312510219854/dex101.htm" TargetMode="External"/><Relationship Id="rId64" Type="http://schemas.openxmlformats.org/officeDocument/2006/relationships/hyperlink" Target="http://www.sec.gov/Archives/edgar/data/716006/000119312511066014/dex1034.htm" TargetMode="External"/><Relationship Id="rId65" Type="http://schemas.openxmlformats.org/officeDocument/2006/relationships/hyperlink" Target="http://www.sec.gov/Archives/edgar/data/716006/000119312514043473/d672613dex101.htm" TargetMode="External"/><Relationship Id="rId66" Type="http://schemas.openxmlformats.org/officeDocument/2006/relationships/hyperlink" Target="http://www.sec.gov/Archives/edgar/data/716006/000119312511213409/dex106.htm" TargetMode="External"/><Relationship Id="rId67" Type="http://schemas.openxmlformats.org/officeDocument/2006/relationships/hyperlink" Target="http://www.sec.gov/Archives/edgar/data/716006/000119312512083494/d273159dex1082.htm" TargetMode="External"/><Relationship Id="rId68" Type="http://schemas.openxmlformats.org/officeDocument/2006/relationships/hyperlink" Target="http://www.sec.gov/Archives/edgar/data/716006/000119312514031213/d667949dex101.htm" TargetMode="External"/><Relationship Id="rId69" Type="http://schemas.openxmlformats.org/officeDocument/2006/relationships/hyperlink" Target="http://www.sec.gov/Archives/edgar/data/716006/000119312514031213/d667949dex102.htm" TargetMode="External"/><Relationship Id="rId70" Type="http://schemas.openxmlformats.org/officeDocument/2006/relationships/hyperlink" Target="http://www.sec.gov/Archives/edgar/data/716006/000119312518026584/d520490dex101.htm" TargetMode="External"/><Relationship Id="rId71" Type="http://schemas.openxmlformats.org/officeDocument/2006/relationships/hyperlink" Target="http://www.sec.gov/Archives/edgar/data/716006/000071600614000006/yrcw-20131231xex1010.htm" TargetMode="External"/><Relationship Id="rId72" Type="http://schemas.openxmlformats.org/officeDocument/2006/relationships/hyperlink" Target="http://www.sec.gov/Archives/edgar/data/716006/000119312514353102/d794212dex101.htm" TargetMode="External"/><Relationship Id="rId73" Type="http://schemas.openxmlformats.org/officeDocument/2006/relationships/hyperlink" Target="http://www.sec.gov/Archives/edgar/data/716006/000119312515329162/d79434dex101.htm" TargetMode="External"/><Relationship Id="rId74" Type="http://schemas.openxmlformats.org/officeDocument/2006/relationships/hyperlink" Target="http://www.sec.gov/Archives/edgar/data/716006/000119312517025679/d329376dex101.htm" TargetMode="External"/><Relationship Id="rId75" Type="http://schemas.openxmlformats.org/officeDocument/2006/relationships/hyperlink" Target="http://www.sec.gov/Archives/edgar/data/716006/000119312517236543/d428601dex101.htm" TargetMode="External"/><Relationship Id="rId76" Type="http://schemas.openxmlformats.org/officeDocument/2006/relationships/hyperlink" Target="http://www.sec.gov/Archives/edgar/data/716006/000119312515329162/d79434dex102.htm" TargetMode="External"/><Relationship Id="rId77" Type="http://schemas.openxmlformats.org/officeDocument/2006/relationships/hyperlink" Target="http://www.sec.gov/Archives/edgar/data/716006/000119312518026584/d520490dex102.htm" TargetMode="External"/><Relationship Id="rId78" Type="http://schemas.openxmlformats.org/officeDocument/2006/relationships/hyperlink" Target="http://www.sec.gov/Archives/edgar/data/716006/000071600615000043/yrcw-2015630xex101.htm" TargetMode="External"/><Relationship Id="rId79" Type="http://schemas.openxmlformats.org/officeDocument/2006/relationships/hyperlink" Target="http://www.sec.gov/Archives/edgar/data/716006/000071600615000043/yrcw-2015630xex102.htm" TargetMode="External"/><Relationship Id="rId80" Type="http://schemas.openxmlformats.org/officeDocument/2006/relationships/hyperlink" Target="http://www.sec.gov/Archives/edgar/data/716006/000119312507055710/dex105.htm" TargetMode="External"/><Relationship Id="rId81" Type="http://schemas.openxmlformats.org/officeDocument/2006/relationships/hyperlink" Target="http://www.sec.gov/Archives/edgar/data/716006/000119312511325682/d262328dex991.htm" TargetMode="External"/><Relationship Id="rId82" Type="http://schemas.openxmlformats.org/officeDocument/2006/relationships/hyperlink" Target="http://www.sec.gov/Archives/edgar/data/716006/000071600614000009/amendedandrestatedincentiv.htm" TargetMode="External"/><Relationship Id="rId83" Type="http://schemas.openxmlformats.org/officeDocument/2006/relationships/hyperlink" Target="http://www.sec.gov/Archives/edgar/data/716006/000119312506152735/dex101.htm" TargetMode="External"/><Relationship Id="rId84" Type="http://schemas.openxmlformats.org/officeDocument/2006/relationships/hyperlink" Target="http://www.sec.gov/Archives/edgar/data/716006/000119312508148085/dex103.htm" TargetMode="External"/><Relationship Id="rId85" Type="http://schemas.openxmlformats.org/officeDocument/2006/relationships/hyperlink" Target="http://www.sec.gov/Archives/edgar/data/716006/000119312512083494/d273159dex10303.htm" TargetMode="External"/><Relationship Id="rId86" Type="http://schemas.openxmlformats.org/officeDocument/2006/relationships/hyperlink" Target="http://www.sec.gov/Archives/edgar/data/716006/000095013704001846/c83426exv10w27.txt" TargetMode="External"/><Relationship Id="rId87" Type="http://schemas.openxmlformats.org/officeDocument/2006/relationships/hyperlink" Target="http://www.sec.gov/Archives/edgar/data/716006/000119312505221269/dex102.htm" TargetMode="External"/><Relationship Id="rId88" Type="http://schemas.openxmlformats.org/officeDocument/2006/relationships/hyperlink" Target="http://www.sec.gov/Archives/edgar/data/716006/000119312511066014/dex10283.htm" TargetMode="External"/><Relationship Id="rId89" Type="http://schemas.openxmlformats.org/officeDocument/2006/relationships/hyperlink" Target="http://www.sec.gov/Archives/edgar/data/716006/000119312508148085/dex102.htm" TargetMode="External"/><Relationship Id="rId90" Type="http://schemas.openxmlformats.org/officeDocument/2006/relationships/hyperlink" Target="http://www.sec.gov/Archives/edgar/data/716006/000119312509042369/dex10225.htm" TargetMode="External"/><Relationship Id="rId91" Type="http://schemas.openxmlformats.org/officeDocument/2006/relationships/hyperlink" Target="http://www.sec.gov/Archives/edgar/data/716006/000119312510058523/dex10286.htm" TargetMode="External"/><Relationship Id="rId92" Type="http://schemas.openxmlformats.org/officeDocument/2006/relationships/hyperlink" Target="http://www.sec.gov/Archives/edgar/data/716006/000119312510182535/dex107.htm" TargetMode="External"/><Relationship Id="rId93" Type="http://schemas.openxmlformats.org/officeDocument/2006/relationships/hyperlink" Target="http://www.sec.gov/Archives/edgar/data/716006/000119312509001866/dex103.htm" TargetMode="External"/><Relationship Id="rId94" Type="http://schemas.openxmlformats.org/officeDocument/2006/relationships/hyperlink" Target="http://www.sec.gov/Archives/edgar/data/716006/000119312509042369/dex1025.htm" TargetMode="External"/><Relationship Id="rId95" Type="http://schemas.openxmlformats.org/officeDocument/2006/relationships/hyperlink" Target="http://www.sec.gov/Archives/edgar/data/716006/000119312510049038/dex101.htm" TargetMode="External"/><Relationship Id="rId96" Type="http://schemas.openxmlformats.org/officeDocument/2006/relationships/hyperlink" Target="http://www.sec.gov/Archives/edgar/data/716006/000119312511213409/dex1016.htm" TargetMode="External"/><Relationship Id="rId97" Type="http://schemas.openxmlformats.org/officeDocument/2006/relationships/hyperlink" Target="http://www.sec.gov/Archives/edgar/data/716006/000071600612000013/yrcw-2012930xex101.htm" TargetMode="External"/><Relationship Id="rId98" Type="http://schemas.openxmlformats.org/officeDocument/2006/relationships/hyperlink" Target="http://www.sec.gov/Archives/edgar/data/716006/000119312515000709/d844521dex101.htm" TargetMode="External"/><Relationship Id="rId99" Type="http://schemas.openxmlformats.org/officeDocument/2006/relationships/hyperlink" Target="http://www.sec.gov/Archives/edgar/data/716006/000119312515000709/d844521dex103.htm" TargetMode="External"/><Relationship Id="rId100" Type="http://schemas.openxmlformats.org/officeDocument/2006/relationships/hyperlink" Target="http://www.sec.gov/Archives/edgar/data/716006/000119312517001800/d32301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2019-12-29T01:10:57Z</dcterms:created>
  <dcterms:modified xsi:type="dcterms:W3CDTF">2019-12-29T01:10:57Z</dcterms:modified>
</cp:coreProperties>
</file>