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66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66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hanging="345"/>
        <w:spacing w:after="0"/>
        <w:tabs>
          <w:tab w:leader="none" w:pos="3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6"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r>
      <w:tr>
        <w:trPr>
          <w:trHeight w:val="318"/>
        </w:trPr>
        <w:tc>
          <w:tcPr>
            <w:tcW w:w="3460" w:type="dxa"/>
            <w:vAlign w:val="bottom"/>
            <w:gridSpan w:val="3"/>
          </w:tcPr>
          <w:p>
            <w:pPr>
              <w:ind w:left="860"/>
              <w:spacing w:after="0"/>
              <w:rPr>
                <w:sz w:val="20"/>
                <w:szCs w:val="20"/>
                <w:color w:val="auto"/>
              </w:rPr>
            </w:pPr>
            <w:r>
              <w:rPr>
                <w:rFonts w:ascii="Arial" w:cs="Arial" w:eastAsia="Arial" w:hAnsi="Arial"/>
                <w:sz w:val="18"/>
                <w:szCs w:val="18"/>
                <w:b w:val="1"/>
                <w:bCs w:val="1"/>
                <w:color w:val="auto"/>
                <w:w w:val="89"/>
              </w:rPr>
              <w:t>Commission file number: 0-12255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4457700</wp:posOffset>
            </wp:positionH>
            <wp:positionV relativeFrom="paragraph">
              <wp:posOffset>-213995</wp:posOffset>
            </wp:positionV>
            <wp:extent cx="542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66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860" w:type="dxa"/>
            <w:vAlign w:val="bottom"/>
          </w:tcPr>
          <w:p>
            <w:pPr>
              <w:jc w:val="center"/>
              <w:ind w:right="358"/>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gridSpan w:val="3"/>
          </w:tcPr>
          <w:p>
            <w:pPr>
              <w:jc w:val="right"/>
              <w:ind w:right="124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2"/>
              </w:rPr>
              <w:t>(State or other jurisdiction of</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Pr>
          <w:p>
            <w:pPr>
              <w:jc w:val="center"/>
              <w:ind w:left="761"/>
              <w:spacing w:after="0"/>
              <w:rPr>
                <w:sz w:val="20"/>
                <w:szCs w:val="20"/>
                <w:color w:val="auto"/>
              </w:rPr>
            </w:pPr>
            <w:r>
              <w:rPr>
                <w:rFonts w:ascii="Arial" w:cs="Arial" w:eastAsia="Arial" w:hAnsi="Arial"/>
                <w:sz w:val="14"/>
                <w:szCs w:val="14"/>
                <w:b w:val="1"/>
                <w:bCs w:val="1"/>
                <w:color w:val="auto"/>
                <w:w w:val="96"/>
              </w:rPr>
              <w:t>(I.R.S. Employer</w:t>
            </w:r>
          </w:p>
        </w:tc>
      </w:tr>
      <w:tr>
        <w:trPr>
          <w:trHeight w:val="270"/>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3"/>
              </w:rPr>
              <w:t>incorporation or organization)</w:t>
            </w: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20" w:type="dxa"/>
            <w:vAlign w:val="bottom"/>
          </w:tcPr>
          <w:p>
            <w:pPr>
              <w:jc w:val="center"/>
              <w:ind w:left="7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3860" w:type="dxa"/>
            <w:vAlign w:val="bottom"/>
          </w:tcPr>
          <w:p>
            <w:pPr>
              <w:jc w:val="center"/>
              <w:ind w:right="358"/>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5360" w:type="dxa"/>
            <w:vAlign w:val="bottom"/>
            <w:gridSpan w:val="3"/>
          </w:tcPr>
          <w:p>
            <w:pPr>
              <w:jc w:val="right"/>
              <w:ind w:right="1441"/>
              <w:spacing w:after="0"/>
              <w:rPr>
                <w:sz w:val="20"/>
                <w:szCs w:val="20"/>
                <w:color w:val="auto"/>
              </w:rPr>
            </w:pPr>
            <w:r>
              <w:rPr>
                <w:rFonts w:ascii="Arial" w:cs="Arial" w:eastAsia="Arial" w:hAnsi="Arial"/>
                <w:sz w:val="18"/>
                <w:szCs w:val="18"/>
                <w:b w:val="1"/>
                <w:bCs w:val="1"/>
                <w:color w:val="auto"/>
              </w:rPr>
              <w:t>66211</w:t>
            </w:r>
          </w:p>
        </w:tc>
      </w:tr>
      <w:tr>
        <w:trPr>
          <w:trHeight w:val="218"/>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Pr>
          <w:p>
            <w:pPr>
              <w:jc w:val="center"/>
              <w:ind w:left="7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860" w:type="dxa"/>
            <w:vAlign w:val="bottom"/>
          </w:tcPr>
          <w:p>
            <w:pPr>
              <w:spacing w:after="0"/>
              <w:rPr>
                <w:sz w:val="23"/>
                <w:szCs w:val="23"/>
                <w:color w:val="auto"/>
              </w:rPr>
            </w:pPr>
          </w:p>
        </w:tc>
        <w:tc>
          <w:tcPr>
            <w:tcW w:w="5360" w:type="dxa"/>
            <w:vAlign w:val="bottom"/>
            <w:gridSpan w:val="3"/>
          </w:tcPr>
          <w:p>
            <w:pPr>
              <w:jc w:val="center"/>
              <w:ind w:right="3761"/>
              <w:spacing w:after="0"/>
              <w:rPr>
                <w:sz w:val="20"/>
                <w:szCs w:val="20"/>
                <w:color w:val="auto"/>
              </w:rPr>
            </w:pPr>
            <w:r>
              <w:rPr>
                <w:rFonts w:ascii="Arial" w:cs="Arial" w:eastAsia="Arial" w:hAnsi="Arial"/>
                <w:sz w:val="18"/>
                <w:szCs w:val="18"/>
                <w:b w:val="1"/>
                <w:bCs w:val="1"/>
                <w:color w:val="auto"/>
                <w:w w:val="90"/>
              </w:rPr>
              <w:t>(913) 696-6100</w:t>
            </w:r>
          </w:p>
        </w:tc>
      </w:tr>
      <w:tr>
        <w:trPr>
          <w:trHeight w:val="186"/>
        </w:trPr>
        <w:tc>
          <w:tcPr>
            <w:tcW w:w="9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77"/>
        </w:trPr>
        <w:tc>
          <w:tcPr>
            <w:tcW w:w="9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78"/>
        </w:trPr>
        <w:tc>
          <w:tcPr>
            <w:tcW w:w="3860" w:type="dxa"/>
            <w:vAlign w:val="bottom"/>
          </w:tcPr>
          <w:p>
            <w:pPr>
              <w:jc w:val="center"/>
              <w:ind w:left="398"/>
              <w:spacing w:after="0"/>
              <w:rPr>
                <w:sz w:val="20"/>
                <w:szCs w:val="20"/>
                <w:color w:val="auto"/>
              </w:rPr>
            </w:pPr>
            <w:r>
              <w:rPr>
                <w:rFonts w:ascii="Arial" w:cs="Arial" w:eastAsia="Arial" w:hAnsi="Arial"/>
                <w:sz w:val="18"/>
                <w:szCs w:val="18"/>
                <w:color w:val="auto"/>
                <w:w w:val="90"/>
              </w:rPr>
              <w:t>Title of each class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jc w:val="center"/>
              <w:ind w:left="378"/>
              <w:spacing w:after="0"/>
              <w:rPr>
                <w:sz w:val="20"/>
                <w:szCs w:val="20"/>
                <w:color w:val="auto"/>
              </w:rPr>
            </w:pPr>
            <w:r>
              <w:rPr>
                <w:rFonts w:ascii="Arial" w:cs="Arial" w:eastAsia="Arial" w:hAnsi="Arial"/>
                <w:sz w:val="18"/>
                <w:szCs w:val="18"/>
                <w:color w:val="auto"/>
                <w:w w:val="89"/>
              </w:rPr>
              <w:t>Common Stock, $0.01 par value per share</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-130175</wp:posOffset>
            </wp:positionV>
            <wp:extent cx="1766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 w:lineRule="exact"/>
        <w:rPr>
          <w:sz w:val="24"/>
          <w:szCs w:val="24"/>
          <w:color w:val="auto"/>
        </w:rPr>
      </w:pPr>
    </w:p>
    <w:p>
      <w:pPr>
        <w:ind w:left="660"/>
        <w:spacing w:after="0" w:line="207" w:lineRule="exact"/>
        <w:tabs>
          <w:tab w:leader="none" w:pos="1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line="196" w:lineRule="exact"/>
        <w:tabs>
          <w:tab w:leader="none" w:pos="944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15(d) of the Exchange Act. Yes o</w:t>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ectPr>
          <w:pgSz w:w="11900" w:h="16838" w:orient="portrait"/>
          <w:cols w:equalWidth="0" w:num="1">
            <w:col w:w="11420"/>
          </w:cols>
          <w:pgMar w:left="240" w:top="220" w:right="239"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referenced in Part III of this Form 10-K or any amendment to this Form 10-K. 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0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ind w:left="800"/>
              <w:spacing w:after="0"/>
              <w:rPr>
                <w:sz w:val="20"/>
                <w:szCs w:val="20"/>
                <w:color w:val="auto"/>
              </w:rPr>
            </w:pPr>
            <w:r>
              <w:rPr>
                <w:rFonts w:ascii="Arial" w:cs="Arial" w:eastAsia="Arial" w:hAnsi="Arial"/>
                <w:sz w:val="18"/>
                <w:szCs w:val="18"/>
                <w:color w:val="auto"/>
              </w:rPr>
              <w:t>o</w:t>
            </w:r>
          </w:p>
        </w:tc>
        <w:tc>
          <w:tcPr>
            <w:tcW w:w="3960" w:type="dxa"/>
            <w:vAlign w:val="bottom"/>
          </w:tcPr>
          <w:p>
            <w:pPr>
              <w:spacing w:after="0"/>
              <w:rPr>
                <w:sz w:val="24"/>
                <w:szCs w:val="24"/>
                <w:color w:val="auto"/>
              </w:rPr>
            </w:pPr>
          </w:p>
        </w:tc>
        <w:tc>
          <w:tcPr>
            <w:tcW w:w="3160" w:type="dxa"/>
            <w:vAlign w:val="bottom"/>
            <w:vMerge w:val="restart"/>
          </w:tcPr>
          <w:p>
            <w:pPr>
              <w:ind w:left="58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1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ind w:left="800"/>
              <w:spacing w:after="0"/>
              <w:rPr>
                <w:sz w:val="20"/>
                <w:szCs w:val="20"/>
                <w:color w:val="auto"/>
              </w:rPr>
            </w:pPr>
            <w:r>
              <w:rPr>
                <w:rFonts w:ascii="Arial" w:cs="Arial" w:eastAsia="Arial" w:hAnsi="Arial"/>
                <w:sz w:val="18"/>
                <w:szCs w:val="18"/>
                <w:color w:val="auto"/>
              </w:rPr>
              <w:t>o</w:t>
            </w:r>
          </w:p>
        </w:tc>
        <w:tc>
          <w:tcPr>
            <w:tcW w:w="396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16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1300"/>
        <w:spacing w:after="0" w:line="207" w:lineRule="exact"/>
        <w:tabs>
          <w:tab w:leader="none" w:pos="19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2015, the aggregate market value of the registrant’s common stock held by non-affiliates of the registrant was $414.6 million based on the closing price as reported on the NASDAQ Global Select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940" w:type="dxa"/>
            <w:vAlign w:val="bottom"/>
            <w:gridSpan w:val="2"/>
          </w:tcPr>
          <w:p>
            <w:pPr>
              <w:jc w:val="center"/>
              <w:ind w:right="4640"/>
              <w:spacing w:after="0"/>
              <w:rPr>
                <w:sz w:val="20"/>
                <w:szCs w:val="20"/>
                <w:color w:val="auto"/>
              </w:rPr>
            </w:pPr>
            <w:r>
              <w:rPr>
                <w:rFonts w:ascii="Arial" w:cs="Arial" w:eastAsia="Arial" w:hAnsi="Arial"/>
                <w:sz w:val="14"/>
                <w:szCs w:val="14"/>
                <w:color w:val="auto"/>
                <w:w w:val="85"/>
              </w:rPr>
              <w:t>Class</w:t>
            </w: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Outstanding at February 12, 2016</w:t>
            </w:r>
          </w:p>
        </w:tc>
      </w:tr>
      <w:tr>
        <w:trPr>
          <w:trHeight w:val="20"/>
        </w:trPr>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264"/>
        </w:trPr>
        <w:tc>
          <w:tcPr>
            <w:tcW w:w="6300" w:type="dxa"/>
            <w:vAlign w:val="bottom"/>
            <w:gridSpan w:val="3"/>
          </w:tcPr>
          <w:p>
            <w:pPr>
              <w:jc w:val="center"/>
              <w:ind w:right="3280"/>
              <w:spacing w:after="0"/>
              <w:rPr>
                <w:sz w:val="20"/>
                <w:szCs w:val="20"/>
                <w:color w:val="auto"/>
              </w:rPr>
            </w:pPr>
            <w:r>
              <w:rPr>
                <w:rFonts w:ascii="Arial" w:cs="Arial" w:eastAsia="Arial" w:hAnsi="Arial"/>
                <w:sz w:val="18"/>
                <w:szCs w:val="18"/>
                <w:color w:val="auto"/>
                <w:w w:val="89"/>
              </w:rPr>
              <w:t>Common Stock, $0.01 par value per share</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32,611,799 shares</w:t>
            </w: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information required by Part III of this Form 10-K, either is incorporated herein by reference to a definitive proxy statement filed with the SEC no later than 120 days after the end of the fiscal year covered by this Form 10-K or will be included in an amendment to this Form 10-K filed with the SEC no later than 120 days after the end of the fiscal year covered by this Form 10-K.</w:t>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80" w:type="dxa"/>
            <w:vAlign w:val="bottom"/>
            <w:gridSpan w:val="5"/>
          </w:tcPr>
          <w:p>
            <w:pPr>
              <w:jc w:val="center"/>
              <w:ind w:right="4400"/>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8"/>
        </w:trPr>
        <w:tc>
          <w:tcPr>
            <w:tcW w:w="580" w:type="dxa"/>
            <w:vAlign w:val="bottom"/>
          </w:tcPr>
          <w:p>
            <w:pPr>
              <w:spacing w:after="0"/>
              <w:rPr>
                <w:sz w:val="20"/>
                <w:szCs w:val="20"/>
                <w:color w:val="auto"/>
              </w:rPr>
            </w:pPr>
            <w:r>
              <w:rPr>
                <w:rFonts w:ascii="Arial" w:cs="Arial" w:eastAsia="Arial" w:hAnsi="Arial"/>
                <w:sz w:val="14"/>
                <w:szCs w:val="14"/>
                <w:color w:val="auto"/>
              </w:rPr>
              <w:t>Item</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230"/>
        </w:trPr>
        <w:tc>
          <w:tcPr>
            <w:tcW w:w="580" w:type="dxa"/>
            <w:vAlign w:val="bottom"/>
          </w:tcPr>
          <w:p>
            <w:pPr>
              <w:spacing w:after="0"/>
              <w:rPr>
                <w:sz w:val="19"/>
                <w:szCs w:val="19"/>
                <w:color w:val="auto"/>
              </w:rPr>
            </w:pPr>
          </w:p>
        </w:tc>
        <w:tc>
          <w:tcPr>
            <w:tcW w:w="10240" w:type="dxa"/>
            <w:vAlign w:val="bottom"/>
            <w:gridSpan w:val="18"/>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9600" w:type="dxa"/>
            <w:vAlign w:val="bottom"/>
            <w:gridSpan w:val="17"/>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1A</w:t>
            </w:r>
          </w:p>
        </w:tc>
        <w:tc>
          <w:tcPr>
            <w:tcW w:w="1024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Risk Factors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20"/>
        </w:trPr>
        <w:tc>
          <w:tcPr>
            <w:tcW w:w="5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1B</w:t>
            </w:r>
          </w:p>
        </w:tc>
        <w:tc>
          <w:tcPr>
            <w:tcW w:w="10240" w:type="dxa"/>
            <w:vAlign w:val="bottom"/>
            <w:gridSpan w:val="1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2040" w:type="dxa"/>
            <w:vAlign w:val="bottom"/>
            <w:gridSpan w:val="10"/>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Properties</w:t>
              </w:r>
            </w:hyperlink>
          </w:p>
        </w:tc>
        <w:tc>
          <w:tcPr>
            <w:tcW w:w="82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1340" w:type="dxa"/>
            <w:vAlign w:val="bottom"/>
            <w:gridSpan w:val="6"/>
          </w:tcPr>
          <w:p>
            <w:pPr>
              <w:spacing w:after="0"/>
              <w:rPr>
                <w:rFonts w:ascii="Arial" w:cs="Arial" w:eastAsia="Arial" w:hAnsi="Arial"/>
                <w:sz w:val="18"/>
                <w:szCs w:val="18"/>
                <w:color w:val="0000FF"/>
                <w:w w:val="87"/>
              </w:rPr>
            </w:pPr>
            <w:hyperlink w:anchor="page18">
              <w:r>
                <w:rPr>
                  <w:rFonts w:ascii="Arial" w:cs="Arial" w:eastAsia="Arial" w:hAnsi="Arial"/>
                  <w:sz w:val="18"/>
                  <w:szCs w:val="18"/>
                  <w:color w:val="0000FF"/>
                  <w:w w:val="87"/>
                </w:rPr>
                <w:t>Legal Proceedings</w:t>
              </w:r>
            </w:hyperlink>
          </w:p>
        </w:tc>
        <w:tc>
          <w:tcPr>
            <w:tcW w:w="890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10240" w:type="dxa"/>
            <w:vAlign w:val="bottom"/>
            <w:gridSpan w:val="1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Mine Safety Disclosures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615"/>
        </w:trPr>
        <w:tc>
          <w:tcPr>
            <w:tcW w:w="580" w:type="dxa"/>
            <w:vAlign w:val="bottom"/>
          </w:tcPr>
          <w:p>
            <w:pPr>
              <w:spacing w:after="0"/>
              <w:rPr>
                <w:sz w:val="24"/>
                <w:szCs w:val="24"/>
                <w:color w:val="auto"/>
              </w:rPr>
            </w:pPr>
          </w:p>
        </w:tc>
        <w:tc>
          <w:tcPr>
            <w:tcW w:w="1760" w:type="dxa"/>
            <w:vAlign w:val="bottom"/>
            <w:tcBorders>
              <w:top w:val="single" w:sz="8" w:color="0000FF"/>
            </w:tcBorders>
            <w:gridSpan w:val="9"/>
          </w:tcPr>
          <w:p>
            <w:pPr>
              <w:spacing w:after="0"/>
              <w:rPr>
                <w:sz w:val="20"/>
                <w:szCs w:val="20"/>
                <w:color w:val="auto"/>
              </w:rPr>
            </w:pPr>
            <w:r>
              <w:rPr>
                <w:rFonts w:ascii="Arial" w:cs="Arial" w:eastAsia="Arial" w:hAnsi="Arial"/>
                <w:sz w:val="18"/>
                <w:szCs w:val="18"/>
                <w:b w:val="1"/>
                <w:bCs w:val="1"/>
                <w:color w:val="auto"/>
              </w:rPr>
              <w:t>PART II</w:t>
            </w:r>
          </w:p>
        </w:tc>
        <w:tc>
          <w:tcPr>
            <w:tcW w:w="848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8060" w:type="dxa"/>
            <w:vAlign w:val="bottom"/>
            <w:gridSpan w:val="17"/>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Market for Registrant's Common Equity, Related Stockholder Matters and Issuer Purchases of Equity Securities</w:t>
              </w:r>
            </w:hyperlink>
          </w:p>
        </w:tc>
        <w:tc>
          <w:tcPr>
            <w:tcW w:w="2180" w:type="dxa"/>
            <w:vAlign w:val="bottom"/>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8060" w:type="dxa"/>
            <w:vAlign w:val="bottom"/>
            <w:gridSpan w:val="17"/>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Selected Financial Data</w:t>
              </w:r>
            </w:hyperlink>
          </w:p>
        </w:tc>
        <w:tc>
          <w:tcPr>
            <w:tcW w:w="218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6460" w:type="dxa"/>
            <w:vAlign w:val="bottom"/>
            <w:gridSpan w:val="16"/>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37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7A</w:t>
            </w:r>
          </w:p>
        </w:tc>
        <w:tc>
          <w:tcPr>
            <w:tcW w:w="4360" w:type="dxa"/>
            <w:vAlign w:val="bottom"/>
            <w:gridSpan w:val="13"/>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Quantitative and Qualitative Disclosures About Market Risk</w:t>
              </w:r>
            </w:hyperlink>
          </w:p>
        </w:tc>
        <w:tc>
          <w:tcPr>
            <w:tcW w:w="2100" w:type="dxa"/>
            <w:vAlign w:val="bottom"/>
            <w:gridSpan w:val="3"/>
          </w:tcPr>
          <w:p>
            <w:pPr>
              <w:spacing w:after="0"/>
              <w:rPr>
                <w:sz w:val="21"/>
                <w:szCs w:val="21"/>
                <w:color w:val="auto"/>
              </w:rPr>
            </w:pPr>
          </w:p>
        </w:tc>
        <w:tc>
          <w:tcPr>
            <w:tcW w:w="37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4360" w:type="dxa"/>
            <w:vAlign w:val="bottom"/>
            <w:gridSpan w:val="1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Financial Statements</w:t>
              </w:r>
            </w:hyperlink>
          </w:p>
        </w:tc>
        <w:tc>
          <w:tcPr>
            <w:tcW w:w="588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10240" w:type="dxa"/>
            <w:vAlign w:val="bottom"/>
            <w:gridSpan w:val="1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5">
              <w:r>
                <w:rPr>
                  <w:rFonts w:ascii="Arial" w:cs="Arial" w:eastAsia="Arial" w:hAnsi="Arial"/>
                  <w:sz w:val="18"/>
                  <w:szCs w:val="18"/>
                  <w:color w:val="0000FF"/>
                </w:rPr>
                <w:t>86</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9A</w:t>
            </w:r>
          </w:p>
        </w:tc>
        <w:tc>
          <w:tcPr>
            <w:tcW w:w="6460" w:type="dxa"/>
            <w:vAlign w:val="bottom"/>
            <w:gridSpan w:val="16"/>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Controls and Procedures</w:t>
              </w:r>
            </w:hyperlink>
          </w:p>
        </w:tc>
        <w:tc>
          <w:tcPr>
            <w:tcW w:w="37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9B</w:t>
            </w:r>
          </w:p>
        </w:tc>
        <w:tc>
          <w:tcPr>
            <w:tcW w:w="1340" w:type="dxa"/>
            <w:vAlign w:val="bottom"/>
            <w:gridSpan w:val="6"/>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Other Information</w:t>
              </w:r>
            </w:hyperlink>
          </w:p>
        </w:tc>
        <w:tc>
          <w:tcPr>
            <w:tcW w:w="420" w:type="dxa"/>
            <w:vAlign w:val="bottom"/>
            <w:gridSpan w:val="3"/>
          </w:tcPr>
          <w:p>
            <w:pPr>
              <w:spacing w:after="0"/>
              <w:rPr>
                <w:sz w:val="21"/>
                <w:szCs w:val="21"/>
                <w:color w:val="auto"/>
              </w:rPr>
            </w:pPr>
          </w:p>
        </w:tc>
        <w:tc>
          <w:tcPr>
            <w:tcW w:w="848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r>
      <w:tr>
        <w:trPr>
          <w:trHeight w:val="615"/>
        </w:trPr>
        <w:tc>
          <w:tcPr>
            <w:tcW w:w="580" w:type="dxa"/>
            <w:vAlign w:val="bottom"/>
          </w:tcPr>
          <w:p>
            <w:pPr>
              <w:spacing w:after="0"/>
              <w:rPr>
                <w:sz w:val="24"/>
                <w:szCs w:val="24"/>
                <w:color w:val="auto"/>
              </w:rPr>
            </w:pPr>
          </w:p>
        </w:tc>
        <w:tc>
          <w:tcPr>
            <w:tcW w:w="134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PART III</w:t>
            </w:r>
          </w:p>
        </w:tc>
        <w:tc>
          <w:tcPr>
            <w:tcW w:w="890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3620" w:type="dxa"/>
            <w:vAlign w:val="bottom"/>
            <w:gridSpan w:val="12"/>
          </w:tcPr>
          <w:p>
            <w:pPr>
              <w:spacing w:after="0"/>
              <w:rPr>
                <w:rFonts w:ascii="Arial" w:cs="Arial" w:eastAsia="Arial" w:hAnsi="Arial"/>
                <w:sz w:val="18"/>
                <w:szCs w:val="18"/>
                <w:color w:val="0000FF"/>
                <w:w w:val="91"/>
              </w:rPr>
            </w:pPr>
            <w:hyperlink w:anchor="page87">
              <w:r>
                <w:rPr>
                  <w:rFonts w:ascii="Arial" w:cs="Arial" w:eastAsia="Arial" w:hAnsi="Arial"/>
                  <w:sz w:val="18"/>
                  <w:szCs w:val="18"/>
                  <w:color w:val="0000FF"/>
                  <w:w w:val="91"/>
                </w:rPr>
                <w:t>Directors and Executive Officers of the Registrant</w:t>
              </w:r>
            </w:hyperlink>
          </w:p>
        </w:tc>
        <w:tc>
          <w:tcPr>
            <w:tcW w:w="6620" w:type="dxa"/>
            <w:vAlign w:val="bottom"/>
            <w:gridSpan w:val="6"/>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3620" w:type="dxa"/>
            <w:vAlign w:val="bottom"/>
            <w:gridSpan w:val="12"/>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Executive Compensation</w:t>
              </w:r>
            </w:hyperlink>
          </w:p>
        </w:tc>
        <w:tc>
          <w:tcPr>
            <w:tcW w:w="662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4880" w:type="dxa"/>
            <w:vAlign w:val="bottom"/>
            <w:gridSpan w:val="14"/>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Security Ownership of Certain Beneficial Owners and Management</w:t>
              </w:r>
            </w:hyperlink>
          </w:p>
        </w:tc>
        <w:tc>
          <w:tcPr>
            <w:tcW w:w="536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13</w:t>
            </w:r>
          </w:p>
        </w:tc>
        <w:tc>
          <w:tcPr>
            <w:tcW w:w="10240" w:type="dxa"/>
            <w:vAlign w:val="bottom"/>
            <w:gridSpan w:val="18"/>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Certain Relationships and Related Transactions, and Director Independence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14</w:t>
            </w:r>
          </w:p>
        </w:tc>
        <w:tc>
          <w:tcPr>
            <w:tcW w:w="5440" w:type="dxa"/>
            <w:vAlign w:val="bottom"/>
            <w:gridSpan w:val="15"/>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Principal Accounting Fees and Services</w:t>
              </w:r>
            </w:hyperlink>
          </w:p>
        </w:tc>
        <w:tc>
          <w:tcPr>
            <w:tcW w:w="480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615"/>
        </w:trPr>
        <w:tc>
          <w:tcPr>
            <w:tcW w:w="580" w:type="dxa"/>
            <w:vAlign w:val="bottom"/>
          </w:tcPr>
          <w:p>
            <w:pPr>
              <w:spacing w:after="0"/>
              <w:rPr>
                <w:sz w:val="24"/>
                <w:szCs w:val="24"/>
                <w:color w:val="auto"/>
              </w:rPr>
            </w:pPr>
          </w:p>
        </w:tc>
        <w:tc>
          <w:tcPr>
            <w:tcW w:w="2900" w:type="dxa"/>
            <w:vAlign w:val="bottom"/>
            <w:tcBorders>
              <w:top w:val="single" w:sz="8" w:color="0000FF"/>
            </w:tcBorders>
            <w:gridSpan w:val="11"/>
          </w:tcPr>
          <w:p>
            <w:pPr>
              <w:spacing w:after="0"/>
              <w:rPr>
                <w:sz w:val="20"/>
                <w:szCs w:val="20"/>
                <w:color w:val="auto"/>
              </w:rPr>
            </w:pPr>
            <w:r>
              <w:rPr>
                <w:rFonts w:ascii="Arial" w:cs="Arial" w:eastAsia="Arial" w:hAnsi="Arial"/>
                <w:sz w:val="18"/>
                <w:szCs w:val="18"/>
                <w:b w:val="1"/>
                <w:bCs w:val="1"/>
                <w:color w:val="auto"/>
              </w:rPr>
              <w:t>PART IV</w:t>
            </w:r>
          </w:p>
        </w:tc>
        <w:tc>
          <w:tcPr>
            <w:tcW w:w="734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15</w:t>
            </w:r>
          </w:p>
        </w:tc>
        <w:tc>
          <w:tcPr>
            <w:tcW w:w="2900" w:type="dxa"/>
            <w:vAlign w:val="bottom"/>
            <w:gridSpan w:val="11"/>
          </w:tcPr>
          <w:p>
            <w:pP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Exhibits, Financial Statement Schedules</w:t>
              </w:r>
            </w:hyperlink>
          </w:p>
        </w:tc>
        <w:tc>
          <w:tcPr>
            <w:tcW w:w="7340" w:type="dxa"/>
            <w:vAlign w:val="bottom"/>
            <w:gridSpan w:val="7"/>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80" w:type="dxa"/>
            <w:vAlign w:val="bottom"/>
          </w:tcPr>
          <w:p>
            <w:pPr>
              <w:spacing w:after="0"/>
              <w:rPr>
                <w:sz w:val="24"/>
                <w:szCs w:val="24"/>
                <w:color w:val="auto"/>
              </w:rPr>
            </w:pPr>
          </w:p>
        </w:tc>
        <w:tc>
          <w:tcPr>
            <w:tcW w:w="1060" w:type="dxa"/>
            <w:vAlign w:val="bottom"/>
            <w:gridSpan w:val="5"/>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Exhibits Index</w:t>
              </w:r>
            </w:hyperlink>
          </w:p>
        </w:tc>
        <w:tc>
          <w:tcPr>
            <w:tcW w:w="1840" w:type="dxa"/>
            <w:vAlign w:val="bottom"/>
            <w:gridSpan w:val="6"/>
          </w:tcPr>
          <w:p>
            <w:pPr>
              <w:spacing w:after="0"/>
              <w:rPr>
                <w:sz w:val="24"/>
                <w:szCs w:val="24"/>
                <w:color w:val="auto"/>
              </w:rPr>
            </w:pPr>
          </w:p>
        </w:tc>
        <w:tc>
          <w:tcPr>
            <w:tcW w:w="7340" w:type="dxa"/>
            <w:vAlign w:val="bottom"/>
            <w:gridSpan w:val="7"/>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91">
              <w:r>
                <w:rPr>
                  <w:rFonts w:ascii="Arial" w:cs="Arial" w:eastAsia="Arial" w:hAnsi="Arial"/>
                  <w:sz w:val="18"/>
                  <w:szCs w:val="18"/>
                  <w:color w:val="0000FF"/>
                  <w:w w:val="85"/>
                </w:rPr>
                <w:t>Signatures</w:t>
              </w:r>
            </w:hyperlink>
          </w:p>
        </w:tc>
        <w:tc>
          <w:tcPr>
            <w:tcW w:w="300" w:type="dxa"/>
            <w:vAlign w:val="bottom"/>
            <w:gridSpan w:val="2"/>
          </w:tcPr>
          <w:p>
            <w:pPr>
              <w:spacing w:after="0"/>
              <w:rPr>
                <w:sz w:val="21"/>
                <w:szCs w:val="21"/>
                <w:color w:val="auto"/>
              </w:rPr>
            </w:pPr>
          </w:p>
        </w:tc>
        <w:tc>
          <w:tcPr>
            <w:tcW w:w="918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92</w:t>
              </w:r>
            </w:hyperlink>
          </w:p>
        </w:tc>
      </w:tr>
      <w:tr>
        <w:trPr>
          <w:trHeight w:val="723"/>
        </w:trPr>
        <w:tc>
          <w:tcPr>
            <w:tcW w:w="5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680" w:type="dxa"/>
            <w:vAlign w:val="bottom"/>
            <w:gridSpan w:val="12"/>
          </w:tcPr>
          <w:p>
            <w:pPr>
              <w:jc w:val="right"/>
              <w:ind w:right="30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30"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Note on Forward-Looking Statements</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entire report, including (among other items) Item 7, “Management’s Discussion and Analysis of Financial Condition and Results of Operations” includes forward-looking statements (each a “forward-looking statement”) within the meaning of Section 27A of the Securities Act of 1933, as amended (the “Securities Act”), and Section 21E of the Securities Exchange Act of 1934, as amended (“Exchange Act”). Forward-looking statements include those preceded by, followed by or including the words “will,” “expect,” “intend,” “anticipate,” “believe,” “project,” “forecast,” “propose,” “plan,” “designed,” “estimate,” “enable” and similar expressions. Those forward-looking statements speak only as of the date of this report. We disclaim any obligation to update those statements, except as applicable law may require us to do so, and we caution you not to rely unduly on them. We have based those forward-looking statements on our current expectations and assumptions about future events, which may prove to be inaccurate. While our management considers those expectations and assumptions to be reasonable, they are inherently subject to significant business, economic, competitive, regulatory (including environmental), legal and other risks, contingencies and uncertainties, most of which are difficult to predict and many of which are beyond our control. Therefore, actual results may differ materially and adversely from those expressed in any forward-looking statements. Factors that might cause or contribute to such differences include, but are not limited to, those we discuss in this report under the section entitled “Risk Factors” in Item 1A and the section entitled “Financial Condition/Liquidity and Capital Resources” in Item 7, “Management’s Discussion and Analysis of Financial Condition and Results of Operations,” and in other reports we file with the Securities and Exchange Commission (the “SEC”). The factors we discuss in this report are not necessarily all the important factors that could affect us. Unpredictable or unknown factors we have not discussed in this report also could have material adverse effects on actual results of matters that are the subject of our forward-looking statements. We do not intend to update our description of important factors each time a potentially important factor arises. We advise our existing and potential security holders that they should (1) be aware that important factors to which we do not refer in this report could affect the accuracy of our forward-looking statements and (2) use caution and common sense when considering our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General Description of the Business</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YRC Worldwide Inc. (also referred to as “YRC Worldwide,” the “Company,” “we,” “us” or “our”) is a holding company that, through wholly owned operating subsidiaries and its interest in a Chinese joint venture, JHJ International Transportation Company, Ltd (“JHJ”),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58"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our LTL subsidiary YRC Inc. (“YRC Freight”) and Reimer Express (“YRC Reimer”), a subsidiary located in Canada that specializes in shipments into, across and out of Canada. In addition to the United States and Canada, YRC Freight also serves parts of Mexico, Puerto Rico and Guam.</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revenue and other information regarding our reporting segments, see the “Business Segments” footnote of our consolidated financial statements included in this Annual Report on Form 10-K.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Incorporated in Delaware in 1983 and headquartered in Overland Park, Kansas, we employed approximately 32,000 people as of December 31, 2015. The mailing address of our headquarters is 10990 Roe Avenue, Overland Park, Kansas 66211, and our telephone number is (913) 696-6100. Our website is www.yrcw.com. Through the “SEC Filings” link on our website, we make available the following filings as soon as reasonably practicable after they are electronically filed with or furnished to the SEC: our Annual Report on Form 10-K, Quarterly Reports on Form 10-Q, Current Reports on Form 8-K, and any amendments to those reports filed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22"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or furnished pursuant to Section 13(a) or 15(d) of the Exchange Act. All of these filings may be viewed or printed from our website free of charge.</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Description of the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YRC Freight offers a full range of services for the transportation of industrial, commercial and retail goods in national, regional and international markets, primarily through the operation of owned or leased equipment in its North American ground distribution network. Transportation services are provided for various categories of goods, which may include (among others) apparel, appliances, automotive parts, chemicals, food, furniture, glass, machinery, metal, metal products, non-bulk petroleum products, rubber, textiles, wood and other manufactured products or components. YRC Freight provides both LTL services, which combine shipments from multiple customers on a single trailer, and truckload services. Deliveries are predominately LTL shipments with truckload services offered to maximize equipment utilization and reduce empty miles (the distance empty or partially full trailers travel to balance the network). YRC Freight also provides higher-margin specialized services, including guaranteed expedited services, time-specific deliveries, cross-border services, coast-to-coast air delivery, product returns, temperature-sensitive shipment protection and government material shipments.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YRC Freight serves manufacturing, wholesale, retail and government customers throughout North America. YRC Freight’s 20,000 employees are dedicated to operating its extensive network which supports approximately 10.7 million shipments annually. YRC Freight shipments have an average shipment size of approximately 1,200 pounds and travel an average distance of roughly 1,300 miles. Operations research and engineering teams coordinate the equipment, routing, sequencing and timing necessary to efficiently transport shipments through the distribution network. On December 31, 2015, YRC Freight’s revenue fleet was comprised of approximately 8,500 tractors, including approximately 7,300 owned tractors and 1,200 leased tractors, and approximately 32,000 trailers, including approximately 27,300 owned trailers and 4,700 leased trailers. The YRC Freight network includes 258 strategically located service facilities including 125 owned facilities with 8,217 doors and 133 leased facilities with 5,984 doors.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YRC Freight provides services throughout North America, has one of the largest networks of LTL service centers, equipment and transportation professionals and provides flexible and efficient supply chain solutions including:</w:t>
      </w:r>
    </w:p>
    <w:p>
      <w:pPr>
        <w:spacing w:after="0" w:line="166" w:lineRule="exact"/>
        <w:rPr>
          <w:sz w:val="20"/>
          <w:szCs w:val="20"/>
          <w:color w:val="auto"/>
        </w:rPr>
      </w:pPr>
    </w:p>
    <w:p>
      <w:pPr>
        <w:ind w:left="660" w:hanging="328"/>
        <w:spacing w:after="0" w:line="31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Standard LTL: </w:t>
      </w:r>
      <w:r>
        <w:rPr>
          <w:rFonts w:ascii="Arial" w:cs="Arial" w:eastAsia="Arial" w:hAnsi="Arial"/>
          <w:sz w:val="17"/>
          <w:szCs w:val="17"/>
          <w:color w:val="auto"/>
        </w:rPr>
        <w:t>one-stop shopping for all big-shipment national LTL freight needs with centralized customer service for LTL shipping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countries of North America. YRC Freight offers flexibility, convenience and reliability that comes with one national freight shipping provider.</w:t>
      </w:r>
    </w:p>
    <w:p>
      <w:pPr>
        <w:spacing w:after="0" w:line="138" w:lineRule="exact"/>
        <w:rPr>
          <w:rFonts w:ascii="Arial" w:cs="Arial" w:eastAsia="Arial" w:hAnsi="Arial"/>
          <w:sz w:val="17"/>
          <w:szCs w:val="17"/>
          <w:color w:val="auto"/>
        </w:rPr>
      </w:pPr>
    </w:p>
    <w:p>
      <w:pPr>
        <w:ind w:left="660" w:right="2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Guaranteed Standard: </w:t>
      </w:r>
      <w:r>
        <w:rPr>
          <w:rFonts w:ascii="Arial" w:cs="Arial" w:eastAsia="Arial" w:hAnsi="Arial"/>
          <w:sz w:val="18"/>
          <w:szCs w:val="18"/>
          <w:color w:val="auto"/>
        </w:rPr>
        <w:t>a guaranteed on-time service with more direct points than any other guaranteed standard delivery service in North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Our guaranteed multiple-day window service is designed to meet retail industry needs to reduce chargeback fees.</w:t>
      </w:r>
    </w:p>
    <w:p>
      <w:pPr>
        <w:spacing w:after="0" w:line="161"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Time-Critical: </w:t>
      </w:r>
      <w:r>
        <w:rPr>
          <w:rFonts w:ascii="Arial" w:cs="Arial" w:eastAsia="Arial" w:hAnsi="Arial"/>
          <w:sz w:val="18"/>
          <w:szCs w:val="18"/>
          <w:color w:val="auto"/>
        </w:rPr>
        <w:t>for expedited and specialized shipments including emergency and window deliveries via ground or air anywhere in North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with shipment arrival timed to the hour or day, proactive notification and a 100% on-time guarantee.</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Specialized Solutions: </w:t>
      </w:r>
      <w:r>
        <w:rPr>
          <w:rFonts w:ascii="Arial" w:cs="Arial" w:eastAsia="Arial" w:hAnsi="Arial"/>
          <w:sz w:val="18"/>
          <w:szCs w:val="18"/>
          <w:color w:val="auto"/>
        </w:rPr>
        <w:t>includes a variety of services to meet industry and customer-specific needs with offerings such as Custom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and Distribution, Reverse Logistics, Residential White Glove, and Exhibit Services.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my.yrcfreight.com: </w:t>
      </w:r>
      <w:r>
        <w:rPr>
          <w:rFonts w:ascii="Arial" w:cs="Arial" w:eastAsia="Arial" w:hAnsi="Arial"/>
          <w:sz w:val="17"/>
          <w:szCs w:val="17"/>
          <w:color w:val="auto"/>
        </w:rPr>
        <w:t>a secure e-commerce website offering online resources for supply chain visibility and shipment management in real time.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Freight includes the operations of its wholly owned Canadian subsidiary, YRC Reimer. Founded in 1952, YRC Reimer offers Canadian shippers a selection of direct connections within Canada, throughout North America and around the world. YRC Reimer’s operating network and information systems are completely integrated with those of YRC Freight, enabling YRC Reimer to provide seamless cross-border services between Canada, Mexico and the United States and markets overseas.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YRC Freight represented 63%, 64% and 64% of our consolidated operating revenue in 2015, 2014 and 2013,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Regional Transportation is comprised of Holland, New Penn and Reddaway: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5" w:name="page6"/>
    <w:bookmarkEnd w:id="5"/>
    <w:p>
      <w:pPr>
        <w:ind w:left="660" w:hanging="328"/>
        <w:spacing w:after="0" w:line="34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Holland: </w:t>
      </w:r>
      <w:r>
        <w:rPr>
          <w:rFonts w:ascii="Arial" w:cs="Arial" w:eastAsia="Arial" w:hAnsi="Arial"/>
          <w:sz w:val="16"/>
          <w:szCs w:val="16"/>
          <w:color w:val="auto"/>
        </w:rPr>
        <w:t>headquartered in Holland, Michigan, provides local next-day, regional and expedited services through a network located in 21 states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Midwestern and Southeastern portions of the United States. Holland also provides service to the provinces of Ontario and Quebec, Canada.</w:t>
      </w:r>
    </w:p>
    <w:p>
      <w:pPr>
        <w:spacing w:after="0" w:line="116"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New Penn: </w:t>
      </w:r>
      <w:r>
        <w:rPr>
          <w:rFonts w:ascii="Arial" w:cs="Arial" w:eastAsia="Arial" w:hAnsi="Arial"/>
          <w:sz w:val="18"/>
          <w:szCs w:val="18"/>
          <w:color w:val="auto"/>
        </w:rPr>
        <w:t>headquartered in Lebanon, Pennsylvania, provides local next-day, day-definite, and time-definite services through a network located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Northeastern United States; Quebec, Canada; and Puerto Rico.</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Reddaway: </w:t>
      </w:r>
      <w:r>
        <w:rPr>
          <w:rFonts w:ascii="Arial" w:cs="Arial" w:eastAsia="Arial" w:hAnsi="Arial"/>
          <w:sz w:val="18"/>
          <w:szCs w:val="18"/>
          <w:color w:val="auto"/>
        </w:rPr>
        <w:t>headquartered in Tualatin, Oregon, provides local next-day, regional and expedited services through a network located in California, the</w:t>
      </w:r>
      <w:r>
        <w:rPr>
          <w:rFonts w:ascii="Arial" w:cs="Arial" w:eastAsia="Arial" w:hAnsi="Arial"/>
          <w:sz w:val="18"/>
          <w:szCs w:val="18"/>
          <w:b w:val="1"/>
          <w:bCs w:val="1"/>
          <w:color w:val="auto"/>
        </w:rPr>
        <w:t xml:space="preserve"> </w:t>
      </w:r>
      <w:r>
        <w:rPr>
          <w:rFonts w:ascii="Arial" w:cs="Arial" w:eastAsia="Arial" w:hAnsi="Arial"/>
          <w:sz w:val="18"/>
          <w:szCs w:val="18"/>
          <w:color w:val="auto"/>
        </w:rPr>
        <w:t>Pacific Northwest, the Rocky Mountain States and the Southwest. Additionally, Reddaway provides services to Alaska, Hawaii and to the provinces of Alberta and British Columbia, Canada.</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Together, the Regional Transportation companies deliver services in the next-day, second-day and time-sensitive markets, which are among the fastest-growing transportation segments. The Regional Transportation service portfolio includes:</w:t>
      </w:r>
    </w:p>
    <w:p>
      <w:pPr>
        <w:spacing w:after="0" w:line="166"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Regional delivery: </w:t>
      </w:r>
      <w:r>
        <w:rPr>
          <w:rFonts w:ascii="Arial" w:cs="Arial" w:eastAsia="Arial" w:hAnsi="Arial"/>
          <w:sz w:val="18"/>
          <w:szCs w:val="18"/>
          <w:color w:val="auto"/>
        </w:rPr>
        <w:t>including next-day local area delivery and second-day services; consolidation/distribution services; protect-from-freezing and</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materials handling; and a variety of other specialized offerings.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Expedited delivery: </w:t>
      </w:r>
      <w:r>
        <w:rPr>
          <w:rFonts w:ascii="Arial" w:cs="Arial" w:eastAsia="Arial" w:hAnsi="Arial"/>
          <w:sz w:val="18"/>
          <w:szCs w:val="18"/>
          <w:color w:val="auto"/>
        </w:rPr>
        <w:t>including day-definite, hour-definite and time-definite capabilities.</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Interregional delivery: </w:t>
      </w:r>
      <w:r>
        <w:rPr>
          <w:rFonts w:ascii="Arial" w:cs="Arial" w:eastAsia="Arial" w:hAnsi="Arial"/>
          <w:sz w:val="18"/>
          <w:szCs w:val="18"/>
          <w:color w:val="auto"/>
        </w:rPr>
        <w:t>combining our best-in-class regional networks with reliable sleeper teams, Regional Transportation provides reliable, high-value services between our regional operations.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Cross-border delivery: </w:t>
      </w:r>
      <w:r>
        <w:rPr>
          <w:rFonts w:ascii="Arial" w:cs="Arial" w:eastAsia="Arial" w:hAnsi="Arial"/>
          <w:sz w:val="18"/>
          <w:szCs w:val="18"/>
          <w:color w:val="auto"/>
        </w:rPr>
        <w:t>through strategic partnerships, the Regional Transportation companies provide full-service capabilities between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and Canada, Mexico and Puerto Rico.</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my.yrcregional.com and NewPenn.com: </w:t>
      </w:r>
      <w:r>
        <w:rPr>
          <w:rFonts w:ascii="Arial" w:cs="Arial" w:eastAsia="Arial" w:hAnsi="Arial"/>
          <w:sz w:val="18"/>
          <w:szCs w:val="18"/>
          <w:color w:val="auto"/>
        </w:rPr>
        <w:t>are e-commerce websites offering secure and customized online resources to manage transportation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approximately 12,000 employees of our Regional Transportation companies serve and support manufacturing, wholesale, retail and government customers throughout North America and transport approximately 10.4 million shipments annually. Regional Transportation shipments have an average shipment size of approximately 1,500 pounds and travel an average distance of roughly 400 miles. At December 31, 2015, the Regional Transportation network includes 126 service facilities including 61 owned facilities with 3,863 doors and 65 leased facilities with 2,870 doors. The Regional Transportation revenue fleet includes approximately 6,600 tractors including approximately 5,500 owned and 1,100 leased and approximately 13,300 trailers including approximately 11,300 owned and 2,000 leased.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Regional Transportation companies accounted for 37%, 36% and 36% of our consolidated operating revenue in 2015, 2014 and 2013,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YRC Worldwide, headquartered in Overland Park, Kansas, has approximately 300 employees. The parent company provides centrally-managed support to our operating companies that spans a variety of functions, including components of finance, legal, risk management and security.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Each of our shared services organizations charges the operating companies for their services, either based upon usage or on an overhead allocation basis.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companies operate in a highly competitive environment. Given the growth of U.S. import/export trade, our competitors include global, integrated freight transportation services providers; global freight forwarders; national freight services providers (including intermodal providers); regional or interregional carriers; third party logistics providers; and small, intraregional transportation companies. Our companies also have competitors within several different modes of transportation including: LTL, truckload, air and ocean cargo, intermodal rail, parcel and package companies, transportation consolidators, reverse logistics firms, and privately-owned fleets.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2"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Ground-based transportation includes private fleets and “for-hire” provider groups. The private provider segment consists of fleets owned by companies that move their own goods and materials. The “for-hire” groups are classified based on the typical shipment sizes that they handle. Truckload refers to providers transporting shipments that generally fill an entire van, and LTL refers to providers transporting goods from multiple shippers in a single trailer.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LTL transportation providers consolidate numerous shipments generally ranging from 100 to 10,000 pounds from varying businesses at individual service centers in close proximity to where those shipments originated. Utilizing expansive networks of pickup and delivery operations around local service centers, shipments are moved between origin and destination using distribution centers when necessary, where consolidation and deconsolidation of shipments occur. Depending on the distance shipped, shared load providers are often classified into one of four sub-groups: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 Average distance is typically fewer than 500 miles with a focus on one- and two-day delivery times. Regional transportation companies can move shipments directly to their respective destination centers, which increases service reliability and avoids costs associated with intermediate handling.</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Interregional - Average distance is usually between 500 and 1,000 miles with a focus on two- and three-day delivery times. There is a competitive overlap between regional and national providers in this category, as each group sees the interregional segment as a growth opportunity, and few providers focus exclusively on this sector.</w:t>
      </w:r>
    </w:p>
    <w:p>
      <w:pPr>
        <w:spacing w:after="0" w:line="14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National - Average distance is typically in excess of 1,000 miles with focus on two- to five-day delivery times. National providers rely on intermediate shipment handling through a network of facilities, which require numerous satellite service centers, multiple distribution centers and a relay network. To gain service and cost advantages, they often ship directly between service centers, minimizing intermediate handling.</w:t>
      </w:r>
    </w:p>
    <w:p>
      <w:pPr>
        <w:spacing w:after="0" w:line="12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 Providing freight forwarding and final-mile delivery services to companies shipping to and from multiple regions around the world. This service can be offered through a combination of owned assets or through a purchased transportation model.</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YRC Freight provides services in all four sub-groups in North America. Holland, New Penn and Reddaway compete in the regional, interregional and national transportation marketplace. Each brand competes against a number of providers in these markets, from small firms with one or two vehicles to global competitors with thousands of physical assets. While we have competitors with a similar multi-dimensional approach, there are few in the traditional LTL segment with as comprehensive an offering in those categories as our family of companies provide.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asset-based LTL carriers depend on Third Party Logistics (“3PL”) firms. These non-asset based service providers are both our customers and competitors. As clients, these firms aggregate truck shipment demand and distribute that demand across the transportation sector. Asset-based LTL carriers are the primary providers of capacity to these companies and benefit from the relationship. As competitors, 3PLs often control shipper relationships and can shift shipment volumes away from specific carriers. Certain 3PLs have recently completed purchases of asset-based LTL carriers, which might alter the competitive landscape in the future.</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Competitive cost of entry into the asset-based LTL sector on a small scale, within a limited service area, is relatively small (although more than in other sectors of the transportation industry). The larger the service area, the greater the barriers to entry, due primarily to the need for additional equipment and facilities associated with broader geographic service coverage. Broader market coverage in the competitive transportation landscape also requires increased technology investment and the ability to capture cost efficiencies from shipment density (scale), making entry on a national basis more difficult. Further development of density-based pricing strategies will require carriers to make investments in scanning and measuring technologies. We have already taken significant steps toward implementing these technologies, and other competitors in our industry are also making investments in this technology at varying speeds.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companies and other interstate carriers were substantially deregulated following the enactment of the Motor Carrier Act of 1980, the Trucking Industry Regulatory Reform Act of 1994, the Federal Aviation Administration Authorization of 1994 and the ICC Termination Act of 1995. Prices and services are now largely free of regulatory controls, although the states retained the right to require compliance with safety and insurance requirements, and interstate motor carriers remain subject to regulatory controls imposed by agencies within the U.S. Department of Transportation.</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companies are subject to regulatory and legislative changes, which can affect our economics and those of our competitors. Among potential regulatory changes are potential revisions to rules governing hours of service for commercial truck drivers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safety programs that could impact the pool of available drivers. Various federal and state agencies regulate us, and our operations are also subject to various federal, foreign, state, provincial and local environmental laws and regulations dealing with transportation, storage, presence, use, disposal and handling of hazardous materials, emissions related to the use of petroleum based fuels, discharge of storm-water and underground fuel storage tanks. Our drivers and facility employees are protected by occupational safety and health regulations and our drivers by hours of service regulations. We are also subject to regulations to combat terrorism imposed by the U.S. Department of Homeland Security and other agencies. See the Risk Factors section related to our compliance with laws and regulations in Item 1A of this report.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subject to U.S. federal, foreign, state, provincial and local regulations with regard to air and water quality and other environmental matters. We believe that we are in substantial compliance with these regulations. Regulation in this area continues to evolve and changes in standards of enforcement of existing regulations, as well as the enactment and enforcement of new legislation or regulation, may require us and our customers to modify, supplement or replace equipment or facilities or to change or discontinue present methods of operation.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companies store fuel for use in our revenue equipment in approximately 259 underground storage tanks (“USTs”) located throughout the United States. Maintenance of such USTs is regulated at the federal and, in some cases, state level. The USTs are required to have leak detection systems and are required to be extracted upon our exiting the property. In most cases, we contractually transfer this removal obligation to the buyer, or remove the UST at closing at the Buyer's expense.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2015, we spent approximately $8.1 million to comply with U.S. federal, state and local provisions regulating the discharge of materials into the environment or otherwise relating to the protection of the environment (collectively, “Environmental Regulations”). In 2016, we expect to spend approximately $8.3 million to comply with the Environmental Regulations. Based upon current information, we believe that our compliance with Environmental Regulations will not have a material adverse effect upon our capital expenditures, results of operations and competitive position because we have either made adequate reserves for such compliance expenditures or the cost for such compliance is expected to be small in comparison with our overall expenses.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Comprehensive Environmental Response, Compensation and Liability Act (known as the “Superfund Act”) imposes liability for the release of a “hazardous substance” into the environment. Superfund liability is imposed without regard to fault and even if the waste disposal was in compliance with then-current laws and regulations. With the joint and several liabilities imposed under the Superfund Act, a potentially responsible party (“PRP”) may be required to pay more than its proportional share of any required environmental remediation. Several of our subsidiaries have been identified as PRPs at various sites discussed below. The U.S. Environmental Protection Agency (the “EPA”) and appropriate state agencies are supervising investigative and cleanup activities at these sites.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EPA has identified the former Yellow Transportation (now a part of YRC Freight) as a PRP for two locations: Angeles Chemical Co., Santa Fe Springs, CA and Alburn Incinerator, Inc., Chicago, IL, which is included in the Lake Calumet Cluster Site. With respect to these sites, it appears that YRC Freight may have delivered minimal amounts of waste, which is de minimis in relation to other respondents and not material with respect to YRC Freight. The EPA has identified the former Roadway Express (now a part of YRC Freight) as a PRP for three locations: Ward Transformer, Raleigh, NC, Roosevelt Irrigation District, Phoenix, AZ and Berry's Creek, Carlstadt, NJ. We are in settlement discussions with Roosevelt Irrigation District to resolve their claim that YRC Freight is responsible for remediation of contaminated groundwater wells. The EPA has notified YRC Freight and 140 other potential parties of their possible responsibility at the Berry's Creek site where YRC Freight owns and operates a service center. The EPA has issued YRC Worldwide a Request for Information (“RFI”) regarding current and former Yellow Transportation and Roadway Express (now YRC Freight) facilities adjacent to or in close proximity of Newtown Creek, NY and its tributaries. YRC Worldwide and its operating companies have not been named as a PRP in this matter, but YRC Freight has entered into a tolling agreement with the Newtown Creek Group (“NCG”). The NCG is comprised of five companies who have agreed to perform a Remedial Investigation and Feasibility Study under the supervision of the EPA. The EPA has identified USF Red Star, a non-operating subsidiary, as a PRP at three locations: Booth Oil, N. Tonawanda, NY and two separate landfills in Byron, NY, and Moira, NY. The EPA has identified Holland as a PRP for one location, Horton Sales Piedmont Site, Greenville County, SC. Although the outcome of any legal matter is subject to uncertainties, based on our current knowledge, we believe the potential combined costs at all of the above sites will not be significant.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PRPs in Superfund actions have joint and several liabilities for all costs of remediation, it is not possible at this time to quantify our ultimate exposure because the projects are either in the investigative or early remediation stage. Based upon current information, we do not believe that probable or reasonably possible expenditures in connection with the sites described above are likely to have a material adverse effect on our financial condition or results of operations because: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8" w:name="page9"/>
    <w:bookmarkEnd w:id="8"/>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necessary, we have established adequate reserves to cover the estimate we presently believe will be our liability with respect to the matter;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our subsidiaries have only limited or de minimis involvement in the sites based upon volumetric calculations;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PRPs involved in the sites have substantial assets and may reasonably be expected to pay a larger share of the cost of remediation.</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our ultimate liability is relatively small compared with our overall expenses.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other governmental proceedings and regulations, including foreign regulations, relating to environmental matters, and are investigating potential violations of Environmental Regulations with respect to certain sites, but we do not believe that any of these matters or investigations is likely to have a material adverse effect on our business, financial condition, liquidity or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Economic Factors and Seasonality</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is subject to a number of general economic factors that may have a material adverse effect on the results of our operations, many of which are largely out of our control. These include the impact of recessionary economic cycles and downturns in our customer’s business cycles,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We operate in a highly price-sensitive and competitive industry, making industry pricing actions, quality of customer service, effective asset utilization and cost control major competitive factors.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our revenues are subject to seasonal variations which are common in the trucking industry. Customers tend to reduce shipments just prior to and after the winter holiday season. Operating expenses as a percent of revenue tend to be higher, and operating cash flows as a percent of revenue tend to be lower in the winter months, primarily due to colder weather and seasonally lower levels of shipments and the seasonal timing of expenditures. Generally, most of the first quarter and the latter part of the fourth quarter are the seasonally weakest while the second and third quarters are the seasonally strongest. The availability and cost of labor and other operating cost inputs, such as fuel and equipment maintenance and equipment replacements, can significantly impact our overall cost, competitive position within our industry and our resulting earnings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Information About Geographic Areas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revenue from foreign sources is mainly derived from Canada and, to a lesser extent, Mexico. We have certain long-lived assets located in these areas as well. We discuss this information in the “Business Segments” footnote of our consolidated financial statements included in this Annual Report on Form 10-K.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risks and uncertainties described elsewhere in this report or in our other SEC filings, the following risk factors should be considered carefully in evaluating us. These risks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Risks</w:t>
      </w:r>
    </w:p>
    <w:p>
      <w:pPr>
        <w:spacing w:after="0" w:line="22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indebtedness and cash interest payment obligations, lease obligations and pension funding obligations could adversely affect our financial flexibility and our competitive position.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2015, we had $1,081.9 million in aggregate principal amount of outstanding indebtedness. We also have, and will continue to have, lease obligations. As of December 31, 2015, our expected minimum cash payments under our operating leases for 2016 were $80.0 million and our operating lease obligations totaled $269.0 million, which are primarily payable through 2020. We currently plan to procure a portion of our new revenue equipment using operating leases in 2016 and beyond. We expect our funding obligations in 2016 under our single-employer pension plans and the multi-employer pension funds will be approximately $134.7 million. Our indebtedness, lease obligations and pension funding obligations could continue to have an impact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example, it could:</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vulnerability to adverse changes or sustained slow growth in general economic, industry and competitive conditions;</w:t>
      </w:r>
    </w:p>
    <w:p>
      <w:pPr>
        <w:spacing w:after="0" w:line="2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require us to dedicate a portion of our cash flow from operations to make payments on our indebtedness, leases and pension funding obligations, thereby reducing the availability of our cash flow to fund working capital, capital expenditures and other general corporate purposes;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 us from taking advantage of business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it more difficult to satisfy our financial obligations and meet future stepped up financial covenants in our credit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lease obligations, and pension funding obligations; and</w:t>
      </w:r>
    </w:p>
    <w:p>
      <w:pPr>
        <w:spacing w:after="0" w:line="32"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corporate purposes on satisfactory terms or at all.</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ability to service all of our indebtedness and satisfy all of other obligations depends on many factors beyond our control, and if we cannot generate enough cash to service our indebtedness and satisfy such other obligations, we may be forced to take one or more actions, which may not be successful.</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operations are the principal source of funding for us. Our business may not generate cash flow from operations in an amount sufficient to fund our liquidity needs. If our cash flows are insufficient to service our indebtedness and satisfy our other obligations, we may be forced to reduce or delay capital expenditures, sell assets, seek additional capital or restructure or refinance our indebtedness or other financial obligations. Our ability to restructure or refinance our indebtedness will depend on the condition of the capital and credit markets and our financial condition at such time. Any refinancing of our indebtedness could be at higher interest rates. In addition, any refinancing of our indebtedness or restructuring of our other obligations may require us to comply with more onerous covenants, which could further restrict our business operations and limit our financial flexibility. In addition, the terms of existing or future debt agreements may restrict us from adopting some of these alternatives. In addition, any failure to make payments of interest and principal on our outstanding indebtedness or satisfy our other financial obligations on a timely basis would likely result in a reduction of our credit rating, which could harm our ability to incur additional indebtedness. These alternative measures may not be successful and, as a result, our liquidity and financial condition could be adversely affected and we may not be able to meet our scheduled debt service obligations. If for any reason we are unable to meet our debt service obligations, we would be in default under the terms of the agreements governing our outstanding debt.</w:t>
      </w:r>
    </w:p>
    <w:p>
      <w:pPr>
        <w:spacing w:after="0" w:line="17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Restrictive covenants in the documents governing our existing and future indebtedness may limit our current and future operations, particularly our ability to respond to changes in our business or to pursue our business strategies.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our ability to take actions that we believe may be in our interest. The documents governing our existing indebtedness, among other things, limit our ability to:</w:t>
      </w:r>
    </w:p>
    <w:p>
      <w:pPr>
        <w:spacing w:after="0" w:line="24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certain restricted payments or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restricted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restricted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 consolidate or sell substantially all of our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certain investments and acquire certain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could adversely affect our ability to:</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obtain future financing or to sell assets could be adversely affected because substantially all of our assets have been secured as collateral for the benefit of the holders of our indebtedness.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failure to comply with the covenants in the documents governing our existing and future indebtedness could materially adversely affect our financial condition and liquidity.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documents governing our indebtedness contain financial covenants, affirmative covenants requiring us to take certain actions and negative covenants restricting our ability to take certain actions. If we are unsuccessful in meeting our stepped up financial covenants, we will need to seek an amendment or waiver from our lenders or otherwise we will be in default under our credit facilities, which would enable lenders thereunder to accelerate the repayment of amounts outstanding and exercise remedies with respect to collateral. If our lenders under our credit facilities demand payment, we will not have sufficient cash to repay such indebtedness. In addition, a default under our credit facilities or the lenders exercising their remedies thereunder could trigger cross-default provisions in our other indebtedness and certain other operating agreements. Our ability to amend our credit facilities or otherwise obtain waivers from our lenders depends on matters that are outside of our control and there can be no assurance that we will be successful in that regard. In addition, any covenant breach or event of default could harm our credit rating and our ability to obtain additional financing on acceptable terms. The occurrence of any of these events could have a material adverse effect on our financial condition and liquidity.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our Common Stock may fluctuate significantly, and this may make it difficult to resell our Common Stock when holders want or at prices they find attractive.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market price for our Common Stock has been highly volatile and subject to significant fluctuations. We expect the market price of our Common Stock to continue to be volatile and subject to these fluctuations in response to a wide variety of factors, including the following:</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financial guidance, if any, or securities analysts’ estimates of our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In addition, the stock markets from time to time experience price and volume fluctuations that may be unrelated or disproportionate to the operating performance of companies and that may be extreme. These fluctuations may adversely affect the trading price of our Common Stock, regardless of our actual operating performance.</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issued a substantial number of shares of Common Stock in connection with our financing transactions that occurred in early 2014 (“2014 Financing Transactions”) and have registered such shares for resale under the Securities Act, which could lead to significant sales of our Common Stock and may adversely affect the market price of our Common Stock.</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2014 Financing Transactions, which are further described in the “Debt and Financing” footnote of our consolidated financial statements, we issued 14,333,334 shares of our Common Stock and 583,334 shares of our Convertible Preferred Stock, which automatically converted into an aggregate of 2,333,336 shares of Common Stock on March 14, 2014. The registration of these shares facilitates the resale of such shares of Common Stock into the public market, and increase the number of shares of our Common Stock available for public trading. Sales of a substantial number of shares of our Common Stock in the public market, could have a material adverse effect on the market price of our Common Stock.</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issuances of our Common Stock or equity-related securities in the public market could adversely affect the trading price of our Common Stock and our ability to raise funds in new stock offerings.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future, we may issue additional shares of our Common Stock to raise capital or in connection with a restructuring or refinancing of our indebtedness. Shares of our Common Stock are reserved for issuance, exercise of outstanding stock options and vesting of outstanding share units. As of December 31, 2015, we had outstanding options to purchase an aggregate of approximately 33,000 shares of Common Stock, outstanding nonvested restricted stock and share units and performance based share units representing the right to receive a total of approximately 982,000 shares of Common Stock upon vesting, and an aggregate of approximately 2.9 million shares of our Common Stock was reserved for future issuance under our Amended and Restated 2011 Incentive and Equity Award Plan (the “Amended 2011 Plan”). We have registered under the Securities Act all of the shares of Common Stock that we may issue upon the exercise of our outstanding options and the vesting of outstanding share units and on account of future awards made under the Amended 2011 Plan. All of these registered shares can be freely sold in the public market upon issuance, except for shares issued to our directors and executive officers, which sales are subject to certain volume and timing restrictions. If a large number of these shares are sold in the public market, the sales could reduce the trading price of our Common Stock.</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cannot predict the size of future issuances or the effect, if any, that such issuances may have on the market price for our Common Stock. Sales of significant amounts of our Common Stock or equity-related securities in the public market, or the perception that such sales may occur, could adversely affect prevailing trading prices of our Common Stock and could impair our ability to raise capital through future offerings of equity or equity-related securities. Further sales of shares of our Common Stock or the availability of shares of our Common Stock for future sale or in connection with hedging and arbitrage activity that may develop with respect to our Common Stock, could adversely affect the trading price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in the foreseeable future.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anticipate that we will pay any dividends on shares of our Common Stock in the foreseeable future. We intend to retain any future earnings to fund operations, to service debt and to use for other corporate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 issue shares of preferred stock that may adversely affect the rights of holders of our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currently authorizes the issuance of 5.0 million shares of preferred stock. Our Board of Directors is authorized to approve the issuance of one or more series of preferred stock without further authorization of our shareholders and to fix the number of shares, the designations, the relative rights and the limitations of any series of preferred stock. As a result, our Board, without shareholder approval, could authorize the issuance of preferred stock with voting, conversion and other rights that could proportionately reduce, minimize or otherwise adversely affect the voting power and other rights of holders of our Common Stock or other series of preferred stock or that could have the effect of delaying, deferring or preventing a change in our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holding company and we are dependent on the ability of our subsidiaries to distribute funds to us.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holding company and our subsidiaries conduct substantially all of our consolidated operations and own substantially all of our consolidated assets. Consequently, our cash flow and our ability to make payments on our indebtedness substantially depends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upon our subsidiaries’ cash flow and payments of funds to us by our subsidiaries. Our subsidiaries’ ability to make any advances, distributions or other payments to us may be restricted by, among other things, debt instruments, tax considerations and legal restrictions. If we are unable to obtain funds from our subsidiaries as a result of these restrictions, we may not be able to pay principal of, or cash interest on, our indebtedness when due, and we cannot assure you that we will be able to obtain the necessary funds from other sources.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general economic factors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a number of general economic factors that may adversely affect our business, financial condition and results of operations, many of which are largely out of our control. These factors include recessionary economic cycles and downturns in customers’ business cycles and changes in their business practices,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Because a portion of our costs are fixed, it may be difficult for us to quickly adjust our cost structure proportionally with fluctuations in volume levels. Customers encountering adverse economic conditions represent a greater potential for loss, and we may be required to increase our reserve for bad-debt losses. Further, we depend on our suppliers for equipment, parts and services that are critical to our business. A disruption in the availability of these supplies or a material increase in their cost due to adverse economic conditions or financial constraints of our suppliers could adversely impact our business, results of operations and liquidity.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business risks and increasing costs associated with the transportation industry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business risks and increasing costs associated with the transportation industry that are largely out of our control, any of which could adversely affect our business, financial condition and results of operations. The factors contributing to these risks and costs include weather, excess capacity in the transportation industry, interest rates, fuel prices and taxes, fuel surcharge collection, terrorist attacks, license and registration fees, insurance premiums, self-insurance levels, and letters of credit required to support outstanding claims, difficulty in recruiting and retaining qualified drivers, the risk of widespread disruption of our technology systems, and increasing equipment and operational costs. Our results of operations may also be adversely affected by seasonal factors. Further, the future availability and support available for our current technology may make it necessary for us to upgrade or change these systems, which may be costly and could disrupt or reduce the efficiency of our operations.</w:t>
      </w:r>
    </w:p>
    <w:p>
      <w:pPr>
        <w:spacing w:after="0" w:line="17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operate in a highly competitive industry, and our business will suffer if we are unable to adequately address potential downward pricing pressures and other factors that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Numerous competitive factors could adversely affect our business, financial condition and results of operations. These factors include the following:</w:t>
      </w:r>
    </w:p>
    <w:p>
      <w:pPr>
        <w:spacing w:after="0" w:line="237"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compete with many other transportation service providers of varying sizes and types, some of which have a lower cost structure, more equipment and greater capital resources than we do or have other competitive advantages.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competitors periodically reduce their prices to gain business, especially during times of reduced growth rates in the economy, which limits our ability to maintain or increase prices or maintain or grow our business.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customers may negotiate rates or contracts that minimize or eliminate our ability to offset fuel prices through fuel surcharges.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Many customers reduce the number of carriers they use by selecting so-called “core carriers” as approved transportation service providers, and in some instances, we may not be selected.</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Many customers periodically accept bids from multiple carriers for their shipping needs, which may depress prices or result in the loss of some business to competitors.</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trend towards consolidation in the ground transportation industry may create other large carriers with greater financial resources and other competitive advantages relating to their size.</w:t>
      </w: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Advances in technology require increased investments to remain competitive, and our customers may not be willing to accept higher prices to cover the cost of these investments.</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Competition from non-asset-based logistics and freight brokerage companies may adversely affect our customer relationships and prices.</w:t>
      </w:r>
    </w:p>
    <w:p>
      <w:pPr>
        <w:spacing w:after="0" w:line="20"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union carrier, we may have a competitive disadvantage compared to non-union carriers with lower cost structures and greater operating flexibility.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3" w:name="page14"/>
    <w:bookmarkEnd w:id="13"/>
    <w:p>
      <w:pPr>
        <w:jc w:val="both"/>
        <w:spacing w:after="0" w:line="266" w:lineRule="auto"/>
        <w:rPr>
          <w:sz w:val="20"/>
          <w:szCs w:val="20"/>
          <w:color w:val="auto"/>
        </w:rPr>
      </w:pPr>
      <w:r>
        <w:rPr>
          <w:rFonts w:ascii="Arial" w:cs="Arial" w:eastAsia="Arial" w:hAnsi="Arial"/>
          <w:sz w:val="18"/>
          <w:szCs w:val="18"/>
          <w:b w:val="1"/>
          <w:bCs w:val="1"/>
          <w:color w:val="auto"/>
        </w:rPr>
        <w:t>If our relationship with our employees and unions were to deteriorate, we may be faced with labor disruptions or stoppages, which could have a material adverse effect on our business, financial condition and results of operations and place us at a disadvantage relative to non-union competitors.</w:t>
      </w:r>
    </w:p>
    <w:p>
      <w:pPr>
        <w:spacing w:after="0" w:line="18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Each of our operating subsidiaries have employees who are represented by the International Brotherhood of Teamsters (“IBT”). These employees represent the majority of our workforce at December 31, 2015. Salaries, wages and employee benefits compose over half of our operating costs.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YRC Freight, New Penn, and Holland subsidiaries employ most of their unionized employees under the terms of a common national master freight agreement with the IBT, as supplemented by additional regional supplements and local agreements, a significant majority of which will expire on March 31, 2019. The IBT also represents a number of employees at Reddaway, and YRC Reimer under more localized agreements, which have wages, benefit contributions and other terms and conditions that better fit the cost structure and operating models of these business units. Our subsidiaries are regularly subject to grievances, arbitration proceedings and other claims concerning alleged past and current non-compliance with applicable labor law and collective bargaining agreements.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Neither we nor any of our subsidiaries can predict the outcome of any of these matters. These matters, if resolved in a manner unfavorable to us, could have a material adverse effect on our business, financial condition, liquidity and results of operations.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pension expense and funding obligations could increase significantly and have a material adverse effect on our business, financial condition and results of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funding obligations for our U.S. single-employer defined benefit pension plans qualified with the Internal Revenue Service (“IRS”) depend upon their funded status, the future performance of assets set aside in trusts for these plans, the level of interest rates used to determine funding levels and actuarial experience, and any changes in government laws and regulations.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subsidiaries began making contributions to most of the multi-employer pension funds (the “funds”) beginning June 1, 2011 at the rate of 25% of the contribution rate in effect on July 1, 2009. A fund that did not allow our subsidiaries to begin making contributions at a reduced rate elected to either (i) apply the amount of the contributions toward paying down previously deferred contributions under our Contribution Deferral Agreement, or (ii) have the amount of the contributions placed in escrow until such time when the fund is able to accept re-entry at the reduced 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contributions to the funds do not reach certain goals (including those required not to enter endangered or critical status or those required by a fund’s funding improvement or rehabilitation plan), our pension expenses and required cash contributions could further increase upon the expiration of our collective bargaining agreements and, as a result, could materially adversely affect our business, financial condition and results of operations. Decreases in investment returns that are not offset by contributions could also increase our obligations under such plans.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information obtained from public filings and from plan administrators and trustees, we believe our portion of the contingent liability in the case of a full withdrawal from or termination of all of the multi-employer pension plans would be an estimated $10 billion on a pre-tax basis. If we were subject to withdrawal liability with respect to a plan, the Employment Retirement Income Security Act of 1974, as amended (“ERISA”), provides that a withdrawing employer can pay the obligation in a lump sum or over time based upon an annual payment that is the highest contribution rate to the relevant plan multiplied by the average of the three highest consecutive years measured in contribution base units, which, in some cases, could be up to 20 years. Even so, our applicable subsidiaries have no current intention of taking any action that would subject us to payment of material withdrawal obligations; however we cannot provide any assurance that such obligations will not arise in the future which would have a material adverse effect on our business, financial condition, liquidity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self-insurance and claims expenses could have a material adverse effect on our business, financial condition and results of operations.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future insurance and claims expenses might exceed historical levels. We currently self-insure for a majority of our claims exposure resulting from workers’ compensation, property damage and liability claims, and cargo and have large deductible purchased insurance. If the number or severity of claims for which we are self-insured increases, our business, financial condition and results of operations could be adversely affected, and we may have to post additional letters of credit or cash collateral to state workers’ compensation authorities or insurers to support our insurance policies, which may adversely affect our liquidity. Although we have significantly reduced our letter of credit expense in recent years, there is no assurance this trend will continue. If we lose our ability to self-insure, our insurance costs could materially increase, and we may find it difficult to obtain adequate levels of insurance coverage.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6" w:right="2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color w:val="auto"/>
        </w:rPr>
        <w:t>Our self-insured retention limits can make our insurance and claims expense higher or more volatile. We accrue for the costs of the uninsured portion of pending claims, based on the nature and severity of individual claims and historical claims development trends. Estimating the number and severity of claims, as well as related judgment or settlement amounts is inherently difficult. This, along with legal expenses, incurred but not reported claims, and other uncertainties can cause unfavorable differences between actual self-insurance costs and our reserve estimates.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general, our coverage with respect to each of workers’ compensation, property damage and liability claims, and cargo claims is subject to insurance limits. Although we believe our aggregate insurance limits are sufficient to cover reasonably expected claims, it is possible that one or more claims could exceed those limits. In this case, we would bear the excess expense, in addition to the amount of self-insurance. Our insurance and claims expense could increase, or we could find it necessary to raise our self-insured retention or decrease our aggregate coverage limits when our policies are renewed or replaced.</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significant ongoing capital expenditure requirements that could have a material adverse effect on our business, financial condition and results of operations if we are unable to generate sufficient cash from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capital intensive. Our capital expenditures focus primarily on revenue equipment replacement, land and structures and investments in information technology. Our capital expenditures for the years ended December 31, 2015 and 2014 were $108.0 million and $69.2 million, respectively. These amounts were principally used to fund the purchase of used tractors and trailers, to refurbish engines for our revenue fleet, and capitalized costs for our network facilities and technology infrastructure. We will need to continue to update our fleet periodically. If we are unable to generate sufficient cash from operations to fund our capital requirements, we may have to limit our growth, utilize our existing liquidity, or enter into additional financing arrangements, including leasing arrangements, or operate our revenue equipment (including tractors and trailers) for longer periods resulting in increased maintenance costs, any of which could reduce our operating income. If our cash from operations and existing financing arrangements are not sufficient to fund our capital expenditure requirements, we may not be able to obtain additional financing at all or on terms acceptable to us. In addition, our credit facilities contain provisions that limit our level of annual capital expenditures.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an industry subject to extensive government regulations, and costs of compliance with, or liability for violation of, existing or future regulations could significantly increase our costs of doing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Departments of Transportation and Homeland Security and various federal, state, local and foreign agencies exercise broad powers over our business, generally governing such activities as authorization to engage in motor carrier operations, safety and permits to conduct transportation business. Our drivers are also subject to hours-of-service rules from the Federal Motor Carrier Safety Administration (“FMCSA”). In the future, we may become subject to new or more restrictive regulations that the FMCSA, Departments of Transportation and Homeland Security, the Occupational Safety and Health Administration, the Environmental Protection Agency or other authorities impose, including regulations relating to engine exhaust emissions, the hours of service that our drivers may provide in any one time period, security and other matters. Compliance with these regulations could substantially impair equipment productivity and increase our costs.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2010, the FMSCA established the Compliance Safety Accountability (“CSA”) motor carrier oversight program under which drivers and fleets are evaluated based on certain safety-related standards. Carriers’ safety and fitness ratings under CSA include the on-road safety performance of the carriers’ drivers. The FMSCA has also implemented changes to the hours of service regulations which govern the work hours of commercial drivers and recently adopted a rule that requires commercial drivers who currently use paper log books to maintain hours-of-service records with electronic logging devices (“ELDs”) by December 2017 and commercial drivers who use automatic on-board recording devices to adopt ELDs by December 2019. We are currently in the process of updating our fleet to comply with these new regulations. The FMSCA has announced a number of other safety-related proposals that are pending legislative approval the process of being adopted. As a result of these increased standards, drivers who do not meet such standards are not eligible to drive for us. If we experience safety and fitness violations, our fleet could be ranked poorly as compared to our peers, and our safety and fitness scores could be adversely impacted. A reduction in our safety and fitness scores or those of our drivers could also reduce our competitiveness in relation to other companies who retain higher scores. Additionally, competition for drivers with favorable safety ratings may increase and thus provide for increases in driver-related compensation costs.</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Like many trucking companies, we compensate our drivers based primarily on piece-rate and activity-based formulas. California recently adopted legislation that sets forth requirements for the payment of a separate hourly wage for “nonproductive” time worked by piece-rate employees, and separate payment for compensable rest and recovery periods to those employees. Specifically, the new legislation, which became effective January 1, 2016, codifies three basic statutory requirements for the payment of employees on a piece-rate basis: (i) employees must be separately compensated for the time during which they take rest and recovery breaks; (ii) employees must be separately compensated for “other nonproductive time,” which is defined as “time 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the employer’s control, exclusive of rest and recovery periods, that is not directly related to the activity being compensated on a piece-rate basis;” and (iii) that this “other nonproduction time” time must be compensated at an hourly rate no less than the applicable minimum wage. The practical application and reconciliation of this new state legislation to interstate commerce is very complex and ambiguous. Consequently, the ultimate financial and operational impact cannot be determined at this time, but we believe it may increase our operating costs depending on the extent to which the same is applicable to our operations.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various Environmental Regulations, and costs of compliance with, or liabilities for violations of, existing or future laws and regulations could significantly increase our costs of doing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are subject to Environmental Regulations dealing with, among other things, the handling of hazardous materials, underground fuel storage tanks and discharge and retention of storm water. We operate in industrial areas, where truck terminals and other industrial activities are located, and where groundwater or other forms of environmental contamination may have occurred. Our operations involve the risks of fuel spillage or seepage, environmental damage and hazardous waste disposal, among others. If we are involved in a spill or other accident involving hazardous substances, or if we are found to be in violation of applicable environmental laws or regulations, it could significantly increase our cost of doing business. Under specific environmental laws and regulations, we could be held responsible for all of the costs relating to any contamination at our past or present terminals and at third-party waste disposal sites. If we fail to comply with applicable environmental laws and regulations, we could be subject to substantial fines or penalties and to civil and criminal liability.</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as climate change initiatives become more prevalent, federal, state and local governments and our customers are beginning to promulgate solutions for these issues. This increased focus on greenhouse gas emission reductions and corporate environmental sustainability may result in new regulations and customer requirements that could negatively affect us. This could cause us to incur additional direct costs or to make changes to our operations in order to comply with any new regulations and customer requirements, as well as increased indirect costs or loss of revenue resulting from, among other things, our customers incurring additional compliance costs that affect our costs and revenues. We could also lose revenue if our customers divert business from us because we have not complied with their sustainability requirements. These costs, changes and loss of revenue could have a material adverse effect on our business, financial condition, liquidity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harmed by anti-terrorism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aftermath of terrorist attacks on the United States, federal, state and municipal authorities have implemented and are implementing various security measures, including checkpoints and travel restrictions on large trucks. Although many companies would be adversely affected by any slowdown in the availability of freight transportation, the negative impact could affect our business disproportionately. For example, we offer specialized services that guarantee on-time delivery. If the security measures disrupt or impede the timing of our deliveries, we may fail to meet the needs of our customers, or may incur increased expenses to do so. We cannot assure you that these measures will not significantly increase our costs and reduce our operating margins and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or future litigation may adversely affect our business, financial condition, liquidity or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been and continue to be involved in legal proceedings, claims and other litigation that arise in the ordinary course of business. Litigation may be related to labor and employment, competitive matters, property damage and liability claims, safety and contract compliance, environmental liability, our past financial restructurings and other matters. We discuss legal proceedings in the “Commitments, Contingencies and Uncertainties” footnote to our consolidated financial statements included elsewhere in this Annual Report on Form 10-K. Some or all of our expenditures to defend, settle or litigate these matters may not be covered by insurance or could impact our cost and ability to obtain insurance in the future. Litigation can be expensive, lengthy and disruptive to normal business operations, including to our management due to the increased time and resources required to respond to and address the litigation. The results of complex legal proceedings are often uncertain and difficult to predict. An unfavorable outcome of any particular matter or any future legal proceedings could have a material adverse effect on our business, financial condition, liquidity or results of operations. In the future, we could incur judgments or enter into settlements of claims that could harm our financial position, liquidity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expected benefits and cost savings from operational changes and performance improvement initiatives.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initiate operational changes and process improvements to reduce costs and improve financial performance. These changes and initiatives typically include evaluating management talent, reducing overhead costs, closing redundant facilities, making upgrades to our technology, eliminating non-core assets and unnecessary activities and implementing changes of operations under our labor agreements. There is no assurance that any changes and improvements will be successful, that their implementation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may not have an adverse impact on our operating results or that we will not have to initiate additional changes and improvements in order to achieve the projected benefits and cost savings.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Difficulties attracting and retaining qualified drivers could result in increases in driver compensation and purchased transportation costs and could adversely affect our profitability and our ability to maintain or grow our fleet.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Should our shipping volumes increase, we may need to attract new qualified drivers and may face difficulty doing so. Like many in the trucking industry, it is important to our business that we retain the necessary number of qualified drivers to operate efficiently. Regulatory requirements, including the CSA program of the FMCSA, have reduced the number of eligible employee drivers and independent contractors and may continue to do so in the future. Future Company driver shortages may result in less than optimal use of purchased transportation, which may result in higher costs to the Company. The compensation we offer our drivers is subject to market conditions, and we may find it necessary to increase driver compensation in future periods if we must attract new drivers. In addition, we and our industry suffer from a high driver turnover rate. Driver turnover requires us to continually recruit a substantial number of drivers in order to operate existing revenue equipment. If we are unable to continue to retain drivers and attract new drivers when needed, we could be required to adjust our compensation packages, increase our use of purchased transportation, let tractors sit idle, or operate with fewer tractors and face difficulty meeting customer demands, any of which would adversely affect our growth and profitability.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privacy breach or IT system disruption could adversely affect our business and we may be required to increase our spending on data and system security.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information technology networks and systems, including the Internet, to process, transmit and store electronic information, and to manage or support a variety of business processes and activities. In addition, the provision of service to our customers and the operation of our networks and systems involve the storage and transmission of proprietary information and sensitive or confidential data, including personal information of customers, employees and others. Our information technology systems, some of which are managed by third-parties, may be susceptible to damage, disruptions or shutdowns due to failures during the process of upgrading or replacing software, databases or components thereof, power outages, hardware failures, computer viruses, attacks by computer hackers, malicious insiders, telecommunication failures, user errors or catastrophic events. Hackers, acting individually or in coordinated groups, may also launch distributed denial of service attacks or other coordinated attacks that may cause service outages or other interruptions in our business. In addition, breaches in security could expose us, our customers, or the individuals affected, to a risk of loss or misuse of proprietary information and sensitive or confidential data. The techniques used to obtain unauthorized access, disable or degrade service or sabotage systems change frequently, may be difficult to detect for a long time and often are not recognized until launched against a target. As a result, we may be unable to anticipate these techniques or to implement adequate preventative measures.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of these occurrences could result in disruptions in our operations, the loss of existing or potential customers, damage to our brand and reputation, and litigation and potential liability for the company. In addition, the cost and operational consequences of implementing further data or system protection measures could be significant and our efforts to deter, identify, mitigate and/or eliminate any security breaches may not be successful.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doing business in foreign countries.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 a portion of our operations in Canada and, to a lesser extent, Mexico. In addition, our JHJ joint venture, which is currently under a contract for sale, operates in China. Our revenue from foreign sources totaled $116.5 million, $137.5 million, and $139.5 million in 2015, 2014 and 2013, respectively, and our long-lived assets located in foreign countries totaled $6.5 million, $8.7 million and $12.4 million at December 31, 2015, 2014, and 2013, respectively. As a participating carrier in the Customs and Trade Partnership Against Terrorism (“C-TPAT”) program, we and our contractors are able to cross into these countries more efficiently, thereby avoiding substantial delays. If we should lose the ability to participate in the C-TPAT program, we could experience significant border delays which could have a negative impact on our ability to remain competitive and operate efficiently in those countries. In addition, our foreign operations are subject to certain risks inherent in doing business in jurisdictions outside of the United States, including:</w:t>
      </w:r>
    </w:p>
    <w:p>
      <w:pPr>
        <w:spacing w:after="0" w:line="16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local economic, political and labor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laws, regulations, trade, monetary or fiscal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interest rates, foreign currency exchange rates and changes in the rate of 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tariffs, quotas, customs and other import or export restrictions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of enforcing agreements, collecting receivables and protecting assets through non-U.S.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withholding and other taxes on remittances and other payments by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violence and civil unrest in foreign countries;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7" w:name="page18"/>
    <w:bookmarkEnd w:id="17"/>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the requirements of applicable anti-bribery laws, including the U.S. Foreign Corrupt Practices Act (“FCPA”);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law;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controls on the repatriation of cash, including the imposition or increase of withholding and other taxes on remittances and other payments by our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2015, we operated a total of 384 transportation service facilities located in 50 states, Puerto Rico, Canada and Mexico. Of this total, we own 186 and we lease 198, generally with lease terms ranging from one month to ten years with right of renewal options. The number of customer freight servicing doors totaled 20,934, of which 12,080 are at owned facilities and 8,854 are at leased facilities. The transportation service centers vary in size ranging from one to three doors at small local facilities to 426 doors at the largest consolidation and distribution facility. In addition, we and our subsidiaries own and occupy a general office building in Lebanon, Pennsylvania. We also lease and occupy general office buildings in Holland, Michigan, Overland Park, Kansas, Sioux Falls, South Dakota, Tualatin, Oregon and Winnipeg, Manitoba. Our owned transportation service facilities and office buildings serve as collateral under our credit agreements.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facilities and equipment are adequate to meet current business requirements in 2016. Refer to “Item 7. Management’s Discussion and Analysis of Financial Condition and Results of Operations” for a more detailed discussion of expectations regarding capital spending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footnote of our consolidated financial statements included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3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are our executive officers, each of whom serves until his or her successor has been elected and qualified or until his or her earlier resignation or removal:</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70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Age</w:t>
            </w:r>
          </w:p>
        </w:tc>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Position(s) Held</w:t>
            </w:r>
          </w:p>
        </w:tc>
      </w:tr>
      <w:tr>
        <w:trPr>
          <w:trHeight w:val="20"/>
        </w:trPr>
        <w:tc>
          <w:tcPr>
            <w:tcW w:w="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49"/>
        </w:trPr>
        <w:tc>
          <w:tcPr>
            <w:tcW w:w="2060" w:type="dxa"/>
            <w:vAlign w:val="bottom"/>
            <w:gridSpan w:val="2"/>
          </w:tcPr>
          <w:p>
            <w:pPr>
              <w:spacing w:after="0"/>
              <w:rPr>
                <w:sz w:val="20"/>
                <w:szCs w:val="20"/>
                <w:color w:val="auto"/>
              </w:rPr>
            </w:pPr>
            <w:r>
              <w:rPr>
                <w:rFonts w:ascii="Arial" w:cs="Arial" w:eastAsia="Arial" w:hAnsi="Arial"/>
                <w:sz w:val="18"/>
                <w:szCs w:val="18"/>
                <w:color w:val="auto"/>
              </w:rPr>
              <w:t>James L. Welch</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8740" w:type="dxa"/>
            <w:vAlign w:val="bottom"/>
            <w:gridSpan w:val="2"/>
          </w:tcPr>
          <w:p>
            <w:pPr>
              <w:spacing w:after="0"/>
              <w:rPr>
                <w:sz w:val="20"/>
                <w:szCs w:val="20"/>
                <w:color w:val="auto"/>
              </w:rPr>
            </w:pPr>
            <w:r>
              <w:rPr>
                <w:rFonts w:ascii="Arial" w:cs="Arial" w:eastAsia="Arial" w:hAnsi="Arial"/>
                <w:sz w:val="18"/>
                <w:szCs w:val="18"/>
                <w:color w:val="auto"/>
                <w:w w:val="93"/>
              </w:rPr>
              <w:t>YRC Worldwide : Chief Executive Officer (since 2011); Dynamex Inc. (transportation and logistics services): President</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3"/>
              </w:rPr>
              <w:t>and Chief Executive Officer (2008 - 2011); JHT Holdings (truck transportation): Interim Chief Executive Officer (2007 -</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4"/>
              </w:rPr>
              <w:t>2008); Yellow Transportation (subsidiary of our Company): President and Chief Executive Officer (2000 - 2007), and</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5"/>
              </w:rPr>
              <w:t>various other positions (1978 - 2000); Current Director: SkyWest Inc. (regional airline), and Erickson Air Crane, Inc.</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2"/>
              </w:rPr>
              <w:t>(manufacturing and operating); Former Director: Dynamex Inc., Spirit AeroSystems Holdings Inc. (commercial airplane</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assemblies and components), and Roadrunner Transportation (transportation and logistics services).</w:t>
            </w:r>
          </w:p>
        </w:tc>
      </w:tr>
      <w:tr>
        <w:trPr>
          <w:trHeight w:val="593"/>
        </w:trPr>
        <w:tc>
          <w:tcPr>
            <w:tcW w:w="2060" w:type="dxa"/>
            <w:vAlign w:val="bottom"/>
            <w:gridSpan w:val="2"/>
          </w:tcPr>
          <w:p>
            <w:pPr>
              <w:spacing w:after="0"/>
              <w:rPr>
                <w:sz w:val="20"/>
                <w:szCs w:val="20"/>
                <w:color w:val="auto"/>
              </w:rPr>
            </w:pPr>
            <w:r>
              <w:rPr>
                <w:rFonts w:ascii="Arial" w:cs="Arial" w:eastAsia="Arial" w:hAnsi="Arial"/>
                <w:sz w:val="18"/>
                <w:szCs w:val="18"/>
                <w:color w:val="auto"/>
              </w:rPr>
              <w:t>Jamie G. Pierson</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8740" w:type="dxa"/>
            <w:vAlign w:val="bottom"/>
            <w:gridSpan w:val="2"/>
          </w:tcPr>
          <w:p>
            <w:pPr>
              <w:spacing w:after="0"/>
              <w:rPr>
                <w:sz w:val="20"/>
                <w:szCs w:val="20"/>
                <w:color w:val="auto"/>
              </w:rPr>
            </w:pPr>
            <w:r>
              <w:rPr>
                <w:rFonts w:ascii="Arial" w:cs="Arial" w:eastAsia="Arial" w:hAnsi="Arial"/>
                <w:sz w:val="18"/>
                <w:szCs w:val="18"/>
                <w:color w:val="auto"/>
                <w:w w:val="99"/>
              </w:rPr>
              <w:t>Executive Vice President and Chief Financial Officer of YRC Worldwide (since November 2011); Interim Chief</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4"/>
              </w:rPr>
              <w:t>Financial Officer of YRC Worldwide Inc. (August 2011-November 2011); Managing Director, Alvarez &amp; Marsal North</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1"/>
              </w:rPr>
              <w:t>America, LLC (professional services) (2008-November 2011); Vice President - Corporate Development and Integration,</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7"/>
              </w:rPr>
              <w:t>Greatwide Logistics Services, Inc. (transportation and logistics) (2007-2008); Director, FTI Capital Advisors, LLC</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1"/>
              </w:rPr>
              <w:t>(investment bank) (2002-2007); Vice President, FTI Consulting, Inc. (2001-2002); Vice President, Stonegate Securities,</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7"/>
              </w:rPr>
              <w:t>Inc. (investment bank) (2000-2001); Associate, Houlihan Lokey Howard &amp; Zukin (investment bank) (1997-2000).</w:t>
            </w:r>
          </w:p>
        </w:tc>
      </w:tr>
      <w:tr>
        <w:trPr>
          <w:trHeight w:val="377"/>
        </w:trPr>
        <w:tc>
          <w:tcPr>
            <w:tcW w:w="2060" w:type="dxa"/>
            <w:vAlign w:val="bottom"/>
            <w:gridSpan w:val="2"/>
          </w:tcPr>
          <w:p>
            <w:pPr>
              <w:spacing w:after="0"/>
              <w:rPr>
                <w:sz w:val="20"/>
                <w:szCs w:val="20"/>
                <w:color w:val="auto"/>
              </w:rPr>
            </w:pPr>
            <w:r>
              <w:rPr>
                <w:rFonts w:ascii="Arial" w:cs="Arial" w:eastAsia="Arial" w:hAnsi="Arial"/>
                <w:sz w:val="18"/>
                <w:szCs w:val="18"/>
                <w:color w:val="auto"/>
              </w:rPr>
              <w:t>James A. Fry</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8740" w:type="dxa"/>
            <w:vAlign w:val="bottom"/>
            <w:gridSpan w:val="2"/>
          </w:tcPr>
          <w:p>
            <w:pPr>
              <w:spacing w:after="0"/>
              <w:rPr>
                <w:sz w:val="20"/>
                <w:szCs w:val="20"/>
                <w:color w:val="auto"/>
              </w:rPr>
            </w:pPr>
            <w:r>
              <w:rPr>
                <w:rFonts w:ascii="Arial" w:cs="Arial" w:eastAsia="Arial" w:hAnsi="Arial"/>
                <w:sz w:val="18"/>
                <w:szCs w:val="18"/>
                <w:color w:val="auto"/>
                <w:w w:val="93"/>
              </w:rPr>
              <w:t>Vice President, General Counsel and Corporate Secretary of YRC Worldwide (since April 2015); Swift Transportation</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6"/>
              </w:rPr>
              <w:t>Company: Executive Vice President and General Counsel (2010-2015), Corporate Counsel (2008-2010); General</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Counsel of Global Aircraft Solutions, Inc. (2003-2008).</w:t>
            </w:r>
          </w:p>
        </w:tc>
      </w:tr>
      <w:tr>
        <w:trPr>
          <w:trHeight w:val="377"/>
        </w:trPr>
        <w:tc>
          <w:tcPr>
            <w:tcW w:w="2060" w:type="dxa"/>
            <w:vAlign w:val="bottom"/>
            <w:gridSpan w:val="2"/>
          </w:tcPr>
          <w:p>
            <w:pPr>
              <w:spacing w:after="0"/>
              <w:rPr>
                <w:sz w:val="20"/>
                <w:szCs w:val="20"/>
                <w:color w:val="auto"/>
              </w:rPr>
            </w:pPr>
            <w:r>
              <w:rPr>
                <w:rFonts w:ascii="Arial" w:cs="Arial" w:eastAsia="Arial" w:hAnsi="Arial"/>
                <w:sz w:val="18"/>
                <w:szCs w:val="18"/>
                <w:color w:val="auto"/>
              </w:rPr>
              <w:t>Mark D. Boehmer</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8740" w:type="dxa"/>
            <w:vAlign w:val="bottom"/>
            <w:gridSpan w:val="2"/>
          </w:tcPr>
          <w:p>
            <w:pPr>
              <w:spacing w:after="0"/>
              <w:rPr>
                <w:sz w:val="20"/>
                <w:szCs w:val="20"/>
                <w:color w:val="auto"/>
              </w:rPr>
            </w:pPr>
            <w:r>
              <w:rPr>
                <w:rFonts w:ascii="Arial" w:cs="Arial" w:eastAsia="Arial" w:hAnsi="Arial"/>
                <w:sz w:val="18"/>
                <w:szCs w:val="18"/>
                <w:color w:val="auto"/>
                <w:w w:val="92"/>
              </w:rPr>
              <w:t>Vice President and Treasurer of YRC Worldwide (since July 2013); Vice President and Treasurer of Sealy Corporation</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(bedding manufacturer) (2003-2013).</w:t>
            </w:r>
          </w:p>
        </w:tc>
      </w:tr>
      <w:tr>
        <w:trPr>
          <w:trHeight w:val="377"/>
        </w:trPr>
        <w:tc>
          <w:tcPr>
            <w:tcW w:w="2060" w:type="dxa"/>
            <w:vAlign w:val="bottom"/>
            <w:gridSpan w:val="2"/>
          </w:tcPr>
          <w:p>
            <w:pPr>
              <w:spacing w:after="0"/>
              <w:rPr>
                <w:sz w:val="20"/>
                <w:szCs w:val="20"/>
                <w:color w:val="auto"/>
              </w:rPr>
            </w:pPr>
            <w:r>
              <w:rPr>
                <w:rFonts w:ascii="Arial" w:cs="Arial" w:eastAsia="Arial" w:hAnsi="Arial"/>
                <w:sz w:val="18"/>
                <w:szCs w:val="18"/>
                <w:color w:val="auto"/>
              </w:rPr>
              <w:t>Stephanie D. Fisher</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8740" w:type="dxa"/>
            <w:vAlign w:val="bottom"/>
            <w:gridSpan w:val="2"/>
          </w:tcPr>
          <w:p>
            <w:pPr>
              <w:spacing w:after="0"/>
              <w:rPr>
                <w:sz w:val="20"/>
                <w:szCs w:val="20"/>
                <w:color w:val="auto"/>
              </w:rPr>
            </w:pPr>
            <w:r>
              <w:rPr>
                <w:rFonts w:ascii="Arial" w:cs="Arial" w:eastAsia="Arial" w:hAnsi="Arial"/>
                <w:sz w:val="18"/>
                <w:szCs w:val="18"/>
                <w:color w:val="auto"/>
              </w:rPr>
              <w:t>Vice President and Controller of YRC Worldwide (since May 2012); Director - Financial Reporting and various</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3"/>
              </w:rPr>
              <w:t>positions in the Company’s Corporate Accounting department (2004-2012); Member of the Supervisory Committee of</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CommunityAmerica Credit Union (since December 2010, Chairman of the Committee since May 2012).</w:t>
            </w:r>
          </w:p>
        </w:tc>
      </w:tr>
      <w:tr>
        <w:trPr>
          <w:trHeight w:val="377"/>
        </w:trPr>
        <w:tc>
          <w:tcPr>
            <w:tcW w:w="2060" w:type="dxa"/>
            <w:vAlign w:val="bottom"/>
            <w:gridSpan w:val="2"/>
          </w:tcPr>
          <w:p>
            <w:pPr>
              <w:spacing w:after="0"/>
              <w:rPr>
                <w:sz w:val="20"/>
                <w:szCs w:val="20"/>
                <w:color w:val="auto"/>
              </w:rPr>
            </w:pPr>
            <w:r>
              <w:rPr>
                <w:rFonts w:ascii="Arial" w:cs="Arial" w:eastAsia="Arial" w:hAnsi="Arial"/>
                <w:sz w:val="18"/>
                <w:szCs w:val="18"/>
                <w:color w:val="auto"/>
              </w:rPr>
              <w:t>Darren D. Hawkins</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8740" w:type="dxa"/>
            <w:vAlign w:val="bottom"/>
            <w:gridSpan w:val="2"/>
          </w:tcPr>
          <w:p>
            <w:pPr>
              <w:spacing w:after="0"/>
              <w:rPr>
                <w:sz w:val="20"/>
                <w:szCs w:val="20"/>
                <w:color w:val="auto"/>
              </w:rPr>
            </w:pPr>
            <w:r>
              <w:rPr>
                <w:rFonts w:ascii="Arial" w:cs="Arial" w:eastAsia="Arial" w:hAnsi="Arial"/>
                <w:sz w:val="18"/>
                <w:szCs w:val="18"/>
                <w:color w:val="auto"/>
                <w:w w:val="93"/>
              </w:rPr>
              <w:t>President (since February 2014), Senior Vice President - Sales and Marketing (January 2013-February 2014) of YRC</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0"/>
              </w:rPr>
              <w:t>Freight; Director of Operations (December 2011-January 2013) and Director of Sales (January 2009-December 2011) for</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Con- Way Freight, a subsidiary of Con-Way, Inc.; various positions of increasing responsibility with Yellow</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Transportation (1991-2009).</w:t>
            </w:r>
          </w:p>
        </w:tc>
      </w:tr>
      <w:tr>
        <w:trPr>
          <w:trHeight w:val="593"/>
        </w:trPr>
        <w:tc>
          <w:tcPr>
            <w:tcW w:w="2060" w:type="dxa"/>
            <w:vAlign w:val="bottom"/>
            <w:gridSpan w:val="2"/>
          </w:tcPr>
          <w:p>
            <w:pPr>
              <w:spacing w:after="0"/>
              <w:rPr>
                <w:sz w:val="20"/>
                <w:szCs w:val="20"/>
                <w:color w:val="auto"/>
              </w:rPr>
            </w:pPr>
            <w:r>
              <w:rPr>
                <w:rFonts w:ascii="Arial" w:cs="Arial" w:eastAsia="Arial" w:hAnsi="Arial"/>
                <w:sz w:val="18"/>
                <w:szCs w:val="18"/>
                <w:color w:val="auto"/>
              </w:rPr>
              <w:t>Scott D. Ware</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8740" w:type="dxa"/>
            <w:vAlign w:val="bottom"/>
            <w:gridSpan w:val="2"/>
          </w:tcPr>
          <w:p>
            <w:pPr>
              <w:spacing w:after="0"/>
              <w:rPr>
                <w:sz w:val="20"/>
                <w:szCs w:val="20"/>
                <w:color w:val="auto"/>
              </w:rPr>
            </w:pPr>
            <w:r>
              <w:rPr>
                <w:rFonts w:ascii="Arial" w:cs="Arial" w:eastAsia="Arial" w:hAnsi="Arial"/>
                <w:sz w:val="18"/>
                <w:szCs w:val="18"/>
                <w:color w:val="auto"/>
                <w:w w:val="95"/>
              </w:rPr>
              <w:t>President (since May 2012), Vice President Operations &amp; Linehaul (2009-2012) and Vice President Linehaul (2007-</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5"/>
              </w:rPr>
              <w:t>2009) of Holland; Director of Linehaul of SAIA Inc. (2002-2007); Director of Linehaul of JEVIC (2000-2002); various</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industry management roles with Preston, Overnite, Con-Way and Spartan Express (1985-2000).</w:t>
            </w:r>
          </w:p>
        </w:tc>
      </w:tr>
      <w:tr>
        <w:trPr>
          <w:trHeight w:val="593"/>
        </w:trPr>
        <w:tc>
          <w:tcPr>
            <w:tcW w:w="2060" w:type="dxa"/>
            <w:vAlign w:val="bottom"/>
            <w:gridSpan w:val="2"/>
          </w:tcPr>
          <w:p>
            <w:pPr>
              <w:spacing w:after="0"/>
              <w:rPr>
                <w:sz w:val="20"/>
                <w:szCs w:val="20"/>
                <w:color w:val="auto"/>
              </w:rPr>
            </w:pPr>
            <w:r>
              <w:rPr>
                <w:rFonts w:ascii="Arial" w:cs="Arial" w:eastAsia="Arial" w:hAnsi="Arial"/>
                <w:sz w:val="18"/>
                <w:szCs w:val="18"/>
                <w:color w:val="auto"/>
              </w:rPr>
              <w:t>Thomas J. O’Connor</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8740" w:type="dxa"/>
            <w:vAlign w:val="bottom"/>
            <w:gridSpan w:val="2"/>
          </w:tcPr>
          <w:p>
            <w:pPr>
              <w:spacing w:after="0"/>
              <w:rPr>
                <w:sz w:val="20"/>
                <w:szCs w:val="20"/>
                <w:color w:val="auto"/>
              </w:rPr>
            </w:pPr>
            <w:r>
              <w:rPr>
                <w:rFonts w:ascii="Arial" w:cs="Arial" w:eastAsia="Arial" w:hAnsi="Arial"/>
                <w:sz w:val="18"/>
                <w:szCs w:val="18"/>
                <w:color w:val="auto"/>
                <w:w w:val="91"/>
              </w:rPr>
              <w:t>President of Reddaway (since January 2007); President of USF Bestway (subsidiary of the Company) (2005-2007); Vice</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7"/>
              </w:rPr>
              <w:t>President - Western Division and officer of the Company (1999-2005), District Manager (1995-1999) and various</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2"/>
              </w:rPr>
              <w:t>management positions of increasing responsibility (1982-1995) of Roadway Express, Inc. (subsidiary of the Company).</w:t>
            </w:r>
          </w:p>
        </w:tc>
      </w:tr>
      <w:tr>
        <w:trPr>
          <w:trHeight w:val="593"/>
        </w:trPr>
        <w:tc>
          <w:tcPr>
            <w:tcW w:w="2060" w:type="dxa"/>
            <w:vAlign w:val="bottom"/>
            <w:gridSpan w:val="2"/>
          </w:tcPr>
          <w:p>
            <w:pPr>
              <w:spacing w:after="0"/>
              <w:rPr>
                <w:sz w:val="20"/>
                <w:szCs w:val="20"/>
                <w:color w:val="auto"/>
              </w:rPr>
            </w:pPr>
            <w:r>
              <w:rPr>
                <w:rFonts w:ascii="Arial" w:cs="Arial" w:eastAsia="Arial" w:hAnsi="Arial"/>
                <w:sz w:val="18"/>
                <w:szCs w:val="18"/>
                <w:color w:val="auto"/>
              </w:rPr>
              <w:t>Donald R. Foust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8740" w:type="dxa"/>
            <w:vAlign w:val="bottom"/>
            <w:gridSpan w:val="2"/>
          </w:tcPr>
          <w:p>
            <w:pPr>
              <w:spacing w:after="0"/>
              <w:rPr>
                <w:sz w:val="20"/>
                <w:szCs w:val="20"/>
                <w:color w:val="auto"/>
              </w:rPr>
            </w:pPr>
            <w:r>
              <w:rPr>
                <w:rFonts w:ascii="Arial" w:cs="Arial" w:eastAsia="Arial" w:hAnsi="Arial"/>
                <w:sz w:val="18"/>
                <w:szCs w:val="18"/>
                <w:color w:val="auto"/>
                <w:w w:val="92"/>
              </w:rPr>
              <w:t>President of New Penn (since August 2014); Regional Vice President, Eastern Sales and Operations (2013-July 2014),</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3"/>
              </w:rPr>
              <w:t>Vice President, Sales and Marketing (2012-2013), Director of Corporate Sales (2011-2012), Regional Sales Manager</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w w:val="92"/>
              </w:rPr>
              <w:t>(2009-2011) of Roadrunner Transportation Services (transportation and logistics); various management roles at Yellow</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Transportation (subsidiary of the Company) (1999-2009).</w:t>
            </w:r>
          </w:p>
        </w:tc>
      </w:tr>
      <w:tr>
        <w:trPr>
          <w:trHeight w:val="702"/>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2"/>
          </w:tcPr>
          <w:p>
            <w:pPr>
              <w:ind w:left="296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00"/>
          </w:cols>
          <w:pgMar w:left="240" w:top="526"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February 12, 2016, 285 stockholders of record held YRC Worldwide common stock. Trading activity averaged 636,524 shares per day during 2015, down from 777,130 per day in 2014. The NASDAQ Stock Market quotes prices for our common stock under the symbol “YRCW.” As part of our 2014 Financing Transactions, which is further described in the “Debt and Financing” footnote of our consolidated financial statements, on January 31, 2014, we issued 583,334 shares of YRC Worldwide Class A Convertible preferred stock (“Class A Preferred Stock”) that converted into 2,333,336 shares of Common Stock in August 2014.</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Financial Information (unaudited)</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and share data)</w:t>
            </w:r>
          </w:p>
        </w:tc>
        <w:tc>
          <w:tcPr>
            <w:tcW w:w="240" w:type="dxa"/>
            <w:vAlign w:val="bottom"/>
          </w:tcPr>
          <w:p>
            <w:pPr>
              <w:spacing w:after="0"/>
              <w:rPr>
                <w:sz w:val="13"/>
                <w:szCs w:val="13"/>
                <w:color w:val="auto"/>
              </w:rPr>
            </w:pPr>
          </w:p>
        </w:tc>
        <w:tc>
          <w:tcPr>
            <w:tcW w:w="10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3"/>
                <w:szCs w:val="13"/>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Second Quarter</w:t>
            </w:r>
          </w:p>
        </w:tc>
        <w:tc>
          <w:tcPr>
            <w:tcW w:w="300" w:type="dxa"/>
            <w:vAlign w:val="bottom"/>
          </w:tcPr>
          <w:p>
            <w:pPr>
              <w:spacing w:after="0"/>
              <w:rPr>
                <w:sz w:val="13"/>
                <w:szCs w:val="13"/>
                <w:color w:val="auto"/>
              </w:rPr>
            </w:pPr>
          </w:p>
        </w:tc>
        <w:tc>
          <w:tcPr>
            <w:tcW w:w="104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3"/>
                <w:szCs w:val="13"/>
                <w:color w:val="auto"/>
              </w:rPr>
            </w:pPr>
          </w:p>
        </w:tc>
        <w:tc>
          <w:tcPr>
            <w:tcW w:w="108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9"/>
              </w:rPr>
              <w:t>Quarter</w:t>
            </w:r>
            <w:r>
              <w:rPr>
                <w:rFonts w:ascii="Arial" w:cs="Arial" w:eastAsia="Arial" w:hAnsi="Arial"/>
                <w:sz w:val="8"/>
                <w:szCs w:val="8"/>
                <w:color w:val="auto"/>
                <w:w w:val="99"/>
              </w:rPr>
              <w:t>(b)</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(Gains) losses on property disposals,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47.7</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Diluted income (loss) per share</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0.61</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Market price of common stock per share: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High</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21.37</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4840" w:type="dxa"/>
            <w:vAlign w:val="bottom"/>
            <w:gridSpan w:val="2"/>
          </w:tcPr>
          <w:p>
            <w:pPr>
              <w:ind w:left="300"/>
              <w:spacing w:after="0"/>
              <w:rPr>
                <w:sz w:val="20"/>
                <w:szCs w:val="20"/>
                <w:color w:val="auto"/>
              </w:rPr>
            </w:pPr>
            <w:r>
              <w:rPr>
                <w:rFonts w:ascii="Arial" w:cs="Arial" w:eastAsia="Arial" w:hAnsi="Arial"/>
                <w:sz w:val="18"/>
                <w:szCs w:val="18"/>
                <w:color w:val="auto"/>
              </w:rPr>
              <w:t>Low</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12.89</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11.90</w:t>
            </w:r>
          </w:p>
        </w:tc>
        <w:tc>
          <w:tcPr>
            <w:tcW w:w="2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588"/>
        </w:trPr>
        <w:tc>
          <w:tcPr>
            <w:tcW w:w="2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and share data)</w:t>
            </w:r>
          </w:p>
        </w:tc>
        <w:tc>
          <w:tcPr>
            <w:tcW w:w="240" w:type="dxa"/>
            <w:vAlign w:val="bottom"/>
          </w:tcPr>
          <w:p>
            <w:pPr>
              <w:spacing w:after="0"/>
              <w:rPr>
                <w:sz w:val="13"/>
                <w:szCs w:val="13"/>
                <w:color w:val="auto"/>
              </w:rPr>
            </w:pPr>
          </w:p>
        </w:tc>
        <w:tc>
          <w:tcPr>
            <w:tcW w:w="10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3"/>
                <w:szCs w:val="13"/>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Second Quarter</w:t>
            </w:r>
          </w:p>
        </w:tc>
        <w:tc>
          <w:tcPr>
            <w:tcW w:w="300" w:type="dxa"/>
            <w:vAlign w:val="bottom"/>
          </w:tcPr>
          <w:p>
            <w:pPr>
              <w:spacing w:after="0"/>
              <w:rPr>
                <w:sz w:val="13"/>
                <w:szCs w:val="13"/>
                <w:color w:val="auto"/>
              </w:rPr>
            </w:pPr>
          </w:p>
        </w:tc>
        <w:tc>
          <w:tcPr>
            <w:tcW w:w="104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3"/>
                <w:szCs w:val="13"/>
                <w:color w:val="auto"/>
              </w:rPr>
            </w:pPr>
          </w:p>
        </w:tc>
        <w:tc>
          <w:tcPr>
            <w:tcW w:w="108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1,322.6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(Gains) losses on property disposals,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shd w:val="clear" w:color="auto" w:fill="CCEEFF"/>
              </w:rPr>
              <w:t>Diluted income (loss) per share</w:t>
            </w:r>
          </w:p>
        </w:tc>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77"/>
        </w:trPr>
        <w:tc>
          <w:tcPr>
            <w:tcW w:w="2280" w:type="dxa"/>
            <w:vAlign w:val="bottom"/>
            <w:tcBorders>
              <w:bottom w:val="single" w:sz="8" w:color="CCEEFF"/>
            </w:tcBorders>
            <w:vMerge w:val="continue"/>
            <w:shd w:val="clear" w:color="auto" w:fill="CCEEFF"/>
          </w:tcPr>
          <w:p>
            <w:pPr>
              <w:spacing w:after="0"/>
              <w:rPr>
                <w:sz w:val="6"/>
                <w:szCs w:val="6"/>
                <w:color w:val="auto"/>
              </w:rPr>
            </w:pPr>
          </w:p>
        </w:tc>
        <w:tc>
          <w:tcPr>
            <w:tcW w:w="256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Market price of common stock per share: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High</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29.21</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4840" w:type="dxa"/>
            <w:vAlign w:val="bottom"/>
            <w:gridSpan w:val="2"/>
          </w:tcPr>
          <w:p>
            <w:pPr>
              <w:ind w:left="300"/>
              <w:spacing w:after="0"/>
              <w:rPr>
                <w:sz w:val="20"/>
                <w:szCs w:val="20"/>
                <w:color w:val="auto"/>
              </w:rPr>
            </w:pPr>
            <w:r>
              <w:rPr>
                <w:rFonts w:ascii="Arial" w:cs="Arial" w:eastAsia="Arial" w:hAnsi="Arial"/>
                <w:sz w:val="18"/>
                <w:szCs w:val="18"/>
                <w:color w:val="auto"/>
              </w:rPr>
              <w:t>Low</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18.40</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19.47</w:t>
            </w:r>
          </w:p>
        </w:tc>
        <w:tc>
          <w:tcPr>
            <w:tcW w:w="2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line="250"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Diluted income (loss) per share amounts were computed independently for each of the quarters presented. The sum of the quarters may differ from the total annual amount primarily due to change in the number of outstanding shares in the year and the impact of the if-converted method used to calculate earnings per share.</w:t>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During the fourth quarter of 2015, operating loss and net loss included a non-union pension settlement charge of $28.7 million.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repurchase any shares of our Common Stock in 2015, 2014 or 2013. The agreement (“Term Loan Agreement”) for our $700 million term loan facility (“Term Loan”) does not permit us to purchase shares of our Common Stock outside of limited exceptions.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did not declare any cash dividends on our Common Stock in 2015, 2014 or 2013. Our Term Loan Agreement does not permit us to declare dividends on any of our outstanding common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Common Stock Performance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a line graph comparing the quarterly percentage change in the cumulative total stockholder return of the Company’s common stock against the cumulative total return of the S&amp;P Composite-500 Stock Index and the Dow Jones Transportation Average Stock Index for the period of five years commencing December 31, 2010 and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848985" cy="2838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selected financial data below should be read in conjunction with “Management’s Discussion and Analysis of Financial Condition and Results of Operations” and “Financial Statements and Supplementary Data” included in this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(dollars in millions, except per share data. shares in thousands)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r>
      <w:tr>
        <w:trPr>
          <w:trHeight w:val="202"/>
        </w:trPr>
        <w:tc>
          <w:tcPr>
            <w:tcW w:w="432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For the Year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4,865.4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4,868.8</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(138.2)</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(354.4)</w:t>
            </w:r>
          </w:p>
        </w:tc>
      </w:tr>
      <w:tr>
        <w:trPr>
          <w:trHeight w:val="229"/>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Less: Net income (loss) attributable to non-controlling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YRC Worldwide Inc.</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(351.3)</w:t>
            </w:r>
          </w:p>
        </w:tc>
      </w:tr>
      <w:tr>
        <w:trPr>
          <w:trHeight w:val="229"/>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Amortization of beneficial conversion feature 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w w:val="97"/>
              </w:rPr>
              <w:t>Net income (loss) attributable to common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(409.3)</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Acquisition of property and equipment</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(71.6)</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Proceeds from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67.5</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(156.6)</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240.1</w:t>
            </w:r>
          </w:p>
        </w:tc>
      </w:tr>
      <w:tr>
        <w:trPr>
          <w:trHeight w:val="27"/>
        </w:trPr>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4"/>
        </w:trPr>
        <w:tc>
          <w:tcPr>
            <w:tcW w:w="4320" w:type="dxa"/>
            <w:vAlign w:val="bottom"/>
            <w:gridSpan w:val="6"/>
          </w:tcPr>
          <w:p>
            <w:pPr>
              <w:ind w:left="40"/>
              <w:spacing w:after="0"/>
              <w:rPr>
                <w:sz w:val="20"/>
                <w:szCs w:val="20"/>
                <w:color w:val="auto"/>
              </w:rPr>
            </w:pPr>
            <w:r>
              <w:rPr>
                <w:rFonts w:ascii="Arial" w:cs="Arial" w:eastAsia="Arial" w:hAnsi="Arial"/>
                <w:sz w:val="18"/>
                <w:szCs w:val="18"/>
                <w:b w:val="1"/>
                <w:bCs w:val="1"/>
                <w:color w:val="auto"/>
              </w:rPr>
              <w:t>At Year-End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1,894.6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2,485.8</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Total debt</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1,109.9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1,354.7</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shareholders’ deficit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(358.5)</w:t>
            </w:r>
          </w:p>
        </w:tc>
      </w:tr>
      <w:tr>
        <w:trPr>
          <w:trHeight w:val="304"/>
        </w:trPr>
        <w:tc>
          <w:tcPr>
            <w:tcW w:w="4320" w:type="dxa"/>
            <w:vAlign w:val="bottom"/>
            <w:tcBorders>
              <w:top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Per Share Measurements</w:t>
            </w: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Basic per share data: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80" w:type="dxa"/>
            <w:vAlign w:val="bottom"/>
            <w:gridSpan w:val="5"/>
          </w:tcPr>
          <w:p>
            <w:pPr>
              <w:ind w:left="24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(196.12)</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2,087</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Diluted per share data:</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Average common shares outstanding</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32,592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28,592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2,087</w:t>
            </w:r>
          </w:p>
        </w:tc>
      </w:tr>
      <w:tr>
        <w:trPr>
          <w:trHeight w:val="27"/>
        </w:trPr>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4"/>
        </w:trPr>
        <w:tc>
          <w:tcPr>
            <w:tcW w:w="4320" w:type="dxa"/>
            <w:vAlign w:val="bottom"/>
            <w:gridSpan w:val="6"/>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Number of employees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32,000</w:t>
            </w:r>
          </w:p>
        </w:tc>
      </w:tr>
      <w:tr>
        <w:trPr>
          <w:trHeight w:val="270"/>
        </w:trPr>
        <w:tc>
          <w:tcPr>
            <w:tcW w:w="4320" w:type="dxa"/>
            <w:vAlign w:val="bottom"/>
            <w:gridSpan w:val="6"/>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YRC Freight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Regional Transportation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42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Consolidated</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7"/>
        </w:trPr>
        <w:tc>
          <w:tcPr>
            <w:tcW w:w="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340" w:right="2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Operating ratio is calculated as (i) 100 percent (ii) minus the result of dividing operating income by operating revenue or (iii) plus the result of dividing operating loss by operating revenue and expressed as a percentage.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3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contains forward-looking statements within the meaning of Section 27A of the Securities Act and Section 21E of the Exchange Act. See the introductory section immediately prior to “Part I” and Risk Factors in “Item 1A” of this report regarding these statements.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a brief description of our business and a discussion of how we assess our operating results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Consolidated Results of Operations: </w:t>
      </w:r>
      <w:r>
        <w:rPr>
          <w:rFonts w:ascii="Arial" w:cs="Arial" w:eastAsia="Arial" w:hAnsi="Arial"/>
          <w:sz w:val="16"/>
          <w:szCs w:val="16"/>
          <w:color w:val="auto"/>
        </w:rPr>
        <w:t>an analysis of our consolidated results of operations for the years ended December 31, 2015, 2014 and 2013</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Reporting Segment Results of Operations: </w:t>
      </w:r>
      <w:r>
        <w:rPr>
          <w:rFonts w:ascii="Arial" w:cs="Arial" w:eastAsia="Arial" w:hAnsi="Arial"/>
          <w:sz w:val="16"/>
          <w:szCs w:val="16"/>
          <w:color w:val="auto"/>
        </w:rPr>
        <w:t>an analysis of our results of operations for the years ended December 31, 2015, 2014 and 2013 for our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reporting segments: YRC Freight and Regional Transportation</w:t>
      </w:r>
    </w:p>
    <w:p>
      <w:pPr>
        <w:spacing w:after="0" w:line="166" w:lineRule="exact"/>
        <w:rPr>
          <w:sz w:val="20"/>
          <w:szCs w:val="20"/>
          <w:color w:val="auto"/>
        </w:rPr>
      </w:pPr>
    </w:p>
    <w:p>
      <w:pPr>
        <w:ind w:left="660" w:right="60"/>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an analysis of our results using certain non-GAAP financial measures, for the years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2015, 2014 and 2013</w:t>
      </w:r>
    </w:p>
    <w:p>
      <w:pPr>
        <w:spacing w:after="0" w:line="121" w:lineRule="exact"/>
        <w:rPr>
          <w:sz w:val="20"/>
          <w:szCs w:val="20"/>
          <w:color w:val="auto"/>
        </w:rPr>
      </w:pPr>
    </w:p>
    <w:p>
      <w:pPr>
        <w:ind w:left="660" w:right="620"/>
        <w:spacing w:after="0" w:line="282"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a discussion of our major sources and uses of cash as well as an analysis of our cash flows and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obligations and commercial commitments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YRC Worldwide is a holding company that, through wholly owned operating subsidiaries and its interest in JHJ, offers its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heavyweight shipments and flexible supply chain solutions, ensuring customers can ship industrial, commercial and retail goods with confidence.</w:t>
      </w:r>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measure the performance of our business both on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8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Operating revenue has two primary components: volume (commonly evaluated using tonnage, tonnage per day,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1"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Operating Income (Loss)</w:t>
      </w:r>
      <w:r>
        <w:rPr>
          <w:rFonts w:ascii="Arial" w:cs="Arial" w:eastAsia="Arial" w:hAnsi="Arial"/>
          <w:sz w:val="18"/>
          <w:szCs w:val="18"/>
          <w:color w:val="auto"/>
        </w:rPr>
        <w:t>: Operating income (loss) is operating revenue less any operating expenses. Consolidated operating income (loss)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corporate charges that are not allocated to our reporting segments.</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measure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is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We use EBITDA and Adjusted EBITDA, which are non-GAAP financial measures, to assess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30" w:right="239" w:bottom="1440" w:gutter="0" w:footer="0" w:header="0"/>
        </w:sectPr>
      </w:pPr>
    </w:p>
    <w:bookmarkStart w:id="23" w:name="page24"/>
    <w:bookmarkEnd w:id="23"/>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EBITDA</w:t>
      </w:r>
      <w:r>
        <w:rPr>
          <w:rFonts w:ascii="Arial" w:cs="Arial" w:eastAsia="Arial" w:hAnsi="Arial"/>
          <w:sz w:val="18"/>
          <w:szCs w:val="18"/>
          <w:color w:val="auto"/>
        </w:rPr>
        <w:t>: a non-GAAP measure that reflects our earnings before interest, taxes, depreciation, and amortization expense. EBITDA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 management purposes as a financial measure that reflects our core operating performance.</w:t>
      </w:r>
    </w:p>
    <w:p>
      <w:pPr>
        <w:spacing w:after="0" w:line="170" w:lineRule="exact"/>
        <w:rPr>
          <w:rFonts w:ascii="Arial" w:cs="Arial" w:eastAsia="Arial" w:hAnsi="Arial"/>
          <w:sz w:val="18"/>
          <w:szCs w:val="18"/>
          <w:color w:val="auto"/>
        </w:rPr>
      </w:pPr>
    </w:p>
    <w:p>
      <w:pPr>
        <w:jc w:val="both"/>
        <w:ind w:left="1300" w:hanging="320"/>
        <w:spacing w:after="0" w:line="273"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Adjusted EBITDA</w:t>
      </w:r>
      <w:r>
        <w:rPr>
          <w:rFonts w:ascii="Arial" w:cs="Arial" w:eastAsia="Arial" w:hAnsi="Arial"/>
          <w:sz w:val="17"/>
          <w:szCs w:val="17"/>
          <w:color w:val="auto"/>
        </w:rPr>
        <w:t>: a non-GAAP measure that reflects earnings before interest, taxes, depreciation, and amortization expense, and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adjusts for letter of credit fees, equity-based compensation expense, net gains or losses on property disposals, restructuring professional fees, non-recurring consulting fees, expenses associated with certain lump sum payments to our IBT employees and the results of permitted dispositions, discontinued operations, among other items, as defined in our credit facilities. Adjusted EBITDA is used for internal management purposes as a financial measure that reflects core operating performance, to measure compliance with certain financial covenants in our credit facilities and to pay certain executive bonus compensation.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225" w:lineRule="exact"/>
        <w:rPr>
          <w:sz w:val="20"/>
          <w:szCs w:val="20"/>
          <w:color w:val="auto"/>
        </w:rPr>
      </w:pPr>
    </w:p>
    <w:p>
      <w:pPr>
        <w:ind w:left="1300" w:hanging="320"/>
        <w:spacing w:after="0" w:line="258"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nonrecurring consulting fees, letter of credit fees, service interest or principal payments on our outstanding debt or fund our lump sum payments to our IBT employees required under the Memorandum of Understanding (“MOU”);</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300" w:hanging="320"/>
        <w:spacing w:after="0" w:line="265"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Equity based compensation is an element of our long-term incentive compensation package, although adjusted EBITDA excludes employee equity-based compensation expense when presenting our ongoing operating performance for a particular period; and</w:t>
      </w: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23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consolidated results for 2015, 2014 and 2013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three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 vs. 2014</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 vs. 2013</w:t>
            </w: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4,865.4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3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104.4 %</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60.2 %</w:t>
            </w:r>
          </w:p>
        </w:tc>
      </w:tr>
      <w:tr>
        <w:trPr>
          <w:trHeight w:val="27"/>
        </w:trPr>
        <w:tc>
          <w:tcPr>
            <w:tcW w:w="3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 net</w:t>
            </w:r>
          </w:p>
        </w:tc>
        <w:tc>
          <w:tcPr>
            <w:tcW w:w="1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40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380" w:type="dxa"/>
            <w:vAlign w:val="bottom"/>
          </w:tcPr>
          <w:p>
            <w:pPr>
              <w:ind w:left="20"/>
              <w:spacing w:after="0"/>
              <w:rPr>
                <w:sz w:val="20"/>
                <w:szCs w:val="20"/>
                <w:color w:val="auto"/>
              </w:rPr>
            </w:pPr>
            <w:r>
              <w:rPr>
                <w:rFonts w:ascii="Arial" w:cs="Arial" w:eastAsia="Arial" w:hAnsi="Arial"/>
                <w:sz w:val="13"/>
                <w:szCs w:val="13"/>
                <w:color w:val="auto"/>
              </w:rPr>
              <w:t>(a)</w:t>
            </w:r>
          </w:p>
        </w:tc>
        <w:tc>
          <w:tcPr>
            <w:tcW w:w="1340" w:type="dxa"/>
            <w:vAlign w:val="bottom"/>
          </w:tcPr>
          <w:p>
            <w:pPr>
              <w:jc w:val="right"/>
              <w:spacing w:after="0"/>
              <w:rPr>
                <w:sz w:val="20"/>
                <w:szCs w:val="20"/>
                <w:color w:val="auto"/>
              </w:rPr>
            </w:pPr>
            <w:r>
              <w:rPr>
                <w:rFonts w:ascii="Arial" w:cs="Arial" w:eastAsia="Arial" w:hAnsi="Arial"/>
                <w:sz w:val="18"/>
                <w:szCs w:val="18"/>
                <w:color w:val="auto"/>
              </w:rPr>
              <w:t>19.0 %</w:t>
            </w:r>
          </w:p>
        </w:tc>
      </w:tr>
    </w:tbl>
    <w:p>
      <w:pPr>
        <w:spacing w:after="0" w:line="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consolidated operating revenue decreased $236.4 million in 2015 compared to 2014. The decrease in revenue was largely attributed to the reduction in fuel surcharge revenue and declines in volume, partially offset by yield improvements due to our strategy of improving price and freight mix.</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in 2015 decreased $283.9 million, or 5.7%, compared to 2014. The decrease in operating expenses was primarily driven by a $232.3 million, or 20.9%, decrease in operating expenses and supplies, a $33.0 million, or 1.1%, decrease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in salaries, wages and benefits, a $29.8 million, or 5.0%, decrease in purchased transportation and a $2.7 million, or 1.0%, decrease in other operating expense. Additionally, on a year-over-year basis, we recorded losses on disposals of property of $1.9 million in 2015 as compared to gains of $11.9 million in 2014.</w:t>
      </w:r>
    </w:p>
    <w:p>
      <w:pPr>
        <w:spacing w:after="0" w:line="181" w:lineRule="exact"/>
        <w:rPr>
          <w:sz w:val="20"/>
          <w:szCs w:val="20"/>
          <w:color w:val="auto"/>
        </w:rPr>
      </w:pPr>
    </w:p>
    <w:p>
      <w:pPr>
        <w:jc w:val="both"/>
        <w:ind w:left="660" w:hanging="328"/>
        <w:spacing w:after="0" w:line="30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$232.3 million, or 20.9%, decrease in operating expenses and supplies was due to a $228.7 million, or 43.5%, decrease in fuel expenses driven by a lower cost per gallon, as well as fewer miles driven. The decrease was also related to a reduction in vehicle maintenance expense of $5.1 million, proceeds of $4.1 million for a legal settlement in first quarter 2015 and a reduction in bad debt expense of $5.8 million due to improved aging of accounts receivable. This decrease was partially offset by $5.1 million of nonrecurring consulting fees incurred at the YRC Freight segment.</w:t>
      </w:r>
    </w:p>
    <w:p>
      <w:pPr>
        <w:spacing w:after="0" w:line="15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$33.0 million, or 1.1%, decrease in salaries, wages and employees’ benefits was driven by a $32.2 million decrease in salaries and wages, primarily driven by a decrease in shipping volumes, which required fewer employee hours to process freight, combined with a $20.8 million decrease in workers’ compensation expenses primarily due to a reduction in new claim frequency driven by safety initiatives and favorable development of prior year claims. These decreases were offset by a $19.9 million increase in employee benefits expense, primarily due to a non-union pension settlement charge of $28.7 million recognized in the fourth quarter of 2015 as a result of pension settlements from lump sum payouts during the year. This was partially offset by lower overall employee benefits costs at our YRC Freight segment due to a decrease in shipping volumes and employee hours worked in 2015.</w:t>
      </w:r>
    </w:p>
    <w:p>
      <w:pPr>
        <w:spacing w:after="0" w:line="18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$29.8 million, or 5.0%, decrease in purchased transportation was primarily due to a $51.3 million, or 14.5%, decrease in rail, local and over-the-road purchased transportation expense due to a reduction in shipment volumes and lower rail and road rates, which is principally related to lower fuel surcharges paid to our providers, when compared to prior year. Offsetting this decrease, we experienced an increase of $23.4 million, or 33.9%, of vehicle rent expense resulting from higher usage of leased revenue equipment.</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$2.7 million, or 1.0%, decrease in other operating expense resulted from a $6.5 million, or 10.0%, decrease in cargo claims expense due to improved frequency of new claims and less severity of outstanding claims, as compared to prior year, offset by a $3.3 million, or 6.2%, increase in our property damage and liability claims expense primarily due to unfavorable development on our outstanding claims.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Nonoperating expenses decreased $31.9 million, or 24.7%, in 2015 compared to 2014. The decrease was primarily driven by a $42.4 million reduction in interest expense. In the first quarter of 2014, we incurred additional interest expense due to the acceleration of the amortization of the deferred debt costs on our then-existing term loan facility and then-existing asset based loan facility when they were extinguished in the first quarter of 2014. The decrease in interest expense was partially offset by the gain of $11.2 million we recorded on our extinguishment of debt in the first quarter of 2014, $16.3 million of which related to the acceleration of net premiums on our old debt, partially offset by $5.1 million of additional expense related to the fair value of the incremental shares provided to those holders of our 10% Series B Convertible Senior Secured Notes (“Series B Notes”) who exchanged their outstanding balances at a price of $15.00 per share. We also attribute our decrease in interest expense to the additional interest expense incurred in third quarter of 2014 due to the redemption of our Series A Convertible Senior Secured Notes (“Series A Notes”).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effective tax rate for the years ended December 31, 2015 and 2014 was 115.9% and 19.2%, respectively. Significant items impacting the 2015 rate include a benefit recognized due to application of ASC 740, “Income Taxes” (“ASC 740”), rules regarding intra-period tax allocation, a state tax provision, a foreign tax provision, certain permanent items, a decrease in the reserve for uncertain tax positions and an increase in the valuation allowance established for the net deferred tax asset balance at December 31, 2015. Significant items impacting the 2014 rate include a state tax provision, a foreign tax provision, certain permanent items, a decrease in the reserve for uncertain tax positions and an increase in the valuation allowance established for the net deferred tax asset balance at December 31, 2014. We recognize valuation allowances on deferred tax assets if, based on the weight of the evidence, we believe that some or all of our deferred tax assets will not be realized. Changes in valuation allowances are included in our tax provision or in equity if directly related to other comprehensive income (loss)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2015 and 2014, we have a full valuation allowance against our net deferred tax assets, exclusive of a deferred tax liability related to a foreign jurisdiction.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2011, July 2013, and January 2014, we experienced significant changes in the ownership of our stock, as measured for Federal income tax purposes. These changes triggered the application of Section 382 of the Internal Revenue Code, as amended (the “Code”), which will likely substantially limit the use of tax Net Operating Loss carryovers (“NOLs”) generated through January 31, 2014 and prior to offset future taxable income. While Section 382 changes may adversely affect future cash flow,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they have no impact on our current financial statements. The deferred tax assets resulting from the existing NOLs for which a Section 382 change would limit financial statement recognition are already fully offset by a valuation allowance.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operating revenue increased $203.4 million in 2014 compared to 2013. The increase in revenue was largely driven by increases in yield and shipping volumes. The increases in yield were driven by a stronger overall pricing environment and successful contract negotiations with our customers. We believe the increase in shipping volumes was driven, in large part, by the improvement in the overall economic environment as well as increased shipper confidence due to the finalization of the 2014 Financing Transactions and our MOU entered into in early 2014.</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expenses in 2014 increased $186.3 million, or 3.9% ,compared to 2013. The increase in operating expenses was primarily driven by a $98.1 million, or 3.5%, increase in salaries, wages and benefits, a $78.4 million, or 15.3%, increase in purchased transportation and a $34.4 million, or 14.7%, increase in other operating expense. These increases were partially offset by a $6.2 million, or 0.6%, decrease in operating expenses and supplies.</w:t>
      </w:r>
    </w:p>
    <w:p>
      <w:pPr>
        <w:spacing w:after="0" w:line="166" w:lineRule="exact"/>
        <w:rPr>
          <w:sz w:val="20"/>
          <w:szCs w:val="20"/>
          <w:color w:val="auto"/>
        </w:rPr>
      </w:pPr>
    </w:p>
    <w:p>
      <w:pPr>
        <w:jc w:val="both"/>
        <w:ind w:left="660" w:hanging="328"/>
        <w:spacing w:after="0" w:line="29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$98.1 million or 3.5% increase in salaries, wages and employee benefits was driven by a $85.9 million increase in employment costs primarily driven by an increase in shipping volumes and a decrease in our operational productivities. The increase in salaries, wages and employee benefits is also driven by a $29.9 million, or 31.9%, increase in workers’ compensation related expenses primarily due to an increase in new claims despite the safety initiatives implemented in 2013, partially offset by a reduction in letter of credit fees used to support our workers’ compensation claims of $17.7 million, or 63.9%, driven by more favorable terms under our new $450 million asset-based loan facility (“ABL Facility”).</w:t>
      </w:r>
    </w:p>
    <w:p>
      <w:pPr>
        <w:spacing w:after="0" w:line="158" w:lineRule="exact"/>
        <w:rPr>
          <w:rFonts w:ascii="Arial" w:cs="Arial" w:eastAsia="Arial" w:hAnsi="Arial"/>
          <w:sz w:val="16"/>
          <w:szCs w:val="16"/>
          <w:color w:val="auto"/>
        </w:rPr>
      </w:pPr>
    </w:p>
    <w:p>
      <w:pPr>
        <w:jc w:val="both"/>
        <w:ind w:left="660" w:hanging="328"/>
        <w:spacing w:after="0" w:line="27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$78.4 million, or 15.3%, increase in purchased transportation was largely driven by an increase in expense related to YRC Freight’s new over-the-road purchased transportation option as permitted by our MOU that went into effect in February 2014. Additionally, we incurred an increase in local purchased transportation to keep our network in cycle in response to higher volumes and workforce shortages experienced earlier in the year. Finally, we experienced an additional $25.0 million, or 56.9%, increase in vehicle rent expense as our percentage of leased units increased due to our current strategy of using operating leases for our new revenue equipment.</w:t>
      </w:r>
    </w:p>
    <w:p>
      <w:pPr>
        <w:spacing w:after="0" w:line="172"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$34.4 million, or 14.7%, increase in other operating expense was driven by a $23.0 million, or 74.3%, increase in our property damage and liability claims expense due to unfavorable development on our outstanding claims, partially offset by a reduction in letter of credit fees used to support our property damage and liability claims of $4.2 million, or 67.2%, driven by more favorable terms under our ABL Facility. We also experienced an additional $16.8 million, or 35.3%, increase in cargo claims expense due to an increase in the frequency and severity of our outstanding claims.</w:t>
      </w:r>
    </w:p>
    <w:p>
      <w:pPr>
        <w:spacing w:after="0" w:line="18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$6.2 million, or 0.6%, decrease in operating expenses and supplies was driven by a $22.6 million, or 4.1%, decrease in fuel expenses driven by a lower cost per gallon of fuel, partially offset by more miles driven at our Regional Transportation segment. This decrease was partially offset by a $10.6 million, or 5.4%, increase in vehicle maintenance expenses to support our aging fleet.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Also offsetting the increase in operating expenses were gains on disposals of property, which were $11.9 million in 2014 compared to $2.2 million in 2013.</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Nonoperating expenses decreased $28.6 million, or 18.1%, in 2014 compared to 2013. The decrease was primarily driven by the $11.2 million gain we recorded on our extinguishment of debt in the first quarter of 2014, $16.3 million of which related to the acceleration of net premiums on our old debt, partially offset by $5.1 million of additional expense related to the fair value of the incremental shares provided to those holders of our 10% Series B Notes who exchanged their outstanding balances at a price of $15.00 per share. We also experienced a decrease in interest expense as a result of the 2014 Financing Transactions which reduced our outstanding debt and lowered the weighted average interest rate on our debt.</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effective tax rate for the years ended December 31, 2014 and 2013 was 19.2% and 35.4%, respectively. Significant items impacting the 2014 rate include a state tax provision, a foreign tax provision, certain permanent items, a decrease in the reserve for uncertain tax positions and an increase in the valuation allowance established for the net deferred tax asset balance at December 31, 2014. Significant items impacting the 2013 rate include a benefit recognized due to application of ASC 740 rules regarding intra-period tax allocation, a state tax provision, a foreign tax provision, certain permanent items, a decrease in the reserve for uncertain tax positions and an increase in the valuation allowance established for the net deferred tax asset balance at December 31, 2013. We recognize valuation allowances on deferred tax assets if, based on the weight of the evidence, we believe that some or all of our deferred tax assets will not be realized. Changes in valuation allowances are included in our tax provision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30" w:right="239" w:bottom="1440" w:gutter="0" w:footer="0" w:header="0"/>
        </w:sectPr>
      </w:pPr>
    </w:p>
    <w:bookmarkStart w:id="26" w:name="page27"/>
    <w:bookmarkEnd w:id="26"/>
    <w:p>
      <w:pPr>
        <w:jc w:val="both"/>
        <w:spacing w:after="0" w:line="297" w:lineRule="auto"/>
        <w:rPr>
          <w:sz w:val="20"/>
          <w:szCs w:val="20"/>
          <w:color w:val="auto"/>
        </w:rPr>
      </w:pPr>
      <w:r>
        <w:rPr>
          <w:rFonts w:ascii="Arial" w:cs="Arial" w:eastAsia="Arial" w:hAnsi="Arial"/>
          <w:sz w:val="16"/>
          <w:szCs w:val="16"/>
          <w:color w:val="auto"/>
        </w:rPr>
        <w:t>or in equity if directly related to other comprehensive income (loss), unless affected by a specific intra-period allocation as happened in 2013 and explained in the “Income Taxes” footnote to our consolidated financial statements,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2014 and 2013, we have a full valuation allowance against our net deferred tax assets, exclusive of a deferred tax liability related to a foreign jurisdiction.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2011, July 2013, and January 2014, we experienced significant changes in the ownership of our stock, as measured for Federal income tax purposes. These changes triggered the application of Code Section 382 which will likely substantially limit the use of tax NOLs generated through January 31, 2014 and prior to offset future taxable income. While Section 382 changes may adversely affect future cash flow, they have no impact on our current financial statements. The deferred tax assets resulting from the existing NOLs for which a Section 382 change would limit financial statement recognition are already fully offset by a valuation allowance.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business using our two reporting segments:</w:t>
      </w:r>
    </w:p>
    <w:p>
      <w:pPr>
        <w:spacing w:after="0" w:line="167" w:lineRule="exact"/>
        <w:rPr>
          <w:sz w:val="20"/>
          <w:szCs w:val="20"/>
          <w:color w:val="auto"/>
        </w:rPr>
      </w:pPr>
    </w:p>
    <w:p>
      <w:pPr>
        <w:jc w:val="both"/>
        <w:ind w:left="660" w:hanging="328"/>
        <w:spacing w:after="0" w:line="281"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the reporting segment that focuses on longer haul business opportunities with national, regional and international services. YRC</w:t>
      </w:r>
      <w:r>
        <w:rPr>
          <w:rFonts w:ascii="Arial" w:cs="Arial" w:eastAsia="Arial" w:hAnsi="Arial"/>
          <w:sz w:val="17"/>
          <w:szCs w:val="17"/>
          <w:b w:val="1"/>
          <w:bCs w:val="1"/>
          <w:color w:val="auto"/>
        </w:rPr>
        <w:t xml:space="preserve"> </w:t>
      </w:r>
      <w:r>
        <w:rPr>
          <w:rFonts w:ascii="Arial" w:cs="Arial" w:eastAsia="Arial" w:hAnsi="Arial"/>
          <w:sz w:val="17"/>
          <w:szCs w:val="17"/>
          <w:color w:val="auto"/>
        </w:rPr>
        <w:t>Freight provides for the movement of industrial, commercial and retail goods, primarily through centralized management. This reporting segment includes our LTL subsidiary YRC Freight and YRC Reimer, a subsidiary located in Canada that specializes in shipments into, across and out of Canada. In addition to the United States and Canada, YRC Freight also serves parts of Mexico, Puerto Rico and Guam.</w:t>
      </w:r>
    </w:p>
    <w:p>
      <w:pPr>
        <w:spacing w:after="0" w:line="164" w:lineRule="exact"/>
        <w:rPr>
          <w:rFonts w:ascii="Arial" w:cs="Arial" w:eastAsia="Arial" w:hAnsi="Arial"/>
          <w:sz w:val="17"/>
          <w:szCs w:val="17"/>
          <w:color w:val="auto"/>
        </w:rPr>
      </w:pPr>
    </w:p>
    <w:p>
      <w:pPr>
        <w:jc w:val="both"/>
        <w:ind w:left="66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Regional Transportation is comprised of Holland, New Penn and Reddaway. These companies each provide regional, next-day ground services in their respective regions through a network of facilities located across the United States, Canada, Mexico and Puerto Rico.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YRC Freight represented 63%, 64% and 64% of our consolidated operating revenue in 2015, 2014 and 2013, respectively. The table below provides summary financial information for YRC Freight for the years ended December 31: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Percent Change</w:t>
            </w:r>
          </w:p>
        </w:tc>
        <w:tc>
          <w:tcPr>
            <w:tcW w:w="300" w:type="dxa"/>
            <w:vAlign w:val="bottom"/>
            <w:tcBorders>
              <w:bottom w:val="single" w:sz="8" w:color="auto"/>
            </w:tcBorders>
          </w:tcPr>
          <w:p>
            <w:pPr>
              <w:spacing w:after="0"/>
              <w:rPr>
                <w:sz w:val="16"/>
                <w:szCs w:val="16"/>
                <w:color w:val="auto"/>
              </w:rPr>
            </w:pPr>
          </w:p>
        </w:tc>
      </w:tr>
      <w:tr>
        <w:trPr>
          <w:trHeight w:val="264"/>
        </w:trPr>
        <w:tc>
          <w:tcPr>
            <w:tcW w:w="43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2015 vs. 2014</w:t>
            </w:r>
          </w:p>
        </w:tc>
        <w:tc>
          <w:tcPr>
            <w:tcW w:w="1420" w:type="dxa"/>
            <w:vAlign w:val="bottom"/>
          </w:tcPr>
          <w:p>
            <w:pPr>
              <w:ind w:left="280"/>
              <w:spacing w:after="0"/>
              <w:rPr>
                <w:sz w:val="20"/>
                <w:szCs w:val="20"/>
                <w:color w:val="auto"/>
              </w:rPr>
            </w:pPr>
            <w:r>
              <w:rPr>
                <w:rFonts w:ascii="Arial" w:cs="Arial" w:eastAsia="Arial" w:hAnsi="Arial"/>
                <w:sz w:val="14"/>
                <w:szCs w:val="14"/>
                <w:b w:val="1"/>
                <w:bCs w:val="1"/>
                <w:color w:val="auto"/>
              </w:rPr>
              <w:t>2014 vs. 2013</w:t>
            </w:r>
          </w:p>
        </w:tc>
        <w:tc>
          <w:tcPr>
            <w:tcW w:w="300" w:type="dxa"/>
            <w:vAlign w:val="bottom"/>
          </w:tcPr>
          <w:p>
            <w:pPr>
              <w:spacing w:after="0"/>
              <w:rPr>
                <w:sz w:val="22"/>
                <w:szCs w:val="22"/>
                <w:color w:val="auto"/>
              </w:rPr>
            </w:pPr>
          </w:p>
        </w:tc>
      </w:tr>
      <w:tr>
        <w:trPr>
          <w:trHeight w:val="250"/>
        </w:trPr>
        <w:tc>
          <w:tcPr>
            <w:tcW w:w="4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1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3,055.7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3,237.4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3,136.8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3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1760" w:type="dxa"/>
            <w:vAlign w:val="bottom"/>
            <w:gridSpan w:val="2"/>
          </w:tcPr>
          <w:p>
            <w:pPr>
              <w:ind w:left="900"/>
              <w:spacing w:after="0"/>
              <w:rPr>
                <w:sz w:val="20"/>
                <w:szCs w:val="20"/>
                <w:color w:val="auto"/>
              </w:rPr>
            </w:pPr>
            <w:r>
              <w:rPr>
                <w:rFonts w:ascii="Arial" w:cs="Arial" w:eastAsia="Arial" w:hAnsi="Arial"/>
                <w:sz w:val="31"/>
                <w:szCs w:val="31"/>
                <w:color w:val="auto"/>
                <w:w w:val="87"/>
                <w:vertAlign w:val="subscript"/>
              </w:rPr>
              <w:t>NM</w:t>
            </w:r>
            <w:r>
              <w:rPr>
                <w:rFonts w:ascii="Arial" w:cs="Arial" w:eastAsia="Arial" w:hAnsi="Arial"/>
                <w:sz w:val="13"/>
                <w:szCs w:val="13"/>
                <w:color w:val="auto"/>
                <w:w w:val="87"/>
              </w:rPr>
              <w:t>(b)</w:t>
            </w:r>
          </w:p>
        </w:tc>
        <w:tc>
          <w:tcPr>
            <w:tcW w:w="1420" w:type="dxa"/>
            <w:vAlign w:val="bottom"/>
          </w:tcPr>
          <w:p>
            <w:pPr>
              <w:ind w:left="900"/>
              <w:spacing w:after="0"/>
              <w:rPr>
                <w:sz w:val="20"/>
                <w:szCs w:val="20"/>
                <w:color w:val="auto"/>
              </w:rPr>
            </w:pPr>
            <w:r>
              <w:rPr>
                <w:rFonts w:ascii="Arial" w:cs="Arial" w:eastAsia="Arial" w:hAnsi="Arial"/>
                <w:sz w:val="18"/>
                <w:szCs w:val="18"/>
                <w:color w:val="auto"/>
              </w:rPr>
              <w:t>NM</w:t>
            </w:r>
          </w:p>
        </w:tc>
        <w:tc>
          <w:tcPr>
            <w:tcW w:w="300" w:type="dxa"/>
            <w:vAlign w:val="bottom"/>
          </w:tcPr>
          <w:p>
            <w:pPr>
              <w:ind w:left="80"/>
              <w:spacing w:after="0"/>
              <w:rPr>
                <w:sz w:val="20"/>
                <w:szCs w:val="20"/>
                <w:color w:val="auto"/>
              </w:rPr>
            </w:pPr>
            <w:r>
              <w:rPr>
                <w:rFonts w:ascii="Arial" w:cs="Arial" w:eastAsia="Arial" w:hAnsi="Arial"/>
                <w:sz w:val="13"/>
                <w:szCs w:val="13"/>
                <w:color w:val="auto"/>
              </w:rPr>
              <w:t>(b)</w:t>
            </w:r>
          </w:p>
        </w:tc>
      </w:tr>
      <w:tr>
        <w:trPr>
          <w:trHeight w:val="270"/>
        </w:trPr>
        <w:tc>
          <w:tcPr>
            <w:tcW w:w="4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0.6pp</w:t>
            </w:r>
          </w:p>
        </w:tc>
        <w:tc>
          <w:tcPr>
            <w:tcW w:w="14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88"/>
              </w:rPr>
              <w:t>1.0pp</w:t>
            </w:r>
          </w:p>
        </w:tc>
        <w:tc>
          <w:tcPr>
            <w:tcW w:w="300" w:type="dxa"/>
            <w:vAlign w:val="bottom"/>
            <w:shd w:val="clear" w:color="auto" w:fill="CCEEFF"/>
          </w:tcPr>
          <w:p>
            <w:pPr>
              <w:spacing w:after="0"/>
              <w:rPr>
                <w:sz w:val="23"/>
                <w:szCs w:val="23"/>
                <w:color w:val="auto"/>
              </w:rPr>
            </w:pPr>
          </w:p>
        </w:tc>
      </w:tr>
    </w:tbl>
    <w:p>
      <w:pPr>
        <w:spacing w:after="0" w:line="19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2015 Compared to 2014</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Freight reported operating revenue of $3,055.7 million in 2015, a decrease of $181.7 million or 5.6% compared to 2014. The decrease in revenue was largely driven by a reduction in fuel surcharge revenue and declines in volume, partially offset by improvements in yield. The increases in yield were attributed to a stronger overall pricing environment, particularly in the first half of the year, successful contract negotiations with our customers, and improvements in billing and collecting the appropriate accessorial revenue associated with our shipments. The table below summarizes the key revenue metrics for the YRC Freight reporting segment for the years ended December 31:</w:t>
      </w:r>
    </w:p>
    <w:p>
      <w:pPr>
        <w:spacing w:after="0" w:line="200" w:lineRule="exact"/>
        <w:rPr>
          <w:sz w:val="20"/>
          <w:szCs w:val="20"/>
          <w:color w:val="auto"/>
        </w:rPr>
      </w:pP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2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3,219.6</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9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(6.0)%</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9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11,502</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(7.4)%</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revenue per hundred weight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0.3 %</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 (excluding fuel surcharge)</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revenue per shipment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1.7 %</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9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1.5 %</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940" w:type="dxa"/>
        <w:tblCellMar>
          <w:top w:w="0" w:type="dxa"/>
          <w:left w:w="0" w:type="dxa"/>
          <w:bottom w:w="0" w:type="dxa"/>
          <w:right w:w="0" w:type="dxa"/>
        </w:tblCellMar>
      </w:tblPr>
      <w:tr>
        <w:trPr>
          <w:trHeight w:val="192"/>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70"/>
        </w:trPr>
        <w:tc>
          <w:tcPr>
            <w:tcW w:w="4880" w:type="dxa"/>
            <w:vAlign w:val="bottom"/>
            <w:shd w:val="clear" w:color="auto" w:fill="CCEEFF"/>
          </w:tcPr>
          <w:p>
            <w:pPr>
              <w:ind w:left="20"/>
              <w:spacing w:after="0" w:line="270" w:lineRule="exact"/>
              <w:rPr>
                <w:sz w:val="20"/>
                <w:szCs w:val="20"/>
                <w:color w:val="auto"/>
              </w:rPr>
            </w:pPr>
            <w:r>
              <w:rPr>
                <w:rFonts w:ascii="Arial" w:cs="Arial" w:eastAsia="Arial" w:hAnsi="Arial"/>
                <w:sz w:val="25"/>
                <w:szCs w:val="25"/>
                <w:color w:val="auto"/>
                <w:w w:val="93"/>
                <w:vertAlign w:val="superscript"/>
              </w:rPr>
              <w:t>(a)</w:t>
            </w:r>
            <w:r>
              <w:rPr>
                <w:rFonts w:ascii="Arial" w:cs="Arial" w:eastAsia="Arial" w:hAnsi="Arial"/>
                <w:sz w:val="18"/>
                <w:szCs w:val="18"/>
                <w:color w:val="auto"/>
                <w:w w:val="93"/>
              </w:rPr>
              <w:t>Reconciliation of operating revenue to total picked up revenue:</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3,055.7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3,237.4</w:t>
            </w: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3,033.4</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1697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26"/>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26"/>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-208915</wp:posOffset>
            </wp:positionV>
            <wp:extent cx="1697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for YRC Freight was $18.0 million in 2015 compared to $0.5 million in 2014. Operating revenue decreased by $181.7 million, offset by a reduction in operating expenses of $199.2 million.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operating expenses was due to a $128.7 million, or 18.6%, decrease in operating expenses and supplies, a $44.9 million, or 2.5%, decrease in salaries, wages and employee benefits, and a $38.1 million, or 8.0%, decrease in purchased transportation. These decreases were partially offset by $17.8 million reduction in gains on property disposals.</w:t>
      </w:r>
    </w:p>
    <w:p>
      <w:pPr>
        <w:spacing w:after="0" w:line="127" w:lineRule="exact"/>
        <w:rPr>
          <w:sz w:val="20"/>
          <w:szCs w:val="20"/>
          <w:color w:val="auto"/>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$128.7 million, or 18.6%, decrease in operating expenses and supplies was due to a $131.6 million, or 44.4%, decrease in fuel expenses driven by a lower cost per gallon, as well as fewer miles driven. The decrease was also related to proceeds of $4.1 million for a legal settlement in first quarter 2015 and a reduction in bad debt expense of $4.1 million due to improved aging of accounts receivable. This decrease was partially offset by $5.1 million of nonrecurring consulting fees.</w:t>
      </w:r>
    </w:p>
    <w:p>
      <w:pPr>
        <w:spacing w:after="0" w:line="132"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$44.9 million, or 2.5%, decrease in salaries, wages and employees’ benefits was driven by a $38.3 million decrease in salaries and wages, which is primarily driven by a decrease in shipping volumes, which required fewer employee hours to process freight, combined with a $16.9 million decrease in workers’ compensation expenses primarily due to a reduction in new claim frequency and favorable development of prior year claims. The decreases were offset by a $10.3 million increase in employee benefits expense, which includes a non-union pension settlement charge of $28.7 million recognized in the fourth quarter of 2015 as a result of pension settlements from lump sum payouts during the year. This was partially offset by lower overall employee benefits costs due to a decrease in shipping volumes and employee hours worked in 2015.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28" w:name="page29"/>
    <w:bookmarkEnd w:id="28"/>
    <w:p>
      <w:pPr>
        <w:jc w:val="both"/>
        <w:ind w:left="660" w:hanging="328"/>
        <w:spacing w:after="0" w:line="279"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$38.1 million, or 8.0%, decrease in purchased transportation was primarily due to a $49.1 million, or 14.6%, decrease in rail, local and over the road purchased transportation expense due to lower rail and road rates, which is principally related to lower fuel surcharges paid to our providers, combined with a reduction in shipment volumes, as compared to prior year. Offsetting this decrease, we incurred an increase of $12.0 million, or 29.1%, higher vehicle lease expense due to increased usage of operating leases for revenue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Compared to 2013</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YRC Freight reported operating revenue of $3,237.4 million in 2014, an increase of $100.6 million or 3.2% compared to 2013. The table below summarizes the key revenue metrics for the YRC Freight reporting segment for the years ended December 31:</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9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324"/>
        </w:trPr>
        <w:tc>
          <w:tcPr>
            <w:tcW w:w="5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5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3,219.6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3,126.5</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9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1.3%</w:t>
            </w:r>
          </w:p>
        </w:tc>
      </w:tr>
      <w:tr>
        <w:trPr>
          <w:trHeight w:val="27"/>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9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9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0.5%</w:t>
            </w:r>
          </w:p>
        </w:tc>
      </w:tr>
      <w:tr>
        <w:trPr>
          <w:trHeight w:val="27"/>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9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Total revenue per hundred weight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1.6%</w:t>
            </w:r>
          </w:p>
        </w:tc>
      </w:tr>
      <w:tr>
        <w:trPr>
          <w:trHeight w:val="27"/>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 (excluding fuel surcharge)</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Total revenue per shipment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9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852"/>
        </w:trPr>
        <w:tc>
          <w:tcPr>
            <w:tcW w:w="5260" w:type="dxa"/>
            <w:vAlign w:val="bottom"/>
          </w:tcPr>
          <w:p>
            <w:pPr>
              <w:ind w:left="144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4"/>
                <w:szCs w:val="24"/>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2014</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7620</wp:posOffset>
            </wp:positionV>
            <wp:extent cx="504253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42535" cy="180340"/>
                    </a:xfrm>
                    <a:prstGeom prst="rect">
                      <a:avLst/>
                    </a:prstGeom>
                    <a:noFill/>
                  </pic:spPr>
                </pic:pic>
              </a:graphicData>
            </a:graphic>
          </wp:anchor>
        </w:drawing>
      </w:r>
    </w:p>
    <w:p>
      <w:pPr>
        <w:spacing w:after="0" w:line="18" w:lineRule="exact"/>
        <w:rPr>
          <w:sz w:val="20"/>
          <w:szCs w:val="20"/>
          <w:color w:val="auto"/>
        </w:rPr>
      </w:pPr>
    </w:p>
    <w:p>
      <w:pPr>
        <w:ind w:left="1940" w:hanging="170"/>
        <w:spacing w:after="0"/>
        <w:tabs>
          <w:tab w:leader="none" w:pos="1940" w:val="left"/>
        </w:tabs>
        <w:numPr>
          <w:ilvl w:val="0"/>
          <w:numId w:val="29"/>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760" w:type="dxa"/>
        <w:tblCellMar>
          <w:top w:w="0" w:type="dxa"/>
          <w:left w:w="0" w:type="dxa"/>
          <w:bottom w:w="0" w:type="dxa"/>
          <w:right w:w="0" w:type="dxa"/>
        </w:tblCellMar>
      </w:tblPr>
      <w:tr>
        <w:trPr>
          <w:trHeight w:val="236"/>
        </w:trPr>
        <w:tc>
          <w:tcPr>
            <w:tcW w:w="526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3,237.4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3,136.8</w:t>
            </w:r>
          </w:p>
        </w:tc>
      </w:tr>
      <w:tr>
        <w:trPr>
          <w:trHeight w:val="27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3,219.6</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8890</wp:posOffset>
            </wp:positionV>
            <wp:extent cx="1697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30"/>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30"/>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-208915</wp:posOffset>
            </wp:positionV>
            <wp:extent cx="1697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for YRC Freight was $0.5 million in 2014 compared to operating loss of $31.2 million in 2013. The operating loss improvement was driven by a $100.6 million increase in operating revenue, which was offset by a $68.9 million increase in operating expenses.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revenue was largely driven by increases in yield and shipping volumes as noted in the table above. The increases in yield were driven by a stronger overall pricing environment and successful contract negotiations with our customers. We believe the increase in volumes was driven, in large part, by the improvement in the overall economic environment as well as increased shipper confidence due to the finalization of the 2014 Financing Transactions and our MOU in early 2014.</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cost increase was driven by a $47.1 million, or 2.6%, increase in salaries, wages and employees’ benefits, a $47.7 million, or 11.1%, increase in purchased transportation, and a $14.5 million, or 10.0%, increase in other operating expenses. These increases were partially offset by $16.4 million, or 2.3%, decrease in operating expenses and supplies.</w:t>
      </w:r>
    </w:p>
    <w:p>
      <w:pPr>
        <w:spacing w:after="0" w:line="127" w:lineRule="exact"/>
        <w:rPr>
          <w:sz w:val="20"/>
          <w:szCs w:val="20"/>
          <w:color w:val="auto"/>
        </w:rPr>
      </w:pPr>
    </w:p>
    <w:p>
      <w:pPr>
        <w:jc w:val="both"/>
        <w:ind w:left="660" w:hanging="328"/>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$47.1 million, or 2.6%, increase in salaries, wages and employee benefits was driven by a $37.0 million increase in employment costs primarily driven by an increase in shipping volumes and a decrease in our operational productivities. The increase in salaries, wages and employee benefits is also driven by a $24.1 million, or 46.9%, increase in workers’ compensation related expenses primarily due to an increase in the number of new claims, partially offset by a reduction in letter of credit fees used to support our workers’ compensation claims of $14.1 million driven by more favorable terms under our ABL Facility.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$47.7 million, or 11.1%, increase in purchased transportation was largely driven by an increase in expense related to YRC Freight’s new over-the-road purchased transportation option as permitted by our MOU that went into effect in February 2014.</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$14.5 million, or 10.0%, increase in other operating expense was driven by a $12.4 million increase in cargo claims expense due to an increase in the frequency and severity of our claims. We also experienced a $7.4 million, or 43.4%, increase in our property damage and liability claims expense due to unfavorable development on our outstanding claims, partially offset by a reduction in letter of credit fees used to support our property damage and liability claims of $3.4 million, or 70.3%, driven by more favorable terms under our ABL Facility.</w:t>
      </w:r>
    </w:p>
    <w:p>
      <w:pPr>
        <w:spacing w:after="0" w:line="117" w:lineRule="exact"/>
        <w:rPr>
          <w:rFonts w:ascii="Arial" w:cs="Arial" w:eastAsia="Arial" w:hAnsi="Arial"/>
          <w:sz w:val="17"/>
          <w:szCs w:val="17"/>
          <w:color w:val="auto"/>
        </w:rPr>
      </w:pPr>
    </w:p>
    <w:p>
      <w:pPr>
        <w:jc w:val="both"/>
        <w:ind w:left="660" w:right="20" w:hanging="328"/>
        <w:spacing w:after="0" w:line="31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$16.4 million, or 2.3%, decrease in operating expenses and supplies was driven by a $21.9 million decrease in fuel expenses driven by a slightly lower cost per gallon of fuel as well as a higher percentage of our linehaul miles being provided by purchased transportation, thus lowering our fuel usage. This decrease was partially offset by a $5.7 million increase in vehicle maintenance expenses to support our aging fleet.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Also offsetting the increase in operating expenses were gains on disposals of property, which were $15.9 million in 2014 compared to $3.0 million in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Regional Transportation represented 37%, 36% and 36% of consolidated operating revenue in 2015, 2014 and 2013, respectively. The table below provides summary financial information for Regional Transportation for the years ended December 31: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Borders>
              <w:bottom w:val="single" w:sz="8" w:color="auto"/>
            </w:tcBorders>
            <w:gridSpan w:val="3"/>
          </w:tcPr>
          <w:p>
            <w:pPr>
              <w:jc w:val="right"/>
              <w:ind w:right="1174"/>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2015 vs. 2014</w:t>
            </w:r>
          </w:p>
        </w:tc>
        <w:tc>
          <w:tcPr>
            <w:tcW w:w="17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2014 vs. 2013</w:t>
            </w:r>
          </w:p>
        </w:tc>
      </w:tr>
      <w:tr>
        <w:trPr>
          <w:trHeight w:val="250"/>
        </w:trPr>
        <w:tc>
          <w:tcPr>
            <w:tcW w:w="30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29.2 %</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1.2pp</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-1.0pp</w:t>
            </w:r>
          </w:p>
        </w:tc>
      </w:tr>
    </w:tbl>
    <w:p>
      <w:pPr>
        <w:spacing w:after="0" w:line="19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Regional Transportation reported operating revenue of $1,776.9 million for 2015, representing a decrease of $54.5 million, or 3.0%, from 2014. The decrease in revenue was largely driven by a reduction in fuel surcharge revenue and declines in volume, partially offset by improvements to yield. The table below summarizes the key revenue metrics for the Regional Transportation reporting segment for the years ended December 31:</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(c)</w:t>
            </w: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720" w:type="dxa"/>
            <w:vAlign w:val="bottom"/>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4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324"/>
        </w:trPr>
        <w:tc>
          <w:tcPr>
            <w:tcW w:w="4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49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1,777.9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1,832.3</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1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7,906</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4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1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10,745</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(3.4)%</w:t>
            </w:r>
          </w:p>
        </w:tc>
      </w:tr>
      <w:tr>
        <w:trPr>
          <w:trHeight w:val="27"/>
        </w:trPr>
        <w:tc>
          <w:tcPr>
            <w:tcW w:w="4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Total revenue per hundred weight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(0.5)%</w:t>
            </w:r>
          </w:p>
        </w:tc>
      </w:tr>
      <w:tr>
        <w:trPr>
          <w:trHeight w:val="27"/>
        </w:trPr>
        <w:tc>
          <w:tcPr>
            <w:tcW w:w="4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 (excluding fuel surcharge)</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Total revenue per shipment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0.5 %</w:t>
            </w:r>
          </w:p>
        </w:tc>
      </w:tr>
      <w:tr>
        <w:trPr>
          <w:trHeight w:val="27"/>
        </w:trPr>
        <w:tc>
          <w:tcPr>
            <w:tcW w:w="4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picked up revenue per shipment (excluding fuel surcharge)</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1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0.9 %</w:t>
            </w:r>
          </w:p>
        </w:tc>
      </w:tr>
      <w:tr>
        <w:trPr>
          <w:trHeight w:val="918"/>
        </w:trPr>
        <w:tc>
          <w:tcPr>
            <w:tcW w:w="4980" w:type="dxa"/>
            <w:vAlign w:val="bottom"/>
          </w:tcPr>
          <w:p>
            <w:pPr>
              <w:spacing w:after="0"/>
              <w:rPr>
                <w:sz w:val="24"/>
                <w:szCs w:val="24"/>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0" w:name="page31"/>
    <w:bookmarkEnd w:id="30"/>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186"/>
        </w:trPr>
        <w:tc>
          <w:tcPr>
            <w:tcW w:w="34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6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7620</wp:posOffset>
            </wp:positionV>
            <wp:extent cx="542861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28615" cy="180340"/>
                    </a:xfrm>
                    <a:prstGeom prst="rect">
                      <a:avLst/>
                    </a:prstGeom>
                    <a:noFill/>
                  </pic:spPr>
                </pic:pic>
              </a:graphicData>
            </a:graphic>
          </wp:anchor>
        </w:drawing>
      </w:r>
    </w:p>
    <w:p>
      <w:pPr>
        <w:spacing w:after="0" w:line="18" w:lineRule="exact"/>
        <w:rPr>
          <w:sz w:val="20"/>
          <w:szCs w:val="20"/>
          <w:color w:val="auto"/>
        </w:rPr>
      </w:pPr>
    </w:p>
    <w:p>
      <w:pPr>
        <w:ind w:left="1660" w:hanging="166"/>
        <w:spacing w:after="0"/>
        <w:tabs>
          <w:tab w:leader="none" w:pos="1660" w:val="left"/>
        </w:tabs>
        <w:numPr>
          <w:ilvl w:val="0"/>
          <w:numId w:val="34"/>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460" w:type="dxa"/>
        <w:tblCellMar>
          <w:top w:w="0" w:type="dxa"/>
          <w:left w:w="0" w:type="dxa"/>
          <w:bottom w:w="0" w:type="dxa"/>
          <w:right w:w="0" w:type="dxa"/>
        </w:tblCellMar>
      </w:tblPr>
      <w:tr>
        <w:trPr>
          <w:trHeight w:val="236"/>
        </w:trPr>
        <w:tc>
          <w:tcPr>
            <w:tcW w:w="564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1,776.9</w:t>
            </w:r>
          </w:p>
        </w:tc>
        <w:tc>
          <w:tcPr>
            <w:tcW w:w="7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1,831.4</w:t>
            </w:r>
          </w:p>
        </w:tc>
      </w:tr>
      <w:tr>
        <w:trPr>
          <w:trHeight w:val="276"/>
        </w:trPr>
        <w:tc>
          <w:tcPr>
            <w:tcW w:w="5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3"/>
                <w:szCs w:val="13"/>
                <w:color w:val="auto"/>
                <w:w w:val="92"/>
              </w:rPr>
              <w:t>(c)</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0"/>
        </w:trPr>
        <w:tc>
          <w:tcPr>
            <w:tcW w:w="5640" w:type="dxa"/>
            <w:vAlign w:val="bottom"/>
          </w:tcPr>
          <w:p>
            <w:pPr>
              <w:ind w:left="4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1,777.9</w:t>
            </w:r>
          </w:p>
        </w:tc>
        <w:tc>
          <w:tcPr>
            <w:tcW w:w="24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8890</wp:posOffset>
            </wp:positionV>
            <wp:extent cx="18522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5" w:lineRule="exact"/>
        <w:rPr>
          <w:sz w:val="20"/>
          <w:szCs w:val="20"/>
          <w:color w:val="auto"/>
        </w:rPr>
      </w:pPr>
    </w:p>
    <w:p>
      <w:pPr>
        <w:ind w:left="460" w:hanging="128"/>
        <w:spacing w:after="0"/>
        <w:tabs>
          <w:tab w:leader="none" w:pos="460" w:val="left"/>
        </w:tabs>
        <w:numPr>
          <w:ilvl w:val="0"/>
          <w:numId w:val="35"/>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9"/>
          <w:szCs w:val="9"/>
          <w:color w:val="auto"/>
        </w:rPr>
      </w:pPr>
    </w:p>
    <w:p>
      <w:pPr>
        <w:ind w:left="460" w:hanging="128"/>
        <w:spacing w:after="0"/>
        <w:tabs>
          <w:tab w:leader="none" w:pos="460" w:val="left"/>
        </w:tabs>
        <w:numPr>
          <w:ilvl w:val="0"/>
          <w:numId w:val="35"/>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1" w:lineRule="exact"/>
        <w:rPr>
          <w:rFonts w:ascii="Arial" w:cs="Arial" w:eastAsia="Arial" w:hAnsi="Arial"/>
          <w:sz w:val="9"/>
          <w:szCs w:val="9"/>
          <w:color w:val="auto"/>
        </w:rPr>
      </w:pPr>
    </w:p>
    <w:p>
      <w:pPr>
        <w:ind w:left="460" w:hanging="128"/>
        <w:spacing w:after="0"/>
        <w:tabs>
          <w:tab w:leader="none" w:pos="460" w:val="left"/>
        </w:tabs>
        <w:numPr>
          <w:ilvl w:val="0"/>
          <w:numId w:val="35"/>
        </w:numPr>
        <w:rPr>
          <w:rFonts w:ascii="Arial" w:cs="Arial" w:eastAsia="Arial" w:hAnsi="Arial"/>
          <w:sz w:val="9"/>
          <w:szCs w:val="9"/>
          <w:color w:val="auto"/>
        </w:rPr>
      </w:pPr>
      <w:r>
        <w:rPr>
          <w:rFonts w:ascii="Arial" w:cs="Arial" w:eastAsia="Arial" w:hAnsi="Arial"/>
          <w:sz w:val="14"/>
          <w:szCs w:val="14"/>
          <w:color w:val="auto"/>
        </w:rPr>
        <w:t>Operating metrics for 2015 have been updated, as compared to the metrics disclosed in the current report on the Form 8-K filed on February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-311785</wp:posOffset>
            </wp:positionV>
            <wp:extent cx="1852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for Regional Transportation was $85.4 million for 2015, an increase of $19.3 million from the same period in 2014, which consisted of a $54.5 million decrease in revenue, offset by a $73.8 million decrease in operating expenses.</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decrease in operating expenses was driven by a $91.9 million, or 20.8%, decrease in operating expenses and supplies, offset by an increase of $9.0 million, or 0.9%, increase in salaries, wages and employee benefits and an $8.4 million, or 7.4%, increase in purchased transportation.</w:t>
      </w:r>
    </w:p>
    <w:p>
      <w:pPr>
        <w:spacing w:after="0" w:line="93"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$91.9 million, or 20.8%, decrease in operating expenses and supplies due to a $97.2 million, or 42.5%, decrease in fuel expenses driven by a lower cost per gallon, as well as fewer miles driven.</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$9.0 million, or 0.9%, increase in salaries, wages and employee benefits was driven by a $4.5 million increase in salaries and wages, principally related to a Regional transportation segment profit sharing bonus to be paid to eligible union employees, and an $8.9 million increase in employee benefits. The increase in salaries, wages and employee benefits is partially offset by a $4.6 million decrease in workers’ compensation expenses due to a reduction in new claim frequency and favorable development of prior year claims.</w:t>
      </w:r>
    </w:p>
    <w:p>
      <w:pPr>
        <w:spacing w:after="0" w:line="11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$8.4 million, or 7.4%, increase in purchased transportation was driven by a $11.3 million, or 40.9%, increase in vehicle rent expense resulting from higher usage of leased revenue equipment due to our strategy of using operating leases for our new revenue equipment. This was offset by a decrease of $2.1 million in local purchased transportation, when compared to prior year.</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Also contributing to the decrease in operating expenses was a year-over-year reduction in losses on disposals of property, which were $0.2 million in 2015 compared to $4.0 million in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Compared to 2013</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Regional Transportation reported operating revenue of $1,831.4 million for 2014, representing an increase of $102.8 million, or 5.9%, from 2013. The table below summarizes the key revenue metrics for the Regional Transportation reporting segment for the years ended December 31:</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1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324"/>
        </w:trPr>
        <w:tc>
          <w:tcPr>
            <w:tcW w:w="4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49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1,729.6</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12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3.6%</w:t>
            </w: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1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12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10,452</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2.8%</w:t>
            </w: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1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Total revenue per hundred weight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2.2%</w:t>
            </w: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 (excluding fuel surcharge)</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Total revenue per shipment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3.0%</w:t>
            </w: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picked up revenue per shipment (excluding fuel surcharge)</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12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891"/>
        </w:trPr>
        <w:tc>
          <w:tcPr>
            <w:tcW w:w="4980" w:type="dxa"/>
            <w:vAlign w:val="bottom"/>
          </w:tcPr>
          <w:p>
            <w:pPr>
              <w:spacing w:after="0"/>
              <w:rPr>
                <w:sz w:val="24"/>
                <w:szCs w:val="24"/>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color w:val="auto"/>
              </w:rPr>
              <w:t>31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752" w:right="239" w:bottom="1440" w:gutter="0" w:footer="0" w:header="0"/>
        </w:sectPr>
      </w:pPr>
    </w:p>
    <w:bookmarkStart w:id="31" w:name="page32"/>
    <w:bookmarkEnd w:id="31"/>
    <w:p>
      <w:pPr>
        <w:spacing w:after="0" w:line="1" w:lineRule="exact"/>
        <w:rPr>
          <w:sz w:val="20"/>
          <w:szCs w:val="20"/>
          <w:color w:val="auto"/>
        </w:rPr>
      </w:pPr>
    </w:p>
    <w:tbl>
      <w:tblPr>
        <w:tblLayout w:type="fixed"/>
        <w:tblInd w:w="2020" w:type="dxa"/>
        <w:tblCellMar>
          <w:top w:w="0" w:type="dxa"/>
          <w:left w:w="0" w:type="dxa"/>
          <w:bottom w:w="0" w:type="dxa"/>
          <w:right w:w="0" w:type="dxa"/>
        </w:tblCellMar>
      </w:tblPr>
      <w:tr>
        <w:trPr>
          <w:trHeight w:val="186"/>
        </w:trPr>
        <w:tc>
          <w:tcPr>
            <w:tcW w:w="30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100" w:type="dxa"/>
            <w:vAlign w:val="bottom"/>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7620</wp:posOffset>
            </wp:positionV>
            <wp:extent cx="472503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25035" cy="180340"/>
                    </a:xfrm>
                    <a:prstGeom prst="rect">
                      <a:avLst/>
                    </a:prstGeom>
                    <a:noFill/>
                  </pic:spPr>
                </pic:pic>
              </a:graphicData>
            </a:graphic>
          </wp:anchor>
        </w:drawing>
      </w:r>
    </w:p>
    <w:p>
      <w:pPr>
        <w:ind w:left="2200" w:hanging="180"/>
        <w:spacing w:after="0"/>
        <w:tabs>
          <w:tab w:leader="none" w:pos="220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Reconciliation of operating revenue to total picked up revenue:</w:t>
      </w:r>
    </w:p>
    <w:p>
      <w:pPr>
        <w:spacing w:after="0" w:line="56" w:lineRule="exact"/>
        <w:rPr>
          <w:sz w:val="20"/>
          <w:szCs w:val="20"/>
          <w:color w:val="auto"/>
        </w:rPr>
      </w:pPr>
    </w:p>
    <w:tbl>
      <w:tblPr>
        <w:tblLayout w:type="fixed"/>
        <w:tblInd w:w="2000" w:type="dxa"/>
        <w:tblCellMar>
          <w:top w:w="0" w:type="dxa"/>
          <w:left w:w="0" w:type="dxa"/>
          <w:bottom w:w="0" w:type="dxa"/>
          <w:right w:w="0" w:type="dxa"/>
        </w:tblCellMar>
      </w:tblPr>
      <w:tr>
        <w:trPr>
          <w:trHeight w:val="236"/>
        </w:trPr>
        <w:tc>
          <w:tcPr>
            <w:tcW w:w="484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1,831.4</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1,728.6</w:t>
            </w:r>
          </w:p>
        </w:tc>
      </w:tr>
      <w:tr>
        <w:trPr>
          <w:trHeight w:val="276"/>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1,832.3</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8890</wp:posOffset>
            </wp:positionV>
            <wp:extent cx="16465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38"/>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38"/>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-208915</wp:posOffset>
            </wp:positionV>
            <wp:extent cx="1646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for Regional Transportation was $66.1 million for 2014, a decrease of $13.8 million from the same period in 2013, consisting of a $116.6 million increase in operating expenses, partially offset by a $102.8 million increase in revenue.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operating revenue was largely driven by increases in shipping volumes and yield as noted in the table above. We believe the increase in shipping volumes was driven, in large part, by the improvement in the overall economic environment as well as increased shipper confidence due to the finalization of the 2014 Financing Transactions and our MOU in early 2014. The increases in yield were driven by a stronger overall pricing environment and successful contract negotiations with our customers.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cost increase was driven by a $49.6 million, or 5.1%, increase in salaries, wages and employees’ benefits, a $30.6 million, or 37.0%, increase in purchased transportation, a $19.4 million, or 22.0%, increase in other operating expenses and a $10.7 million, or 2.5%, increase in operating expenses and supplies.</w:t>
      </w:r>
    </w:p>
    <w:p>
      <w:pPr>
        <w:spacing w:after="0" w:line="127" w:lineRule="exact"/>
        <w:rPr>
          <w:sz w:val="20"/>
          <w:szCs w:val="20"/>
          <w:color w:val="auto"/>
        </w:rPr>
      </w:pPr>
    </w:p>
    <w:p>
      <w:pPr>
        <w:jc w:val="both"/>
        <w:ind w:left="660" w:hanging="328"/>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$49.6 million, or 5.1%, increase in salaries, wages and employee benefits was driven by a $44.0 million increase in employment costs primarily driven by an increase in shipping volumes and a decrease in our operational productivities. The increase in salaries, wages and employee benefits is also driven by an $8.8 million, or 22.5%, increase in workers’ compensation related expenses primarily due to an increase in new claims, partially offset by a reduction in letter of credit fees used to support our workers’ compensation claims of $3.2 million, or 57.5%, driven by more favorable terms under our ABL Facility.</w:t>
      </w:r>
    </w:p>
    <w:p>
      <w:pPr>
        <w:spacing w:after="0" w:line="134"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$30.6 million, or 37.0%, increase in purchased transportation was driven by a $21.5 million, or 350.2%, increase in vehicle rent expense as our percentage of leased units increased due to our current strategy of using operating leases for our new revenue equipment. We also experienced a $9.4 million, or 12.8%, increase in local purchased transportation to keep our network in cycle in response to higher volumes and workforce shortages.</w:t>
      </w:r>
    </w:p>
    <w:p>
      <w:pPr>
        <w:spacing w:after="0" w:line="92"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$19.4 million, or 22.0%, increase in other operating expense was driven by a $15.1 million, or 117.3%, increase in our property damage and liability claims expense due to unfavorable development on our outstanding claims, partially offset by a reduction in letter of credit fees used to support our property damage and liability claims of $0.8 million driven by more favorable terms under our ABL Facility. We also experienced a $4.4 million increase in cargo claims expense due to an increase in the frequency and severity of our outstanding claims.</w:t>
      </w:r>
    </w:p>
    <w:p>
      <w:pPr>
        <w:spacing w:after="0" w:line="11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$10.7 million, or 2.5%, increase in operating expenses and supplies was driven by a $4.9 million, or 6.2%, increase vehicle maintenance expense to support our aging fleet. Regional Transportation only experienced a small decrease in fuel expense as the reduction in the cost per gallon of fuel was almost entirely offset by an increase in miles driven.</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Also contributing to the increase in operating expenses were losses on disposals of property, which were $4.0 million in 2014 compared to $0.6 million in 2013.</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5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net income (loss) to EBITDA and EBITDA to Adjusted EBITDA, as defined in the Term Loan as “Consolidated EBITDA” for the years ended December 31, 2015, 2014 and 2013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(loss)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172.3</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206.6</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for Term Loan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12.0</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consulting fees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Permitted dispositions and other</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Non-union pension settlement charge</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2915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-98425</wp:posOffset>
            </wp:positionV>
            <wp:extent cx="29159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years ended December 31, 2015, 2014 and 2013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by segment:</w:t>
            </w:r>
          </w:p>
        </w:tc>
        <w:tc>
          <w:tcPr>
            <w:tcW w:w="1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YRC Freight</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Regional Transportation</w:t>
            </w:r>
          </w:p>
        </w:tc>
        <w:tc>
          <w:tcPr>
            <w:tcW w:w="1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33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30" w:right="25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The reconciliation of operating income (loss), by segment, to Adjusted EBITDA for the years ended December 31, 2015, 2014 and 2013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YRC Freight segment (in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(loss)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Nonrecurring consulting fees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Non-union pension settlement charge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2941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-98425</wp:posOffset>
            </wp:positionV>
            <wp:extent cx="2941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Regional Transportation segment (in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7"/>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Losses on property disposals,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9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17145</wp:posOffset>
            </wp:positionV>
            <wp:extent cx="2950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-98425</wp:posOffset>
            </wp:positionV>
            <wp:extent cx="29502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Corporate (in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12.0</w:t>
            </w: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Permitted dispositions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Equity based compensation expense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17145</wp:posOffset>
            </wp:positionV>
            <wp:extent cx="29502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-98425</wp:posOffset>
            </wp:positionV>
            <wp:extent cx="29502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net cash flow from operations. As of December 31, 2015, we had cash and cash equivalents of $173.8 million and the borrowing base and maximum availability on our ABL Facility were $441.7 million and $79.7 million, respectively. The maximum availability is calculated in accordance with the terms of the ABL Facility and is derived by reducing the borrowing base by our $362.0 million of outstanding letters of credit. While our ABL Facility permits us to access maximum availability outside of certain financial covenant restrictions (which restrictions did not limit our availability as of December 31, 2015), the maximum amount we expect to access on our ABL Facility at any time is maximum availability less the lower of 10% of the borrowing base ($44.2 million at December 31, 2015) or 10% of the collateral line cap ($45.0 million at December 31, 2015). Thus, of the $79.7 million in maximum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30"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availability, we expected to access no more than $35.5 million as of December 31, 2015 (“Managed Accessibility”). As a result, we had cash and cash equivalents and Managed Accessibility of $209.3 million as of December 31, 2015.</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2014, we had cash and cash equivalents of $171.1 million and the borrowing base and maximum availability on our ABL Facility were $445.5 million and $71.2 million, respectively. The maximum availability is calculated in accordance with the terms of the ABL Facility and is derived by reducing the borrowing base by our $374.3 million of outstanding letters of credit. As of December 31, 2014, amounts able to be drawn on our ABL Facility (which were limited by certain financial covenant restrictions) were $27.1 million, for a total of cash and cash equivalents and amounts able to be drawn on our ABL Facility of $198.2 million.</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equipment leases and funding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2015, our Standard &amp; Poor’s Corporate Family Rating was “B-” and Moody’s Investor Service Corporate Family Rating was “B3.”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Agreement governing our Term Loan has certain financial covenants, as amended in September 2014, that, among other things, restrict certain capital expenditures and require us to maintain a maximum total leverage ratio (defined as Consolidated Total Debt divided by Consolidated Adjusted EBITDA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36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160" w:type="dxa"/>
            <w:vAlign w:val="bottom"/>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nonrecurring consulting fees, expenses associated with certain lump sum payments to our IBT employees and the results of permitted dispositions and discontinued operations. Consolidated Total Debt, as defined in our Term Loan Agreement, is the principal amount of indebtedness outstanding. Our total leverage ratio for the year ended December 31, 2015 was 3.25 to 1.00. Additionally, our ABL Facility credit agreement, among other things, restricts certain capital expenditures.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In order for us to maintain compliance with the maximum total leverage ratio over the tenor of the Term Loan and satisfy our liquidity needs, we must achieve slight improvement over our 2015 results. Improvements to our profitability may include ongoing successful implementation and realization of pricing, productivity and efficiency initiatives, as well as increased volume, some of which are outside of our control.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cash flow was a source of cash of $140.8 million for the year ended December 31, 2015 compared to $28.5 million during the year ended December 31, 2014. The favorable cash flow impact is related to a $68.4 million year-over-year increase in net income (loss) and increased cash inflow from accounts receivable, which is attributed to improved management of day sales outstanding and lower revenue.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30" w:right="239" w:bottom="1440" w:gutter="0" w:footer="0" w:header="0"/>
        </w:sectPr>
      </w:pPr>
    </w:p>
    <w:bookmarkStart w:id="35" w:name="page36"/>
    <w:bookmarkEnd w:id="35"/>
    <w:p>
      <w:pPr>
        <w:jc w:val="both"/>
        <w:ind w:right="20"/>
        <w:spacing w:after="0" w:line="308" w:lineRule="auto"/>
        <w:rPr>
          <w:sz w:val="20"/>
          <w:szCs w:val="20"/>
          <w:color w:val="auto"/>
        </w:rPr>
      </w:pPr>
      <w:r>
        <w:rPr>
          <w:rFonts w:ascii="Arial" w:cs="Arial" w:eastAsia="Arial" w:hAnsi="Arial"/>
          <w:sz w:val="17"/>
          <w:szCs w:val="17"/>
          <w:color w:val="auto"/>
        </w:rPr>
        <w:t>Operating cash flow was a source of cash of $28.5 million for the year ended December 31, 2014 compared to a source of cash of $12.1 million during the year ended December 31, 2013. The favorable cash flow impact is largely related to a $15.9 million year-over-year decrease in net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Investing cash flows used $121.4 million of cash in 2015 compared to $41.6 million used in 2014, primarily due to an increase in capital expenditures. Additionally, in 2015, we received a net decrease of $33.1 million in restricted escrow refunds, compared to a net increase of $1.6 million in 2014. Also, proceeds from the disposal of property and equipment decreased in 2015 compared to 2014 by $3.3 million due to additional property sales in 2014. See a detailed discussion of 2015 and 2014 capital expenditures below in “Capital Expenditures” for further information.</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Investing cash flows used $41.6 million in 2014 compared to $23.5 million of cash used in 2013. In 2014, we received a net $1.6 million in restricted escrow refunds, compared to $31.8 million in 2013. Also, proceeds from the disposal of property and equipment increased by $11.0 million in 2014 as compared to 2013. See a detailed discussion of 2014 and 2013 capital expenditures below in “Capital Expenditures”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2015 was $16.7 million, which consists solely of scheduled repayments of our long-term debt.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financing activities for 2014 was $7.9 million. The cash provided during 2014 was driven by the issuance of $693.0 million in long-term debt for the Term Loan and $250.0 million in equity issuance proceeds, offset by $892.7 million of repayments of our long-term debt. The repayments primarily consisted of $298.1 million for our previous term loan (the “Prior Term Loan”), $324.9 million for our prior asset-based loan that was replaced by our ABL Facility (“Prior ABL Facility”), $69.4 million for our 6% Convertible Senior Notes (“6% Notes”) and $183.5 million for our Series A Notes. We also had $29.1 million in debt issuance costs and $17.1 million in equity issuance costs related to our new debt and equity issued in 2014.</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2013 was $21.0 million. During 2013, we increased our net borrowings under our Prior ABL Facility by $0.3 million, which was offset by a $9.2 million repayment of other long-term debt from asset sale proceeds and $12.1 million in debt issuance costs related to the November 12, 2013 credit agreement amendments.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capital expenditures focus primarily on the replacement of revenue equipment, improvements to structures, and investments in information technology. Our business is capital intensive with significant investments in service center facilities and a fleet of tractors and trailers. We determine the amount and timing of capital expenditures based on numerous factors, including fleet age, service center condition, viability of IT systems, anticipated liquidity levels, economic conditions, new or expanded services, regulatory actions and availability of financing.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3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table below summarizes our actual net capital expenditures (proceeds) by type of investment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Revenue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48.0</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 and structures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10.3</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r>
      <w:tr>
        <w:trPr>
          <w:trHeight w:val="237"/>
        </w:trPr>
        <w:tc>
          <w:tcPr>
            <w:tcW w:w="6700" w:type="dxa"/>
            <w:vAlign w:val="bottom"/>
          </w:tcPr>
          <w:p>
            <w:pPr>
              <w:ind w:left="36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66.9</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Revenue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 and structures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proceeds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Total net capital expenditures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57.1</w:t>
            </w: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for the years ended December 31, 2015 and 2014 were $108.0 million and $69.2 million, respectively. These amounts were principally used to fund the purchase of used tractors and trailers, to refurbish engines for our revenue fleet and for capitalized costs for our improvements to our service center facilities and technology infrastructure.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Additionally, for the year ended December 31, 2015, we entered into new operating lease commitments for revenue equipment totaling $130.9 million, with such payments to be made over the average lease term of 4 years. The capital value of this revenue equipment, which excludes our recurring leases for sleeper units, totals $131.7 million. As of December 31, 2015, our operating lease obligations for 2016 are $80.0 million. As of December 31, 2015, our operating lease obligations through 2025 totaled $269.0 million and are expected to increase as we lease additional revenue equipment in future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sections provide aggregated information regarding our contractual obligations and commercial commitments as of December 31,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Non-Union Pension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defined benefit pension plans for certain employees not covered by collective bargaining agreements. The Yellow Transportation and Roadway qualified plans cover approximately 10,000 employees including those currently receiving benefits and those who have left the company with deferred benefits. On January 1, 2004, the existing qualified benefit plans were closed to new participants. On July 1, 2008, the benefit accrual for participants was frozen.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adopted the legislative changes provided by the Bipartisan Budget Act of 2015 (“BBA 2015”) which was signed into law on November 2, 2015. This legislation extends the use of longer-term, stabilized interest rate assumptions for measuring pension obligations under the minimum funding requirements. We expect to make the plan contributions as required by BBA 2015 and other regulations.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2015, our pension expense was $46.6 million. This amount includes a $28.7 million expense recognition of settlements from lump sum payouts during the year. Our cash contributions were $70.9 million. Using our current plan assumptions, which include an assumed 7.0% return on assets and a discount rate of 4.81%, we expect to record expense of $13.2 million for the year ended December 31, 2016. We expect our cash contributions for our non-union sponsored pension plans for the next five years to be as follows: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3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560" w:type="dxa"/>
            <w:vAlign w:val="bottom"/>
            <w:tcBorders>
              <w:bottom w:val="single" w:sz="8" w:color="auto"/>
            </w:tcBorders>
            <w:gridSpan w:val="2"/>
          </w:tcPr>
          <w:p>
            <w:pPr>
              <w:ind w:left="3700"/>
              <w:spacing w:after="0"/>
              <w:rPr>
                <w:sz w:val="20"/>
                <w:szCs w:val="20"/>
                <w:color w:val="auto"/>
              </w:rPr>
            </w:pPr>
            <w:r>
              <w:rPr>
                <w:rFonts w:ascii="Arial" w:cs="Arial" w:eastAsia="Arial" w:hAnsi="Arial"/>
                <w:sz w:val="14"/>
                <w:szCs w:val="14"/>
                <w:b w:val="1"/>
                <w:bCs w:val="1"/>
                <w:color w:val="auto"/>
                <w:w w:val="93"/>
              </w:rPr>
              <w:t>Expected Cash Contributions</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460" w:type="dxa"/>
            <w:vAlign w:val="bottom"/>
            <w:tcBorders>
              <w:bottom w:val="single" w:sz="8" w:color="CCEEFF"/>
            </w:tcBorders>
            <w:shd w:val="clear" w:color="auto" w:fill="CCEEFF"/>
          </w:tcPr>
          <w:p>
            <w:pPr>
              <w:ind w:left="36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2017</w:t>
            </w:r>
          </w:p>
        </w:tc>
        <w:tc>
          <w:tcPr>
            <w:tcW w:w="4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64.9</w:t>
            </w:r>
          </w:p>
        </w:tc>
      </w:tr>
      <w:tr>
        <w:trPr>
          <w:trHeight w:val="27"/>
        </w:trPr>
        <w:tc>
          <w:tcPr>
            <w:tcW w:w="4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2019</w:t>
            </w:r>
          </w:p>
        </w:tc>
        <w:tc>
          <w:tcPr>
            <w:tcW w:w="4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4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446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strategy for our pension assets and our related pension contribution funding obligation includes an active interest rate hedging program designed to mitigate the impact of changes in interest rates on each plan’s funded position. If the pension discount rate falls, our investment strategy is designed to significantly mitigate such interest rate risk to each pension plan’s funded status and our contribution funding obligation. Conversely, if the pension discount rate rises, some portion of the beneficial impact of a rising discount rate on the pension liability will be forgone. The investment program is dynamic and the hedging program is designed to adapt to market conditions.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future actual asset returns fall short of the 7.0% assumption by 1.0% per year, total cash contributions would be $12.7 million higher over the next five years. If future actual asset returns exceed the 7.0% assumption by 1.0% per year, total cash contributions would be $13.0 million lower over the next five years.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future interest rates decrease 100 basis points from January 1, 2016 levels, total cash contributions would be $34.1 million lower over the next five years. This reflects our liability hedging strategy and the impact of BBA 2015 legislation. The liability hedging strategy results in additional asset returns from decreases in interest rates. However, BBA 2015 limits the increase in liabilities from lower interest rates such that the net effect is lower contributions. If interest rates increase 100 basis points from January 1, 2016 levels, total cash contributions would be $34.6 million higher over the next five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Less than 1 year</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After 5 years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30.4</w:t>
            </w:r>
          </w:p>
        </w:tc>
      </w:tr>
      <w:tr>
        <w:trPr>
          <w:trHeight w:val="270"/>
        </w:trPr>
        <w:tc>
          <w:tcPr>
            <w:tcW w:w="4580" w:type="dxa"/>
            <w:vAlign w:val="bottom"/>
          </w:tcPr>
          <w:p>
            <w:pPr>
              <w:ind w:left="36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5"/>
                <w:szCs w:val="25"/>
                <w:color w:val="auto"/>
                <w:vertAlign w:val="superscript"/>
              </w:rPr>
              <w:t>(b)</w:t>
            </w:r>
          </w:p>
        </w:tc>
        <w:tc>
          <w:tcPr>
            <w:tcW w:w="160" w:type="dxa"/>
            <w:vAlign w:val="bottom"/>
          </w:tcPr>
          <w:p>
            <w:pPr>
              <w:spacing w:after="0"/>
              <w:rPr>
                <w:sz w:val="23"/>
                <w:szCs w:val="23"/>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676.1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857.6</w:t>
            </w:r>
          </w:p>
        </w:tc>
      </w:tr>
      <w:tr>
        <w:trPr>
          <w:trHeight w:val="270"/>
        </w:trPr>
        <w:tc>
          <w:tcPr>
            <w:tcW w:w="45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Lease financing obligations</w:t>
            </w:r>
            <w:r>
              <w:rPr>
                <w:rFonts w:ascii="Arial" w:cs="Arial" w:eastAsia="Arial" w:hAnsi="Arial"/>
                <w:sz w:val="25"/>
                <w:szCs w:val="25"/>
                <w:color w:val="auto"/>
                <w:vertAlign w:val="superscript"/>
              </w:rPr>
              <w:t>(c)</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184.8</w:t>
            </w:r>
          </w:p>
        </w:tc>
      </w:tr>
      <w:tr>
        <w:trPr>
          <w:trHeight w:val="270"/>
        </w:trPr>
        <w:tc>
          <w:tcPr>
            <w:tcW w:w="4580" w:type="dxa"/>
            <w:vAlign w:val="bottom"/>
          </w:tcPr>
          <w:p>
            <w:pPr>
              <w:ind w:left="380"/>
              <w:spacing w:after="0" w:line="270" w:lineRule="exact"/>
              <w:rPr>
                <w:sz w:val="20"/>
                <w:szCs w:val="20"/>
                <w:color w:val="auto"/>
              </w:rPr>
            </w:pPr>
            <w:r>
              <w:rPr>
                <w:rFonts w:ascii="Arial" w:cs="Arial" w:eastAsia="Arial" w:hAnsi="Arial"/>
                <w:sz w:val="18"/>
                <w:szCs w:val="18"/>
                <w:color w:val="auto"/>
              </w:rPr>
              <w:t>Pension deferral obligations</w:t>
            </w:r>
            <w:r>
              <w:rPr>
                <w:rFonts w:ascii="Arial" w:cs="Arial" w:eastAsia="Arial" w:hAnsi="Arial"/>
                <w:sz w:val="25"/>
                <w:szCs w:val="25"/>
                <w:color w:val="auto"/>
                <w:vertAlign w:val="superscript"/>
              </w:rPr>
              <w:t>(d)</w:t>
            </w:r>
          </w:p>
        </w:tc>
        <w:tc>
          <w:tcPr>
            <w:tcW w:w="160" w:type="dxa"/>
            <w:vAlign w:val="bottom"/>
          </w:tcPr>
          <w:p>
            <w:pPr>
              <w:spacing w:after="0"/>
              <w:rPr>
                <w:sz w:val="23"/>
                <w:szCs w:val="23"/>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152.2</w:t>
            </w:r>
          </w:p>
        </w:tc>
      </w:tr>
      <w:tr>
        <w:trPr>
          <w:trHeight w:val="229"/>
        </w:trPr>
        <w:tc>
          <w:tcPr>
            <w:tcW w:w="4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Workers’ compensation and property damage and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58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rPr>
              <w:t>liability claims obligations</w:t>
            </w:r>
            <w:r>
              <w:rPr>
                <w:rFonts w:ascii="Arial" w:cs="Arial" w:eastAsia="Arial" w:hAnsi="Arial"/>
                <w:sz w:val="25"/>
                <w:szCs w:val="25"/>
                <w:color w:val="auto"/>
                <w:vertAlign w:val="superscript"/>
              </w:rPr>
              <w:t>(e)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400.4</w:t>
            </w:r>
          </w:p>
        </w:tc>
      </w:tr>
      <w:tr>
        <w:trPr>
          <w:trHeight w:val="270"/>
        </w:trPr>
        <w:tc>
          <w:tcPr>
            <w:tcW w:w="4580" w:type="dxa"/>
            <w:vAlign w:val="bottom"/>
          </w:tcPr>
          <w:p>
            <w:pPr>
              <w:ind w:left="38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(f)</w:t>
            </w:r>
          </w:p>
        </w:tc>
        <w:tc>
          <w:tcPr>
            <w:tcW w:w="160" w:type="dxa"/>
            <w:vAlign w:val="bottom"/>
          </w:tcPr>
          <w:p>
            <w:pPr>
              <w:spacing w:after="0"/>
              <w:rPr>
                <w:sz w:val="23"/>
                <w:szCs w:val="23"/>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269.0</w:t>
            </w:r>
          </w:p>
        </w:tc>
      </w:tr>
      <w:tr>
        <w:trPr>
          <w:trHeight w:val="270"/>
        </w:trPr>
        <w:tc>
          <w:tcPr>
            <w:tcW w:w="45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contractual obligations</w:t>
            </w:r>
            <w:r>
              <w:rPr>
                <w:rFonts w:ascii="Arial" w:cs="Arial" w:eastAsia="Arial" w:hAnsi="Arial"/>
                <w:sz w:val="25"/>
                <w:szCs w:val="25"/>
                <w:color w:val="auto"/>
                <w:vertAlign w:val="superscript"/>
              </w:rPr>
              <w:t>(g)</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19.2</w:t>
            </w:r>
          </w:p>
        </w:tc>
      </w:tr>
      <w:tr>
        <w:trPr>
          <w:trHeight w:val="270"/>
        </w:trPr>
        <w:tc>
          <w:tcPr>
            <w:tcW w:w="4580" w:type="dxa"/>
            <w:vAlign w:val="bottom"/>
          </w:tcPr>
          <w:p>
            <w:pPr>
              <w:ind w:left="380"/>
              <w:spacing w:after="0" w:line="270" w:lineRule="exact"/>
              <w:rPr>
                <w:sz w:val="20"/>
                <w:szCs w:val="20"/>
                <w:color w:val="auto"/>
              </w:rPr>
            </w:pPr>
            <w:r>
              <w:rPr>
                <w:rFonts w:ascii="Arial" w:cs="Arial" w:eastAsia="Arial" w:hAnsi="Arial"/>
                <w:sz w:val="18"/>
                <w:szCs w:val="18"/>
                <w:color w:val="auto"/>
              </w:rPr>
              <w:t>Capital expenditure obligations</w:t>
            </w:r>
            <w:r>
              <w:rPr>
                <w:rFonts w:ascii="Arial" w:cs="Arial" w:eastAsia="Arial" w:hAnsi="Arial"/>
                <w:sz w:val="25"/>
                <w:szCs w:val="25"/>
                <w:color w:val="auto"/>
                <w:vertAlign w:val="superscript"/>
              </w:rPr>
              <w:t>(h)</w:t>
            </w:r>
          </w:p>
        </w:tc>
        <w:tc>
          <w:tcPr>
            <w:tcW w:w="160" w:type="dxa"/>
            <w:vAlign w:val="bottom"/>
          </w:tcPr>
          <w:p>
            <w:pPr>
              <w:spacing w:after="0"/>
              <w:rPr>
                <w:sz w:val="23"/>
                <w:szCs w:val="23"/>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24.4</w:t>
            </w:r>
          </w:p>
        </w:tc>
      </w:tr>
      <w:tr>
        <w:trPr>
          <w:trHeight w:val="264"/>
        </w:trPr>
        <w:tc>
          <w:tcPr>
            <w:tcW w:w="4580" w:type="dxa"/>
            <w:vAlign w:val="bottom"/>
            <w:tcBorders>
              <w:top w:val="single" w:sz="8" w:color="CCEEFF"/>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contractual obligations</w:t>
            </w:r>
            <w:r>
              <w:rPr>
                <w:rFonts w:ascii="Arial" w:cs="Arial" w:eastAsia="Arial" w:hAnsi="Arial"/>
                <w:sz w:val="25"/>
                <w:szCs w:val="25"/>
                <w:color w:val="auto"/>
                <w:vertAlign w:val="superscript"/>
              </w:rPr>
              <w:t>(i)</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348.0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1,938.0</w:t>
            </w: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ABL Facility includes future payments for the letter of credit fees and unused line fees and are not included on the Company’s consolidated balance sheets.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Term Loan includes principal and interest payments, but excludes the unamortized discounts.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lease financing obligations include interest payments of $127.7 million and principal payments of $57.1 million. The remaining principal obligation is offset by the estimated book value of leased property at the expiration date of each lease agreement.</w:t>
      </w: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Pension deferral obligations includes principal and interest payments on the Second Amended and Restated Contribution Deferral Agreement (the “Second A&amp;R CDA”).</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workers’ compensation and property damage and liability claims obligations represent our estimate of future payments for these obligations, not all of which are contractually required.</w:t>
      </w:r>
    </w:p>
    <w:p>
      <w:pPr>
        <w:ind w:left="660" w:right="20" w:hanging="328"/>
        <w:spacing w:after="0" w:line="241"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Operating leases represent future payments, which include interest, under contractual lease arrangements primarily for revenue equipment and are not included on the Company’s consolidated balance sheets.</w:t>
      </w: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Capital expenditure obligations primarily includes noncancelable purchase orders for revenue equipment scheduled for delivery in 2016 and are not included on the Company’s consolidated balance sheets.</w:t>
      </w:r>
    </w:p>
    <w:p>
      <w:pPr>
        <w:ind w:left="660" w:hanging="328"/>
        <w:spacing w:after="0" w:line="255"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Total liabilities for uncertain tax positions as of December 31, 2015 were $7.6 million and are classified on the Company’s consolidated balance sheets within “Claims and Other Liabilities” and are excluded from the table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cash flow.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jc w:val="center"/>
              <w:ind w:right="97"/>
              <w:spacing w:after="0"/>
              <w:rPr>
                <w:sz w:val="20"/>
                <w:szCs w:val="20"/>
                <w:color w:val="auto"/>
              </w:rPr>
            </w:pPr>
            <w:r>
              <w:rPr>
                <w:rFonts w:ascii="Arial" w:cs="Arial" w:eastAsia="Arial" w:hAnsi="Arial"/>
                <w:sz w:val="14"/>
                <w:szCs w:val="14"/>
                <w:b w:val="1"/>
                <w:bCs w:val="1"/>
                <w:color w:val="auto"/>
                <w:w w:val="94"/>
              </w:rPr>
              <w:t>Amount of Commitment Expiration Per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32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Less than 1 year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22"/>
                <w:szCs w:val="22"/>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3-5 years</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22"/>
                <w:szCs w:val="22"/>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39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3900" w:type="dxa"/>
            <w:vAlign w:val="bottom"/>
          </w:tcPr>
          <w:p>
            <w:pPr>
              <w:ind w:left="38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79.7</w:t>
            </w:r>
          </w:p>
        </w:tc>
        <w:tc>
          <w:tcPr>
            <w:tcW w:w="340" w:type="dxa"/>
            <w:vAlign w:val="bottom"/>
          </w:tcPr>
          <w:p>
            <w:pPr>
              <w:ind w:left="40"/>
              <w:spacing w:after="0"/>
              <w:rPr>
                <w:sz w:val="20"/>
                <w:szCs w:val="20"/>
                <w:color w:val="auto"/>
              </w:rPr>
            </w:pPr>
            <w:r>
              <w:rPr>
                <w:rFonts w:ascii="Arial" w:cs="Arial" w:eastAsia="Arial" w:hAnsi="Arial"/>
                <w:sz w:val="13"/>
                <w:szCs w:val="13"/>
                <w:color w:val="auto"/>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79.7</w:t>
            </w: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Letters of credit</w:t>
            </w:r>
            <w:r>
              <w:rPr>
                <w:rFonts w:ascii="Arial" w:cs="Arial" w:eastAsia="Arial" w:hAnsi="Arial"/>
                <w:sz w:val="25"/>
                <w:szCs w:val="25"/>
                <w:color w:val="auto"/>
                <w:vertAlign w:val="superscript"/>
              </w:rPr>
              <w:t>(c)</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362.0</w:t>
            </w: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362.0</w:t>
            </w: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Surety bonds</w:t>
            </w:r>
            <w:r>
              <w:rPr>
                <w:rFonts w:ascii="Arial" w:cs="Arial" w:eastAsia="Arial" w:hAnsi="Arial"/>
                <w:sz w:val="25"/>
                <w:szCs w:val="25"/>
                <w:color w:val="auto"/>
                <w:vertAlign w:val="superscript"/>
              </w:rPr>
              <w:t>(d)</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116.7</w:t>
            </w: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441.8</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At December 31, 2015, we held $122.2 million in restricted escrow, which represents cash collateral for our outstanding letters of credit on our ABL Facility.</w:t>
      </w:r>
    </w:p>
    <w:p>
      <w:pPr>
        <w:spacing w:after="0" w:line="13" w:lineRule="exact"/>
        <w:rPr>
          <w:rFonts w:ascii="Arial" w:cs="Arial" w:eastAsia="Arial" w:hAnsi="Arial"/>
          <w:sz w:val="14"/>
          <w:szCs w:val="14"/>
          <w:color w:val="auto"/>
        </w:rPr>
      </w:pPr>
    </w:p>
    <w:p>
      <w:pPr>
        <w:ind w:left="660" w:right="20" w:hanging="328"/>
        <w:spacing w:after="0" w:line="241"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of December 31, 2015, Managed Accessibility on the ABL Facility was $35.5 million, which represents maximum availability of $79.7 million less the lower of 10% of the borrowing base or collateral line cap.</w:t>
      </w:r>
    </w:p>
    <w:p>
      <w:pPr>
        <w:ind w:left="660" w:right="20" w:hanging="328"/>
        <w:spacing w:after="0" w:line="241"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660" w:hanging="328"/>
        <w:spacing w:after="0" w:line="255"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73"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Preparation of our financial statements requires accounting policies that involve significant estimates and judgments regarding the amounts included in the financial statements and disclosed in the accompanying notes to the financial statements. We continually review the appropriateness of our accounting policies and the accuracy of our estimates including discussion with the Audit/Ethics Committee of our Board of Directors who make recommendations to management regarding these policies. Even with a thorough process, estimates must be adjusted based on changing circumstances and new information. Management has identified the policies described below as requiring significant judgment and having a potential material impact to our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Revenue-related Reserves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consider our policies regarding revenue-related reserves as critical based on their significance in evaluating our financial performance. We have an extensive system that allows us to accurately capture, record and control all relevant information necessary to effectively manage our revenue reserves.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YRC Freight and Regional Transportation recognize revenue on a gross basis because they are the primary obligors even when other transportation service providers are used who act on their behalf. YRC Freight and Regional Transportation remain responsible to their customers for complete and proper shipment, including the risk of physical loss or damage of the goods and cargo claims issues. Management believes these policies most accurately reflect revenue as earned. Our revenue-related reserves involve three primary estimates: shipments in transit, rerate reserves and uncollectible accounts.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Shipments in Transit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assign pricing to bills of lading at the time of shipment based primarily on the weight, general classification of the product, the shipping destination and individual customer discounts. This process is referred to as rating. For shipments in transit, YRC Freight and Regional Transportation record revenue based on the percentage of service completed as of the period end and accrue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Based on historical cost and engineering studies, certain percentages of revenue are determined to be earned during each stage of the shipment cycle, such as initial pick up, long distance transportation, intermediate transfer and customer delivery. Using standard transit times, we analyze each shipment in transit at a particular period end to determine what stage the shipment is in. We apply that stage’s percentage of revenue earned factor to the rated revenue for that shipment to determine the revenue dollars earned by that shipment in the current period. The total revenue earned is accumulated for all shipments in transit at a particular period end and recorded as operating revenue. Management believes this provides a reasonable estimation of the portion of in transit revenue actually earned. At December 31, 2015 and 2014, our financial statements included deferred revenue as a reduction to “Accounts Receivable” of $24.0 million and $27.1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Rerate Reserves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various points throughout our customer invoicing process, incorrect ratings (</w:t>
      </w:r>
      <w:r>
        <w:rPr>
          <w:rFonts w:ascii="Arial" w:cs="Arial" w:eastAsia="Arial" w:hAnsi="Arial"/>
          <w:sz w:val="18"/>
          <w:szCs w:val="18"/>
          <w:i w:val="1"/>
          <w:iCs w:val="1"/>
          <w:color w:val="auto"/>
        </w:rPr>
        <w:t>i.e.</w:t>
      </w:r>
      <w:r>
        <w:rPr>
          <w:rFonts w:ascii="Arial" w:cs="Arial" w:eastAsia="Arial" w:hAnsi="Arial"/>
          <w:sz w:val="18"/>
          <w:szCs w:val="18"/>
          <w:color w:val="auto"/>
        </w:rPr>
        <w:t xml:space="preserve"> prices) could be identified based on many factors, including weight verifications or updated customer discounts. Although the majority of rerating occurs in the same month as the original rating, a portion occurs during the following periods. We accrue a reserve for rerating primarily based on historical trends. At December 31, 2015 and 2014, our financial statements included a rerate reserve as a reduction to “Accounts Receivable” of $8.1 million and $12.2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Uncollectible Accounts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an allowance for doubtful accounts primarily based on historical uncollectible amounts. We also take into account known factors surrounding specific customers and overall collection trends. Our process involves performing ongoing credit evaluations of customers, including the market in which they operate and the overall economic conditions. We continually review historical trends and make adjustments to the allowance for doubtful accounts as appropriate. Our allowance for doubtful accounts totaled $7.4 million and $10.0 million as of December 31, 2015 and 2014,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and Self-Insurance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self-insured up to certain limits for workers’ compensation, property damage and liability claims, and cargo loss and damage. We measure the liabilities associated with workers’ compensation and property damage and liability claims primarily through actuarial methods performed by an independent third party. Actuarial methods include estimates for the undiscounted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1" w:right="2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liability for claims reported, for claims incurred but not reported and for certain future administrative costs. These estimates are based on historical loss experience and judgments about the present and expected levels of costs per claim and the time required to settle claims. The effect of future inflation for costs is considered in the actuarial analysis. Actual claims may vary from these estimates due to a number of factors, including but not limited to, accident frequency and severity, claims management, changes in healthcare costs and overall economic conditions. We discount the actuarial calculations of claims liabilities for each calendar year to present value based on the average U.S. Treasury rate, during the calendar year of occurrence, for maturities that match the initial expected payout of the liabilities. As of December 31, 2015 and 2014, we had $392.7 million and $406.6 million accrued for claims and insurance,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July 1, 2008, we froze our qualified and nonqualified defined benefit pension plans for all participating employees not covered by collective bargaining agreements. Given the frozen status of the plans, the key estimates in determining pension cost are return on plan assets and discount rate, each of which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assumption for expected return on plan assets represents a long-term assumption of our portfolio performance that can impact our pension expense. With $867.1 million of plan assets for the YRC Worldwide funded pension plans, a 100-basis-point decrease in the assumption for expected rate of return on assets would increase annual pension expense by approximately $8.2 million and would have no effect on the underfunded pension liability reflected on the balance sheet at December 31,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2016 expected rate of return of 7.00% is appropriate based on our investment portfolio as well as a review of other objective indices. Although plan investments are subject to short-term market volatility, we believe they are well diversified and closely managed. Our asset allocation as of December 31, 2015 and 2014, and targeted long-term asset allocation for the plans are as follows:</w:t>
      </w:r>
    </w:p>
    <w:p>
      <w:pPr>
        <w:spacing w:after="0" w:line="294"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3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9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Target</w:t>
            </w: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19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rPr>
              <w:t>37.0%</w:t>
            </w:r>
          </w:p>
        </w:tc>
        <w:tc>
          <w:tcPr>
            <w:tcW w:w="10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940" w:type="dxa"/>
            <w:vAlign w:val="bottom"/>
          </w:tcPr>
          <w:p>
            <w:pPr>
              <w:jc w:val="right"/>
              <w:ind w:right="1234"/>
              <w:spacing w:after="0"/>
              <w:rPr>
                <w:sz w:val="20"/>
                <w:szCs w:val="20"/>
                <w:color w:val="auto"/>
              </w:rPr>
            </w:pPr>
            <w:r>
              <w:rPr>
                <w:rFonts w:ascii="Arial" w:cs="Arial" w:eastAsia="Arial" w:hAnsi="Arial"/>
                <w:sz w:val="18"/>
                <w:szCs w:val="18"/>
                <w:color w:val="auto"/>
              </w:rPr>
              <w:t>30.0%</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35.0%</w:t>
            </w:r>
          </w:p>
        </w:tc>
        <w:tc>
          <w:tcPr>
            <w:tcW w:w="15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3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Absolute Return</w:t>
            </w:r>
          </w:p>
        </w:tc>
        <w:tc>
          <w:tcPr>
            <w:tcW w:w="1940" w:type="dxa"/>
            <w:vAlign w:val="bottom"/>
            <w:shd w:val="clear" w:color="auto" w:fill="CCEEFF"/>
          </w:tcPr>
          <w:p>
            <w:pPr>
              <w:jc w:val="right"/>
              <w:ind w:right="1234"/>
              <w:spacing w:after="0"/>
              <w:rPr>
                <w:sz w:val="20"/>
                <w:szCs w:val="20"/>
                <w:color w:val="auto"/>
              </w:rPr>
            </w:pPr>
            <w:r>
              <w:rPr>
                <w:rFonts w:ascii="Arial" w:cs="Arial" w:eastAsia="Arial" w:hAnsi="Arial"/>
                <w:sz w:val="18"/>
                <w:szCs w:val="18"/>
                <w:color w:val="auto"/>
              </w:rPr>
              <w:t>33.0%</w:t>
            </w: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34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various market factors, we selected an expected rate of return on assets of 7.0% effective for the 2015 and 2014 valuations. We will continue to review our expected long-term rate of return on an annual basis and revise appropriately.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impacts the following year’s pension cost. We determine the discount rate by selecting a portfolio of high quality non-callable bonds with interest payments and maturities generally consistent with our expected benefit payments.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the discount rate can significantly impact our net pension liability. However, the liability hedging strategy mitigates this impact with additional asset returns. A 100-basis-point decrease in our discount rate would increase our underfunded pension liability by approximately $91.7 million. That same change would decrease our annual pension expense by approximately $6.0 million, driven by the return on assets. The discount rate can fluctuate considerably over periods depending on overall economic conditions that impact long-term corporate bond yields. At December 31, 2015 and 2014, we used a discount rate to determine benefit obligations of 4.81% and 4.33%,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Gains and losses occur due to changes in the amount of either the projected benefit obligation or plan assets from experience different than assumed and from changes in assumptions. We recognize an amortization of the net gain or loss as a component of net pension cost for a year if, as of the beginning of the year, that net gain or loss exceeds ten percent of the greater of the benefit obligation or the market-related value of plan assets. If an amortization is required, it equals the amount of net gain or loss that exceeds the ten percent corridor, amortized over the average remaining life expectancy of plan participants.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30"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As of December 31, 2015, the pension plans have net losses of $406.0 million and a projected benefit obligation of $1,202.7 million. The average remaining life expectancy of plan participants is approximately 25 years. For 2016, we expect to amortize approximately $13.2 million of the net loss. The comparable amortization amounts for 2015 and 2014 were $16.0 million and $12.8 million,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2015, our plan assets included $319.1 million of Level 3 investments. Level 3 market values are based on inputs that are supported by little or no market activity and are significant to the fair value of the investment. These investments are subject to significant estimation to determine fair value which is used to determine components of our annual pension expense and the net liability. We engage a third party expert to assist us in setting these fair values.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YRC Freight, New Penn, Holland and Reddaway contribute to 32 separate multi-employer pension plans for employees that our collective bargaining agreements cover (approximately 78% of total YRC Worldwide employees). The pension plans provide defined benefits to retired participants.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directly manage multi-employer plans. Trustees, half of whom the respective union appoints and half of whom various contributing employers appoint, manage the trusts covering these plans.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collective bargaining agreements with the unions determine the amount of our contributions to these plans. We recognize as net pension expense the contractually required contribution for the respective period and recognize as a liability any contributions due and unpaid.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Pension Protection Act became law and modified both the Code, as it applies to multi-employer pension plans and the ERISA. The Code and ERISA (in each case, as so modified) and related regulations establish minimum funding requirements for multi-employer pension plans. The funding status of these plans is determined by many factors.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Multi-Employer Pension Reform Act (“MPRA”) became law which modified the ability to suspend accrued benefits of plans facing insolvency by adding a new zone status of Critical and Declining.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any of our multi-employer pension plans fail to:</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meet minimum funding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meet a required funding improvement or rehabilitation plan that the Pension Protection Act may require for certain of our underfunded plans,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 from the IRS certain changes to or a waiver of the requirements in how the applicable plan calculates its funding levels,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pension benefits to a level where the requirements are met,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could be required to make additional contributions to our multi-employer pension plans.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our multi-employer pension plans enters critical status or worse and our contributions are not sufficient to satisfy any rehabilitation plan schedule, the Pension Protection Act could require us to make additional surcharge contributions to the multi-employer pension plan in the amount of five to ten percent of the existing contributions required by our labor agreement for the remaining term of the labor agreement.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 The Company does not believe that the temporary cessation of certain of its contributions to applicable multi-employer pension funds from the third quarter of 2009 through May 2011 will give rise to these excise taxes as we believe these contributions were not required for that period.</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Depending on the amount involved, a requirement to increase contributions beyond our contractually agreed rate or the imposition of an excise tax on us could have a material adverse impact on our business, financial condition, liquidity, and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3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Funded Status of the Multi-Employer Pension Plans and Contingent Withdrawal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administrators and trustees of multi-employer pension plans do not routinely provide us with current information regarding the funded status of the plans. Much of our information regarding the funded status has been (i) obtained from public filings using publicly available plan asset values, which are often dated, and (ii) based on the limited information available from plan administrators or trustees, which has not been independently validated.</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Pension Protection Act provides that certain plans with a funded percentage of less than 65%, or that fail other tests, will be deemed to be in critical status. Plans in critical status must create a rehabilitation plan to exit critical status within periods that the Pension Protection Act prescribes. The MPRA created a new zone status of “Critical and Declining” for plans facing insolvency. Based on information obtained from public filings and from plan administrators and trustees, we believe many of the multi-employer pension plans in which we participate, including The Central States Southeast and Southwest Areas Pension Plan, Road Carriers Local 707 Pension Fund and Teamsters Local 641 Pension Fund, are in critical or critical and declining status. If the funding of the multi-employer pension plans does not reach certain goals (including those required not to enter endangered, critical status or critical and declining or those required by a plan’s funding improvement or rehabilitation plan), our pension expenses could further increase.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information obtained from public filings and from plan administrators and trustees, we believe our portion of the contingent liability in the case of a full withdrawal or termination from all of the multi-employer pension plans would be an estimated $10 billion on a pre-tax basis. Our applicable subsidiaries have no current intention of taking any action that would subject us to payment of material withdrawal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and Definite Life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Testing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property and equipment and definite life intangibles for impairment whenever events or changes in circumstances indicate that the carrying amount of an asset may not be recoverable. We evaluate recoverability of assets to be held and used by comparing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the accounting estimate related to asset impairment is a critical accounting estimate because: (1) it requires management to make assumptions about future revenues and expenses over the life of the asset, and (2) the impact that recognizing an impairment would have on our financial position, as well as our results of operations, could be material. Management’s assumptions about future revenues and expenses require significant judgment because actual revenues and expenses have fluctuated in the past and may continue to do so. In estimating future revenues and expenses, we use our internal business forecasts and recent performance. We develop our forecasts based on recent revenue and expense data for existing services and other industry and economic factors. To the extent that the Company is unable to achieve its forecast, it may incur significant impairment losses on property and equipment or 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Lives of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review the appropriateness of depreciable lives for each category of property and equipment. These studies utilize models, which take into account actual usage, physical wear and tear, and replacement history to calculate remaining life of our asset base. For revenue equipment, we consider the optimal life cycle usage of each type of equipment, including the ability to utilize the equipment in different parts of the fleet or at different operating units in the organization. Capital, engine replacement, refurbishment and maintenance costs are considered in determining total cost of ownership and related useful lives for purposes of depreciation recognition. We also make assumptions regarding future conditions in determining potential salvage values. These assumptions impact the amount of depreciation expense recognized in the period and any gain or loss once the asset is disposed.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3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Indefinite Life Intangibles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Intangible assets with indefinite lives, which consist of certain acquired tradenames, are not subject to amortization, but are subjected to an impairment test at least annually and as triggering events may occur. The impairment test for tradenames consists of a comparison of the fair value of the tradename with its carrying amount. An impairment loss is recognized for the amount by which the carrying amount exceeds the fair value of the asset. In making this assessment, we utilized the relief from royalty method, an income approach (a level 3 fair value measurement), which includes assumptions as to future revenue, applicable royalty rate and cost of capital, among others.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the accounting estimate related to indefinite life intangibles is a critical accounting estimate because (1) it requires our management to make assumptions about fair values, and (2) the impact of recognizing an impairment could be material to our financial position, as well as our results of operations. Management’s assumptions about fair values require considerable judgment because changes in broad economic factors and industry factors can result in variable and volatile fair values. Assumptions with respect to rates used to discount cash flows, a key input, are dependent upon interest rates and the cost of capital at a point in time. The carrying value of indefinite life intangibles was $26.9 million and $28.5 million at December 31, 2015 and 2014,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 asset and liability method to reflect income taxes on our financial statements.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based on the weight of evidence, it is more likely than not that such assets, losses, or credits will not be realized. Changes in valuation allowances are included in our tax provision or in equity if directly related to other comprehensive income (loss), unless affected by a specific intra-period allocation as happened in 2015 and 2013, as described below. In determining whether a valuation allowance is warranted, we evaluate factors such as prior years’ earnings, loss carry-back and carry-forward periods, reversals of existing deferred tax liabilities and tax planning strategies that potentially enhance the likelihood of the realization of a deferred tax asset. We have not recognized deferred taxes relative to foreign subsidiaries’ earnings that are deemed to be permanently reinvested. Any related taxes associated with such earnings are not material.</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YRC Worldwide applies the intraperiod tax allocation rules of ASC 740 to allocate income taxes among continuing operations, discontinued operations, extraordinary items, other comprehensive income (loss), and additional paid-in capital when our situation meets the criteria as prescribed in the rule.</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the tax effect of net income (loss) before income taxes generally should be computed without regard to the tax effects of net income (loss) before income taxes from the other categories referenced in the preceding paragraph, an exception applies when there is a loss before income taxes and income from those other categories. In that situation, the appropriate tax provision is allocated to the other categories of earnings and a related tax benefit is recorded in net income (loss). This exception to the general rule applies even when a valuation allowance is in place at the beginning and end of the year. While intraperiod tax allocation does not change the overall tax provision, it may result in a gross-up of the individual components, thereby changing the amount of tax provision included in each category. In 2015 and 2013, the Company met the criteria necessary to apply the exception within the intraperiod tax allocation rules, since it incurred a net loss before income taxes and income was recognized in other comprehensive income (loss). As a result, the Company recorded a tax benefit of $11.7 million and $41.7 million in income tax benefit (as reported on the Consolidated Statement of Operations) and an offsetting tax expense of $11.7 million and $41.7 million in total other comprehensive income (loss) for the years ended December 31, 2015 and 2013, respectively. The total income tax benefit did not change, and continues to be impacted by the full valuation allowance on our U.S. deferred tax assets.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3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 to a variety of market risks, including the effects of interest rates, foreign exchange rates and fuel prices.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Rates</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provide adequate funding through seasonal business cycles and minimize overall borrowing costs, we utilize both fixed rate and variable rate financial instruments with varying maturities. At December 31, 2015, we had approximately 37% of our outstanding debt at fixed rates. At the Company’s election, a significant portion of the remaining variable rate debt may operate at a 1, 3 or 6-month LIBOR, with a floor of 1.0% plus a fixed margin of 7.0% if the total leverage ratio is equal to or less than 3.25 to 1.00, or 7.25% if the total leverage ratio is higher than 3.25 to 1.00. Based on a 3-month LIBOR, if interest rates for our variable rate long-term debt had increased 100 basis points during the year, our interest expense would have increased, and income before taxes would have decreased by $4.2 million and $1.8 million for the years ended December 31, 2015 and 2014,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the interest rates on our fixed-rate debt as of December 31, 2015.</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4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Fixed-rate debt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395.9</w:t>
            </w: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10.0 - 18.2%</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10.0 - 18.2%</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10.0 - 18.2%</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3.3 - 15.8%</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10.0 - 14.5%</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9.0 - 16.8%</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Exchange Rates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operating expenses, assets and liabilities of our Canadian and Mexican subsidiaries and our Chinese joint venture are denominated in local currencies, thereby creating exposure to fluctuations in exchange rates. The risks related to foreign currency exchange rates are not significant to our consolidated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Prices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Freight and Regional Transportation currently have fuel surcharge programs in place. These programs are well established within the industry and customer acceptance of fuel surcharges remains high. Since the amount of fuel surcharge is based on average, national diesel fuel prices and is reset weekly, our exposure to fuel price volatility is reduced. In general, under our present fuel surcharge program, we believe rising fuel prices are beneficial to us, and falling fuel prices are detrimental to us, in the short term, the effects of which are mitigated over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3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in millions except share and per share data)</w:t>
            </w: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$7.4 and $10.0</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2,819.6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(1,825.4)</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vacations and employees’ benefits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and insurance accruals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accrued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preferred stock, $1 par value per share - authorized 5,000,000 shares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5"/>
              </w:rPr>
              <w:t>Common stock, $0.01 par value per share - authorized 95,000,000 shares, issued 32,141,000 and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30,667,000 shares</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61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611" w:right="239" w:bottom="1440" w:gutter="0" w:footer="0" w:header="0"/>
          <w:type w:val="continuous"/>
        </w:sectPr>
      </w:pPr>
    </w:p>
    <w:bookmarkStart w:id="46" w:name="page47"/>
    <w:bookmarkEnd w:id="46"/>
    <w:p>
      <w:pPr>
        <w:ind w:left="3720"/>
        <w:spacing w:after="0"/>
        <w:rPr>
          <w:sz w:val="20"/>
          <w:szCs w:val="20"/>
          <w:color w:val="auto"/>
        </w:rPr>
      </w:pPr>
      <w:r>
        <w:rPr>
          <w:rFonts w:ascii="Arial" w:cs="Arial" w:eastAsia="Arial" w:hAnsi="Arial"/>
          <w:sz w:val="18"/>
          <w:szCs w:val="18"/>
          <w:color w:val="auto"/>
        </w:rPr>
        <w:t>STATEMENTS OF CONSOLIDATED OPERATIONS</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millions except per share data; shares 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4,865.4</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Salaries, wages and employee benefits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2,803.1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Operating expenses and supplies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1,116.9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4,837.0</w:t>
            </w:r>
          </w:p>
        </w:tc>
      </w:tr>
      <w:tr>
        <w:trPr>
          <w:trHeight w:val="237"/>
        </w:trPr>
        <w:tc>
          <w:tcPr>
            <w:tcW w:w="6740" w:type="dxa"/>
            <w:vAlign w:val="bottom"/>
          </w:tcPr>
          <w:p>
            <w:pPr>
              <w:ind w:left="11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Nonoperating expenses,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beneficial conversion feature on preferred stock</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9,332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9,332</w:t>
            </w:r>
          </w:p>
        </w:tc>
      </w:tr>
      <w:tr>
        <w:trPr>
          <w:trHeight w:val="297"/>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Earnings (Loss) Per Share -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3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STATEMENTS OF CONSOLIDATED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Pension: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Net actuarial gains (losses) and other adjustments</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prior net losses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Settlement adjustment</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foreign currency 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3"/>
              </w:rPr>
              <w:t>Comprehensive income (loss) attributable to YRC Worldwide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019"/>
          </w:cols>
          <w:pgMar w:left="1440" w:top="530" w:right="1440" w:bottom="1440" w:gutter="0" w:footer="0" w:header="0"/>
        </w:sectPr>
      </w:pPr>
    </w:p>
    <w:bookmarkStart w:id="48" w:name="page49"/>
    <w:bookmarkEnd w:id="48"/>
    <w:p>
      <w:pPr>
        <w:jc w:val="center"/>
        <w:ind w:right="-739"/>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172.3</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Paid-in-kind interest on Series A Notes and Series B Notes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Amortization of deferred debt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Amortizations of premiums and discounts on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Noncash equity based compensation and employee benefits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Non-union pension settlement charge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Deferred income tax benefit,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Changes in assets and liabilities, net:</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Other operating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7"/>
        </w:trPr>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2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escrow receipts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Restricted escrow deposits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600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Equity issuance proceeds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176.3</w:t>
            </w:r>
          </w:p>
        </w:tc>
      </w:tr>
      <w:tr>
        <w:trPr>
          <w:trHeight w:val="27"/>
        </w:trPr>
        <w:tc>
          <w:tcPr>
            <w:tcW w:w="6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680"/>
          </w:cols>
          <w:pgMar w:left="240" w:top="746" w:right="979" w:bottom="1440" w:gutter="0" w:footer="0" w:header="0"/>
        </w:sectPr>
      </w:pPr>
    </w:p>
    <w:bookmarkStart w:id="49" w:name="page50"/>
    <w:bookmarkEnd w:id="49"/>
    <w:p>
      <w:pPr>
        <w:jc w:val="center"/>
        <w:ind w:left="220" w:right="219"/>
        <w:spacing w:after="0" w:line="264" w:lineRule="auto"/>
        <w:rPr>
          <w:sz w:val="20"/>
          <w:szCs w:val="20"/>
          <w:color w:val="auto"/>
        </w:rPr>
      </w:pPr>
      <w:r>
        <w:rPr>
          <w:rFonts w:ascii="Arial" w:cs="Arial" w:eastAsia="Arial" w:hAnsi="Arial"/>
          <w:sz w:val="18"/>
          <w:szCs w:val="18"/>
          <w:color w:val="auto"/>
        </w:rPr>
        <w:t>STATEMENTS OF CONSOLIDATED CASH FLOWS (CONTINUED) YRC Worldwide Inc. and Subsidiaries For the Years Ended December 31</w:t>
      </w:r>
    </w:p>
    <w:p>
      <w:pPr>
        <w:spacing w:after="0" w:line="281"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Letter of credit fees paid</w:t>
            </w:r>
          </w:p>
        </w:tc>
        <w:tc>
          <w:tcPr>
            <w:tcW w:w="1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refund (payment), net</w:t>
            </w:r>
          </w:p>
        </w:tc>
        <w:tc>
          <w:tcPr>
            <w:tcW w:w="1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Debt redeemed for equity consideration</w:t>
            </w:r>
          </w:p>
        </w:tc>
        <w:tc>
          <w:tcPr>
            <w:tcW w:w="11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35.3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019"/>
          </w:cols>
          <w:pgMar w:left="1440" w:top="530" w:right="1440" w:bottom="1440" w:gutter="0" w:footer="0" w:header="0"/>
        </w:sectPr>
      </w:pPr>
    </w:p>
    <w:bookmarkStart w:id="50" w:name="page51"/>
    <w:bookmarkEnd w:id="50"/>
    <w:p>
      <w:pPr>
        <w:jc w:val="center"/>
        <w:ind w:right="-519"/>
        <w:spacing w:after="0"/>
        <w:rPr>
          <w:sz w:val="20"/>
          <w:szCs w:val="20"/>
          <w:color w:val="auto"/>
        </w:rPr>
      </w:pPr>
      <w:r>
        <w:rPr>
          <w:rFonts w:ascii="Arial" w:cs="Arial" w:eastAsia="Arial" w:hAnsi="Arial"/>
          <w:sz w:val="18"/>
          <w:szCs w:val="18"/>
          <w:color w:val="auto"/>
        </w:rPr>
        <w:t>STATEMENTS OF CONSOLIDATED SHAREHOLDERS’ DEFICIT</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For the Years Ended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74"/>
        </w:trPr>
        <w:tc>
          <w:tcPr>
            <w:tcW w:w="70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Issuance of equity in exchange for debt</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 of preferred shares to common shares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Issuance of common stock upon conversion of Series B Notes</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Capital Surplus:</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1,926.5</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Issuance of equity, net</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 of preferred stock to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Beneficial conversion feature on preferred stock</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equity upon conversion of Series B Notes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Equity issuance costs</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2,312.6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1,964.4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conversion feature on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 (loss) attributable to YRC Worldwide Inc.</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(2,154.2)</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Pension,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actuarial gains (losses) and other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Amortization of prior net losses</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and 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00"/>
          </w:cols>
          <w:pgMar w:left="240" w:top="530" w:right="7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one of the largest transportation service providers in the world, is a holding company that through wholly owned operating subsidiaries and its interest in a Chinese joint venture offers its customers a wide range of transportation services. YRC Worldwide has one of the largest, most comprehensive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8" w:lineRule="exact"/>
        <w:rPr>
          <w:sz w:val="20"/>
          <w:szCs w:val="20"/>
          <w:color w:val="auto"/>
        </w:rPr>
      </w:pPr>
    </w:p>
    <w:p>
      <w:pPr>
        <w:jc w:val="both"/>
        <w:ind w:left="660" w:hanging="328"/>
        <w:spacing w:after="0" w:line="279" w:lineRule="auto"/>
        <w:tabs>
          <w:tab w:leader="none" w:pos="6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our LTL subsidiary YRC Freight and YRC Reimer, a subsidiary located in Canada that specializes in shipments into, across and out of Canada. In addition to the United States and Canada, YRC Freight also serves parts of Mexico, Puerto Rico and Guam.</w:t>
      </w:r>
    </w:p>
    <w:p>
      <w:pPr>
        <w:spacing w:after="0" w:line="171" w:lineRule="exact"/>
        <w:rPr>
          <w:rFonts w:ascii="Arial" w:cs="Arial" w:eastAsia="Arial" w:hAnsi="Arial"/>
          <w:sz w:val="17"/>
          <w:szCs w:val="17"/>
          <w:color w:val="auto"/>
        </w:rPr>
      </w:pPr>
    </w:p>
    <w:p>
      <w:pPr>
        <w:jc w:val="both"/>
        <w:ind w:left="660" w:hanging="328"/>
        <w:spacing w:after="0" w:line="312" w:lineRule="auto"/>
        <w:tabs>
          <w:tab w:leader="none" w:pos="6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Regional Transportation is the reporting segment for our transportation service providers focused on business opportunities in the regional and next-day delivery markets. Regional Transportation is comprised of Holland, New Penn and Reddaway. These companies each provide regional, next-day ground services in their respective regions through a network of facilities located across the United States, Canada, Mexico and Puerto Rico.</w:t>
      </w:r>
    </w:p>
    <w:p>
      <w:pPr>
        <w:spacing w:after="0" w:line="138" w:lineRule="exact"/>
        <w:rPr>
          <w:rFonts w:ascii="Arial" w:cs="Arial" w:eastAsia="Arial" w:hAnsi="Arial"/>
          <w:sz w:val="16"/>
          <w:szCs w:val="16"/>
          <w:color w:val="auto"/>
        </w:rPr>
      </w:pPr>
    </w:p>
    <w:p>
      <w:pPr>
        <w:ind w:left="200" w:hanging="192"/>
        <w:spacing w:after="0"/>
        <w:tabs>
          <w:tab w:leader="none" w:pos="20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Accounting Policies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policies refer to specific accounting principles and the methods of applying those principles to fairly present our financial position and results of operations in accordance with generally accepted accounting principles. The policies discussed below include those that management has determined to be the most appropriate in preparing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YRC Worldwide and its majority owned subsidiaries. All significant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Our investment in the non-majority owned affiliate in which we do not have control, where the entity is either not a variable interest entity, or YRC Worldwide is not the primary beneficiary, is accounted for on the equity method.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makes estimates and assumptions when preparing the financial statements in conformity with U.S. generally accepted accounting principles which affect the amounts reported in the financial statements and accompanying notes. Actual results could differ from those estimates. Significant items subject to such estimates and assumptions include the useful lives of fixed assets and revenue-related reserves; the valuation of deferred tax assets/liabilities and non-union pension plan liability and fair value of plan assets; and workers’ compensation and property damage and liability claims, and income tax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demand deposits and highly liquid investments purchased with maturities of three months or less. Under the Company’s cash management system, checks issued but not presented to banks frequently result in book overdraft balances for accounting purposes which are classified within accounts payable in the accompanying consolidated balance sheets. The change in book overdrafts are reported as a component of operating cash flows for accounts payable as they do not represent bank overdrafts.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3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Concentration of Credit Risks and Other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sell services and extend credit based on an evaluation of the customer’s financial condition, without requiring collateral. Exposure to losses on receivables is principally dependent on each customer’s financial condition. We monitor our exposure for credit losses and maintain allowances for anticipated losses.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December 31, 2015, approximately 78% of our labor force is subject to collective bargaining agreements. As part of the 2014 Financing Transactions (which is described more fully in the “Debt and Financing” footnote to our consolidated financial statements), the primary labor agreement was modified to, among other things, extend the expiration date of our previous agreement from March 31, 2015 to March 31, 2019. This extension also extended the contribution rates under our multi-employer pension plan. The modification provided for lump sum payments in lieu of wage increases in 2014 and 2015, but provided for wage increases in 2016 through 2019. We amortized these lump sum payments over the period in which the wages were not increased beginning on April 1, 2014. Finally, the modification provided for certain changes to work rules and our use of purchased transportation in certain situations.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Revenue-related Reserves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shipments in transit, we record revenue based on the percentage of service completed as of the period end and accrue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Based on historical cost and engineering studies, certain percentages of revenue are determined to be earned during each stage of the shipment cycle, such as initial pick up, long distance transportation, intermediate transfer and customer delivery. Using standard transit times, we analyze each shipment in transit at a particular period end to determine what stage the shipment is in. We apply that stage’s percentage of revenue earned factor to the rated revenue for that shipment to determine the revenue dollars earned by that shipment in the current period. The total revenue earned is accumulated for all shipments in transit at a particular period end and recorded as operating revenue.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recognize revenue on a gross basis because we are the primary obligors even when we use other transportation service providers who act on our behalf. We remain responsible to our customers for complete and proper shipment, including the risk of physical loss or damage of the goods and cargo claims issues.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verifications or updated customer discounts. Although the majority of rerating occurs in the same month as the original rating, a portion occurs during the following periods. We accrue a reserve for rerating based primarily on historical trends. At December 31, 2015 and 2014, our financial statements included a rerate reserve as a reduction to “Accounts Receivable” of $8.1 million and $12.2 million, respectively.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an allowance for doubtful accounts primarily based on historical uncollectible amounts. We also take into account known factors surrounding specific customers and overall collection trends. Our process involves performing ongoing credit evaluations of customers, including the market in which they operate and the overall economic conditions. We continually review historical trends and customer specific factors and make adjustments to the allowance for doubtful accounts as appropriate. Our allowance for doubtful accounts totaled $7.4 million and $10.0 million as of December 31, 2015 and 2014,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functional currency is the U.S. dollar, whereas, our foreign operations utilize the local currency as their functional currency. Accordingly, for purposes of translating foreign subsidiary financial statements to the U.S. dollar reporting currency, assets and liabilities of our foreign operations are translated at the fiscal year end exchange rates and income and expenses are translated monthly, at the average exchange rates for each respective month, with changes recognized in other comprehensive loss. Foreign currency gains and losses resulting from foreign currency transactions resulted in net gains of $9.3 million, $5.7 million and $3.7 million during 2015, 2014 and 2013, respectively, and are included in “Other nonoperating (income) expense” in the accompanying statements of consolidated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3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Claims and Insurance Accruals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Claims and insurance accruals, both current and long-term, reflect the estimated settlement cost of claims for workers’ compensation, property damage and liability claims, and cargo loss and damage that insurance does not cover. We establish and modify reserve estimates for workers’ compensation and property damage and liability claims primarily upon actuarial analyses prepared by independent actuaries. These reserves are discounted to present value using a risk-free rate based on the year of occurrence. The risk-free rate is the U.S. Treasury rate for maturities that match the expected payout of such claims and was 1.0%, 0.9% and 0.5% for workers’ compensation claims incurred as of December 31, 2015, 2014 and 2013, respectively. The rate was 0.7%, 0.4% and 0.3% for property damage and liability claims incurred as of December 31, 2015, 2014 and 2013, respectively. The process of determining reserve requirements utilizes historical trends and involves an evaluation of accident frequency and severity, claims management, changes in health care costs and certain future administrative costs. The effect of future inflation for costs is considered in the actuarial analysis. Adjustments to previously established reserves are included in operating results in the year of adjustment. As of December 31, 2015 and 2014, we had $392.7 million and $406.6 million, respectively, accrued for claims and insurance.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Expected aggregate undiscounted amounts and material changes to these amounts as of December 31 are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600" w:type="dxa"/>
            <w:vAlign w:val="bottom"/>
          </w:tcPr>
          <w:p>
            <w:pPr>
              <w:jc w:val="right"/>
              <w:ind w:right="573"/>
              <w:spacing w:after="0"/>
              <w:rPr>
                <w:sz w:val="20"/>
                <w:szCs w:val="20"/>
                <w:color w:val="auto"/>
              </w:rPr>
            </w:pPr>
            <w:r>
              <w:rPr>
                <w:rFonts w:ascii="Arial" w:cs="Arial" w:eastAsia="Arial" w:hAnsi="Arial"/>
                <w:sz w:val="14"/>
                <w:szCs w:val="14"/>
                <w:b w:val="1"/>
                <w:bCs w:val="1"/>
                <w:color w:val="auto"/>
              </w:rPr>
              <w:t>Workers’</w:t>
            </w:r>
          </w:p>
        </w:tc>
        <w:tc>
          <w:tcPr>
            <w:tcW w:w="220" w:type="dxa"/>
            <w:vAlign w:val="bottom"/>
          </w:tcPr>
          <w:p>
            <w:pPr>
              <w:spacing w:after="0"/>
              <w:rPr>
                <w:sz w:val="14"/>
                <w:szCs w:val="14"/>
                <w:color w:val="auto"/>
              </w:rPr>
            </w:pPr>
          </w:p>
        </w:tc>
        <w:tc>
          <w:tcPr>
            <w:tcW w:w="172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Property Damage and</w:t>
            </w:r>
          </w:p>
        </w:tc>
        <w:tc>
          <w:tcPr>
            <w:tcW w:w="480" w:type="dxa"/>
            <w:vAlign w:val="bottom"/>
          </w:tcPr>
          <w:p>
            <w:pPr>
              <w:spacing w:after="0"/>
              <w:rPr>
                <w:sz w:val="14"/>
                <w:szCs w:val="14"/>
                <w:color w:val="auto"/>
              </w:rPr>
            </w:pPr>
          </w:p>
        </w:tc>
        <w:tc>
          <w:tcPr>
            <w:tcW w:w="14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Liability Claims</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amount at December 31, 2013</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Estimated settlement cost for 2014 claims</w:t>
            </w:r>
          </w:p>
        </w:tc>
        <w:tc>
          <w:tcPr>
            <w:tcW w:w="3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94.3</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39.0</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payments, net of recoveries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settlement cost for older claim years</w:t>
            </w:r>
          </w:p>
        </w:tc>
        <w:tc>
          <w:tcPr>
            <w:tcW w:w="3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amount at December 31, 2014</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Estimated settlement cost for 2015 claims</w:t>
            </w:r>
          </w:p>
        </w:tc>
        <w:tc>
          <w:tcPr>
            <w:tcW w:w="3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payments, net of recoveries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settlement cost for older claim years</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settlement cost estimate at December 31, 2015</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Discounted settlement cost estimate at December 31, 2015</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291.6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84.1</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amounts above, settlement cost amounts for cargo claims and other insurance related amounts, none of which are discounted, totaled $17.0 million and $20.8 million at December 31,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Estimated cash payments to settle claims which were incurred on or before December 31, 2015, for the next five years and thereafter are as follows:</w:t>
      </w:r>
    </w:p>
    <w:p>
      <w:pPr>
        <w:spacing w:after="0" w:line="37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Workers’</w:t>
            </w:r>
          </w:p>
        </w:tc>
        <w:tc>
          <w:tcPr>
            <w:tcW w:w="22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Property Damage and</w:t>
            </w:r>
          </w:p>
        </w:tc>
        <w:tc>
          <w:tcPr>
            <w:tcW w:w="480" w:type="dxa"/>
            <w:vAlign w:val="bottom"/>
          </w:tcPr>
          <w:p>
            <w:pPr>
              <w:spacing w:after="0"/>
              <w:rPr>
                <w:sz w:val="14"/>
                <w:szCs w:val="14"/>
                <w:color w:val="auto"/>
              </w:rPr>
            </w:pPr>
          </w:p>
        </w:tc>
        <w:tc>
          <w:tcPr>
            <w:tcW w:w="142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Liability Claims</w:t>
            </w: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23.8</w:t>
            </w:r>
          </w:p>
        </w:tc>
        <w:tc>
          <w:tcPr>
            <w:tcW w:w="4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 Plans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various stock-based employee compensation plans, which are described more fully in the “Stock Compensation Plans” footnote to our consolidated financial statements. We recognize compensation costs for non-vested shares and compensation cost for all share-based payments (</w:t>
      </w:r>
      <w:r>
        <w:rPr>
          <w:rFonts w:ascii="Arial" w:cs="Arial" w:eastAsia="Arial" w:hAnsi="Arial"/>
          <w:sz w:val="16"/>
          <w:szCs w:val="16"/>
          <w:i w:val="1"/>
          <w:iCs w:val="1"/>
          <w:color w:val="auto"/>
        </w:rPr>
        <w:t>i.e.,</w:t>
      </w:r>
      <w:r>
        <w:rPr>
          <w:rFonts w:ascii="Arial" w:cs="Arial" w:eastAsia="Arial" w:hAnsi="Arial"/>
          <w:sz w:val="16"/>
          <w:szCs w:val="16"/>
          <w:color w:val="auto"/>
        </w:rPr>
        <w:t xml:space="preserve"> options) based on the grant date fair value. For our share-based payments granted, with no performance requirement, we recognize compensation cost on a straight-line basis over the requisite service period (generally three to four years) based on the grant-date fair value. For our performance-based awards, the Company expenses the grant date fair value of the awards which are probable of being earned in the performance period over the respective service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3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property and equipment at cost as of December 31:</w:t>
      </w:r>
    </w:p>
    <w:p>
      <w:pPr>
        <w:spacing w:after="0" w:line="200" w:lineRule="exact"/>
        <w:rPr>
          <w:sz w:val="20"/>
          <w:szCs w:val="20"/>
          <w:color w:val="auto"/>
        </w:rPr>
      </w:pP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Structures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784.3</w:t>
            </w: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1,431.9</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Technology equipment and software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r>
      <w:tr>
        <w:trPr>
          <w:trHeight w:val="257"/>
        </w:trPr>
        <w:tc>
          <w:tcPr>
            <w:tcW w:w="6420" w:type="dxa"/>
            <w:vAlign w:val="bottom"/>
          </w:tcPr>
          <w:p>
            <w:pPr>
              <w:ind w:left="20"/>
              <w:spacing w:after="0"/>
              <w:rPr>
                <w:sz w:val="20"/>
                <w:szCs w:val="20"/>
                <w:color w:val="auto"/>
              </w:rPr>
            </w:pPr>
            <w:r>
              <w:rPr>
                <w:rFonts w:ascii="Arial" w:cs="Arial" w:eastAsia="Arial" w:hAnsi="Arial"/>
                <w:sz w:val="18"/>
                <w:szCs w:val="18"/>
                <w:color w:val="auto"/>
              </w:rPr>
              <w:t>Total cost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2,822.8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2,819.6</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carry property and equipment at cost less accumulated depreciation. We compute depreciation using the straight-line method based on the following service lives:</w:t>
      </w:r>
    </w:p>
    <w:p>
      <w:pPr>
        <w:spacing w:after="0" w:line="392"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Years</w:t>
      </w:r>
    </w:p>
    <w:p>
      <w:pPr>
        <w:spacing w:after="0" w:line="25" w:lineRule="exact"/>
        <w:rPr>
          <w:sz w:val="20"/>
          <w:szCs w:val="20"/>
          <w:color w:val="auto"/>
        </w:rPr>
      </w:pPr>
    </w:p>
    <w:tbl>
      <w:tblPr>
        <w:tblLayout w:type="fixed"/>
        <w:tblInd w:w="1060" w:type="dxa"/>
        <w:tblCellMar>
          <w:top w:w="0" w:type="dxa"/>
          <w:left w:w="0" w:type="dxa"/>
          <w:bottom w:w="0" w:type="dxa"/>
          <w:right w:w="0" w:type="dxa"/>
        </w:tblCellMar>
      </w:tblPr>
      <w:tr>
        <w:trPr>
          <w:trHeight w:val="256"/>
        </w:trPr>
        <w:tc>
          <w:tcPr>
            <w:tcW w:w="5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Structures</w:t>
            </w:r>
          </w:p>
        </w:tc>
        <w:tc>
          <w:tcPr>
            <w:tcW w:w="3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Revenue equipment</w:t>
            </w:r>
          </w:p>
        </w:tc>
        <w:tc>
          <w:tcPr>
            <w:tcW w:w="300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7"/>
        </w:trPr>
        <w:tc>
          <w:tcPr>
            <w:tcW w:w="5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equipment and software</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Other</w:t>
            </w:r>
          </w:p>
        </w:tc>
        <w:tc>
          <w:tcPr>
            <w:tcW w:w="3840" w:type="dxa"/>
            <w:vAlign w:val="bottom"/>
            <w:gridSpan w:val="2"/>
          </w:tcPr>
          <w:p>
            <w:pPr>
              <w:jc w:val="right"/>
              <w:ind w:right="490"/>
              <w:spacing w:after="0"/>
              <w:rPr>
                <w:sz w:val="20"/>
                <w:szCs w:val="20"/>
                <w:color w:val="auto"/>
              </w:rPr>
            </w:pPr>
            <w:r>
              <w:rPr>
                <w:rFonts w:ascii="Arial" w:cs="Arial" w:eastAsia="Arial" w:hAnsi="Arial"/>
                <w:sz w:val="18"/>
                <w:szCs w:val="18"/>
                <w:color w:val="auto"/>
              </w:rPr>
              <w:t>3 - 10</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charge maintenance and repairs to expense as incurred and betterments are capitalized. Leasehold improvements are capitalized and amortized over the shorter of their useful lives or the remaining lease term.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investment in technology equipment and software consists primarily of freight movement, automation, dimensioning, sales equipment and related software.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2015, 2014 and 2013, depreciation expense was $145.5 million, $145.1 million and $153.8 million, respectively.</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 of replacement tires are expensed at the time those tires are placed into service, as is the case with other repair and maintenance costs. The cost of tires on newly acquired revenue equipment is capitalized and depreciated over the estimated useful life of the related equipment. In addition to purchasing new revenue equipment, we will also rebuild the engines of our tractors (at certain time or mile intervals). Because rebuilding an engine increases its useful life, we capitalize these costs and depreciate over the remaining useful life of the unit. The cost of engines on newly acquired revenue equipment is capitalized and depreciated over the estimated useful life of the related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facts and circumstances indicate that the carrying amount of held-and-used identifiable amortizable intangibles and property, plant and equipment may be impaired, we perform an evaluation of recoverability in accordance with FASB ASC Topic 360. Our evaluation compares the estimated future undiscounted cash flows associated with the asset or asset group to its carrying amount to determine if a reduction to the carrying amount is required. The carrying amount of an impaired asset would be reduced to fair value if the estimated undiscounted cash flows are insufficient to recover the carrying value of the asset group. We performed impairment reviews for held-and-used long-lived assets during the years ended December 31, 2014 and 2013 in connection with an update of our internal business forecasts that considered current economic conditions and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96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plan to dispose of property or equipment by sale, the asset is carried in the financial statements at the lower of the carrying amount or estimated fair value, less cost to sell, and is reclassified to assets held for sale. Additionally, after such reclassification, there is no further depreciation taken on the asset. For an asset to be classified as held for sale, management must approve and commit to a formal plan, the sale should be anticipated during the ensuing year and the asset must be actively marketed, be available for immediate sale, and meet certain other specified criteria. We use level 3 inputs to determine the fair value of each property that is considered as held for sale.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December 31, 2015 and December 31, 2014, the net book value of assets held for sale was approximately $12.0 million and $15.3 million, respectively. This amount is included in “Property and Equipment” in the accompanying consolidated balance sheets. We recorded charges of $6.2 million, $6.2 million and $3.9 million for the years ended December 31, 2015, 2014 and 2013, respectively, to reduce properties held for sale to estimated fair value, less cost to sell. These charges are included in “Gains on property disposals, net” in the accompanying statements of consolidated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23, 2015, the Company entered into an equity interest sale and purchase agreement to sell its fifty percent interest in its Chinese joint venture, JHJ, for a purchase price of $16.3 million, which we expect, upon sale, will result in an insignificant gain in the accompanying statement of consolidated operations due to the cumulative translation adjustment. The investment is classified as held for sale and is included in “Other assets” in the accompanying consolidated balance sheets.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account for the ownership of our joint venture under the equity method and accordingly, recognize our share of the respective joint ventures earnings in “Other nonoperating (income) expense” in the accompanying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components of these results for the years ended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r>
      <w:tr>
        <w:trPr>
          <w:trHeight w:val="243"/>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equity method earnings</w:t>
            </w:r>
          </w:p>
        </w:tc>
        <w:tc>
          <w:tcPr>
            <w:tcW w:w="348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4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w:t>
            </w:r>
          </w:p>
        </w:tc>
      </w:tr>
      <w:tr>
        <w:trPr>
          <w:trHeight w:val="27"/>
        </w:trPr>
        <w:tc>
          <w:tcPr>
            <w:tcW w:w="45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determined fair value measurements used in our consolidated financial statements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7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the entity has the ability to access.</w:t>
      </w:r>
    </w:p>
    <w:p>
      <w:pPr>
        <w:spacing w:after="0" w:line="225"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Valuations based on quoted prices for similar assets or liabilities, quoted prices in markets that are not active, or other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or can be corroborated by observable data for substantially the full term of the assets or liabilities.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or liability’s fair value measurement level with the fair value hierarchy is based on the lowest level of any input that is significant to the fair value measurement. Valuation techniques used maximize the use of observable inputs and minimize the use of unobservable inputs.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valuation methodologies described above may produce a fair value calculation that may not be indicative of net realizable value or reflective of future fair values. We believe that our valuation methods are appropriate and consistent with other market participants. The use of different methodologies or assumptions to determine the fair value of certain financial assets could result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30"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in a different fair value measurement at the reporting date. There have been no changes in the methodologies used at December 31, 2015 and 2014.</w:t>
      </w:r>
    </w:p>
    <w:p>
      <w:pPr>
        <w:spacing w:after="0" w:line="2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summarize the fair value hierarchy of our financial assets held at fair value on a recurring basis, which consists of our restricted cash held in escrow: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Fair Value Measurement at December 31, 2015</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60" w:type="dxa"/>
            <w:vAlign w:val="bottom"/>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Fair Value Measurement at December 31, 2014</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60" w:type="dxa"/>
            <w:vAlign w:val="bottom"/>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on quoted market prices. The carrying value of cash and cash equivalents, accounts receivable and accounts payable approximates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2015 and 2014, we reclassified the amortization of our net pension gain (loss), net of tax, totaling $14.1 million and $12.7 million, respectively, from accumulated other comprehensive income (loss) to net income (loss). This reclassification is a component of net periodic pension cost and is discussed in the “Employee Benefits” footnote.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November 2015, Financial Accounting Standards Board (“FASB”) issued Accounting Standards Update (“ASU”) 2015-17, </w:t>
      </w:r>
      <w:r>
        <w:rPr>
          <w:rFonts w:ascii="Arial" w:cs="Arial" w:eastAsia="Arial" w:hAnsi="Arial"/>
          <w:sz w:val="17"/>
          <w:szCs w:val="17"/>
          <w:i w:val="1"/>
          <w:iCs w:val="1"/>
          <w:color w:val="auto"/>
        </w:rPr>
        <w:t>Balance Sheet Classification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Deferred Taxes</w:t>
      </w:r>
      <w:r>
        <w:rPr>
          <w:rFonts w:ascii="Arial" w:cs="Arial" w:eastAsia="Arial" w:hAnsi="Arial"/>
          <w:sz w:val="17"/>
          <w:szCs w:val="17"/>
          <w:color w:val="auto"/>
        </w:rPr>
        <w:t>, which requires entities with a classified balance sheet to present all deferred tax assets and liabilities as noncurrent. The new standard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for the Company for its annual reporting period beginning January 1, 2017, including interim periods within that reporting period. Early application is permitted at the beginning of an interim or annual period. The ASU allows entities to choose either prospective or retrospective transition. The Company does not believe the adoption of this standard will have a material impact on its balance sheet.</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April 2015, the FASB issued ASU 2015-14, </w:t>
      </w:r>
      <w:r>
        <w:rPr>
          <w:rFonts w:ascii="Arial" w:cs="Arial" w:eastAsia="Arial" w:hAnsi="Arial"/>
          <w:sz w:val="16"/>
          <w:szCs w:val="16"/>
          <w:i w:val="1"/>
          <w:iCs w:val="1"/>
          <w:color w:val="auto"/>
        </w:rPr>
        <w:t>Revenue from Contracts with Customers, Deferral of the Effective date,</w:t>
      </w:r>
      <w:r>
        <w:rPr>
          <w:rFonts w:ascii="Arial" w:cs="Arial" w:eastAsia="Arial" w:hAnsi="Arial"/>
          <w:sz w:val="16"/>
          <w:szCs w:val="16"/>
          <w:color w:val="auto"/>
        </w:rPr>
        <w:t xml:space="preserve"> which defers the effective date of ASU 2014-9,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The new standard will supersede much of the previous requirements in ASU-605,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most industry specific guidance and introduces a five-step model to determine when and how revenue is recognized. The premise of the new model is that an entity recognizes revenue to depict the transfer of promised goods or services to customers in an amount that reflects the consideration to which the entity expects to be entitled in exchange for those goods or services. The new standard will be effective for the Company for its annual reporting period beginning January 1, 2018, including interim periods within that reporting period. Early application is permitted for annual periods beginning January 1, 2017. Entities are allowed to transition to the new standard by either recasting prior periods or recognizing the cumulative effect. The Company continues to assess the method of application and impact, if any, on our consolidated balance sheets, results of operations and related disclosures.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May 2015, the FASB issued ASU 2015-07, </w:t>
      </w:r>
      <w:r>
        <w:rPr>
          <w:rFonts w:ascii="Arial" w:cs="Arial" w:eastAsia="Arial" w:hAnsi="Arial"/>
          <w:sz w:val="18"/>
          <w:szCs w:val="18"/>
          <w:i w:val="1"/>
          <w:iCs w:val="1"/>
          <w:color w:val="auto"/>
        </w:rPr>
        <w:t>Disclosures for Investments in Certain Entities that Calculate Net Asset Value per Share (or Its Equivalent)</w:t>
      </w:r>
      <w:r>
        <w:rPr>
          <w:rFonts w:ascii="Arial" w:cs="Arial" w:eastAsia="Arial" w:hAnsi="Arial"/>
          <w:sz w:val="18"/>
          <w:szCs w:val="18"/>
          <w:color w:val="auto"/>
        </w:rPr>
        <w:t>, which eliminates the requirement to categorize investments in the fair value hierarchy if their fair value is measured at net asset value (NAV) per share (or its equivalent) using the practical expedient in accordance with the standard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30" w:right="2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color w:val="auto"/>
        </w:rPr>
        <w:t>for fair value measurement. The standard, which requires retrospective application, is effective for the Company beginning January 1, 2016. The Company does not believe the adoption of this standard will have a material impact on its disclosure.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2015, the FASB issued ASU 2015-03, </w:t>
      </w:r>
      <w:r>
        <w:rPr>
          <w:rFonts w:ascii="Arial" w:cs="Arial" w:eastAsia="Arial" w:hAnsi="Arial"/>
          <w:sz w:val="17"/>
          <w:szCs w:val="17"/>
          <w:i w:val="1"/>
          <w:iCs w:val="1"/>
          <w:color w:val="auto"/>
        </w:rPr>
        <w:t>Interest - Imputation of Interest,</w:t>
      </w:r>
      <w:r>
        <w:rPr>
          <w:rFonts w:ascii="Arial" w:cs="Arial" w:eastAsia="Arial" w:hAnsi="Arial"/>
          <w:sz w:val="17"/>
          <w:szCs w:val="17"/>
          <w:color w:val="auto"/>
        </w:rPr>
        <w:t xml:space="preserve"> which requires debt issue costs related to a recognized debt liability be presented in the balance sheet as a direct deduction from the carrying amount of that debt liability, consistent with the accounting treatment for debt discounts. The recognition and measurement guidance of debt issuance costs are not affected by this update. The standard, which requires retrospective application, is effective for the Company beginning January 1, 2016. As of December 31, 2015 and 2014, the Company had $20.2 million and $26.5 million, respectively, of unamortized debt issuance costs related to its Term Loan, Second A&amp;R CDA, ABL Facility and lease financing obligations. The Company will reclassify these costs from other assets to long-term debt in the March 31, 2016 consolidated balance sheets.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 - Going Concern (Subtopic 205-40): Disclosure of Uncertainties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an Entity’s Ability to Continue as a Going Concern</w:t>
      </w:r>
      <w:r>
        <w:rPr>
          <w:rFonts w:ascii="Arial" w:cs="Arial" w:eastAsia="Arial" w:hAnsi="Arial"/>
          <w:sz w:val="17"/>
          <w:szCs w:val="17"/>
          <w:color w:val="auto"/>
        </w:rPr>
        <w:t>. The new standard provides guidance around management’s responsibility to evaluate whether there is</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 doubt about an entity’s ability to continue as a going concern and to provide related footnote disclosures. The new standard is effective for our fiscal year ending December 31, 2016 and interim periods thereafter. The Company does not believe the adoption of this standard will have a material impact on its consolidated financial statements and related footnote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Intangibles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 Life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amortizable intangible assets are as follows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spacing w:after="0"/>
              <w:rPr>
                <w:sz w:val="16"/>
                <w:szCs w:val="16"/>
                <w:color w:val="auto"/>
              </w:rPr>
            </w:pPr>
          </w:p>
        </w:tc>
      </w:tr>
      <w:tr>
        <w:trPr>
          <w:trHeight w:val="258"/>
        </w:trPr>
        <w:tc>
          <w:tcPr>
            <w:tcW w:w="2380" w:type="dxa"/>
            <w:vAlign w:val="bottom"/>
          </w:tcPr>
          <w:p>
            <w:pPr>
              <w:spacing w:after="0"/>
              <w:rPr>
                <w:sz w:val="22"/>
                <w:szCs w:val="22"/>
                <w:color w:val="auto"/>
              </w:rPr>
            </w:pPr>
          </w:p>
        </w:tc>
        <w:tc>
          <w:tcPr>
            <w:tcW w:w="2140" w:type="dxa"/>
            <w:vAlign w:val="bottom"/>
          </w:tcPr>
          <w:p>
            <w:pPr>
              <w:jc w:val="center"/>
              <w:ind w:left="7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22"/>
                <w:szCs w:val="22"/>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2380" w:type="dxa"/>
            <w:vAlign w:val="bottom"/>
          </w:tcPr>
          <w:p>
            <w:pPr>
              <w:spacing w:after="0"/>
              <w:rPr>
                <w:sz w:val="23"/>
                <w:szCs w:val="23"/>
                <w:color w:val="auto"/>
              </w:rPr>
            </w:pPr>
          </w:p>
        </w:tc>
        <w:tc>
          <w:tcPr>
            <w:tcW w:w="2140" w:type="dxa"/>
            <w:vAlign w:val="bottom"/>
          </w:tcPr>
          <w:p>
            <w:pPr>
              <w:jc w:val="center"/>
              <w:ind w:left="764"/>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23"/>
                <w:szCs w:val="23"/>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3"/>
                <w:szCs w:val="23"/>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23"/>
                <w:szCs w:val="23"/>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23"/>
                <w:szCs w:val="23"/>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Accumulated</w:t>
            </w:r>
          </w:p>
        </w:tc>
      </w:tr>
      <w:tr>
        <w:trPr>
          <w:trHeight w:val="27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140" w:type="dxa"/>
            <w:vAlign w:val="bottom"/>
          </w:tcPr>
          <w:p>
            <w:pPr>
              <w:jc w:val="center"/>
              <w:ind w:left="764"/>
              <w:spacing w:after="0"/>
              <w:rPr>
                <w:sz w:val="20"/>
                <w:szCs w:val="20"/>
                <w:color w:val="auto"/>
              </w:rPr>
            </w:pPr>
            <w:r>
              <w:rPr>
                <w:rFonts w:ascii="Arial" w:cs="Arial" w:eastAsia="Arial" w:hAnsi="Arial"/>
                <w:sz w:val="14"/>
                <w:szCs w:val="14"/>
                <w:b w:val="1"/>
                <w:bCs w:val="1"/>
                <w:color w:val="auto"/>
                <w:w w:val="93"/>
              </w:rPr>
              <w:t>Life (years)</w:t>
            </w:r>
          </w:p>
        </w:tc>
        <w:tc>
          <w:tcPr>
            <w:tcW w:w="280" w:type="dxa"/>
            <w:vAlign w:val="bottom"/>
          </w:tcPr>
          <w:p>
            <w:pPr>
              <w:spacing w:after="0"/>
              <w:rPr>
                <w:sz w:val="24"/>
                <w:szCs w:val="2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24"/>
                <w:szCs w:val="24"/>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Amortization</w:t>
            </w:r>
          </w:p>
        </w:tc>
      </w:tr>
      <w:tr>
        <w:trPr>
          <w:trHeight w:val="24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related</w:t>
            </w:r>
          </w:p>
        </w:tc>
        <w:tc>
          <w:tcPr>
            <w:tcW w:w="2140" w:type="dxa"/>
            <w:vAlign w:val="bottom"/>
            <w:tcBorders>
              <w:top w:val="single" w:sz="8" w:color="auto"/>
            </w:tcBorders>
            <w:shd w:val="clear" w:color="auto" w:fill="CCEEFF"/>
          </w:tcPr>
          <w:p>
            <w:pPr>
              <w:jc w:val="center"/>
              <w:ind w:left="764"/>
              <w:spacing w:after="0"/>
              <w:rPr>
                <w:sz w:val="20"/>
                <w:szCs w:val="20"/>
                <w:color w:val="auto"/>
              </w:rPr>
            </w:pPr>
            <w:r>
              <w:rPr>
                <w:rFonts w:ascii="Arial" w:cs="Arial" w:eastAsia="Arial" w:hAnsi="Arial"/>
                <w:sz w:val="18"/>
                <w:szCs w:val="18"/>
                <w:color w:val="auto"/>
                <w:w w:val="89"/>
              </w:rPr>
              <w:t>12</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r>
      <w:tr>
        <w:trPr>
          <w:trHeight w:val="27"/>
        </w:trPr>
        <w:tc>
          <w:tcPr>
            <w:tcW w:w="23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Amortization expense for intangible assets recognized on a straight line basis was $18.2 million, $18.3 million and $18.5 million for the years ended December 31, 2015, 2014 and 2013, respectively. The definite-lived intangible assets are expected to be fully amortized in 2016, with an estimated remaining amortization expense of $13.5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 Life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carrying amount of our indefinite lived tradenames attributable to each applicable segment: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YRC Freight</w:t>
            </w: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Regional Transportation</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2012</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r>
      <w:tr>
        <w:trPr>
          <w:trHeight w:val="20"/>
        </w:trPr>
        <w:tc>
          <w:tcPr>
            <w:tcW w:w="5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Intangible assets with indefinite lives, which consist of our tradenames, are not subject to amortization, but are subjected to an impairment test at least annually or more frequently if a triggering event occurs. The impairment test for tradenames consists of a comparison of the fair value of the tradename with its carrying amount. An impairment loss is recognized for the amount by which the carrying amount exceeds the fair value of the asset. In making this assessment, we utilized the relief from royalty method, an income approach (a level 3 fair value measurement), which includes assumptions as to future revenue, applicable royalty rate and cost of capital, among others.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30" w:right="2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4. Other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other assets at December 31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2014</w:t>
            </w: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 for JHJ</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Deferred debt costs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57"/>
        </w:trPr>
        <w:tc>
          <w:tcPr>
            <w:tcW w:w="664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w:t>
            </w:r>
          </w:p>
        </w:tc>
      </w:tr>
      <w:tr>
        <w:trPr>
          <w:trHeight w:val="20"/>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years ended December 31, 2015 and 2014, we received dividends in the amount of $1.7 million and $1.9 million, respectively, from JHJ. As of each of December 31, 2015 and 2014, the excess of our investment over our interest in JHJ’s equity is $4.5 million and $4.8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and Nonqualified Defined Benefit Pension Plans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YRC Worldwide and certain of our operating subsidiaries sponsor qualified and nonqualified defined benefit pension plans for certain employees not covered by collective bargaining agreements (approximately 10,000 current, former and retired employees). Qualified and nonqualified pension benefits are based on years of service and the employees’ covered earnings. Employees covered by collective bargaining agreements participate in various multi-employer pension plans to which YRC Worldwide contributes, as discussed below. Regional Transportation does not offer a defined benefit pension plan and instead offers retirement benefits through either contributory 401(k) savings plans or profit sharing plans, as discussed below. The domestic YRC Worldwide defined benefit pension plans closed to new participants effective January 1, 2004 and the benefit accrual for active employees was frozen effective July 1, 2008. Our actuarial valuation measurement date for our pension plans is December 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the beginning and ending balances of the projected benefit obligation and the fair value of plan assets for the years ended December 31, 2015 and 2014, and the funded status at December 31, 2015 and 2014,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Benefit obligation at beginning of year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1,355.2</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1,188.8</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60.7</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Actuarial (gain) loss</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(60.2)</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214.1</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Expenses paid from assets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obligation at year end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1,202.7</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1,355.2</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plan assets at prior year end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899.3</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808.4</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Actual return on plan assets</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141.6</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Employer contributions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Expenses paid from assets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7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plan assets at year end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867.1</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899.3</w:t>
            </w:r>
          </w:p>
        </w:tc>
      </w:tr>
      <w:tr>
        <w:trPr>
          <w:trHeight w:val="257"/>
        </w:trPr>
        <w:tc>
          <w:tcPr>
            <w:tcW w:w="7540" w:type="dxa"/>
            <w:vAlign w:val="bottom"/>
          </w:tcPr>
          <w:p>
            <w:pPr>
              <w:ind w:left="280"/>
              <w:spacing w:after="0"/>
              <w:rPr>
                <w:sz w:val="20"/>
                <w:szCs w:val="20"/>
                <w:color w:val="auto"/>
              </w:rPr>
            </w:pPr>
            <w:r>
              <w:rPr>
                <w:rFonts w:ascii="Arial" w:cs="Arial" w:eastAsia="Arial" w:hAnsi="Arial"/>
                <w:sz w:val="18"/>
                <w:szCs w:val="18"/>
                <w:color w:val="auto"/>
              </w:rPr>
              <w:t>Funded status at year end</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(455.9)</w:t>
            </w:r>
          </w:p>
        </w:tc>
      </w:tr>
      <w:tr>
        <w:trPr>
          <w:trHeight w:val="20"/>
        </w:trPr>
        <w:tc>
          <w:tcPr>
            <w:tcW w:w="7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738" w:right="239" w:bottom="1440" w:gutter="0" w:footer="0" w:header="0"/>
          <w:type w:val="continuous"/>
        </w:sectPr>
      </w:pPr>
    </w:p>
    <w:bookmarkStart w:id="59" w:name="page60"/>
    <w:bookmarkEnd w:id="59"/>
    <w:p>
      <w:pPr>
        <w:jc w:val="both"/>
        <w:spacing w:after="0" w:line="264" w:lineRule="auto"/>
        <w:rPr>
          <w:sz w:val="20"/>
          <w:szCs w:val="20"/>
          <w:color w:val="auto"/>
        </w:rPr>
      </w:pPr>
      <w:r>
        <w:rPr>
          <w:rFonts w:ascii="Arial" w:cs="Arial" w:eastAsia="Arial" w:hAnsi="Arial"/>
          <w:sz w:val="18"/>
          <w:szCs w:val="18"/>
          <w:color w:val="auto"/>
        </w:rPr>
        <w:t>The underfunded status of the plans of $335.6 million and $455.9 million at December 31, 2015 and 2014, respectively, is recognized in the accompanying consolidated balance sheets as shown in the table below. No plan assets are expected to be returned to the Company during the year ending December 31, 2016.</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long-term strategy is to reduce the risk of our underfunded plans. The Company amended its domestic pension plans and offered a one-time voluntary lump sum payment option in an effort to reduce its long-term pension obligations and ongoing annual pension expense. The lump sum pension settlement payments of $85.2 million, which are reflected in “Benefits paid” in the above table, were funded from existing pension plan assets. In connection with this transaction, the Company incurred a settlement charge of $28.7 million to salaries, wages and employee benefits expense as a result of the requirement to expense the unrecognized actuarial losses associated with the lump sum settlements. The charge had no effect on equity because the actuarial losses were already recognized in accumulated other comprehensive income/(loss). Accordingly, the effect on retained earnings was offset by a corresponding reduction in accumulated other comprehensive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Plan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for pension benefits at December 31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1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0.7</w:t>
            </w:r>
          </w:p>
        </w:tc>
        <w:tc>
          <w:tcPr>
            <w:tcW w:w="48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0.4</w:t>
            </w:r>
          </w:p>
        </w:tc>
      </w:tr>
      <w:tr>
        <w:trPr>
          <w:trHeight w:val="27"/>
        </w:trPr>
        <w:tc>
          <w:tcPr>
            <w:tcW w:w="7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457.4</w:t>
            </w:r>
          </w:p>
        </w:tc>
      </w:tr>
      <w:tr>
        <w:trPr>
          <w:trHeight w:val="432"/>
        </w:trPr>
        <w:tc>
          <w:tcPr>
            <w:tcW w:w="7040" w:type="dxa"/>
            <w:vAlign w:val="bottom"/>
          </w:tcPr>
          <w:p>
            <w:pPr>
              <w:spacing w:after="0"/>
              <w:rPr>
                <w:sz w:val="20"/>
                <w:szCs w:val="20"/>
                <w:color w:val="auto"/>
              </w:rPr>
            </w:pPr>
            <w:r>
              <w:rPr>
                <w:rFonts w:ascii="Arial" w:cs="Arial" w:eastAsia="Arial" w:hAnsi="Arial"/>
                <w:sz w:val="18"/>
                <w:szCs w:val="18"/>
                <w:color w:val="auto"/>
                <w:w w:val="97"/>
              </w:rPr>
              <w:t>Amounts recognized in accumulated other comprehensive loss at December 31 consist of:</w:t>
            </w: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48"/>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r>
      <w:tr>
        <w:trPr>
          <w:trHeight w:val="243"/>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502.7</w:t>
            </w:r>
          </w:p>
        </w:tc>
      </w:tr>
      <w:tr>
        <w:trPr>
          <w:trHeight w:val="27"/>
        </w:trPr>
        <w:tc>
          <w:tcPr>
            <w:tcW w:w="70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shown above, included in accumulated other comprehensive loss at December 31, 2015, are unrecognized actuarial losses of $406.0 million ($367.7 million, net of tax). The actuarial loss included in accumulated other comprehensive income and expected to be recognized in net periodic cost during the year ending December 31, 2016, is $13.2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total accumulated benefit obligation for all plans was $1,202.2 million and $1,353.6 million at December 31, 2015 and 2014,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Information for pension plans with an ABO in excess of plan assets and plan assets that exceed ABO at December 31, 2015 and 2014 is as follows:</w:t>
      </w: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-147320</wp:posOffset>
            </wp:positionV>
            <wp:extent cx="26498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Projected benefit obligation</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Accumulated benefit obligation</w:t>
      </w:r>
    </w:p>
    <w:p>
      <w:pPr>
        <w:spacing w:after="0" w:line="8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426720</wp:posOffset>
            </wp:positionV>
            <wp:extent cx="2675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(in millions)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Projected benefit obligation</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Accumulated benefit obligation</w:t>
      </w:r>
    </w:p>
    <w:p>
      <w:pPr>
        <w:spacing w:after="0" w:line="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907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7"/>
              </w:rPr>
              <w:t>ABO Exceeds Assets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Assets Exceed ABO</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1,198.3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1,202.7</w:t>
            </w:r>
          </w:p>
        </w:tc>
        <w:tc>
          <w:tcPr>
            <w:tcW w:w="20" w:type="dxa"/>
            <w:vAlign w:val="bottom"/>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1,198.3</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1,202.2</w:t>
            </w:r>
          </w:p>
        </w:tc>
        <w:tc>
          <w:tcPr>
            <w:tcW w:w="2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861.4</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867.1</w:t>
            </w:r>
          </w:p>
        </w:tc>
        <w:tc>
          <w:tcPr>
            <w:tcW w:w="20" w:type="dxa"/>
            <w:vAlign w:val="bottom"/>
          </w:tcPr>
          <w:p>
            <w:pPr>
              <w:spacing w:after="0"/>
              <w:rPr>
                <w:sz w:val="23"/>
                <w:szCs w:val="23"/>
                <w:color w:val="auto"/>
              </w:rPr>
            </w:pPr>
          </w:p>
        </w:tc>
      </w:tr>
      <w:tr>
        <w:trPr>
          <w:trHeight w:val="642"/>
        </w:trPr>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At December 31, 2014</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50"/>
        </w:trPr>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ABO Exceeds Assets</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Assets Exceed ABO</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21"/>
                <w:szCs w:val="21"/>
                <w:color w:val="auto"/>
              </w:rPr>
            </w:pP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1,349.0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1,355.2</w:t>
            </w:r>
          </w:p>
        </w:tc>
        <w:tc>
          <w:tcPr>
            <w:tcW w:w="20" w:type="dxa"/>
            <w:vAlign w:val="bottom"/>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1,349.0</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1,353.6</w:t>
            </w:r>
          </w:p>
        </w:tc>
        <w:tc>
          <w:tcPr>
            <w:tcW w:w="2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891.2</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899.3</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-1242695</wp:posOffset>
            </wp:positionV>
            <wp:extent cx="56254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25465" cy="171450"/>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-1594485</wp:posOffset>
            </wp:positionV>
            <wp:extent cx="562546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25465" cy="18034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-153670</wp:posOffset>
            </wp:positionV>
            <wp:extent cx="566864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8645" cy="17145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-505460</wp:posOffset>
            </wp:positionV>
            <wp:extent cx="566864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864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840"/>
          </w:cols>
          <w:pgMar w:left="240" w:top="530"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30"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actuarial assumptions used to determine benefit obligations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600" w:type="dxa"/>
        <w:tblCellMar>
          <w:top w:w="0" w:type="dxa"/>
          <w:left w:w="0" w:type="dxa"/>
          <w:bottom w:w="0" w:type="dxa"/>
          <w:right w:w="0" w:type="dxa"/>
        </w:tblCellMar>
      </w:tblPr>
      <w:tr>
        <w:trPr>
          <w:trHeight w:val="192"/>
        </w:trPr>
        <w:tc>
          <w:tcPr>
            <w:tcW w:w="77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2014</w:t>
            </w:r>
          </w:p>
        </w:tc>
      </w:tr>
      <w:tr>
        <w:trPr>
          <w:trHeight w:val="243"/>
        </w:trPr>
        <w:tc>
          <w:tcPr>
            <w:tcW w:w="7760" w:type="dxa"/>
            <w:vAlign w:val="bottom"/>
            <w:shd w:val="clear" w:color="auto" w:fill="CCEEFF"/>
          </w:tcPr>
          <w:p>
            <w:pPr>
              <w:jc w:val="right"/>
              <w:ind w:right="6679"/>
              <w:spacing w:after="0"/>
              <w:rPr>
                <w:sz w:val="20"/>
                <w:szCs w:val="20"/>
                <w:color w:val="auto"/>
              </w:rPr>
            </w:pPr>
            <w:r>
              <w:rPr>
                <w:rFonts w:ascii="Arial" w:cs="Arial" w:eastAsia="Arial" w:hAnsi="Arial"/>
                <w:sz w:val="18"/>
                <w:szCs w:val="18"/>
                <w:color w:val="auto"/>
                <w:w w:val="92"/>
              </w:rPr>
              <w:t>Discount rate</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4.81%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77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to determine net periodic benefit cost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4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2015</w:t>
            </w:r>
          </w:p>
        </w:tc>
        <w:tc>
          <w:tcPr>
            <w:tcW w:w="17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2014</w:t>
            </w:r>
          </w:p>
        </w:tc>
        <w:tc>
          <w:tcPr>
            <w:tcW w:w="16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4.33%</w:t>
            </w:r>
          </w:p>
        </w:tc>
        <w:tc>
          <w:tcPr>
            <w:tcW w:w="1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Expected rate of return on assets</w:t>
            </w:r>
          </w:p>
        </w:tc>
        <w:tc>
          <w:tcPr>
            <w:tcW w:w="3160" w:type="dxa"/>
            <w:vAlign w:val="bottom"/>
          </w:tcPr>
          <w:p>
            <w:pPr>
              <w:jc w:val="right"/>
              <w:ind w:right="94"/>
              <w:spacing w:after="0"/>
              <w:rPr>
                <w:sz w:val="20"/>
                <w:szCs w:val="20"/>
                <w:color w:val="auto"/>
              </w:rPr>
            </w:pPr>
            <w:r>
              <w:rPr>
                <w:rFonts w:ascii="Arial" w:cs="Arial" w:eastAsia="Arial" w:hAnsi="Arial"/>
                <w:sz w:val="18"/>
                <w:szCs w:val="18"/>
                <w:color w:val="auto"/>
              </w:rPr>
              <w:t>7.0%</w:t>
            </w:r>
          </w:p>
        </w:tc>
        <w:tc>
          <w:tcPr>
            <w:tcW w:w="1780" w:type="dxa"/>
            <w:vAlign w:val="bottom"/>
          </w:tcPr>
          <w:p>
            <w:pPr>
              <w:jc w:val="right"/>
              <w:ind w:right="94"/>
              <w:spacing w:after="0"/>
              <w:rPr>
                <w:sz w:val="20"/>
                <w:szCs w:val="20"/>
                <w:color w:val="auto"/>
              </w:rPr>
            </w:pPr>
            <w:r>
              <w:rPr>
                <w:rFonts w:ascii="Arial" w:cs="Arial" w:eastAsia="Arial" w:hAnsi="Arial"/>
                <w:sz w:val="18"/>
                <w:szCs w:val="18"/>
                <w:color w:val="auto"/>
              </w:rPr>
              <w:t>7.0%</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6"/>
        </w:trPr>
        <w:tc>
          <w:tcPr>
            <w:tcW w:w="4240" w:type="dxa"/>
            <w:vAlign w:val="bottom"/>
          </w:tcPr>
          <w:p>
            <w:pPr>
              <w:spacing w:after="0"/>
              <w:rPr>
                <w:sz w:val="22"/>
                <w:szCs w:val="22"/>
                <w:color w:val="auto"/>
              </w:rPr>
            </w:pPr>
          </w:p>
        </w:tc>
        <w:tc>
          <w:tcPr>
            <w:tcW w:w="3160" w:type="dxa"/>
            <w:vAlign w:val="bottom"/>
          </w:tcPr>
          <w:p>
            <w:pPr>
              <w:jc w:val="right"/>
              <w:ind w:right="294"/>
              <w:spacing w:after="0"/>
              <w:rPr>
                <w:sz w:val="20"/>
                <w:szCs w:val="20"/>
                <w:color w:val="auto"/>
              </w:rPr>
            </w:pPr>
            <w:r>
              <w:rPr>
                <w:rFonts w:ascii="Arial" w:cs="Arial" w:eastAsia="Arial" w:hAnsi="Arial"/>
                <w:sz w:val="18"/>
                <w:szCs w:val="18"/>
                <w:color w:val="auto"/>
              </w:rPr>
              <w:t>RP-2014</w:t>
            </w:r>
          </w:p>
        </w:tc>
        <w:tc>
          <w:tcPr>
            <w:tcW w:w="1780" w:type="dxa"/>
            <w:vAlign w:val="bottom"/>
          </w:tcPr>
          <w:p>
            <w:pPr>
              <w:jc w:val="right"/>
              <w:ind w:right="254"/>
              <w:spacing w:after="0"/>
              <w:rPr>
                <w:sz w:val="20"/>
                <w:szCs w:val="20"/>
                <w:color w:val="auto"/>
              </w:rPr>
            </w:pPr>
            <w:r>
              <w:rPr>
                <w:rFonts w:ascii="Arial" w:cs="Arial" w:eastAsia="Arial" w:hAnsi="Arial"/>
                <w:sz w:val="18"/>
                <w:szCs w:val="18"/>
                <w:color w:val="auto"/>
              </w:rPr>
              <w:t>RP-2000</w:t>
            </w: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RP-2000</w:t>
            </w:r>
          </w:p>
        </w:tc>
      </w:tr>
      <w:tr>
        <w:trPr>
          <w:trHeight w:val="242"/>
        </w:trPr>
        <w:tc>
          <w:tcPr>
            <w:tcW w:w="4240" w:type="dxa"/>
            <w:vAlign w:val="bottom"/>
          </w:tcPr>
          <w:p>
            <w:pPr>
              <w:ind w:left="20"/>
              <w:spacing w:after="0"/>
              <w:rPr>
                <w:sz w:val="20"/>
                <w:szCs w:val="20"/>
                <w:color w:val="auto"/>
              </w:rPr>
            </w:pPr>
            <w:r>
              <w:rPr>
                <w:rFonts w:ascii="Arial" w:cs="Arial" w:eastAsia="Arial" w:hAnsi="Arial"/>
                <w:sz w:val="18"/>
                <w:szCs w:val="18"/>
                <w:color w:val="auto"/>
              </w:rPr>
              <w:t>Mortality table</w:t>
            </w:r>
            <w:r>
              <w:rPr>
                <w:rFonts w:ascii="Arial" w:cs="Arial" w:eastAsia="Arial" w:hAnsi="Arial"/>
                <w:sz w:val="18"/>
                <w:szCs w:val="18"/>
                <w:color w:val="auto"/>
                <w:vertAlign w:val="superscript"/>
              </w:rPr>
              <w:t>(a)</w:t>
            </w:r>
          </w:p>
        </w:tc>
        <w:tc>
          <w:tcPr>
            <w:tcW w:w="3160" w:type="dxa"/>
            <w:vAlign w:val="bottom"/>
          </w:tcPr>
          <w:p>
            <w:pPr>
              <w:jc w:val="right"/>
              <w:ind w:right="254"/>
              <w:spacing w:after="0"/>
              <w:rPr>
                <w:sz w:val="20"/>
                <w:szCs w:val="20"/>
                <w:color w:val="auto"/>
              </w:rPr>
            </w:pPr>
            <w:r>
              <w:rPr>
                <w:rFonts w:ascii="Arial" w:cs="Arial" w:eastAsia="Arial" w:hAnsi="Arial"/>
                <w:sz w:val="18"/>
                <w:szCs w:val="18"/>
                <w:color w:val="auto"/>
              </w:rPr>
              <w:t>Custom</w:t>
            </w:r>
          </w:p>
        </w:tc>
        <w:tc>
          <w:tcPr>
            <w:tcW w:w="1780" w:type="dxa"/>
            <w:vAlign w:val="bottom"/>
          </w:tcPr>
          <w:p>
            <w:pPr>
              <w:jc w:val="right"/>
              <w:ind w:right="254"/>
              <w:spacing w:after="0"/>
              <w:rPr>
                <w:sz w:val="20"/>
                <w:szCs w:val="20"/>
                <w:color w:val="auto"/>
              </w:rPr>
            </w:pPr>
            <w:r>
              <w:rPr>
                <w:rFonts w:ascii="Arial" w:cs="Arial" w:eastAsia="Arial" w:hAnsi="Arial"/>
                <w:sz w:val="18"/>
                <w:szCs w:val="18"/>
                <w:color w:val="auto"/>
              </w:rPr>
              <w:t>Projected to 2014</w:t>
            </w:r>
          </w:p>
        </w:tc>
        <w:tc>
          <w:tcPr>
            <w:tcW w:w="1660" w:type="dxa"/>
            <w:vAlign w:val="bottom"/>
          </w:tcPr>
          <w:p>
            <w:pPr>
              <w:jc w:val="right"/>
              <w:ind w:right="114"/>
              <w:spacing w:after="0"/>
              <w:rPr>
                <w:sz w:val="20"/>
                <w:szCs w:val="20"/>
                <w:color w:val="auto"/>
              </w:rPr>
            </w:pPr>
            <w:r>
              <w:rPr>
                <w:rFonts w:ascii="Arial" w:cs="Arial" w:eastAsia="Arial" w:hAnsi="Arial"/>
                <w:sz w:val="18"/>
                <w:szCs w:val="18"/>
                <w:color w:val="auto"/>
              </w:rPr>
              <w:t>Projected to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-297815</wp:posOffset>
            </wp:positionV>
            <wp:extent cx="687768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7685" cy="308610"/>
                    </a:xfrm>
                    <a:prstGeom prst="rect">
                      <a:avLst/>
                    </a:prstGeom>
                    <a:noFill/>
                  </pic:spPr>
                </pic:pic>
              </a:graphicData>
            </a:graphic>
          </wp:anchor>
        </w:drawing>
      </w:r>
    </w:p>
    <w:p>
      <w:pPr>
        <w:ind w:left="140" w:hanging="132"/>
        <w:spacing w:after="0"/>
        <w:tabs>
          <w:tab w:leader="none" w:pos="140" w:val="left"/>
        </w:tabs>
        <w:numPr>
          <w:ilvl w:val="0"/>
          <w:numId w:val="49"/>
        </w:numPr>
        <w:rPr>
          <w:rFonts w:ascii="Arial" w:cs="Arial" w:eastAsia="Arial" w:hAnsi="Arial"/>
          <w:sz w:val="9"/>
          <w:szCs w:val="9"/>
          <w:color w:val="auto"/>
        </w:rPr>
      </w:pPr>
      <w:r>
        <w:rPr>
          <w:rFonts w:ascii="Arial" w:cs="Arial" w:eastAsia="Arial" w:hAnsi="Arial"/>
          <w:sz w:val="14"/>
          <w:szCs w:val="14"/>
          <w:color w:val="auto"/>
        </w:rPr>
        <w:t>The 2015 Mortality table was based on a custom mortality improvement scale to reflect expectations of underlying plan participants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is used as the interest rate factor in the following year’s pension cost. We determine the discount rate by selecting a portfolio of high quality noncallable bonds such that the coupons and maturities exceed our expected benefit payments.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determining the expected rate of return on assets, we consider our historical experience in the plans’ investment portfolio, historical market data and long-term historical relationships as well as a review of other objective indices including current market factors such as inflation and interest rates. Although plan investments are subject to short-term market volatility, we believe they are well diversified and closely managed.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asset allocation as of December 31, 2015 and 2014, and targeted long-term asset allocation for the plans are as follows:</w:t>
      </w:r>
    </w:p>
    <w:p>
      <w:pPr>
        <w:spacing w:after="0" w:line="338"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3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9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Target</w:t>
            </w: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19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rPr>
              <w:t>37.0%</w:t>
            </w:r>
          </w:p>
        </w:tc>
        <w:tc>
          <w:tcPr>
            <w:tcW w:w="10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940" w:type="dxa"/>
            <w:vAlign w:val="bottom"/>
          </w:tcPr>
          <w:p>
            <w:pPr>
              <w:jc w:val="right"/>
              <w:ind w:right="1234"/>
              <w:spacing w:after="0"/>
              <w:rPr>
                <w:sz w:val="20"/>
                <w:szCs w:val="20"/>
                <w:color w:val="auto"/>
              </w:rPr>
            </w:pPr>
            <w:r>
              <w:rPr>
                <w:rFonts w:ascii="Arial" w:cs="Arial" w:eastAsia="Arial" w:hAnsi="Arial"/>
                <w:sz w:val="18"/>
                <w:szCs w:val="18"/>
                <w:color w:val="auto"/>
              </w:rPr>
              <w:t>30.0%</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35.0%</w:t>
            </w:r>
          </w:p>
        </w:tc>
        <w:tc>
          <w:tcPr>
            <w:tcW w:w="15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3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Absolute Return</w:t>
            </w:r>
          </w:p>
        </w:tc>
        <w:tc>
          <w:tcPr>
            <w:tcW w:w="1940" w:type="dxa"/>
            <w:vAlign w:val="bottom"/>
            <w:shd w:val="clear" w:color="auto" w:fill="CCEEFF"/>
          </w:tcPr>
          <w:p>
            <w:pPr>
              <w:jc w:val="right"/>
              <w:ind w:right="1234"/>
              <w:spacing w:after="0"/>
              <w:rPr>
                <w:sz w:val="20"/>
                <w:szCs w:val="20"/>
                <w:color w:val="auto"/>
              </w:rPr>
            </w:pPr>
            <w:r>
              <w:rPr>
                <w:rFonts w:ascii="Arial" w:cs="Arial" w:eastAsia="Arial" w:hAnsi="Arial"/>
                <w:sz w:val="18"/>
                <w:szCs w:val="18"/>
                <w:color w:val="auto"/>
              </w:rPr>
              <w:t>33.0%</w:t>
            </w: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34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Based on various market factors, we selected an expected rate of return on assets of 7.0% effective for the 2015 and 2014 valuations. We will continue to review our expected long-term rate of return on an annual basis and revise appropriately. The pension trust holds no YRC Worldwide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Contributions and Benefit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contribute approximately $45.3 million to our single-employer pension plans in 2016.</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Expected benefit payments from our qualified and non-qualified defined benefit pension plans for each of the next five years and the total benefit payments for the following five years ended December 31 are as follows:</w:t>
      </w:r>
    </w:p>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2021-2025</w:t>
            </w: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benefit payments</w:t>
            </w: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r>
      <w:tr>
        <w:trPr>
          <w:trHeight w:val="675"/>
        </w:trPr>
        <w:tc>
          <w:tcPr>
            <w:tcW w:w="2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gridSpan w:val="2"/>
          </w:tcPr>
          <w:p>
            <w:pPr>
              <w:jc w:val="right"/>
              <w:ind w:right="310"/>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53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Pension and Other Post-retirement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net periodic pension cost, other post-retirement costs and other amounts recognized in other comprehensive loss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were as follows:</w:t>
      </w:r>
    </w:p>
    <w:p>
      <w:pPr>
        <w:spacing w:after="0" w:line="365"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net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Settlement loss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w w:val="90"/>
              </w:rPr>
              <w:t>Other changes in plan assets and benefit obligations recognized in other comprehensive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loss (income):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actuarial loss (gain) and other adjustments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Less amortization of prior losses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tcPr>
          <w:p>
            <w:pPr>
              <w:ind w:left="280"/>
              <w:spacing w:after="0"/>
              <w:rPr>
                <w:sz w:val="20"/>
                <w:szCs w:val="20"/>
                <w:color w:val="auto"/>
              </w:rPr>
            </w:pPr>
            <w:r>
              <w:rPr>
                <w:rFonts w:ascii="Arial" w:cs="Arial" w:eastAsia="Arial" w:hAnsi="Arial"/>
                <w:sz w:val="18"/>
                <w:szCs w:val="18"/>
                <w:color w:val="auto"/>
              </w:rPr>
              <w:t>Total recognized in other comprehensive loss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113.5</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Total recognized in net periodic benefit cost and other 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2015, 2014 and 2013, the income tax provision related to amounts in other comprehensive (income) loss was $12.2 million, $0.2 million and $42.7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pension assets are stated at fair value. Fair value is the price that would be received to sell an asset or paid to transfer a liability in an orderly transaction between market participants at the measurement date. The fair value of Level 1 assets are based on quoted market prices. The majority of the Level 1 assets presented in the table below include common stock of both U.S. and, to a lesser extent, international companies, and mutual funds, of which are actively traded and priced in the market. The fair value of Level 2 assets are based on other significant observable inputs, including quoted prices for similar securities. The Level 2 assets presented in the below table consist primarily of fixed income and absolute return funds where values are based on the NAV of the underlying investments held, as determined by the fund managers, or equity securities where values are based on the quoted prices of similar securities and observable market data. Level 3 assets are those where the fair value is determined based on unobservable inputs. The Level 3 assets presented in the table below consist of alternative investments where active market pricing is not readily available and, as such, we use NAV as an estimate of fair value. For the remaining Level 3 assets that do not use NAV to estimate fair value, which consists of private equities, the assets are either priced at cost less cash distributions for recent asset purchases, third-party valuations or discounted cash flow methods. The methods and assumptions used by third-party pricing sources may include a variety of factors, such as recently executed transactions, existing contracts, economic conditions, industry or market developments, and overall credit ratings.</w:t>
      </w:r>
    </w:p>
    <w:p>
      <w:pPr>
        <w:spacing w:after="0" w:line="1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estimated fair values may differ significantly from the values that would have been used had a ready market for these investments existed and as such, differences could be material. There were no transfers among the fair value hierarchy levels for the years ended December 31, 2015 and 2014, respectively.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3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table below details by level, within the fair value hierarchy, the pension assets at fair value as of December 31, 2015:</w:t>
      </w:r>
    </w:p>
    <w:p>
      <w:pPr>
        <w:spacing w:after="0" w:line="200" w:lineRule="exact"/>
        <w:rPr>
          <w:sz w:val="20"/>
          <w:szCs w:val="20"/>
          <w:color w:val="auto"/>
        </w:rPr>
      </w:pPr>
    </w:p>
    <w:p>
      <w:pPr>
        <w:spacing w:after="0" w:line="246"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Pension Assets at Fair Value as of December 31, 2015</w:t>
            </w:r>
          </w:p>
        </w:tc>
        <w:tc>
          <w:tcPr>
            <w:tcW w:w="1220" w:type="dxa"/>
            <w:vAlign w:val="bottom"/>
            <w:tcBorders>
              <w:bottom w:val="single" w:sz="8" w:color="auto"/>
            </w:tcBorders>
          </w:tcPr>
          <w:p>
            <w:pPr>
              <w:spacing w:after="0"/>
              <w:rPr>
                <w:sz w:val="16"/>
                <w:szCs w:val="16"/>
                <w:color w:val="auto"/>
              </w:rPr>
            </w:pPr>
          </w:p>
        </w:tc>
      </w:tr>
      <w:tr>
        <w:trPr>
          <w:trHeight w:val="197"/>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Private equities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131.1</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188.0</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229.0</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Government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Absolute return</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bearing</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57"/>
        </w:trPr>
        <w:tc>
          <w:tcPr>
            <w:tcW w:w="4380" w:type="dxa"/>
            <w:vAlign w:val="bottom"/>
          </w:tcPr>
          <w:p>
            <w:pPr>
              <w:ind w:left="20"/>
              <w:spacing w:after="0"/>
              <w:rPr>
                <w:sz w:val="20"/>
                <w:szCs w:val="20"/>
                <w:color w:val="auto"/>
              </w:rPr>
            </w:pPr>
            <w:r>
              <w:rPr>
                <w:rFonts w:ascii="Arial" w:cs="Arial" w:eastAsia="Arial" w:hAnsi="Arial"/>
                <w:sz w:val="18"/>
                <w:szCs w:val="18"/>
                <w:color w:val="auto"/>
              </w:rPr>
              <w:t>Total plan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319.1</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867.1</w:t>
            </w:r>
          </w:p>
        </w:tc>
      </w:tr>
      <w:tr>
        <w:trPr>
          <w:trHeight w:val="20"/>
        </w:trPr>
        <w:tc>
          <w:tcPr>
            <w:tcW w:w="4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by level, within the fair value hierarchy, the pension assets at fair value as of December 31, 2014:</w:t>
      </w:r>
    </w:p>
    <w:p>
      <w:pPr>
        <w:spacing w:after="0" w:line="200" w:lineRule="exact"/>
        <w:rPr>
          <w:sz w:val="20"/>
          <w:szCs w:val="20"/>
          <w:color w:val="auto"/>
        </w:rPr>
      </w:pPr>
    </w:p>
    <w:p>
      <w:pPr>
        <w:spacing w:after="0" w:line="246"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Pension Assets at Fair Value as of December 31, 2014</w:t>
            </w:r>
          </w:p>
        </w:tc>
        <w:tc>
          <w:tcPr>
            <w:tcW w:w="1220" w:type="dxa"/>
            <w:vAlign w:val="bottom"/>
            <w:tcBorders>
              <w:bottom w:val="single" w:sz="8" w:color="auto"/>
            </w:tcBorders>
          </w:tcPr>
          <w:p>
            <w:pPr>
              <w:spacing w:after="0"/>
              <w:rPr>
                <w:sz w:val="16"/>
                <w:szCs w:val="16"/>
                <w:color w:val="auto"/>
              </w:rPr>
            </w:pPr>
          </w:p>
        </w:tc>
      </w:tr>
      <w:tr>
        <w:trPr>
          <w:trHeight w:val="197"/>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Private equities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104.7</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104.7</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130.1</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171.0</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Government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Absolute return</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120.6</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120.6</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bearing</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r>
      <w:tr>
        <w:trPr>
          <w:trHeight w:val="257"/>
        </w:trPr>
        <w:tc>
          <w:tcPr>
            <w:tcW w:w="4380" w:type="dxa"/>
            <w:vAlign w:val="bottom"/>
          </w:tcPr>
          <w:p>
            <w:pPr>
              <w:ind w:left="20"/>
              <w:spacing w:after="0"/>
              <w:rPr>
                <w:sz w:val="20"/>
                <w:szCs w:val="20"/>
                <w:color w:val="auto"/>
              </w:rPr>
            </w:pPr>
            <w:r>
              <w:rPr>
                <w:rFonts w:ascii="Arial" w:cs="Arial" w:eastAsia="Arial" w:hAnsi="Arial"/>
                <w:sz w:val="18"/>
                <w:szCs w:val="18"/>
                <w:color w:val="auto"/>
              </w:rPr>
              <w:t>Total plan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899.3</w:t>
            </w:r>
          </w:p>
        </w:tc>
      </w:tr>
      <w:tr>
        <w:trPr>
          <w:trHeight w:val="20"/>
        </w:trPr>
        <w:tc>
          <w:tcPr>
            <w:tcW w:w="4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activity of our assets measured at fair value on a recurring basis using significant unobservable inputs (Level 3):</w:t>
      </w:r>
    </w:p>
    <w:p>
      <w:pPr>
        <w:spacing w:after="0" w:line="3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1320" w:type="dxa"/>
            <w:vAlign w:val="bottom"/>
          </w:tcPr>
          <w:p>
            <w:pPr>
              <w:jc w:val="right"/>
              <w:ind w:right="573"/>
              <w:spacing w:after="0"/>
              <w:rPr>
                <w:sz w:val="20"/>
                <w:szCs w:val="20"/>
                <w:color w:val="auto"/>
              </w:rPr>
            </w:pPr>
            <w:r>
              <w:rPr>
                <w:rFonts w:ascii="Arial" w:cs="Arial" w:eastAsia="Arial" w:hAnsi="Arial"/>
                <w:sz w:val="14"/>
                <w:szCs w:val="14"/>
                <w:b w:val="1"/>
                <w:bCs w:val="1"/>
                <w:color w:val="auto"/>
              </w:rPr>
              <w:t>Private</w:t>
            </w:r>
          </w:p>
        </w:tc>
        <w:tc>
          <w:tcPr>
            <w:tcW w:w="240" w:type="dxa"/>
            <w:vAlign w:val="bottom"/>
          </w:tcPr>
          <w:p>
            <w:pPr>
              <w:spacing w:after="0"/>
              <w:rPr>
                <w:sz w:val="14"/>
                <w:szCs w:val="14"/>
                <w:color w:val="auto"/>
              </w:rPr>
            </w:pPr>
          </w:p>
        </w:tc>
        <w:tc>
          <w:tcPr>
            <w:tcW w:w="13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Fixed income</w:t>
            </w:r>
          </w:p>
        </w:tc>
        <w:tc>
          <w:tcPr>
            <w:tcW w:w="280" w:type="dxa"/>
            <w:vAlign w:val="bottom"/>
          </w:tcPr>
          <w:p>
            <w:pPr>
              <w:spacing w:after="0"/>
              <w:rPr>
                <w:sz w:val="14"/>
                <w:szCs w:val="14"/>
                <w:color w:val="auto"/>
              </w:rPr>
            </w:pPr>
          </w:p>
        </w:tc>
        <w:tc>
          <w:tcPr>
            <w:tcW w:w="13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 Level 3</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Equities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2013</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4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Unrealized gain</w:t>
            </w:r>
          </w:p>
        </w:tc>
        <w:tc>
          <w:tcPr>
            <w:tcW w:w="4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2014</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4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Unrealized gain</w:t>
            </w:r>
          </w:p>
        </w:tc>
        <w:tc>
          <w:tcPr>
            <w:tcW w:w="4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63</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530" w:right="599" w:bottom="1440" w:gutter="0" w:footer="0" w:header="0"/>
        </w:sectPr>
      </w:pPr>
    </w:p>
    <w:bookmarkStart w:id="63" w:name="page64"/>
    <w:bookmarkEnd w:id="63"/>
    <w:p>
      <w:pPr>
        <w:ind w:right="20"/>
        <w:spacing w:after="0" w:line="277" w:lineRule="auto"/>
        <w:rPr>
          <w:sz w:val="20"/>
          <w:szCs w:val="20"/>
          <w:color w:val="auto"/>
        </w:rPr>
      </w:pPr>
      <w:r>
        <w:rPr>
          <w:rFonts w:ascii="Arial" w:cs="Arial" w:eastAsia="Arial" w:hAnsi="Arial"/>
          <w:sz w:val="18"/>
          <w:szCs w:val="18"/>
          <w:color w:val="auto"/>
        </w:rPr>
        <w:t>The following table sets forth a summary of the Level 3 assets for which the fair value is not readily determinable but a reported NAV is used to estimate the fair value as of December 31, 2015:</w:t>
      </w: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3"/>
              </w:rPr>
              <w:t>Fair value estimated using Net Asset Value per Share</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right"/>
              <w:ind w:right="499"/>
              <w:spacing w:after="0" w:line="153" w:lineRule="exact"/>
              <w:rPr>
                <w:sz w:val="20"/>
                <w:szCs w:val="20"/>
                <w:color w:val="auto"/>
              </w:rPr>
            </w:pPr>
            <w:r>
              <w:rPr>
                <w:rFonts w:ascii="Arial" w:cs="Arial" w:eastAsia="Arial" w:hAnsi="Arial"/>
                <w:sz w:val="14"/>
                <w:szCs w:val="14"/>
                <w:b w:val="1"/>
                <w:bCs w:val="1"/>
                <w:color w:val="auto"/>
              </w:rPr>
              <w:t>Unfunded</w:t>
            </w:r>
          </w:p>
        </w:tc>
        <w:tc>
          <w:tcPr>
            <w:tcW w:w="150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w w:val="93"/>
              </w:rPr>
              <w:t>Redemption</w:t>
            </w:r>
          </w:p>
        </w:tc>
        <w:tc>
          <w:tcPr>
            <w:tcW w:w="144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2"/>
              </w:rPr>
              <w:t>Redemption Notice</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Commitments</w:t>
            </w:r>
          </w:p>
        </w:tc>
        <w:tc>
          <w:tcPr>
            <w:tcW w:w="15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Frequency</w:t>
            </w:r>
          </w:p>
        </w:tc>
        <w:tc>
          <w:tcPr>
            <w:tcW w:w="14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Private equities</w:t>
            </w:r>
            <w:r>
              <w:rPr>
                <w:rFonts w:ascii="Arial" w:cs="Arial" w:eastAsia="Arial" w:hAnsi="Arial"/>
                <w:sz w:val="25"/>
                <w:szCs w:val="25"/>
                <w:color w:val="auto"/>
                <w:vertAlign w:val="superscript"/>
              </w:rPr>
              <w:t>(a)</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11.3</w:t>
            </w:r>
          </w:p>
        </w:tc>
        <w:tc>
          <w:tcPr>
            <w:tcW w:w="2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70"/>
        </w:trPr>
        <w:tc>
          <w:tcPr>
            <w:tcW w:w="43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Fixed income</w:t>
            </w:r>
            <w:r>
              <w:rPr>
                <w:rFonts w:ascii="Arial" w:cs="Arial" w:eastAsia="Arial" w:hAnsi="Arial"/>
                <w:sz w:val="25"/>
                <w:szCs w:val="25"/>
                <w:color w:val="auto"/>
                <w:vertAlign w:val="superscript"/>
              </w:rPr>
              <w:t>(b)</w:t>
            </w:r>
          </w:p>
        </w:tc>
        <w:tc>
          <w:tcPr>
            <w:tcW w:w="1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8"/>
              </w:rPr>
              <w:t>183.8</w:t>
            </w:r>
          </w:p>
        </w:tc>
        <w:tc>
          <w:tcPr>
            <w:tcW w:w="2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159"/>
              <w:spacing w:after="0"/>
              <w:rPr>
                <w:sz w:val="20"/>
                <w:szCs w:val="20"/>
                <w:color w:val="auto"/>
              </w:rPr>
            </w:pPr>
            <w:r>
              <w:rPr>
                <w:rFonts w:ascii="Arial" w:cs="Arial" w:eastAsia="Arial" w:hAnsi="Arial"/>
                <w:sz w:val="18"/>
                <w:szCs w:val="18"/>
                <w:color w:val="auto"/>
              </w:rPr>
              <w:t>4.0</w:t>
            </w:r>
          </w:p>
        </w:tc>
        <w:tc>
          <w:tcPr>
            <w:tcW w:w="29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5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274.9</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00" w:hanging="262"/>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Chinese technology and healthcare companies.</w:t>
      </w:r>
    </w:p>
    <w:p>
      <w:pPr>
        <w:spacing w:after="0" w:line="13" w:lineRule="exact"/>
        <w:rPr>
          <w:rFonts w:ascii="Arial" w:cs="Arial" w:eastAsia="Arial" w:hAnsi="Arial"/>
          <w:sz w:val="14"/>
          <w:szCs w:val="14"/>
          <w:color w:val="auto"/>
        </w:rPr>
      </w:pPr>
    </w:p>
    <w:p>
      <w:pPr>
        <w:ind w:left="500" w:hanging="262"/>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Primarily consists of investments in and debt securities secured by royalty payments from marketers of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-208915</wp:posOffset>
            </wp:positionV>
            <wp:extent cx="1097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a summary of the Level 3 assets for which the fair value is not readily determinable but a reported NAV is used to estimate the fair value as of December 31, 2014:</w:t>
      </w:r>
    </w:p>
    <w:p>
      <w:pPr>
        <w:spacing w:after="0" w:line="351"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2"/>
              </w:rPr>
              <w:t>Fair value estimated using Net Asset Value per Share</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499"/>
              <w:spacing w:after="0" w:line="153" w:lineRule="exact"/>
              <w:rPr>
                <w:sz w:val="20"/>
                <w:szCs w:val="20"/>
                <w:color w:val="auto"/>
              </w:rPr>
            </w:pPr>
            <w:r>
              <w:rPr>
                <w:rFonts w:ascii="Arial" w:cs="Arial" w:eastAsia="Arial" w:hAnsi="Arial"/>
                <w:sz w:val="14"/>
                <w:szCs w:val="14"/>
                <w:b w:val="1"/>
                <w:bCs w:val="1"/>
                <w:color w:val="auto"/>
              </w:rPr>
              <w:t>Unfunded</w:t>
            </w:r>
          </w:p>
        </w:tc>
        <w:tc>
          <w:tcPr>
            <w:tcW w:w="142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w w:val="91"/>
              </w:rPr>
              <w:t>Redemption</w:t>
            </w:r>
          </w:p>
        </w:tc>
        <w:tc>
          <w:tcPr>
            <w:tcW w:w="138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2"/>
              </w:rPr>
              <w:t>Redemption Notice</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Commitments</w:t>
            </w:r>
          </w:p>
        </w:tc>
        <w:tc>
          <w:tcPr>
            <w:tcW w:w="14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Frequency</w:t>
            </w: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Private equities</w:t>
            </w:r>
            <w:r>
              <w:rPr>
                <w:rFonts w:ascii="Arial" w:cs="Arial" w:eastAsia="Arial" w:hAnsi="Arial"/>
                <w:sz w:val="25"/>
                <w:szCs w:val="25"/>
                <w:color w:val="auto"/>
                <w:vertAlign w:val="superscript"/>
              </w:rPr>
              <w:t>(a)</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18.2</w:t>
            </w:r>
          </w:p>
        </w:tc>
        <w:tc>
          <w:tcPr>
            <w:tcW w:w="2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Fixed income</w:t>
            </w:r>
            <w:r>
              <w:rPr>
                <w:rFonts w:ascii="Arial" w:cs="Arial" w:eastAsia="Arial" w:hAnsi="Arial"/>
                <w:sz w:val="25"/>
                <w:szCs w:val="25"/>
                <w:color w:val="auto"/>
                <w:vertAlign w:val="superscript"/>
              </w:rPr>
              <w:t>(b)</w:t>
            </w:r>
          </w:p>
        </w:tc>
        <w:tc>
          <w:tcPr>
            <w:tcW w:w="1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130.1</w:t>
            </w:r>
          </w:p>
        </w:tc>
        <w:tc>
          <w:tcPr>
            <w:tcW w:w="22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ind w:right="159"/>
              <w:spacing w:after="0"/>
              <w:rPr>
                <w:sz w:val="20"/>
                <w:szCs w:val="20"/>
                <w:color w:val="auto"/>
              </w:rPr>
            </w:pPr>
            <w:r>
              <w:rPr>
                <w:rFonts w:ascii="Arial" w:cs="Arial" w:eastAsia="Arial" w:hAnsi="Arial"/>
                <w:sz w:val="18"/>
                <w:szCs w:val="18"/>
                <w:color w:val="auto"/>
              </w:rPr>
              <w:t>12.6</w:t>
            </w:r>
          </w:p>
        </w:tc>
        <w:tc>
          <w:tcPr>
            <w:tcW w:w="28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5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197.8</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00" w:hanging="262"/>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Chinese technology and healthcare companies.</w:t>
      </w:r>
    </w:p>
    <w:p>
      <w:pPr>
        <w:spacing w:after="0" w:line="13" w:lineRule="exact"/>
        <w:rPr>
          <w:rFonts w:ascii="Arial" w:cs="Arial" w:eastAsia="Arial" w:hAnsi="Arial"/>
          <w:sz w:val="14"/>
          <w:szCs w:val="14"/>
          <w:color w:val="auto"/>
        </w:rPr>
      </w:pPr>
    </w:p>
    <w:p>
      <w:pPr>
        <w:ind w:left="500" w:hanging="262"/>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Primarily consists of investments in and debt securities secured by royalty payments from marketers of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-208915</wp:posOffset>
            </wp:positionV>
            <wp:extent cx="10890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assets presented in the December 31, 2015 and 2014 fair value hierarchy tables classified as Level 1 and Level 2, which fair value is estimated using NAV per share, have redemption frequencies ranging from daily to annually, have redemption notice periods from approximately 1 day to 90 days and have no unfunded commitments. These assets consist of equity, fixed income, and absolute return funds. Generally, the investment strategies of the fixed income and equity funds is based on fundamental and quantitative analysis and consists of long and hedged strategies. The general strategy of the absolute return funds consists of alternative investment techniques, including derivative instruments and other unconventional assets, to achieve a stated return rate.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YRC Freight, New Penn, Holland and Reddaway contribute to various separate multi-employer health, welfare and pension plans for employees that are covered by our collective bargaining agreements (approximately 78% of total Company employees). The collective bargaining agreements determine the amounts of these contributions. The health and welfare plans provide medical related benefits to active employees and retirees. The pension plans provide defined benefits to retired participants. We recognize as net pension cost within ‘salaries, wages and employee benefits’ the contractually required contributions for the period and recognize as a liability any contributions due and unpaid at period end. We do not directly manage multi-employer plans. The trusts covering these plans are generally managed by trustees, half of whom the unions appoint and half of whom various contributing employers appoint.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expensed the following amounts related to these plans for the years ended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and welfare</w:t>
            </w:r>
          </w:p>
        </w:tc>
        <w:tc>
          <w:tcPr>
            <w:tcW w:w="3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Pension</w:t>
            </w:r>
          </w:p>
        </w:tc>
        <w:tc>
          <w:tcPr>
            <w:tcW w:w="3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w:t>
            </w:r>
          </w:p>
        </w:tc>
        <w:tc>
          <w:tcPr>
            <w:tcW w:w="4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64</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Pension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Through the third quarter of 2009, we deferred payment of certain of our contributions to multi-employer pension funds. These deferred payments have been recognized as an operating expense and the liability was recorded as deferred contribution obligations. Beginning in the third quarter of 2009 through May 2011, most of our collective bargaining agreements provided for a temporary cessation of pension contributions so no expense or liability was required to be recognized for that period. In accordance with modifications to our collective bargaining agreements, we agreed to resume making pension contributions effective June 1, 2011 at 25.0% of the contribution rate in effect as of July 1, 2009.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additional information related to our participation in individually significant multi-employer pension plans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0" w:type="dxa"/>
            <w:vAlign w:val="bottom"/>
            <w:gridSpan w:val="2"/>
            <w:vMerge w:val="restart"/>
          </w:tcPr>
          <w:p>
            <w:pPr>
              <w:jc w:val="right"/>
              <w:ind w:right="293"/>
              <w:spacing w:after="0"/>
              <w:rPr>
                <w:sz w:val="20"/>
                <w:szCs w:val="20"/>
                <w:color w:val="auto"/>
              </w:rPr>
            </w:pPr>
            <w:r>
              <w:rPr>
                <w:rFonts w:ascii="Arial" w:cs="Arial" w:eastAsia="Arial" w:hAnsi="Arial"/>
                <w:sz w:val="14"/>
                <w:szCs w:val="14"/>
                <w:b w:val="1"/>
                <w:bCs w:val="1"/>
                <w:color w:val="auto"/>
                <w:w w:val="99"/>
              </w:rPr>
              <w:t>Pension Protection Zone Status</w:t>
            </w:r>
            <w:r>
              <w:rPr>
                <w:rFonts w:ascii="Arial" w:cs="Arial" w:eastAsia="Arial" w:hAnsi="Arial"/>
                <w:sz w:val="8"/>
                <w:szCs w:val="8"/>
                <w:b w:val="1"/>
                <w:bCs w:val="1"/>
                <w:color w:val="auto"/>
                <w:w w:val="99"/>
              </w:rPr>
              <w:t>(b)</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6"/>
              </w:rPr>
              <w:t>Funding Improvement</w:t>
            </w:r>
          </w:p>
        </w:tc>
        <w:tc>
          <w:tcPr>
            <w:tcW w:w="1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Expiration Date of</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4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or</w:t>
            </w:r>
          </w:p>
        </w:tc>
        <w:tc>
          <w:tcPr>
            <w:tcW w:w="13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4"/>
              </w:rPr>
              <w:t>Employer Surcharge</w:t>
            </w:r>
          </w:p>
        </w:tc>
        <w:tc>
          <w:tcPr>
            <w:tcW w:w="14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7"/>
              </w:rPr>
              <w:t>Collective-Bargaining</w:t>
            </w:r>
          </w:p>
        </w:tc>
        <w:tc>
          <w:tcPr>
            <w:tcW w:w="0" w:type="dxa"/>
            <w:vAlign w:val="bottom"/>
          </w:tcPr>
          <w:p>
            <w:pPr>
              <w:spacing w:after="0"/>
              <w:rPr>
                <w:sz w:val="1"/>
                <w:szCs w:val="1"/>
                <w:color w:val="auto"/>
              </w:rPr>
            </w:pPr>
          </w:p>
        </w:tc>
      </w:tr>
      <w:tr>
        <w:trPr>
          <w:trHeight w:val="200"/>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Pension Fund</w:t>
            </w:r>
            <w:r>
              <w:rPr>
                <w:rFonts w:ascii="Arial" w:cs="Arial" w:eastAsia="Arial" w:hAnsi="Arial"/>
                <w:sz w:val="8"/>
                <w:szCs w:val="8"/>
                <w:b w:val="1"/>
                <w:bCs w:val="1"/>
                <w:color w:val="auto"/>
              </w:rPr>
              <w:t>(a)</w:t>
            </w:r>
          </w:p>
        </w:tc>
        <w:tc>
          <w:tcPr>
            <w:tcW w:w="16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EIN Number</w:t>
            </w: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Rehabilitation Plan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Imposed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Central States, Southeast and</w:t>
            </w:r>
          </w:p>
        </w:tc>
        <w:tc>
          <w:tcPr>
            <w:tcW w:w="16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Critical and</w:t>
            </w:r>
          </w:p>
        </w:tc>
        <w:tc>
          <w:tcPr>
            <w:tcW w:w="1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Southwest Areas Pension Fund</w:t>
            </w:r>
          </w:p>
        </w:tc>
        <w:tc>
          <w:tcPr>
            <w:tcW w:w="1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36-6044243</w:t>
            </w:r>
          </w:p>
        </w:tc>
        <w:tc>
          <w:tcPr>
            <w:tcW w:w="1480" w:type="dxa"/>
            <w:vAlign w:val="bottom"/>
            <w:shd w:val="clear" w:color="auto" w:fill="CCEEFF"/>
          </w:tcPr>
          <w:p>
            <w:pPr>
              <w:jc w:val="right"/>
              <w:ind w:right="214"/>
              <w:spacing w:after="0" w:line="257" w:lineRule="exact"/>
              <w:rPr>
                <w:sz w:val="20"/>
                <w:szCs w:val="20"/>
                <w:color w:val="auto"/>
              </w:rPr>
            </w:pPr>
            <w:r>
              <w:rPr>
                <w:rFonts w:ascii="Arial" w:cs="Arial" w:eastAsia="Arial" w:hAnsi="Arial"/>
                <w:sz w:val="18"/>
                <w:szCs w:val="18"/>
                <w:color w:val="auto"/>
              </w:rPr>
              <w:t>Declining</w:t>
            </w:r>
            <w:r>
              <w:rPr>
                <w:rFonts w:ascii="Arial" w:cs="Arial" w:eastAsia="Arial" w:hAnsi="Arial"/>
                <w:sz w:val="25"/>
                <w:szCs w:val="25"/>
                <w:color w:val="auto"/>
                <w:vertAlign w:val="superscript"/>
              </w:rPr>
              <w:t>(d)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Critical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60" w:type="dxa"/>
            <w:vAlign w:val="bottom"/>
          </w:tcPr>
          <w:p>
            <w:pPr>
              <w:ind w:left="40"/>
              <w:spacing w:after="0"/>
              <w:rPr>
                <w:sz w:val="20"/>
                <w:szCs w:val="20"/>
                <w:color w:val="auto"/>
              </w:rPr>
            </w:pPr>
            <w:r>
              <w:rPr>
                <w:rFonts w:ascii="Arial" w:cs="Arial" w:eastAsia="Arial" w:hAnsi="Arial"/>
                <w:sz w:val="18"/>
                <w:szCs w:val="18"/>
                <w:color w:val="auto"/>
                <w:w w:val="99"/>
              </w:rPr>
              <w:t>Teamsters National 401(k) Savings</w:t>
            </w:r>
          </w:p>
        </w:tc>
        <w:tc>
          <w:tcPr>
            <w:tcW w:w="1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tcPr>
          <w:p>
            <w:pPr>
              <w:ind w:left="40"/>
              <w:spacing w:after="0" w:line="257" w:lineRule="exact"/>
              <w:rPr>
                <w:sz w:val="20"/>
                <w:szCs w:val="20"/>
                <w:color w:val="auto"/>
              </w:rPr>
            </w:pPr>
            <w:r>
              <w:rPr>
                <w:rFonts w:ascii="Arial" w:cs="Arial" w:eastAsia="Arial" w:hAnsi="Arial"/>
                <w:sz w:val="18"/>
                <w:szCs w:val="18"/>
                <w:color w:val="auto"/>
              </w:rPr>
              <w:t>Plan</w:t>
            </w:r>
            <w:r>
              <w:rPr>
                <w:rFonts w:ascii="Arial" w:cs="Arial" w:eastAsia="Arial" w:hAnsi="Arial"/>
                <w:sz w:val="25"/>
                <w:szCs w:val="25"/>
                <w:color w:val="auto"/>
                <w:vertAlign w:val="superscript"/>
              </w:rPr>
              <w:t>(c)</w:t>
            </w:r>
          </w:p>
        </w:tc>
        <w:tc>
          <w:tcPr>
            <w:tcW w:w="1660" w:type="dxa"/>
            <w:vAlign w:val="bottom"/>
          </w:tcPr>
          <w:p>
            <w:pPr>
              <w:jc w:val="right"/>
              <w:ind w:right="113"/>
              <w:spacing w:after="0"/>
              <w:rPr>
                <w:sz w:val="20"/>
                <w:szCs w:val="20"/>
                <w:color w:val="auto"/>
              </w:rPr>
            </w:pPr>
            <w:r>
              <w:rPr>
                <w:rFonts w:ascii="Arial" w:cs="Arial" w:eastAsia="Arial" w:hAnsi="Arial"/>
                <w:sz w:val="18"/>
                <w:szCs w:val="18"/>
                <w:color w:val="auto"/>
              </w:rPr>
              <w:t>52-1967784</w:t>
            </w:r>
          </w:p>
        </w:tc>
        <w:tc>
          <w:tcPr>
            <w:tcW w:w="1480" w:type="dxa"/>
            <w:vAlign w:val="bottom"/>
          </w:tcPr>
          <w:p>
            <w:pPr>
              <w:jc w:val="right"/>
              <w:ind w:right="214"/>
              <w:spacing w:after="0"/>
              <w:rPr>
                <w:sz w:val="20"/>
                <w:szCs w:val="20"/>
                <w:color w:val="auto"/>
              </w:rPr>
            </w:pPr>
            <w:r>
              <w:rPr>
                <w:rFonts w:ascii="Arial" w:cs="Arial" w:eastAsia="Arial" w:hAnsi="Arial"/>
                <w:sz w:val="18"/>
                <w:szCs w:val="18"/>
                <w:color w:val="auto"/>
              </w:rPr>
              <w:t>N/A</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I.B. of T. Union Local No 710</w:t>
            </w:r>
          </w:p>
        </w:tc>
        <w:tc>
          <w:tcPr>
            <w:tcW w:w="16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Fund</w:t>
            </w:r>
          </w:p>
        </w:tc>
        <w:tc>
          <w:tcPr>
            <w:tcW w:w="16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36-2377656</w:t>
            </w:r>
          </w:p>
        </w:tc>
        <w:tc>
          <w:tcPr>
            <w:tcW w:w="14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Green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Green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60" w:type="dxa"/>
            <w:vAlign w:val="bottom"/>
          </w:tcPr>
          <w:p>
            <w:pPr>
              <w:ind w:left="40"/>
              <w:spacing w:after="0"/>
              <w:rPr>
                <w:sz w:val="20"/>
                <w:szCs w:val="20"/>
                <w:color w:val="auto"/>
              </w:rPr>
            </w:pPr>
            <w:r>
              <w:rPr>
                <w:rFonts w:ascii="Arial" w:cs="Arial" w:eastAsia="Arial" w:hAnsi="Arial"/>
                <w:sz w:val="18"/>
                <w:szCs w:val="18"/>
                <w:color w:val="auto"/>
              </w:rPr>
              <w:t>Central Pennsylvania Teamsters</w:t>
            </w:r>
          </w:p>
        </w:tc>
        <w:tc>
          <w:tcPr>
            <w:tcW w:w="1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0"/>
              <w:spacing w:after="0"/>
              <w:rPr>
                <w:sz w:val="20"/>
                <w:szCs w:val="20"/>
                <w:color w:val="auto"/>
              </w:rPr>
            </w:pPr>
            <w:r>
              <w:rPr>
                <w:rFonts w:ascii="Arial" w:cs="Arial" w:eastAsia="Arial" w:hAnsi="Arial"/>
                <w:sz w:val="18"/>
                <w:szCs w:val="18"/>
                <w:color w:val="auto"/>
              </w:rPr>
              <w:t>Defined Benefit Plan</w:t>
            </w:r>
          </w:p>
        </w:tc>
        <w:tc>
          <w:tcPr>
            <w:tcW w:w="1660" w:type="dxa"/>
            <w:vAlign w:val="bottom"/>
          </w:tcPr>
          <w:p>
            <w:pPr>
              <w:jc w:val="right"/>
              <w:ind w:right="113"/>
              <w:spacing w:after="0"/>
              <w:rPr>
                <w:sz w:val="20"/>
                <w:szCs w:val="20"/>
                <w:color w:val="auto"/>
              </w:rPr>
            </w:pPr>
            <w:r>
              <w:rPr>
                <w:rFonts w:ascii="Arial" w:cs="Arial" w:eastAsia="Arial" w:hAnsi="Arial"/>
                <w:sz w:val="18"/>
                <w:szCs w:val="18"/>
                <w:color w:val="auto"/>
              </w:rPr>
              <w:t>23-6262789</w:t>
            </w:r>
          </w:p>
        </w:tc>
        <w:tc>
          <w:tcPr>
            <w:tcW w:w="1480" w:type="dxa"/>
            <w:vAlign w:val="bottom"/>
          </w:tcPr>
          <w:p>
            <w:pPr>
              <w:jc w:val="right"/>
              <w:ind w:right="214"/>
              <w:spacing w:after="0"/>
              <w:rPr>
                <w:sz w:val="20"/>
                <w:szCs w:val="20"/>
                <w:color w:val="auto"/>
              </w:rPr>
            </w:pPr>
            <w:r>
              <w:rPr>
                <w:rFonts w:ascii="Arial" w:cs="Arial" w:eastAsia="Arial" w:hAnsi="Arial"/>
                <w:sz w:val="18"/>
                <w:szCs w:val="18"/>
                <w:color w:val="auto"/>
              </w:rPr>
              <w:t>Green</w:t>
            </w:r>
          </w:p>
        </w:tc>
        <w:tc>
          <w:tcPr>
            <w:tcW w:w="1120" w:type="dxa"/>
            <w:vAlign w:val="bottom"/>
          </w:tcPr>
          <w:p>
            <w:pPr>
              <w:jc w:val="right"/>
              <w:spacing w:after="0"/>
              <w:rPr>
                <w:sz w:val="20"/>
                <w:szCs w:val="20"/>
                <w:color w:val="auto"/>
              </w:rPr>
            </w:pPr>
            <w:r>
              <w:rPr>
                <w:rFonts w:ascii="Arial" w:cs="Arial" w:eastAsia="Arial" w:hAnsi="Arial"/>
                <w:sz w:val="18"/>
                <w:szCs w:val="18"/>
                <w:color w:val="auto"/>
              </w:rPr>
              <w:t>Green</w:t>
            </w:r>
          </w:p>
        </w:tc>
        <w:tc>
          <w:tcPr>
            <w:tcW w:w="1480" w:type="dxa"/>
            <w:vAlign w:val="bottom"/>
          </w:tcPr>
          <w:p>
            <w:pPr>
              <w:jc w:val="right"/>
              <w:spacing w:after="0"/>
              <w:rPr>
                <w:sz w:val="20"/>
                <w:szCs w:val="20"/>
                <w:color w:val="auto"/>
              </w:rPr>
            </w:pPr>
            <w:r>
              <w:rPr>
                <w:rFonts w:ascii="Arial" w:cs="Arial" w:eastAsia="Arial" w:hAnsi="Arial"/>
                <w:sz w:val="18"/>
                <w:szCs w:val="18"/>
                <w:color w:val="auto"/>
              </w:rPr>
              <w:t>No</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Road Carriers Local 707 Pension</w:t>
            </w:r>
          </w:p>
        </w:tc>
        <w:tc>
          <w:tcPr>
            <w:tcW w:w="16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Critical and</w:t>
            </w:r>
          </w:p>
        </w:tc>
        <w:tc>
          <w:tcPr>
            <w:tcW w:w="1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Fund</w:t>
            </w:r>
          </w:p>
        </w:tc>
        <w:tc>
          <w:tcPr>
            <w:tcW w:w="1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51-6106510</w:t>
            </w:r>
          </w:p>
        </w:tc>
        <w:tc>
          <w:tcPr>
            <w:tcW w:w="1480" w:type="dxa"/>
            <w:vAlign w:val="bottom"/>
            <w:shd w:val="clear" w:color="auto" w:fill="CCEEFF"/>
          </w:tcPr>
          <w:p>
            <w:pPr>
              <w:jc w:val="right"/>
              <w:ind w:right="214"/>
              <w:spacing w:after="0" w:line="257" w:lineRule="exact"/>
              <w:rPr>
                <w:sz w:val="20"/>
                <w:szCs w:val="20"/>
                <w:color w:val="auto"/>
              </w:rPr>
            </w:pPr>
            <w:r>
              <w:rPr>
                <w:rFonts w:ascii="Arial" w:cs="Arial" w:eastAsia="Arial" w:hAnsi="Arial"/>
                <w:sz w:val="18"/>
                <w:szCs w:val="18"/>
                <w:color w:val="auto"/>
              </w:rPr>
              <w:t>Declining</w:t>
            </w:r>
            <w:r>
              <w:rPr>
                <w:rFonts w:ascii="Arial" w:cs="Arial" w:eastAsia="Arial" w:hAnsi="Arial"/>
                <w:sz w:val="25"/>
                <w:szCs w:val="25"/>
                <w:color w:val="auto"/>
                <w:vertAlign w:val="superscript"/>
              </w:rPr>
              <w:t>(d)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Critical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w w:val="98"/>
              </w:rPr>
              <w:t>Teamsters Local 641 Pension Fund</w:t>
            </w:r>
          </w:p>
        </w:tc>
        <w:tc>
          <w:tcPr>
            <w:tcW w:w="1660" w:type="dxa"/>
            <w:vAlign w:val="bottom"/>
          </w:tcPr>
          <w:p>
            <w:pPr>
              <w:jc w:val="right"/>
              <w:ind w:right="113"/>
              <w:spacing w:after="0"/>
              <w:rPr>
                <w:sz w:val="20"/>
                <w:szCs w:val="20"/>
                <w:color w:val="auto"/>
              </w:rPr>
            </w:pPr>
            <w:r>
              <w:rPr>
                <w:rFonts w:ascii="Arial" w:cs="Arial" w:eastAsia="Arial" w:hAnsi="Arial"/>
                <w:sz w:val="18"/>
                <w:szCs w:val="18"/>
                <w:color w:val="auto"/>
              </w:rPr>
              <w:t>22-6220288</w:t>
            </w:r>
          </w:p>
        </w:tc>
        <w:tc>
          <w:tcPr>
            <w:tcW w:w="1480" w:type="dxa"/>
            <w:vAlign w:val="bottom"/>
          </w:tcPr>
          <w:p>
            <w:pPr>
              <w:jc w:val="right"/>
              <w:ind w:right="214"/>
              <w:spacing w:after="0"/>
              <w:rPr>
                <w:sz w:val="20"/>
                <w:szCs w:val="20"/>
                <w:color w:val="auto"/>
              </w:rPr>
            </w:pPr>
            <w:r>
              <w:rPr>
                <w:rFonts w:ascii="Arial" w:cs="Arial" w:eastAsia="Arial" w:hAnsi="Arial"/>
                <w:sz w:val="18"/>
                <w:szCs w:val="18"/>
                <w:color w:val="auto"/>
              </w:rPr>
              <w:t>Critical</w:t>
            </w:r>
          </w:p>
        </w:tc>
        <w:tc>
          <w:tcPr>
            <w:tcW w:w="1120" w:type="dxa"/>
            <w:vAlign w:val="bottom"/>
          </w:tcPr>
          <w:p>
            <w:pPr>
              <w:jc w:val="right"/>
              <w:spacing w:after="0"/>
              <w:rPr>
                <w:sz w:val="20"/>
                <w:szCs w:val="20"/>
                <w:color w:val="auto"/>
              </w:rPr>
            </w:pPr>
            <w:r>
              <w:rPr>
                <w:rFonts w:ascii="Arial" w:cs="Arial" w:eastAsia="Arial" w:hAnsi="Arial"/>
                <w:sz w:val="18"/>
                <w:szCs w:val="18"/>
                <w:color w:val="auto"/>
              </w:rPr>
              <w:t>Critical</w:t>
            </w:r>
          </w:p>
        </w:tc>
        <w:tc>
          <w:tcPr>
            <w:tcW w:w="1480" w:type="dxa"/>
            <w:vAlign w:val="bottom"/>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bl>
    <w:p>
      <w:pPr>
        <w:ind w:left="260" w:hanging="238"/>
        <w:spacing w:after="0" w:line="181" w:lineRule="auto"/>
        <w:tabs>
          <w:tab w:leader="none" w:pos="260" w:val="left"/>
        </w:tabs>
        <w:numPr>
          <w:ilvl w:val="0"/>
          <w:numId w:val="52"/>
        </w:numPr>
        <w:rPr>
          <w:rFonts w:ascii="Arial" w:cs="Arial" w:eastAsia="Arial" w:hAnsi="Arial"/>
          <w:sz w:val="25"/>
          <w:szCs w:val="25"/>
          <w:color w:val="auto"/>
          <w:vertAlign w:val="superscript"/>
        </w:rPr>
      </w:pPr>
      <w:r>
        <w:rPr>
          <w:rFonts w:ascii="Arial" w:cs="Arial" w:eastAsia="Arial" w:hAnsi="Arial"/>
          <w:sz w:val="14"/>
          <w:szCs w:val="14"/>
          <w:color w:val="auto"/>
        </w:rPr>
        <w:t>The determination of individually significant multi-employer plans is based on the relative contributions to the plans over the periods presented as well as other factors.</w:t>
      </w:r>
    </w:p>
    <w:p>
      <w:pPr>
        <w:spacing w:after="0" w:line="22" w:lineRule="exact"/>
        <w:rPr>
          <w:sz w:val="20"/>
          <w:szCs w:val="20"/>
          <w:color w:val="auto"/>
        </w:rPr>
      </w:pPr>
    </w:p>
    <w:p>
      <w:pPr>
        <w:jc w:val="both"/>
        <w:ind w:left="180" w:hanging="148"/>
        <w:spacing w:after="0" w:line="249" w:lineRule="auto"/>
        <w:rPr>
          <w:sz w:val="20"/>
          <w:szCs w:val="20"/>
          <w:color w:val="auto"/>
        </w:rPr>
      </w:pPr>
      <w:r>
        <w:rPr>
          <w:rFonts w:ascii="Arial" w:cs="Arial" w:eastAsia="Arial" w:hAnsi="Arial"/>
          <w:sz w:val="25"/>
          <w:szCs w:val="25"/>
          <w:color w:val="auto"/>
          <w:vertAlign w:val="superscript"/>
        </w:rPr>
        <w:t>(b)</w:t>
      </w:r>
      <w:r>
        <w:rPr>
          <w:rFonts w:ascii="Arial" w:cs="Arial" w:eastAsia="Arial" w:hAnsi="Arial"/>
          <w:sz w:val="14"/>
          <w:szCs w:val="14"/>
          <w:color w:val="auto"/>
        </w:rPr>
        <w:t>The Pension Protection Zone Status is based on information that the Company obtained from the plans’ Forms 5500. Unless otherwise noted, the most recent Pension Protection Act (PPA) zone status available for 2015 and 2014 is for the plan’s year-end during calendar years 2014 and 2013, respectively. Among other factors, plans in the red zone are generally less than 65 percent funded, plans in the yellow zone are less than 80 percent funded, and plans in the green zone are at least 80 percent funded.</w:t>
      </w:r>
    </w:p>
    <w:p>
      <w:pPr>
        <w:spacing w:after="0" w:line="28" w:lineRule="exact"/>
        <w:rPr>
          <w:sz w:val="20"/>
          <w:szCs w:val="20"/>
          <w:color w:val="auto"/>
        </w:rPr>
      </w:pPr>
    </w:p>
    <w:p>
      <w:pPr>
        <w:ind w:left="180" w:hanging="158"/>
        <w:spacing w:after="0" w:line="267" w:lineRule="auto"/>
        <w:tabs>
          <w:tab w:leader="none" w:pos="180" w:val="left"/>
        </w:tabs>
        <w:numPr>
          <w:ilvl w:val="0"/>
          <w:numId w:val="53"/>
        </w:numPr>
        <w:rPr>
          <w:rFonts w:ascii="Arial" w:cs="Arial" w:eastAsia="Arial" w:hAnsi="Arial"/>
          <w:sz w:val="20"/>
          <w:szCs w:val="20"/>
          <w:color w:val="auto"/>
          <w:vertAlign w:val="superscript"/>
        </w:rPr>
      </w:pPr>
      <w:r>
        <w:rPr>
          <w:rFonts w:ascii="Arial" w:cs="Arial" w:eastAsia="Arial" w:hAnsi="Arial"/>
          <w:sz w:val="12"/>
          <w:szCs w:val="12"/>
          <w:color w:val="auto"/>
        </w:rPr>
        <w:t>The policies of the Western Conference of Teamsters Pension Trust precluded the Company from reentering the plan on June 1, 2011. The plan did not assess a withdrawal liability and has not done so since June 1, 2011. Contributions related to the employees previously covered by this plan are now being made to the Teamsters National 401(k) Plan.</w:t>
      </w:r>
    </w:p>
    <w:p>
      <w:pPr>
        <w:ind w:left="240" w:hanging="218"/>
        <w:spacing w:after="0" w:line="180" w:lineRule="auto"/>
        <w:tabs>
          <w:tab w:leader="none" w:pos="240" w:val="left"/>
        </w:tabs>
        <w:numPr>
          <w:ilvl w:val="0"/>
          <w:numId w:val="53"/>
        </w:numPr>
        <w:rPr>
          <w:rFonts w:ascii="Arial" w:cs="Arial" w:eastAsia="Arial" w:hAnsi="Arial"/>
          <w:sz w:val="25"/>
          <w:szCs w:val="25"/>
          <w:color w:val="auto"/>
          <w:vertAlign w:val="superscript"/>
        </w:rPr>
      </w:pPr>
      <w:r>
        <w:rPr>
          <w:rFonts w:ascii="Arial" w:cs="Arial" w:eastAsia="Arial" w:hAnsi="Arial"/>
          <w:sz w:val="14"/>
          <w:szCs w:val="14"/>
          <w:color w:val="auto"/>
        </w:rPr>
        <w:t>In 2015, we received notice from these funds that they are now in Critical and Declining status.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Worldwide was listed in the Central States, Southeast and Southwest Areas Pension Plan, Road Carriers Local 707 Pension Fund, Central Pennsylvania Teamsters Defined Benefit Plan and Teamsters Local 641 Pension Fund’s Forms 5500 as providing more than 5 percent of the total contributions for 2014 and 2013.</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contributed a total of $89.4 million, $91.6 million and $88.7 million to the multi-employer pension funds for the years ended December 31, 2015, 2014 and 2013. The following table provides the pension amounts contributed by fund for those funds that are considered to be individually significant: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States, Southeast and Southwest Areas Pension Plan</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Teamsters National 401(k) Savings Plan</w:t>
            </w:r>
          </w:p>
        </w:tc>
        <w:tc>
          <w:tcPr>
            <w:tcW w:w="2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11.2</w:t>
            </w:r>
          </w:p>
        </w:tc>
      </w:tr>
      <w:tr>
        <w:trPr>
          <w:trHeight w:val="27"/>
        </w:trPr>
        <w:tc>
          <w:tcPr>
            <w:tcW w:w="5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 of T. Union Local No 710 Pension Fund</w:t>
            </w:r>
          </w:p>
        </w:tc>
        <w:tc>
          <w:tcPr>
            <w:tcW w:w="2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Central Pennsylvania Teamsters Defined Benefit Plan</w:t>
            </w:r>
          </w:p>
        </w:tc>
        <w:tc>
          <w:tcPr>
            <w:tcW w:w="2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5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Road Carriers Local 707 Pension Fund</w:t>
            </w:r>
          </w:p>
        </w:tc>
        <w:tc>
          <w:tcPr>
            <w:tcW w:w="2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Teamsters Local 641 Pension Fund</w:t>
            </w:r>
          </w:p>
        </w:tc>
        <w:tc>
          <w:tcPr>
            <w:tcW w:w="2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702"/>
        </w:trPr>
        <w:tc>
          <w:tcPr>
            <w:tcW w:w="5000" w:type="dxa"/>
            <w:vAlign w:val="bottom"/>
          </w:tcPr>
          <w:p>
            <w:pPr>
              <w:spacing w:after="0"/>
              <w:rPr>
                <w:sz w:val="24"/>
                <w:szCs w:val="24"/>
                <w:color w:val="auto"/>
              </w:rPr>
            </w:pPr>
          </w:p>
        </w:tc>
        <w:tc>
          <w:tcPr>
            <w:tcW w:w="2440" w:type="dxa"/>
            <w:vAlign w:val="bottom"/>
          </w:tcPr>
          <w:p>
            <w:pPr>
              <w:jc w:val="right"/>
              <w:ind w:right="1550"/>
              <w:spacing w:after="0"/>
              <w:rPr>
                <w:sz w:val="20"/>
                <w:szCs w:val="20"/>
                <w:color w:val="auto"/>
              </w:rPr>
            </w:pPr>
            <w:r>
              <w:rPr>
                <w:rFonts w:ascii="Arial" w:cs="Arial" w:eastAsia="Arial" w:hAnsi="Arial"/>
                <w:sz w:val="18"/>
                <w:szCs w:val="18"/>
                <w:color w:val="auto"/>
              </w:rPr>
              <w:t>65</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30" w:right="239" w:bottom="1440" w:gutter="0" w:footer="0" w:header="0"/>
        </w:sectPr>
      </w:pPr>
    </w:p>
    <w:bookmarkStart w:id="65" w:name="page66"/>
    <w:bookmarkEnd w:id="65"/>
    <w:p>
      <w:pPr>
        <w:jc w:val="both"/>
        <w:spacing w:after="0" w:line="264" w:lineRule="auto"/>
        <w:rPr>
          <w:sz w:val="20"/>
          <w:szCs w:val="20"/>
          <w:color w:val="auto"/>
        </w:rPr>
      </w:pPr>
      <w:r>
        <w:rPr>
          <w:rFonts w:ascii="Arial" w:cs="Arial" w:eastAsia="Arial" w:hAnsi="Arial"/>
          <w:sz w:val="18"/>
          <w:szCs w:val="18"/>
          <w:color w:val="auto"/>
        </w:rPr>
        <w:t>In 2006, the Pension Protection Act became law and modified both the Code as it applies to multi-employer pension plans and the Employment Retirement Income Security Act of 1974 (as amended, “ERISA”). The Code and ERISA (in each case, as so modified) and related regulations establish minimum funding requirements for multi-employer pension plans.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MPRA became law which modified the ability to suspend accrued benefits of plans facing insolvency by adding a new zone status of Critical and Declining.</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any of our multi-employer pension plans fails to meet minimum funding requirements, meet a required funding improvement or rehabilitation plan that the Pension Protection Act may require for certain of our underfunded plans, obtain from the IRS certain changes to or a waiver of the requirements in how the applicable plan calculates its funding levels, or reduce pension benefits to a level where the requirements are met then we could be required to make additional contributions to the pension plan. If any of our multi-employer pension plans enters critical status or worse and our contributions are not sufficient to satisfy any rehabilitation plan schedule, the Pension Protection Act could require us to make additional surcharge contributions to the multi-employer pension plan in the amount of five to ten percent of the existing contributions required by our labor agreement for the remaining term of the labor agreement.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the Central States, Southeast and Southwest Pension Plan filed an application under MPRA with the Department of Treasury requesting the approval of a benefit suspension plan. The plan will have to be evaluated and approved by the Department of Treasury in concert with Department of Labor and Pension Benefit Guaranty Corporation (“PBGC”) before being submitted to a vote of participants. If ultimately approved, the plan would require future employer contribution increases to the plan.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 The Company does not believe that the temporary cessation of certain of its contributions to applicable multi-employer pension funds beginning in the third quarter of 2009 and continuing through May 2011 will give rise to these excise taxes as the underlying employer contributions were not required for that period.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requirement to materially increase contributions beyond our contractually agreed rate or the imposition of an excise tax on us could have a material adverse impact on the financial results and liquidity of YRC Worldwide.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Savings Plans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sponsor the YRC Worldwide Inc. 401(k) Plan and the Reddaway Hourly 401(k) Plan, which are defined contribution plans primarily for employees that our collective bargaining agreements do not cover. The plans permit participants to make contributions to the plans and permit the employer of participants to make contributions on behalf of the participants. Additionally, the Reddaway Hourly 401(k) Plan allows for a non-elective employer contribution. Including non-elective employer contributions, there were total employer contributions of $4.7 million in 2015, $2.1 million in 2014 and no employer contributions in 2013. Our employees covered under collective bargaining agreements may also participate in union-sponsored 401(k)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Incentive Awards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provide annual performance incentive awards and more frequent sales incentive awards to certain non-union employees, which are based primarily on actual operating results achieved compared to targeted operating results or sales targets and are paid in cash. Operating income in 2015, 2014 and 2013 included performance and sales incentive expense for non-union employees of $13.2 million, $13.9 million and $8.2 million, respectively. We generally pay annual performance incentive awards in the first quarter of the following year and sales performance incentive awards on a monthly basis.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provide short-term performance based cash compensation to key management personnel. During the years ended December 31, 2015, 2014 and 2013, compensation expense related to these awards was $14.1 million, $2.9 million and $6.3 million, respectively. Refer to the “Stock Compensation Plans” footnote for an overview of long-term performance based equity compensation, and related compensation expense, associated with such awards.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Additionally, operating income in 2015 included a profit sharing bonus for eligible union employees at the Regional Transportation segment of $5.5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such bonus was paid for the years ended December 31, 2014 or 2013.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30" w:right="239"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6.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December 31, 2015 and December 31, 2014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2015 (in millions)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Discount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Book</w:t>
            </w:r>
          </w:p>
        </w:tc>
        <w:tc>
          <w:tcPr>
            <w:tcW w:w="120" w:type="dxa"/>
            <w:vAlign w:val="bottom"/>
          </w:tcPr>
          <w:p>
            <w:pPr>
              <w:spacing w:after="0"/>
              <w:rPr>
                <w:sz w:val="14"/>
                <w:szCs w:val="14"/>
                <w:color w:val="auto"/>
              </w:rPr>
            </w:pPr>
          </w:p>
        </w:tc>
        <w:tc>
          <w:tcPr>
            <w:tcW w:w="1220" w:type="dxa"/>
            <w:vAlign w:val="bottom"/>
          </w:tcPr>
          <w:p>
            <w:pPr>
              <w:jc w:val="right"/>
              <w:ind w:right="342"/>
              <w:spacing w:after="0"/>
              <w:rPr>
                <w:sz w:val="20"/>
                <w:szCs w:val="20"/>
                <w:color w:val="auto"/>
              </w:rPr>
            </w:pPr>
            <w:r>
              <w:rPr>
                <w:rFonts w:ascii="Arial" w:cs="Arial" w:eastAsia="Arial" w:hAnsi="Arial"/>
                <w:sz w:val="14"/>
                <w:szCs w:val="14"/>
                <w:b w:val="1"/>
                <w:bCs w:val="1"/>
                <w:color w:val="auto"/>
              </w:rPr>
              <w:t>Stated</w:t>
            </w:r>
          </w:p>
        </w:tc>
        <w:tc>
          <w:tcPr>
            <w:tcW w:w="3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Interest Rate</w:t>
            </w:r>
          </w:p>
        </w:tc>
        <w:tc>
          <w:tcPr>
            <w:tcW w:w="3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4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22"/>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13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3.3-18.3%</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3.3-18.3%</w:t>
            </w: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10.0-18.2%</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1,081.9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4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2014 (in millions)</w:t>
            </w:r>
          </w:p>
        </w:tc>
        <w:tc>
          <w:tcPr>
            <w:tcW w:w="220" w:type="dxa"/>
            <w:vAlign w:val="bottom"/>
          </w:tcPr>
          <w:p>
            <w:pPr>
              <w:spacing w:after="0"/>
              <w:rPr>
                <w:sz w:val="24"/>
                <w:szCs w:val="24"/>
                <w:color w:val="auto"/>
              </w:rPr>
            </w:pPr>
          </w:p>
        </w:tc>
        <w:tc>
          <w:tcPr>
            <w:tcW w:w="11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Premium/</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Book</w:t>
            </w:r>
          </w:p>
        </w:tc>
        <w:tc>
          <w:tcPr>
            <w:tcW w:w="120" w:type="dxa"/>
            <w:vAlign w:val="bottom"/>
          </w:tcPr>
          <w:p>
            <w:pPr>
              <w:spacing w:after="0"/>
              <w:rPr>
                <w:sz w:val="24"/>
                <w:szCs w:val="24"/>
                <w:color w:val="auto"/>
              </w:rPr>
            </w:pPr>
          </w:p>
        </w:tc>
        <w:tc>
          <w:tcPr>
            <w:tcW w:w="1220" w:type="dxa"/>
            <w:vAlign w:val="bottom"/>
          </w:tcPr>
          <w:p>
            <w:pPr>
              <w:jc w:val="right"/>
              <w:ind w:right="402"/>
              <w:spacing w:after="0"/>
              <w:rPr>
                <w:sz w:val="20"/>
                <w:szCs w:val="20"/>
                <w:color w:val="auto"/>
              </w:rPr>
            </w:pPr>
            <w:r>
              <w:rPr>
                <w:rFonts w:ascii="Arial" w:cs="Arial" w:eastAsia="Arial" w:hAnsi="Arial"/>
                <w:sz w:val="14"/>
                <w:szCs w:val="14"/>
                <w:b w:val="1"/>
                <w:bCs w:val="1"/>
                <w:color w:val="auto"/>
              </w:rPr>
              <w:t>Stated</w:t>
            </w:r>
          </w:p>
        </w:tc>
        <w:tc>
          <w:tcPr>
            <w:tcW w:w="3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(Discount)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20" w:type="dxa"/>
            <w:vAlign w:val="bottom"/>
          </w:tcPr>
          <w:p>
            <w:pPr>
              <w:jc w:val="right"/>
              <w:ind w:right="202"/>
              <w:spacing w:after="0"/>
              <w:rPr>
                <w:sz w:val="20"/>
                <w:szCs w:val="20"/>
                <w:color w:val="auto"/>
              </w:rPr>
            </w:pPr>
            <w:r>
              <w:rPr>
                <w:rFonts w:ascii="Arial" w:cs="Arial" w:eastAsia="Arial" w:hAnsi="Arial"/>
                <w:sz w:val="14"/>
                <w:szCs w:val="14"/>
                <w:b w:val="1"/>
                <w:bCs w:val="1"/>
                <w:color w:val="auto"/>
              </w:rPr>
              <w:t>Interest Rate</w:t>
            </w:r>
          </w:p>
        </w:tc>
        <w:tc>
          <w:tcPr>
            <w:tcW w:w="3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693.0</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22"/>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Secured Second A&amp;R CDA</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3.3-18.3%</w:t>
            </w: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Second A&amp;R CDA</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3.3-18.3%</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10.0-18.2%</w:t>
            </w: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1,116.2</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Current maturities of Series B Notes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340" w:hanging="332"/>
        <w:spacing w:after="0" w:line="273"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Variable interest rate of 1, 3 or 6-month LIBOR, with a floor of 1.0% plus a fixed margin of 7.0% if the total leverage ratio is equal to or less than 3.25 to 1.00, or 7.25% if the total leverage ratio is higher than 3.25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-228600</wp:posOffset>
            </wp:positionV>
            <wp:extent cx="25298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we had two primary credit facilities that we utilized to support our liquidity needs: a $700 million term loan facility and a $450 million ABL Facility. The ABL Facility is used to support our outstanding letters of credit commitments. We have set forth a brief description of our two primary credit facilities and our other financing arrangements in place at December 31, 2015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$700 Million First Lien Term Loan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13, 2014, we entered into and borrowed in full a $700 million term loan credit agreement (the “Term Loan Agreement”), less a 1% discount, from a syndicate of banks and other financial institutions arranged by Credit Suisse Securities (USA) and RBS Citizens, N.A. No amounts under this Term Loan, once repaid, may be reborrowed. On September 25, 2014, the Company entered into Amendment No. 1 to its Term Loan Agreement, which amended the Term Loan to, among other things, adjust the maximum permitted total leverage ratio through December 31, 2016 and increase the applicable interest rate (subject to the exceptions discussed below) over the same period. Certain material provisions of the Term Loan are summarized below:</w:t>
      </w:r>
    </w:p>
    <w:p>
      <w:pPr>
        <w:spacing w:after="0" w:line="158" w:lineRule="exact"/>
        <w:rPr>
          <w:sz w:val="20"/>
          <w:szCs w:val="20"/>
          <w:color w:val="auto"/>
        </w:rPr>
      </w:pPr>
    </w:p>
    <w:p>
      <w:pPr>
        <w:ind w:right="20" w:firstLine="8"/>
        <w:spacing w:after="0" w:line="277" w:lineRule="auto"/>
        <w:tabs>
          <w:tab w:leader="none" w:pos="118"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Maturity and Amortization</w:t>
      </w:r>
      <w:r>
        <w:rPr>
          <w:rFonts w:ascii="Arial" w:cs="Arial" w:eastAsia="Arial" w:hAnsi="Arial"/>
          <w:sz w:val="18"/>
          <w:szCs w:val="18"/>
          <w:color w:val="auto"/>
        </w:rPr>
        <w:t>: The Term Loan matures on February 13, 2019. The Term Loan will amortize in equal quarterly installments in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amount equal to 1% of the original principal amount of the Term Loan.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22" w:right="239" w:bottom="1440" w:gutter="0" w:footer="0" w:header="0"/>
        </w:sectPr>
      </w:pPr>
    </w:p>
    <w:bookmarkStart w:id="67" w:name="page68"/>
    <w:bookmarkEnd w:id="67"/>
    <w:p>
      <w:pPr>
        <w:jc w:val="both"/>
        <w:ind w:firstLine="8"/>
        <w:spacing w:after="0" w:line="276" w:lineRule="auto"/>
        <w:tabs>
          <w:tab w:leader="none" w:pos="105"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Incremental</w:t>
      </w:r>
      <w:r>
        <w:rPr>
          <w:rFonts w:ascii="Arial" w:cs="Arial" w:eastAsia="Arial" w:hAnsi="Arial"/>
          <w:sz w:val="17"/>
          <w:szCs w:val="17"/>
          <w:color w:val="auto"/>
        </w:rPr>
        <w:t>: Subject to finding current or new lenders willing to provide such commitments, the Company has the right to incur one or more increases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 Loan and/or one or more new tranches of term loans (which may be unsecured or secured on a junior basis) to be made available under the Term Loan Agreement which shall not exceed (i) $250 million so long as the senior secured leverage ratio on a pro forma basis (defined as consolidated total debt that is secured by a lien as of such date over Consolidated EBITDA as of the twelve months ended the most recent fiscal quarter end for which financial statements are available) does not exceed 3.25 to 1.0, plus (ii) all voluntary prepayments of the Term Loan.</w:t>
      </w:r>
    </w:p>
    <w:p>
      <w:pPr>
        <w:spacing w:after="0" w:line="172" w:lineRule="exact"/>
        <w:rPr>
          <w:rFonts w:ascii="Arial" w:cs="Arial" w:eastAsia="Arial" w:hAnsi="Arial"/>
          <w:sz w:val="17"/>
          <w:szCs w:val="17"/>
          <w:color w:val="auto"/>
        </w:rPr>
      </w:pPr>
    </w:p>
    <w:p>
      <w:pPr>
        <w:jc w:val="both"/>
        <w:ind w:firstLine="8"/>
        <w:spacing w:after="0" w:line="259" w:lineRule="auto"/>
        <w:tabs>
          <w:tab w:leader="none" w:pos="10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Interest and Fees</w:t>
      </w:r>
      <w:r>
        <w:rPr>
          <w:rFonts w:ascii="Arial" w:cs="Arial" w:eastAsia="Arial" w:hAnsi="Arial"/>
          <w:sz w:val="18"/>
          <w:szCs w:val="18"/>
          <w:color w:val="auto"/>
        </w:rPr>
        <w:t>: The Term Loan bears interest, at the election of the borrower, at either the applicable London interbank offer rate (“LIBOR”) (subject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floor of 1.00%) plus a margin of 7.25% per annum, or a rate determined by reference to the alternate base rate (the greater of the prime rate established by the administrative agent, the federal fund rate plus 0.50% and one month, LIBOR plus 1.00%) plus a margin of 6.25%; provided that such margins will step down by 0.25% when the Company meets a total leverage ratio of equal or less than 3.25 to 1.00.</w:t>
      </w:r>
    </w:p>
    <w:p>
      <w:pPr>
        <w:spacing w:after="0" w:line="186" w:lineRule="exact"/>
        <w:rPr>
          <w:rFonts w:ascii="Arial" w:cs="Arial" w:eastAsia="Arial" w:hAnsi="Arial"/>
          <w:sz w:val="18"/>
          <w:szCs w:val="18"/>
          <w:color w:val="auto"/>
        </w:rPr>
      </w:pPr>
    </w:p>
    <w:p>
      <w:pPr>
        <w:ind w:firstLine="8"/>
        <w:spacing w:after="0" w:line="277" w:lineRule="auto"/>
        <w:tabs>
          <w:tab w:leader="none" w:pos="10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Guarantors</w:t>
      </w:r>
      <w:r>
        <w:rPr>
          <w:rFonts w:ascii="Arial" w:cs="Arial" w:eastAsia="Arial" w:hAnsi="Arial"/>
          <w:sz w:val="18"/>
          <w:szCs w:val="18"/>
          <w:color w:val="auto"/>
        </w:rPr>
        <w:t>: The obligations of the borrower under the Term Loan are unconditionally guaranteed by certain wholly owned domestic restricted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(the “Term Guarantors”).</w:t>
      </w:r>
    </w:p>
    <w:p>
      <w:pPr>
        <w:spacing w:after="0" w:line="170" w:lineRule="exact"/>
        <w:rPr>
          <w:rFonts w:ascii="Arial" w:cs="Arial" w:eastAsia="Arial" w:hAnsi="Arial"/>
          <w:sz w:val="18"/>
          <w:szCs w:val="18"/>
          <w:color w:val="auto"/>
        </w:rPr>
      </w:pPr>
    </w:p>
    <w:p>
      <w:pPr>
        <w:jc w:val="both"/>
        <w:ind w:firstLine="8"/>
        <w:spacing w:after="0" w:line="279" w:lineRule="auto"/>
        <w:tabs>
          <w:tab w:leader="none" w:pos="105"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Collateral</w:t>
      </w:r>
      <w:r>
        <w:rPr>
          <w:rFonts w:ascii="Arial" w:cs="Arial" w:eastAsia="Arial" w:hAnsi="Arial"/>
          <w:sz w:val="17"/>
          <w:szCs w:val="17"/>
          <w:color w:val="auto"/>
        </w:rPr>
        <w:t>: The Term Loan is secured by a perfected first priority security interest in (subject to permitted liens) substantially all assets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guarantors under the Term Loan (the “Term Guarantors”), except that accounts receivable, cash, deposit accounts and other assets related to accounts receivable are subject to a second priority interest (subject to permitted liens) and certain owned real property securing the obligations under the Second A&amp;R CDA filed January 31, 2014, do not secure the obligations under the Term Loan Agreement (the “CDA Collateral”).</w:t>
      </w:r>
    </w:p>
    <w:p>
      <w:pPr>
        <w:spacing w:after="0" w:line="171" w:lineRule="exact"/>
        <w:rPr>
          <w:rFonts w:ascii="Arial" w:cs="Arial" w:eastAsia="Arial" w:hAnsi="Arial"/>
          <w:sz w:val="17"/>
          <w:szCs w:val="17"/>
          <w:color w:val="auto"/>
        </w:rPr>
      </w:pPr>
    </w:p>
    <w:p>
      <w:pPr>
        <w:ind w:left="120" w:hanging="112"/>
        <w:spacing w:after="0"/>
        <w:tabs>
          <w:tab w:leader="none" w:pos="1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Mandatory Prepayments</w:t>
      </w:r>
      <w:r>
        <w:rPr>
          <w:rFonts w:ascii="Arial" w:cs="Arial" w:eastAsia="Arial" w:hAnsi="Arial"/>
          <w:sz w:val="18"/>
          <w:szCs w:val="18"/>
          <w:color w:val="auto"/>
        </w:rPr>
        <w:t>: The Term Loan includes the following mandatory prepayments: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75% of excess cash flow (as defined in the Term Loan and paid if permitted under the ABL Facility), subject to step downs to (w) 50% if the total leverage ratio is less than or equal to 4.00 to 1.00 but greater than 3.50 to 1.00, to (x) 25% if the total leverage ratio is less than or equal to 3.50 to 1.00 but greater than 3.00 to 1.00 and (y) 0% if the total leverage ratio is less than or equal to 3.00 to 1.00.</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100% of the net cash proceeds of all asset sales or similar dispositions outside of the ordinary course of business, casualty events and other limited exceptions under the Term Loan (subject to materiality thresholds and customary reinvestment rights); and</w:t>
      </w:r>
    </w:p>
    <w:p>
      <w:pPr>
        <w:ind w:left="660" w:hanging="328"/>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100% of cash proceeds from debt issuances that are not permitted by the Term Loan.</w:t>
      </w:r>
    </w:p>
    <w:p>
      <w:pPr>
        <w:spacing w:after="0" w:line="210" w:lineRule="exact"/>
        <w:rPr>
          <w:rFonts w:ascii="Arial" w:cs="Arial" w:eastAsia="Arial" w:hAnsi="Arial"/>
          <w:sz w:val="18"/>
          <w:szCs w:val="18"/>
          <w:color w:val="auto"/>
        </w:rPr>
      </w:pPr>
    </w:p>
    <w:p>
      <w:pPr>
        <w:jc w:val="both"/>
        <w:ind w:firstLine="8"/>
        <w:spacing w:after="0" w:line="302" w:lineRule="auto"/>
        <w:tabs>
          <w:tab w:leader="none" w:pos="10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Events of Default</w:t>
      </w:r>
      <w:r>
        <w:rPr>
          <w:rFonts w:ascii="Arial" w:cs="Arial" w:eastAsia="Arial" w:hAnsi="Arial"/>
          <w:sz w:val="16"/>
          <w:szCs w:val="16"/>
          <w:color w:val="auto"/>
        </w:rPr>
        <w:t>: The Term Loan Agreement contains certain customary events of default, including but not limited to the failure to make payments due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Term Loan, breach of and failure to cure the breach of certain covenants, the entry of a final unpaid judgment against any of the Term Guarantors in excess of $30 million, the commencement of certain insolvency proceedings, liquidations or dissolutions, a cross-default to certain other indebtedness with an outstanding aggregate principal balance of at least $30 million (other than the ABL Facility), and cross-acceleration to the ABL Facility.</w:t>
      </w:r>
    </w:p>
    <w:p>
      <w:pPr>
        <w:spacing w:after="0" w:line="154" w:lineRule="exact"/>
        <w:rPr>
          <w:rFonts w:ascii="Arial" w:cs="Arial" w:eastAsia="Arial" w:hAnsi="Arial"/>
          <w:sz w:val="16"/>
          <w:szCs w:val="16"/>
          <w:color w:val="auto"/>
        </w:rPr>
      </w:pPr>
    </w:p>
    <w:p>
      <w:pPr>
        <w:jc w:val="both"/>
        <w:ind w:firstLine="8"/>
        <w:spacing w:after="0" w:line="312" w:lineRule="auto"/>
        <w:tabs>
          <w:tab w:leader="none" w:pos="118"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Covenants</w:t>
      </w:r>
      <w:r>
        <w:rPr>
          <w:rFonts w:ascii="Arial" w:cs="Arial" w:eastAsia="Arial" w:hAnsi="Arial"/>
          <w:sz w:val="16"/>
          <w:szCs w:val="16"/>
          <w:color w:val="auto"/>
        </w:rPr>
        <w:t>: The Term Loan Agreement contains certain customary affirmative and negative covenants, including, among others, covenants restricting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incurrences of debt, liens, the making of investments and repurchases, transactions with affiliates, fundamental changes and asset sales, and prepayments of junior debt. In addition, refer to the “Credit Facility Covenants” section below for financial covenants for each of the remaining test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$450 Million ABL Facility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13, 2014, we entered into our $450 million ABL Facility from a syndicate of banks arranged by RBS Citizens, N.A., Merrill Lynch, Pierce, Fenner &amp; Smith and CIT Finance LLC. The ABL Facility terminates on February 13, 2019. YRC Worldwide, YRC Freight, Reddaway, Holland and New Penn are borrowers under the ABL Facility, and certain of the Company’s domestic subsidiaries are guarantors thereunder. Certain material provisions of the ABL Facility are summarized below and are qualified in their entirety by reference to the definitive documentation:</w:t>
      </w:r>
    </w:p>
    <w:p>
      <w:pPr>
        <w:spacing w:after="0" w:line="171" w:lineRule="exact"/>
        <w:rPr>
          <w:sz w:val="20"/>
          <w:szCs w:val="20"/>
          <w:color w:val="auto"/>
        </w:rPr>
      </w:pPr>
    </w:p>
    <w:p>
      <w:pPr>
        <w:jc w:val="both"/>
        <w:ind w:firstLine="8"/>
        <w:spacing w:after="0" w:line="273" w:lineRule="auto"/>
        <w:tabs>
          <w:tab w:leader="none" w:pos="118"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Availability</w:t>
      </w:r>
      <w:r>
        <w:rPr>
          <w:rFonts w:ascii="Arial" w:cs="Arial" w:eastAsia="Arial" w:hAnsi="Arial"/>
          <w:sz w:val="17"/>
          <w:szCs w:val="17"/>
          <w:color w:val="auto"/>
        </w:rPr>
        <w:t>: The aggregate amount available under the ABL Facility cannot be more than (a) the collateral line cap minus (b) the facility exposure. The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exposure refers to the aggregate amount of loans and letter of credit outstanding (with an exclusion for certain fees and other amounts owing for letters of credit). The collateral line cap refers to a limit equal to the greater of (a) the commitments by lenders under the facility and (b) the borrowing base. The borrowing base equals the sum of (a) 85% of the sum of (i) Eligible Accounts (as defined in the ABL Facility) minus without duplication (ii) the Dilution Reserve (as defined in the ABL Facility relating to reserves for eligible accounts experiencing bad debt write-downs, discounts, allowances and similar dilutive items), plus (b) 100% of Eligible Borrowing Base Cash (as defined in the ABL Facility which constitutes 85% of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46" w:right="239" w:bottom="1440" w:gutter="0" w:footer="0" w:header="0"/>
        </w:sectPr>
      </w:pPr>
    </w:p>
    <w:bookmarkStart w:id="68" w:name="page69"/>
    <w:bookmarkEnd w:id="68"/>
    <w:p>
      <w:pPr>
        <w:jc w:val="both"/>
        <w:spacing w:after="0" w:line="312" w:lineRule="auto"/>
        <w:rPr>
          <w:sz w:val="20"/>
          <w:szCs w:val="20"/>
          <w:color w:val="auto"/>
        </w:rPr>
      </w:pPr>
      <w:r>
        <w:rPr>
          <w:rFonts w:ascii="Arial" w:cs="Arial" w:eastAsia="Arial" w:hAnsi="Arial"/>
          <w:sz w:val="16"/>
          <w:szCs w:val="16"/>
          <w:color w:val="auto"/>
        </w:rPr>
        <w:t>“deferred revenue liability” as reflected on the balance sheet of the Company and its restricted subsidiaries as of the last day of the most recently completed fiscal month), minus (d) the Availability Reserve (as defined in the ABL Facility) imposed by the agent in its permitted discretion (made in good-faith and using reasonable business judgment) to reduce the amount of the borrowing base in light of predetermined criteria set forth in the ABL Facility.</w:t>
      </w:r>
    </w:p>
    <w:p>
      <w:pPr>
        <w:spacing w:after="0" w:line="147" w:lineRule="exact"/>
        <w:rPr>
          <w:sz w:val="20"/>
          <w:szCs w:val="20"/>
          <w:color w:val="auto"/>
        </w:rPr>
      </w:pPr>
    </w:p>
    <w:p>
      <w:pPr>
        <w:jc w:val="both"/>
        <w:ind w:firstLine="8"/>
        <w:spacing w:after="0" w:line="302" w:lineRule="auto"/>
        <w:tabs>
          <w:tab w:leader="none" w:pos="132"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Eligible Borrowing Base Cash</w:t>
      </w:r>
      <w:r>
        <w:rPr>
          <w:rFonts w:ascii="Arial" w:cs="Arial" w:eastAsia="Arial" w:hAnsi="Arial"/>
          <w:sz w:val="16"/>
          <w:szCs w:val="16"/>
          <w:color w:val="auto"/>
        </w:rPr>
        <w:t>: The eligible borrowing base cash is cash that is deposited from time to time into a segregated restricted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maintained at the agent over which the agent has dominion. Such cash can only be withdrawn by us from the account if (i) no event of default exists or would arise as a result of the borrowing base cash release and (ii) availability as of the proposed date of such borrowing base cash release is not less than 15% of the collateral line cap. Eligible borrowing base cash is included in “Restricted amounts held in escrow” in the accompanying consolidated balance sheet.</w:t>
      </w:r>
    </w:p>
    <w:p>
      <w:pPr>
        <w:spacing w:after="0" w:line="154" w:lineRule="exact"/>
        <w:rPr>
          <w:rFonts w:ascii="Arial" w:cs="Arial" w:eastAsia="Arial" w:hAnsi="Arial"/>
          <w:sz w:val="16"/>
          <w:szCs w:val="16"/>
          <w:color w:val="auto"/>
        </w:rPr>
      </w:pPr>
    </w:p>
    <w:p>
      <w:pPr>
        <w:jc w:val="both"/>
        <w:ind w:firstLine="8"/>
        <w:spacing w:after="0" w:line="286" w:lineRule="auto"/>
        <w:tabs>
          <w:tab w:leader="none" w:pos="105"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Revolving loans made under the ABL Facility bear interest, at the Company’s election, of either the applicable LIBOR rate plus 2.5% or the base</w:t>
      </w:r>
      <w:r>
        <w:rPr>
          <w:rFonts w:ascii="Arial" w:cs="Arial" w:eastAsia="Arial" w:hAnsi="Arial"/>
          <w:sz w:val="17"/>
          <w:szCs w:val="17"/>
          <w:i w:val="1"/>
          <w:iCs w:val="1"/>
          <w:color w:val="auto"/>
        </w:rPr>
        <w:t xml:space="preserve"> </w:t>
      </w:r>
      <w:r>
        <w:rPr>
          <w:rFonts w:ascii="Arial" w:cs="Arial" w:eastAsia="Arial" w:hAnsi="Arial"/>
          <w:sz w:val="17"/>
          <w:szCs w:val="17"/>
          <w:color w:val="auto"/>
        </w:rPr>
        <w:t>rate (the greater of the prime rate established by the agent, the federal funds effective rate plus 0.50% and one month LIBOR plus 1.00%). Thereafter, the interest rates will be subject to the following price grid based on the average quarterly excess availability under the revolver:</w:t>
      </w:r>
    </w:p>
    <w:p>
      <w:pPr>
        <w:spacing w:after="0" w:line="32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Average Quarterly</w:t>
            </w: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Base Rate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rPr>
              <w:t>LIBOR</w:t>
            </w:r>
          </w:p>
        </w:tc>
        <w:tc>
          <w:tcPr>
            <w:tcW w:w="0" w:type="dxa"/>
            <w:vAlign w:val="bottom"/>
          </w:tcPr>
          <w:p>
            <w:pPr>
              <w:spacing w:after="0"/>
              <w:rPr>
                <w:sz w:val="1"/>
                <w:szCs w:val="1"/>
                <w:color w:val="auto"/>
              </w:rPr>
            </w:pPr>
          </w:p>
        </w:tc>
      </w:tr>
      <w:tr>
        <w:trPr>
          <w:trHeight w:val="270"/>
        </w:trPr>
        <w:tc>
          <w:tcPr>
            <w:tcW w:w="198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Level</w:t>
            </w: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Excess Capacity</w:t>
            </w: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Plus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4"/>
              </w:rPr>
              <w:t>Plus</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jc w:val="center"/>
              <w:ind w:left="150"/>
              <w:spacing w:after="0" w:line="196" w:lineRule="exact"/>
              <w:rPr>
                <w:sz w:val="20"/>
                <w:szCs w:val="20"/>
                <w:color w:val="auto"/>
              </w:rPr>
            </w:pPr>
            <w:r>
              <w:rPr>
                <w:rFonts w:ascii="Arial" w:cs="Arial" w:eastAsia="Arial" w:hAnsi="Arial"/>
                <w:sz w:val="18"/>
                <w:szCs w:val="18"/>
                <w:color w:val="auto"/>
              </w:rPr>
              <w:t>I</w:t>
            </w:r>
          </w:p>
        </w:tc>
        <w:tc>
          <w:tcPr>
            <w:tcW w:w="2640" w:type="dxa"/>
            <w:vAlign w:val="bottom"/>
            <w:gridSpan w:val="4"/>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&gt; $140,000,000</w:t>
            </w:r>
          </w:p>
        </w:tc>
        <w:tc>
          <w:tcPr>
            <w:tcW w:w="210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0"/>
              </w:rPr>
              <w:t>1.00%</w:t>
            </w:r>
          </w:p>
        </w:tc>
        <w:tc>
          <w:tcPr>
            <w:tcW w:w="22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2.00%</w:t>
            </w:r>
          </w:p>
        </w:tc>
        <w:tc>
          <w:tcPr>
            <w:tcW w:w="0" w:type="dxa"/>
            <w:vAlign w:val="bottom"/>
          </w:tcPr>
          <w:p>
            <w:pPr>
              <w:spacing w:after="0"/>
              <w:rPr>
                <w:sz w:val="1"/>
                <w:szCs w:val="1"/>
                <w:color w:val="auto"/>
              </w:rPr>
            </w:pPr>
          </w:p>
        </w:tc>
      </w:tr>
      <w:tr>
        <w:trPr>
          <w:trHeight w:val="48"/>
        </w:trPr>
        <w:tc>
          <w:tcPr>
            <w:tcW w:w="19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80" w:type="dxa"/>
            <w:vAlign w:val="bottom"/>
            <w:vMerge w:val="restart"/>
          </w:tcPr>
          <w:p>
            <w:pPr>
              <w:jc w:val="center"/>
              <w:ind w:left="170"/>
              <w:spacing w:after="0"/>
              <w:rPr>
                <w:sz w:val="20"/>
                <w:szCs w:val="20"/>
                <w:color w:val="auto"/>
              </w:rPr>
            </w:pPr>
            <w:r>
              <w:rPr>
                <w:rFonts w:ascii="Arial" w:cs="Arial" w:eastAsia="Arial" w:hAnsi="Arial"/>
                <w:sz w:val="18"/>
                <w:szCs w:val="18"/>
                <w:color w:val="auto"/>
              </w:rPr>
              <w:t>II</w:t>
            </w:r>
          </w:p>
        </w:tc>
        <w:tc>
          <w:tcPr>
            <w:tcW w:w="800" w:type="dxa"/>
            <w:vAlign w:val="bottom"/>
          </w:tcPr>
          <w:p>
            <w:pPr>
              <w:spacing w:after="0"/>
              <w:rPr>
                <w:sz w:val="17"/>
                <w:szCs w:val="17"/>
                <w:color w:val="auto"/>
              </w:rPr>
            </w:pPr>
          </w:p>
        </w:tc>
        <w:tc>
          <w:tcPr>
            <w:tcW w:w="1840" w:type="dxa"/>
            <w:vAlign w:val="bottom"/>
            <w:gridSpan w:val="3"/>
          </w:tcPr>
          <w:p>
            <w:pPr>
              <w:jc w:val="center"/>
              <w:ind w:right="720"/>
              <w:spacing w:after="0" w:line="202" w:lineRule="exact"/>
              <w:rPr>
                <w:sz w:val="20"/>
                <w:szCs w:val="20"/>
                <w:color w:val="auto"/>
              </w:rPr>
            </w:pPr>
            <w:r>
              <w:rPr>
                <w:rFonts w:ascii="Arial" w:cs="Arial" w:eastAsia="Arial" w:hAnsi="Arial"/>
                <w:sz w:val="18"/>
                <w:szCs w:val="18"/>
                <w:color w:val="auto"/>
                <w:w w:val="93"/>
              </w:rPr>
              <w:t>&gt; $70,000,000</w:t>
            </w:r>
          </w:p>
        </w:tc>
        <w:tc>
          <w:tcPr>
            <w:tcW w:w="210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1.25%</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0"/>
              </w:rPr>
              <w:t>2.25%</w:t>
            </w: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80" w:type="dxa"/>
            <w:vAlign w:val="bottom"/>
            <w:vMerge w:val="continue"/>
          </w:tcPr>
          <w:p>
            <w:pPr>
              <w:spacing w:after="0"/>
              <w:rPr>
                <w:sz w:val="13"/>
                <w:szCs w:val="13"/>
                <w:color w:val="auto"/>
              </w:rPr>
            </w:pPr>
          </w:p>
        </w:tc>
        <w:tc>
          <w:tcPr>
            <w:tcW w:w="2640" w:type="dxa"/>
            <w:vAlign w:val="bottom"/>
            <w:gridSpan w:val="4"/>
            <w:vMerge w:val="restart"/>
          </w:tcPr>
          <w:p>
            <w:pPr>
              <w:jc w:val="center"/>
              <w:spacing w:after="0"/>
              <w:rPr>
                <w:sz w:val="20"/>
                <w:szCs w:val="20"/>
                <w:color w:val="auto"/>
              </w:rPr>
            </w:pPr>
            <w:r>
              <w:rPr>
                <w:rFonts w:ascii="Arial" w:cs="Arial" w:eastAsia="Arial" w:hAnsi="Arial"/>
                <w:sz w:val="18"/>
                <w:szCs w:val="18"/>
                <w:color w:val="auto"/>
                <w:w w:val="89"/>
              </w:rPr>
              <w:t>&lt; $140,000,000</w:t>
            </w:r>
          </w:p>
        </w:tc>
        <w:tc>
          <w:tcPr>
            <w:tcW w:w="210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2640" w:type="dxa"/>
            <w:vAlign w:val="bottom"/>
            <w:gridSpan w:val="4"/>
            <w:vMerge w:val="continue"/>
          </w:tcPr>
          <w:p>
            <w:pPr>
              <w:spacing w:after="0"/>
              <w:rPr>
                <w:sz w:val="11"/>
                <w:szCs w:val="11"/>
                <w:color w:val="auto"/>
              </w:rPr>
            </w:pPr>
          </w:p>
        </w:tc>
        <w:tc>
          <w:tcPr>
            <w:tcW w:w="2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III</w:t>
            </w:r>
          </w:p>
        </w:tc>
        <w:tc>
          <w:tcPr>
            <w:tcW w:w="26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&lt; $70,000,000</w:t>
            </w:r>
          </w:p>
        </w:tc>
        <w:tc>
          <w:tcPr>
            <w:tcW w:w="21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1.50%</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7"/>
        </w:trPr>
        <w:tc>
          <w:tcPr>
            <w:tcW w:w="19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rates set forth above are subject to a 0.25% reduction during any fiscal quarter for which the Company has a total leverage ratio of less than 2.50 to 1.00.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not drawn on the facility at any time during the agreement.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Fees</w:t>
      </w:r>
      <w:r>
        <w:rPr>
          <w:rFonts w:ascii="Arial" w:cs="Arial" w:eastAsia="Arial" w:hAnsi="Arial"/>
          <w:sz w:val="18"/>
          <w:szCs w:val="18"/>
          <w:color w:val="auto"/>
        </w:rPr>
        <w:t>: The ABL Facility has certain specific fees relating to letters of credit which include: (i) fees payable quarterly in arrears equal to the applicable margin in effect for revolving loans (which is listed in the “Interest” description immediately above) multiplied by the average daily stated amount of letters of credit (2.5% for the year ended December 31, 2015), (ii) fronting fees for letters of credit payable quarterly in arrears equal to 0.125% of the stated amount of the letters of credit and (iii) fees to issuing banks to compensate for customary charges related to the issuance and administration of letters of credit.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Fees</w:t>
      </w:r>
      <w:r>
        <w:rPr>
          <w:rFonts w:ascii="Arial" w:cs="Arial" w:eastAsia="Arial" w:hAnsi="Arial"/>
          <w:sz w:val="18"/>
          <w:szCs w:val="18"/>
          <w:color w:val="auto"/>
        </w:rPr>
        <w:t>: Other fees in respect of the ABL Facility include an unused line fee payable quarterly in arrears calculated by multiplying the amount by which the commitments exceed the loans and letters of credit for any calendar quarter by the unused line fee percentage (such unused line fee percentage initially to 0.25% per annum through March 31, 2014, and thereafter 0.375% per annum if the average revolver usage is less than 50% or 0.25% per annum if the average revolver usage is greater than 50%).</w:t>
      </w:r>
    </w:p>
    <w:p>
      <w:pPr>
        <w:spacing w:after="0" w:line="187" w:lineRule="exact"/>
        <w:rPr>
          <w:sz w:val="20"/>
          <w:szCs w:val="20"/>
          <w:color w:val="auto"/>
        </w:rPr>
      </w:pPr>
    </w:p>
    <w:p>
      <w:pPr>
        <w:jc w:val="both"/>
        <w:ind w:firstLine="8"/>
        <w:spacing w:after="0" w:line="286" w:lineRule="auto"/>
        <w:tabs>
          <w:tab w:leader="none" w:pos="118"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Collateral</w:t>
      </w:r>
      <w:r>
        <w:rPr>
          <w:rFonts w:ascii="Arial" w:cs="Arial" w:eastAsia="Arial" w:hAnsi="Arial"/>
          <w:sz w:val="17"/>
          <w:szCs w:val="17"/>
          <w:color w:val="auto"/>
        </w:rPr>
        <w:t>: The obligations under the ABL Facility are secured by a perfected first priority security interest in (subject to permitted liens) all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cash, deposit accounts and other assets related to accounts receivable of the Company and the other loan parties and an additional second priority security interest in (subject to permitted liens) substantially all remaining assets of the borrowers and the guarantors other than CDA Collateral.</w:t>
      </w:r>
    </w:p>
    <w:p>
      <w:pPr>
        <w:spacing w:after="0" w:line="165" w:lineRule="exact"/>
        <w:rPr>
          <w:rFonts w:ascii="Arial" w:cs="Arial" w:eastAsia="Arial" w:hAnsi="Arial"/>
          <w:sz w:val="17"/>
          <w:szCs w:val="17"/>
          <w:color w:val="auto"/>
        </w:rPr>
      </w:pPr>
    </w:p>
    <w:p>
      <w:pPr>
        <w:ind w:firstLine="8"/>
        <w:spacing w:after="0" w:line="277" w:lineRule="auto"/>
        <w:tabs>
          <w:tab w:leader="none" w:pos="10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Incremental</w:t>
      </w:r>
      <w:r>
        <w:rPr>
          <w:rFonts w:ascii="Arial" w:cs="Arial" w:eastAsia="Arial" w:hAnsi="Arial"/>
          <w:sz w:val="18"/>
          <w:szCs w:val="18"/>
          <w:color w:val="auto"/>
        </w:rPr>
        <w:t>: The Facility provides for a $100 million uncommitted accordion to increase the revolving commitment in the future to support borrowing base</w:t>
      </w:r>
      <w:r>
        <w:rPr>
          <w:rFonts w:ascii="Arial" w:cs="Arial" w:eastAsia="Arial" w:hAnsi="Arial"/>
          <w:sz w:val="18"/>
          <w:szCs w:val="18"/>
          <w:i w:val="1"/>
          <w:iCs w:val="1"/>
          <w:color w:val="auto"/>
        </w:rPr>
        <w:t xml:space="preserve"> </w:t>
      </w:r>
      <w:r>
        <w:rPr>
          <w:rFonts w:ascii="Arial" w:cs="Arial" w:eastAsia="Arial" w:hAnsi="Arial"/>
          <w:sz w:val="18"/>
          <w:szCs w:val="18"/>
          <w:color w:val="auto"/>
        </w:rPr>
        <w:t>growth.</w:t>
      </w:r>
    </w:p>
    <w:p>
      <w:pPr>
        <w:spacing w:after="0" w:line="170" w:lineRule="exact"/>
        <w:rPr>
          <w:rFonts w:ascii="Arial" w:cs="Arial" w:eastAsia="Arial" w:hAnsi="Arial"/>
          <w:sz w:val="18"/>
          <w:szCs w:val="18"/>
          <w:color w:val="auto"/>
        </w:rPr>
      </w:pPr>
    </w:p>
    <w:p>
      <w:pPr>
        <w:jc w:val="both"/>
        <w:ind w:firstLine="8"/>
        <w:spacing w:after="0" w:line="259" w:lineRule="auto"/>
        <w:tabs>
          <w:tab w:leader="none" w:pos="10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 The ABL Facility contains certain customary events of default, including but not limited to the failure to make payments due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ABL Facility, breach of and failure to cure the breach of certain covenants, the entry of a final unpaid judgment against any of the ABL Facility loan parties in excess of $30 million, the commencement of any insolvency proceeding, liquidation or dissolution, and a cross-default to certain other indebtedness with an outstanding aggregate principal balance of at least $30 million (including the Term Loan).</w:t>
      </w:r>
    </w:p>
    <w:p>
      <w:pPr>
        <w:spacing w:after="0" w:line="186" w:lineRule="exact"/>
        <w:rPr>
          <w:rFonts w:ascii="Arial" w:cs="Arial" w:eastAsia="Arial" w:hAnsi="Arial"/>
          <w:sz w:val="18"/>
          <w:szCs w:val="18"/>
          <w:color w:val="auto"/>
        </w:rPr>
      </w:pPr>
    </w:p>
    <w:p>
      <w:pPr>
        <w:jc w:val="both"/>
        <w:ind w:firstLine="8"/>
        <w:spacing w:after="0" w:line="257" w:lineRule="auto"/>
        <w:tabs>
          <w:tab w:leader="none" w:pos="10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Covenants</w:t>
      </w:r>
      <w:r>
        <w:rPr>
          <w:rFonts w:ascii="Arial" w:cs="Arial" w:eastAsia="Arial" w:hAnsi="Arial"/>
          <w:sz w:val="18"/>
          <w:szCs w:val="18"/>
          <w:color w:val="auto"/>
        </w:rPr>
        <w:t>: The ABL Facility contains certain customary affirmative and negative covenants (including certain customary provisions regarding borrowing</w:t>
      </w:r>
      <w:r>
        <w:rPr>
          <w:rFonts w:ascii="Arial" w:cs="Arial" w:eastAsia="Arial" w:hAnsi="Arial"/>
          <w:sz w:val="18"/>
          <w:szCs w:val="18"/>
          <w:i w:val="1"/>
          <w:iCs w:val="1"/>
          <w:color w:val="auto"/>
        </w:rPr>
        <w:t xml:space="preserve"> </w:t>
      </w:r>
      <w:r>
        <w:rPr>
          <w:rFonts w:ascii="Arial" w:cs="Arial" w:eastAsia="Arial" w:hAnsi="Arial"/>
          <w:sz w:val="18"/>
          <w:szCs w:val="18"/>
          <w:color w:val="auto"/>
        </w:rPr>
        <w:t>base reporting, and including, among others, covenants restricting the incurrences of debt, liens, the making of investments and repurchases, transactions with affiliates, fundamental changes and asset sales, and prepayments of junior debt). Certain of the covenants relating to investments, restricted payments and capital expenditures are relaxed upon meeting specified payment conditions or debt repayment conditions, as applicable. Payment conditions include (i) the absence of an event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30" w:right="239" w:bottom="1440" w:gutter="0" w:footer="0" w:header="0"/>
        </w:sectPr>
      </w:pPr>
    </w:p>
    <w:bookmarkStart w:id="69" w:name="page70"/>
    <w:bookmarkEnd w:id="69"/>
    <w:p>
      <w:pPr>
        <w:jc w:val="both"/>
        <w:spacing w:after="0" w:line="283" w:lineRule="auto"/>
        <w:rPr>
          <w:sz w:val="20"/>
          <w:szCs w:val="20"/>
          <w:color w:val="auto"/>
        </w:rPr>
      </w:pPr>
      <w:r>
        <w:rPr>
          <w:rFonts w:ascii="Arial" w:cs="Arial" w:eastAsia="Arial" w:hAnsi="Arial"/>
          <w:sz w:val="16"/>
          <w:szCs w:val="16"/>
          <w:color w:val="auto"/>
        </w:rPr>
        <w:t>of default arising from such transaction, (ii) liquidity of at least $100 million or availability of at least $67.5 million and (iii) the Consolidated Fixed Charge Coverage Ratio for the most recent term period on a pro forma basis is equal to or greater than 1.10 to 1.00). Debt repayment conditions include (i) the absence of an event of default from repaying such debt and (ii) availability on the date of repayment is not less than $67.5 million. During any period commencing when the ABL Facility borrowers fail to maintain availability in an amount at least equal to 10% of the collateral line cap and until the borrowers have maintained availability of at least 10% of the collateral line cap for 30 consecutive calendar days, the ABL Facility loan parties are required to maintain a Consolidated Fixed Charge Coverage Ratio of at least 1.10 to 1.00. The “Consolidated Fixed Charge Coverage Ratio” is defined as (a) (i) consolidated adjusted EBITDA for such period, minus (ii) capital expenditures made during such period, minus (iii) the aggregate amount of net cash taxes paid in cash during such period, minus (iv) the amount, if any, by which the cash pension contribution for such period exceeds the pension expense for such period, and plus (v) the amount, if any, by which the pension expense for such period exceeds the cash pension contribution for such period, divided by</w:t>
      </w:r>
    </w:p>
    <w:p>
      <w:pPr>
        <w:spacing w:after="0" w:line="7" w:lineRule="exact"/>
        <w:rPr>
          <w:sz w:val="20"/>
          <w:szCs w:val="20"/>
          <w:color w:val="auto"/>
        </w:rPr>
      </w:pPr>
    </w:p>
    <w:p>
      <w:pPr>
        <w:ind w:firstLine="8"/>
        <w:spacing w:after="0" w:line="261" w:lineRule="auto"/>
        <w:tabs>
          <w:tab w:leader="none" w:pos="2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consolidated fixed charges for such period. In addition, refer to the “Credit Facility Covenants” section of this footnote for covenants for each of the remaining test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Contribution Deferral Agreement</w:t>
      </w:r>
    </w:p>
    <w:p>
      <w:pPr>
        <w:spacing w:after="0" w:line="239" w:lineRule="exact"/>
        <w:rPr>
          <w:sz w:val="20"/>
          <w:szCs w:val="20"/>
          <w:color w:val="auto"/>
        </w:rPr>
      </w:pPr>
    </w:p>
    <w:p>
      <w:pPr>
        <w:jc w:val="both"/>
        <w:ind w:firstLine="8"/>
        <w:spacing w:after="0" w:line="287" w:lineRule="auto"/>
        <w:tabs>
          <w:tab w:leader="none" w:pos="145"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Certain of our subsidiaries are parties to the Amended and Restated Contribution Deferral Agreement (the “A&amp;R CDA”) with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multiemployer pension funds named therein (collectively, the “Funds”) pursuant to which we are permitted to continue to defer pension payments and deferred interest owed to such Funds as of July 22, 2011 (each, “Deferred Pension Payments” and “Deferred Interest”). The A&amp;R CDA was scheduled to mature on March 31, 2015 </w:t>
      </w:r>
      <w:r>
        <w:rPr>
          <w:rFonts w:ascii="Arial" w:cs="Arial" w:eastAsia="Arial" w:hAnsi="Arial"/>
          <w:sz w:val="18"/>
          <w:szCs w:val="18"/>
          <w:color w:val="auto"/>
        </w:rPr>
        <w:t>t</w:t>
      </w:r>
      <w:r>
        <w:rPr>
          <w:rFonts w:ascii="Arial" w:cs="Arial" w:eastAsia="Arial" w:hAnsi="Arial"/>
          <w:sz w:val="17"/>
          <w:szCs w:val="17"/>
          <w:color w:val="auto"/>
        </w:rPr>
        <w:t>hough the Company entered into the Second A&amp;R CDA on January 31, 2014, which extended the maturity to December 31, 2019. There is no mandatory amortization prior to that time. The Deferred Pension Payments and Deferred Interest (each as defined in the A&amp;R CDA) bears interest at a fixed rate, with respect to each Fund, per annum as set forth in its trust documentation as of February 28, 2011.</w:t>
      </w:r>
    </w:p>
    <w:p>
      <w:pPr>
        <w:spacing w:after="0" w:line="163" w:lineRule="exact"/>
        <w:rPr>
          <w:rFonts w:ascii="Arial" w:cs="Arial" w:eastAsia="Arial" w:hAnsi="Arial"/>
          <w:sz w:val="17"/>
          <w:szCs w:val="17"/>
          <w:color w:val="auto"/>
        </w:rPr>
      </w:pPr>
    </w:p>
    <w:p>
      <w:pPr>
        <w:jc w:val="both"/>
        <w:ind w:firstLine="8"/>
        <w:spacing w:after="0" w:line="259" w:lineRule="auto"/>
        <w:tabs>
          <w:tab w:leader="none" w:pos="118"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Application of Certain Payments</w:t>
      </w:r>
      <w:r>
        <w:rPr>
          <w:rFonts w:ascii="Arial" w:cs="Arial" w:eastAsia="Arial" w:hAnsi="Arial"/>
          <w:sz w:val="18"/>
          <w:szCs w:val="18"/>
          <w:color w:val="auto"/>
        </w:rPr>
        <w:t>: Pursuant to the terms of the collective bargaining agreement with the IBT, the Company’s subsidiaries began making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to the Funds for the month beginning June 1, 2011 at the rate of 25% of the contribution rate in effect on July 1, 2009. However, legislative changes to current law or other satisfactory action or arrangements are required to enable certain of the Funds (based on their funded status) to accept contributions at a reduced rate.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the re-entry arrangements between each Fund and the primary obligors, a Fund may require the primary obligors to make payments of obligations owed to such Fund under the A&amp;R CDA in lieu of payments required pursuant to the collective bargaining agreement with the IBT or make payments into an escrow arrangement, in each case in an amount equal to such Fund’s current monthly contribution amount.</w:t>
      </w:r>
    </w:p>
    <w:p>
      <w:pPr>
        <w:spacing w:after="0" w:line="166" w:lineRule="exact"/>
        <w:rPr>
          <w:sz w:val="20"/>
          <w:szCs w:val="20"/>
          <w:color w:val="auto"/>
        </w:rPr>
      </w:pPr>
    </w:p>
    <w:p>
      <w:pPr>
        <w:jc w:val="both"/>
        <w:ind w:firstLine="8"/>
        <w:spacing w:after="0" w:line="259" w:lineRule="auto"/>
        <w:tabs>
          <w:tab w:leader="none" w:pos="118"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Collateral</w:t>
      </w:r>
      <w:r>
        <w:rPr>
          <w:rFonts w:ascii="Arial" w:cs="Arial" w:eastAsia="Arial" w:hAnsi="Arial"/>
          <w:sz w:val="18"/>
          <w:szCs w:val="18"/>
          <w:color w:val="auto"/>
        </w:rPr>
        <w:t>: Under the A&amp;R CDA, the Funds maintain their first lien on existing first priority collateral. The Funds allowed the secured parties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 Notes and Series B Notes (as each are described below) a second lien behind the secured parties to the credit agreement on certain properties and the Funds had a third lien on such collateral. However, under the Second A&amp;R CDA, such third lien on certain properties was released on the collateral release date upon the occurrence of events specified therein.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Financing Transaction</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31, 2014, we issued 14,333,334 shares of our Common Stock and 583,334 shares of our Class A Preferred Stock pursuant to certain stock purchase agreements, dated as of December 22, 2013 (the “Stock Purchase Agreements”), for an aggregate $250.0 million in cash. We used the proceeds from these transactions to, among other things, (i) deposit with the trustee funds sufficient to repay our 6% Notes at their maturity on February 15, 2014 and (ii) repurchase approximately $90.9 million of our Series A Notes. In February 2014, the Company deposited approximately $89.6 million with the trustee to fund the redemption (including accrued interest), and thereby discharged the indenture governing the Series A Notes. The Company used the cash deposited with the trustee to redeem its Series A Notes on August 5, 2014.</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Also on January 31, 2014, certain holders of our Series B Notes exchanged their outstanding balances (including the make-whole premium and additional accrued interest through January 15, 2014) at a price of $15.00 per share, while certain other holders converted their Series B Notes in accordance with their terms. We also amended the indenture governing our Series B Notes to eliminate substantially all of the restrictive covenants, certain events of default and other related provisions contained in the indenture and to release and discharge the liens on the collateral securing the Series B Notes.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31, 2014, certain of our subsidiaries, various pension funds party thereto, and Wilmington Trust Company, as agent for such pension funds, entered into the Second A&amp;R CDA, which, among other things (i) amended and restated the A&amp;R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30" w:right="239" w:bottom="1440" w:gutter="0" w:footer="0" w:header="0"/>
        </w:sectPr>
      </w:pPr>
    </w:p>
    <w:bookmarkStart w:id="70" w:name="page71"/>
    <w:bookmarkEnd w:id="70"/>
    <w:p>
      <w:pPr>
        <w:jc w:val="both"/>
        <w:spacing w:after="0" w:line="264" w:lineRule="auto"/>
        <w:rPr>
          <w:sz w:val="20"/>
          <w:szCs w:val="20"/>
          <w:color w:val="auto"/>
        </w:rPr>
      </w:pPr>
      <w:r>
        <w:rPr>
          <w:rFonts w:ascii="Arial" w:cs="Arial" w:eastAsia="Arial" w:hAnsi="Arial"/>
          <w:sz w:val="18"/>
          <w:szCs w:val="18"/>
          <w:color w:val="auto"/>
        </w:rPr>
        <w:t>CDA, (ii) released the agent’s security interest in third priority collateral on the Collateral Release Date (as defined therein), (iii) limited the value of obligations secured by the collateral to the Secured Obligations (as defined therein) and (iv) extended the maturity of deferred pension payments and deferred interest from March 31, 2015 to December 31, 2019.</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13, 2014, we replaced our existing credit facilities with a new $450 million ABL Facility and a new $700 million Term Loan. The ABL Facility will be used to support our outstanding letters of credit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refer to transactions described above collectively as the “2014 Financing Transactions.” The table below summarizes the cash flow activity for the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Financing Transactions:</w:t>
      </w:r>
    </w:p>
    <w:p>
      <w:pPr>
        <w:spacing w:after="0" w:line="200" w:lineRule="exact"/>
        <w:rPr>
          <w:sz w:val="20"/>
          <w:szCs w:val="20"/>
          <w:color w:val="auto"/>
        </w:rPr>
      </w:pPr>
    </w:p>
    <w:p>
      <w:pPr>
        <w:spacing w:after="0" w:line="232"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4"/>
          <w:szCs w:val="14"/>
          <w:b w:val="1"/>
          <w:bCs w:val="1"/>
          <w:color w:val="auto"/>
        </w:rPr>
        <w:t>Cash Sources (in millions)</w:t>
      </w:r>
      <w:r>
        <w:rPr>
          <w:sz w:val="20"/>
          <w:szCs w:val="20"/>
          <w:color w:val="auto"/>
        </w:rPr>
        <w:tab/>
      </w:r>
      <w:r>
        <w:rPr>
          <w:rFonts w:ascii="Arial" w:cs="Arial" w:eastAsia="Arial" w:hAnsi="Arial"/>
          <w:sz w:val="12"/>
          <w:szCs w:val="12"/>
          <w:b w:val="1"/>
          <w:bCs w:val="1"/>
          <w:color w:val="auto"/>
        </w:rPr>
        <w:t>Cash Uses (in millions)</w:t>
      </w:r>
    </w:p>
    <w:p>
      <w:pPr>
        <w:sectPr>
          <w:pgSz w:w="11900" w:h="16838" w:orient="portrait"/>
          <w:cols w:equalWidth="0" w:num="1">
            <w:col w:w="11420"/>
          </w:cols>
          <w:pgMar w:left="240" w:top="530" w:right="239" w:bottom="1440" w:gutter="0" w:footer="0" w:header="0"/>
        </w:sectPr>
      </w:pPr>
    </w:p>
    <w:p>
      <w:pPr>
        <w:spacing w:after="0" w:line="25" w:lineRule="exact"/>
        <w:rPr>
          <w:sz w:val="20"/>
          <w:szCs w:val="20"/>
          <w:color w:val="auto"/>
        </w:rPr>
      </w:pPr>
    </w:p>
    <w:tbl>
      <w:tblPr>
        <w:tblLayout w:type="fixed"/>
        <w:tblInd w:w="440" w:type="dxa"/>
        <w:tblCellMar>
          <w:top w:w="0" w:type="dxa"/>
          <w:left w:w="0" w:type="dxa"/>
          <w:bottom w:w="0" w:type="dxa"/>
          <w:right w:w="0" w:type="dxa"/>
        </w:tblCellMar>
      </w:tblPr>
      <w:tr>
        <w:trPr>
          <w:trHeight w:val="256"/>
        </w:trPr>
        <w:tc>
          <w:tcPr>
            <w:tcW w:w="4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Proceeds from sale of common stock</w:t>
            </w: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215.0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w w:val="93"/>
              </w:rPr>
              <w:t>Cash proceeds from restricted amounts held in escrow -</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existing ABL facility</w:t>
            </w:r>
          </w:p>
        </w:tc>
        <w:tc>
          <w:tcPr>
            <w:tcW w:w="3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6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ABL Facility</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4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70"/>
        </w:trPr>
        <w:tc>
          <w:tcPr>
            <w:tcW w:w="4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-8255</wp:posOffset>
            </wp:positionV>
            <wp:extent cx="330200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00" cy="1803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sources</w:t>
            </w:r>
          </w:p>
        </w:tc>
        <w:tc>
          <w:tcPr>
            <w:tcW w:w="2460" w:type="dxa"/>
            <w:vAlign w:val="bottom"/>
          </w:tcPr>
          <w:p>
            <w:pPr>
              <w:jc w:val="right"/>
              <w:spacing w:after="0"/>
              <w:rPr>
                <w:sz w:val="20"/>
                <w:szCs w:val="20"/>
                <w:color w:val="auto"/>
              </w:rPr>
            </w:pPr>
            <w:r>
              <w:rPr>
                <w:rFonts w:ascii="Arial" w:cs="Arial" w:eastAsia="Arial" w:hAnsi="Arial"/>
                <w:sz w:val="18"/>
                <w:szCs w:val="18"/>
                <w:color w:val="auto"/>
              </w:rPr>
              <w:t>$   1,040.0</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Extinguish Prior ABL Facility (includes accrued interest)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w w:val="95"/>
              </w:rPr>
              <w:t>Extinguish Prior Term Loan (includes accrued interest)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299.7</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 6% Notes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w w:val="89"/>
              </w:rPr>
              <w:t>Repurchase Series A Notes (upon transaction closing and</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includes accrued interest)</w:t>
            </w:r>
          </w:p>
        </w:tc>
        <w:tc>
          <w:tcPr>
            <w:tcW w:w="2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Redeem Series A Notes (on August 5, 2014 and includes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Fees, Expenses and Original Issuance Discount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Restricted Cash to Balance Sheet</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Cash to Balance Sheet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4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 uses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327596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75965" cy="18034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5640" w:space="200"/>
            <w:col w:w="5580"/>
          </w:cols>
          <w:pgMar w:left="240" w:top="530" w:right="239" w:bottom="1440" w:gutter="0" w:footer="0" w:header="0"/>
          <w:type w:val="continuous"/>
        </w:sectPr>
      </w:pPr>
    </w:p>
    <w:p>
      <w:pPr>
        <w:ind w:left="660" w:hanging="328"/>
        <w:spacing w:after="0"/>
        <w:tabs>
          <w:tab w:leader="none" w:pos="6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Under the terms of the ABL Facility, this amount was classified as “restricted cash” in the consolidated balance sheet at the closing date of the ABL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non-cash activity for the 2014 Financing Transactions:</w:t>
      </w:r>
    </w:p>
    <w:p>
      <w:pPr>
        <w:spacing w:after="0" w:line="200" w:lineRule="exact"/>
        <w:rPr>
          <w:sz w:val="20"/>
          <w:szCs w:val="20"/>
          <w:color w:val="auto"/>
        </w:rPr>
      </w:pPr>
    </w:p>
    <w:p>
      <w:pPr>
        <w:spacing w:after="0" w:line="246" w:lineRule="exact"/>
        <w:rPr>
          <w:sz w:val="20"/>
          <w:szCs w:val="20"/>
          <w:color w:val="auto"/>
        </w:rPr>
      </w:pPr>
    </w:p>
    <w:p>
      <w:pPr>
        <w:ind w:left="1660"/>
        <w:spacing w:after="0"/>
        <w:tabs>
          <w:tab w:leader="none" w:pos="5980" w:val="left"/>
        </w:tabs>
        <w:rPr>
          <w:sz w:val="20"/>
          <w:szCs w:val="20"/>
          <w:color w:val="auto"/>
        </w:rPr>
      </w:pPr>
      <w:r>
        <w:rPr>
          <w:rFonts w:ascii="Arial" w:cs="Arial" w:eastAsia="Arial" w:hAnsi="Arial"/>
          <w:sz w:val="14"/>
          <w:szCs w:val="14"/>
          <w:b w:val="1"/>
          <w:bCs w:val="1"/>
          <w:color w:val="auto"/>
        </w:rPr>
        <w:t>Non-Cash Sources (in millions)</w:t>
      </w:r>
      <w:r>
        <w:rPr>
          <w:sz w:val="20"/>
          <w:szCs w:val="20"/>
          <w:color w:val="auto"/>
        </w:rPr>
        <w:tab/>
      </w:r>
      <w:r>
        <w:rPr>
          <w:rFonts w:ascii="Arial" w:cs="Arial" w:eastAsia="Arial" w:hAnsi="Arial"/>
          <w:sz w:val="12"/>
          <w:szCs w:val="12"/>
          <w:b w:val="1"/>
          <w:bCs w:val="1"/>
          <w:color w:val="auto"/>
        </w:rPr>
        <w:t>Non-Cash Uses (in millions)</w:t>
      </w:r>
    </w:p>
    <w:p>
      <w:pPr>
        <w:sectPr>
          <w:pgSz w:w="11900" w:h="16838" w:orient="portrait"/>
          <w:cols w:equalWidth="0" w:num="1">
            <w:col w:w="11420"/>
          </w:cols>
          <w:pgMar w:left="240" w:top="530" w:right="239" w:bottom="1440" w:gutter="0" w:footer="0" w:header="0"/>
          <w:type w:val="continuous"/>
        </w:sectPr>
      </w:pPr>
    </w:p>
    <w:p>
      <w:pPr>
        <w:spacing w:after="0" w:line="25"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3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459"/>
        </w:trPr>
        <w:tc>
          <w:tcPr>
            <w:tcW w:w="342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Exchange/conversion of Series B Notes to</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62"/>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7"/>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sources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w w:val="94"/>
              </w:rPr>
              <w:t>Exchange/conversion of Series B Notes to</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486"/>
        </w:trPr>
        <w:tc>
          <w:tcPr>
            <w:tcW w:w="32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Total uses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174.8</w:t>
            </w:r>
          </w:p>
        </w:tc>
      </w:tr>
    </w:tbl>
    <w:p>
      <w:pPr>
        <w:spacing w:after="0" w:line="200" w:lineRule="exact"/>
        <w:rPr>
          <w:sz w:val="20"/>
          <w:szCs w:val="20"/>
          <w:color w:val="auto"/>
        </w:rPr>
      </w:pPr>
    </w:p>
    <w:p>
      <w:pPr>
        <w:sectPr>
          <w:pgSz w:w="11900" w:h="16838" w:orient="portrait"/>
          <w:cols w:equalWidth="0" w:num="2">
            <w:col w:w="5780" w:space="180"/>
            <w:col w:w="5460"/>
          </w:cols>
          <w:pgMar w:left="240" w:top="530" w:right="239" w:bottom="1440" w:gutter="0" w:footer="0" w:header="0"/>
          <w:type w:val="continuous"/>
        </w:sectPr>
      </w:pPr>
    </w:p>
    <w:p>
      <w:pPr>
        <w:spacing w:after="0" w:line="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accounted for the A&amp;R CDA maturity extension as a debt modification and the remaining transactions as extinguishment of debt and issuance of new debt. We recorded a gain on extinguishment of debt of $11.2 million associated with this transaction during the year ended December 31, 2014, $16.3 million of which related to the acceleration of net premiums on our old debt, partially offset by $5.1 million of additional expense related to the fair value of the incremental shares provided to those Series B Note holders who exchanged their outstanding balances at a price of $15.00 per share. We recorded, in “interest expense” on the statements of consolidated comprehensive income (loss), $8.0 million of make-whole interest related to the Series B Notes exchanged during the year ended December 31, 2014. We paid $43.8 million of fees associated with these transactions of which $26.7 million was recorded as unamortized deferred debt costs in “other assets” in the consolidated balance sheet and will be recognized as interest expense over the term of the Term Loan and ABL Facility and $17.1 million offset the equity proceeds of our stock purchase agreements.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30" w:right="239" w:bottom="1440" w:gutter="0" w:footer="0" w:header="0"/>
          <w:type w:val="continuous"/>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t>On March 14, 2014, the Company held a special meeting of stockholders at which our stockholders approved amending our Certificate of Incorporation to increase the number of authorized shares of Common Stock to 95.0 million shares and to allow an investor involved in the 2014 Financing Transactions to own more than 19.99% of outstanding Common Stock. Upon approval of these amendments, each outstanding share of Convertible Preferred Stock automatically converted into four shares of Common Stock and the Company recorded 18.1 million related to the amortization of the beneficial conversion feature on preferred stock on the statements of consolidated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prior amended and restated credit agreement provided for a term loan in an aggregate principal amount of $307.4 million and a letter of credit facility of up to $437.0 million. As discussed, we extinguished the Prior Term Loan on February 13,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ABL Facility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Prior ABL Facility provided for a $175.0 million ABL first-out delayed draw term loan facility and a $225.0 million ABL last-out term loan facility. As discussed, we extinguished the Prior ABL Facility on February 13,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Senior Secured Notes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22, 2011, we issued $140.0 million in aggregate principal of our Series A Notes that bore interest at a stated rate of 10% per year and matured on March 31, 2015. Interest was payable on a semiannual basis in arrears only in-kind through the issuance of additional Series A Notes. As discussed in the “2014 Financing Transactions</w:t>
      </w:r>
      <w:r>
        <w:rPr>
          <w:rFonts w:ascii="Arial" w:cs="Arial" w:eastAsia="Arial" w:hAnsi="Arial"/>
          <w:sz w:val="16"/>
          <w:szCs w:val="16"/>
          <w:i w:val="1"/>
          <w:iCs w:val="1"/>
          <w:color w:val="auto"/>
        </w:rPr>
        <w:t>”</w:t>
      </w:r>
      <w:r>
        <w:rPr>
          <w:rFonts w:ascii="Arial" w:cs="Arial" w:eastAsia="Arial" w:hAnsi="Arial"/>
          <w:sz w:val="16"/>
          <w:szCs w:val="16"/>
          <w:color w:val="auto"/>
        </w:rPr>
        <w:t xml:space="preserve"> section, on February 13, 2014, the Company deposited approximately $89.6 million (including accrued interest) with the trustee in order to fund the redemption of the remaining Series A Notes, thereby discharging the indenture governing the Series A Notes. The Company used the cash deposited with the trustee to redeem its Series A Notes on August 5, 2014. There were no conversions at any time of our Series A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Convertible Senior Notes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11, 2010, we entered into a note purchase agreement with certain investors pursuant to which such investors agreed, subject to the terms and conditions set forth therein, to purchase up to $70 million of our 6% Notes. The outstanding 6% Notes were paid at maturity on February 15, 2014. These 6% Notes bore interest at 6% which was payable on February 15 and August 15 of each year. There were no conversions of our 6% Notes.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Senior Secured Notes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22, 2011, we issued $100.0 million in aggregate principal of our Series B Notes that bore interest at a stated rate of 10.0% per year and matured on March 31, 2015. Interest was payable on a semiannual basis in arrears only in-kind through the issuance of additional Series B Notes.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25, 2015, we entered into an exchange agreement with certain holders of our Series B Notes to exchange their outstanding principal and accrued interest balances totaling $17.9 million at conversion price of $18.00 per share for an aggregate 994,689 shares of Common Stock. During the year ended December 31, 2015, we recorded $0.6 million of additional expense related to the fair value of the incremental shares provide to those holders who exchanged their outstanding balances. At maturity on March 31, 2015, we repaid the holders of the remaining outstanding Series B Notes approximately $0.3 million of cash.</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the “2014 Financing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section, on January 31, 2014, certain holders of our Series B Notes exchanged their outstanding balances as part of an exchange agreement. Not including the exchanges made as part of our 2014 Financing Transactions, during the year ended December 31, 2014, $1.2 million of aggregate principal amount of Series B Notes converted into 75,900 shares of our common stock. Upon conversion, we recorded $0.4 million of additional interest expense representing the $0.2 million make whole premium and $0.2 million of accelerated amortization of the discount on Series B Notes converted.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3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maturities over the next five years and thereafter of total debt as of December 31, 2015 was as follows:</w:t>
      </w:r>
    </w:p>
    <w:p>
      <w:pPr>
        <w:spacing w:after="0" w:line="177"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Term Loan</w:t>
            </w:r>
          </w:p>
        </w:tc>
        <w:tc>
          <w:tcPr>
            <w:tcW w:w="180" w:type="dxa"/>
            <w:vAlign w:val="bottom"/>
          </w:tcPr>
          <w:p>
            <w:pPr>
              <w:spacing w:after="0"/>
              <w:rPr>
                <w:sz w:val="14"/>
                <w:szCs w:val="14"/>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ABL Facility</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Second A&amp;R</w:t>
            </w:r>
          </w:p>
        </w:tc>
        <w:tc>
          <w:tcPr>
            <w:tcW w:w="14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Lease Financing</w:t>
            </w:r>
          </w:p>
        </w:tc>
        <w:tc>
          <w:tcPr>
            <w:tcW w:w="300" w:type="dxa"/>
            <w:vAlign w:val="bottom"/>
          </w:tcPr>
          <w:p>
            <w:pPr>
              <w:spacing w:after="0"/>
              <w:rPr>
                <w:sz w:val="14"/>
                <w:szCs w:val="14"/>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CDA</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Obligations</w:t>
            </w:r>
            <w:r>
              <w:rPr>
                <w:rFonts w:ascii="Arial" w:cs="Arial" w:eastAsia="Arial" w:hAnsi="Arial"/>
                <w:sz w:val="8"/>
                <w:szCs w:val="8"/>
                <w:b w:val="1"/>
                <w:bCs w:val="1"/>
                <w:color w:val="auto"/>
              </w:rPr>
              <w:t>(a)</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665.0</w:t>
            </w:r>
          </w:p>
        </w:tc>
        <w:tc>
          <w:tcPr>
            <w:tcW w:w="18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117.9</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235.7</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0" w:right="20" w:hanging="324"/>
        <w:spacing w:after="0" w:line="273" w:lineRule="auto"/>
        <w:tabs>
          <w:tab w:leader="none" w:pos="4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Lease financing obligations subsequent to 2020 of $235.7 million represent principal cash obligations of $11.6 million and the estimated net book value of the underlying assets at the expiration of their associated lease agreements of $224.1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2014</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color w:val="auto"/>
              </w:rPr>
              <w:t>Book Value</w:t>
            </w:r>
          </w:p>
        </w:tc>
        <w:tc>
          <w:tcPr>
            <w:tcW w:w="2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Book Value</w:t>
            </w:r>
          </w:p>
        </w:tc>
        <w:tc>
          <w:tcPr>
            <w:tcW w:w="280" w:type="dxa"/>
            <w:vAlign w:val="bottom"/>
          </w:tcPr>
          <w:p>
            <w:pPr>
              <w:spacing w:after="0"/>
              <w:rPr>
                <w:sz w:val="22"/>
                <w:szCs w:val="22"/>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282.2</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1,104.4</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Term Loan, ABL Facility, and Secured and Unsecured A&amp;R CDA (included in “Other” above)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principal sources of liquidity are cash and cash equivalents, available borrowings under our ABL Facility and any prospective net cash flow from operations. As of December 31, 2015, we had cash and cash equivalents of $173.8 million and the borrowing base and maximum availability on our ABL Facility were $441.7 million and $79.7 million, respectively. The maximum availability is calculated in accordance with the terms of the ABL Facility and is derived by reducing the borrowing base by our $362.0 million of outstanding letters of credit. While our ABL Facility permits us to access maximum availability outside of certain financial covenant restrictions (which restrictions did not limit our availability as of December 31, 2015), the maximum amount we expect to access on our ABL Facility at any time is maximum availability less the lower of 10% of the borrowing base ($44.2 million at December 31, 2015) or 10% of the collateral line cap ($45.0 million at December 31, 2015). Thus, of the $79.7 million in maximum availability, our Managed Accessibility was $35.5 million as of December 31, 2015. As a result, we had cash and cash equivalents and Managed Accessibility of $209.3 million as of December 31, 2015.</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2014, we had cash and cash equivalents of $171.1 million and the borrowing base and maximum availability on our ABL Facility were $445.5 million and $71.2 million, respectively. The maximum availability is calculated in accordance with the terms of the ABL Facility and is derived by reducing the borrowing base by our $374.3 million of outstanding letters of credit. As of December 31, 2014, amounts able to be drawn on our ABL Facility (which were limited by certain financial covenant restrictions) were $27.1 million, for a total of cash and cash equivalents and amounts able to be drawn on our ABL Facility of $198.2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30" w:right="239" w:bottom="1440" w:gutter="0" w:footer="0" w:header="0"/>
        </w:sectPr>
      </w:pPr>
    </w:p>
    <w:bookmarkStart w:id="73" w:name="page74"/>
    <w:bookmarkEnd w:id="73"/>
    <w:p>
      <w:pPr>
        <w:jc w:val="both"/>
        <w:ind w:right="20"/>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equipment leases and funding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Agreement governing our Term Loan has certain financial covenants, as amended in September 2014, that, among other things, restricts certain capital expenditures and requires us to maintain a maximum total leverage ratio (defined as Consolidated Total Debt divided by Consolidated Adjusted EBITDA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36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160" w:type="dxa"/>
            <w:vAlign w:val="bottom"/>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expenses associated with certain lump sum payments to our IBT employees and the results of permitted dispositions and discontinued operations. Consolidated Total Debt, as defined in our Term Loan Agreement, is the aggregate principal amount of indebtedness outstanding. Our total leverage ratio for the year ending December 31, 2015 was 3.25 to 1.00. Additionally, our ABL Facility credit agreement, among other things, restricts certain capital expenditures.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for the years ended December 31, 2015 and 2014 were $108.0 million and $69.2 million, respectively. These amounts were principally used to fund the purchase of used tractors and trailers, to refurbish engines for our revenue fleet and for capitalized costs for our service center facilities and technology infrastructure.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for the year ended December 31, 2015, we entered into new operating lease commitments for revenue equipment totaling $130.9 million, with such payments to be made over the average lease term of 4 years. The capital value of this revenue equipment, which excludes our recurring leases for sleeper units, totals $131.7 million. During 2014, we entered into new operating lease commitments for revenue equipment of $65.0 million, with such lease payments to be made over the average lease term of 5 years. The capital value of this equipment totals $72.4 million. As of December 31, 2015, our operating lease obligations for 2016 are $80.0 million. As of December 31, 2015, our operating lease obligations through 2025 totaled $269.0 million and are expected to increase as we lease additional revenue equipment in future years.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Stock Compensation Plans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reserved 5.0 million shares for issuance to key management personnel and directors under the 2011 amended and restated long-term incentive and equity award plan. As of December 31, 2015, 2.9 million shares remain available for future issuance under this plan. The plan permits the issuance of restricted stock and stock units, as well as options, stock appreciation rights, and performance stock and performance stock unit awards. Awards under the plan can be satisfied in cash or shares at the discretion of the Board of Directors. According to the plan provisions, the stock units provide the holders the right to receive one share of our Common Stock upon vesting (and distribution) of one stock unit. The plan requires the exercise price of any option granted to equal the closing market price of our Common Stock on the date of grant.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3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 2010, we formalized the Second Union Employee Option Plan that provided for a grant of up to 31,000 options, including the effect of the reverse stock split, to purchase our Common Stock at an exercise price equal to $3,600.00 per share, of which all have been granted. As a part of the union wage reduction, we agreed to award a certain equity interest to all effected union employees. These options vested immediately, will expire 10 years from the grant date, and were exercisable upon shareholder approval, which was received on June 29, 2010, at our annual shareholder meeting. There has been no activity in these stock options and these options had no intrinsic value as of December 31, 2015, 2014, and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9, 2015, the Company granted performance stock unit awards (“2015 Performance Awards”) to employees under its 2015 long-term incentive plan (“2015 LTIP”). The awards provide a target number of stock units that vest equally over three years, with the first vesting occurring in February 2016. In addition to meeting service conditions, the number of performance stock units to be received depends on the attainment of defined Company-wide performance goals for 2015 based on adjusted return on invested capital over a one year performance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performance based unvested stock unit activity at target is as follows:</w:t>
      </w:r>
    </w:p>
    <w:p>
      <w:pPr>
        <w:spacing w:after="0" w:line="3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 units in thousands)</w:t>
            </w:r>
          </w:p>
        </w:tc>
        <w:tc>
          <w:tcPr>
            <w:tcW w:w="1560" w:type="dxa"/>
            <w:vAlign w:val="bottom"/>
          </w:tcPr>
          <w:p>
            <w:pPr>
              <w:jc w:val="right"/>
              <w:ind w:right="76"/>
              <w:spacing w:after="0"/>
              <w:rPr>
                <w:sz w:val="20"/>
                <w:szCs w:val="20"/>
                <w:color w:val="auto"/>
              </w:rPr>
            </w:pPr>
            <w:r>
              <w:rPr>
                <w:rFonts w:ascii="Arial" w:cs="Arial" w:eastAsia="Arial" w:hAnsi="Arial"/>
                <w:sz w:val="14"/>
                <w:szCs w:val="14"/>
                <w:b w:val="1"/>
                <w:bCs w:val="1"/>
                <w:color w:val="auto"/>
              </w:rPr>
              <w:t>Number of Units, at</w:t>
            </w:r>
          </w:p>
        </w:tc>
        <w:tc>
          <w:tcPr>
            <w:tcW w:w="120" w:type="dxa"/>
            <w:vAlign w:val="bottom"/>
          </w:tcPr>
          <w:p>
            <w:pPr>
              <w:spacing w:after="0"/>
              <w:rPr>
                <w:sz w:val="14"/>
                <w:szCs w:val="14"/>
                <w:color w:val="auto"/>
              </w:rPr>
            </w:pPr>
          </w:p>
        </w:tc>
        <w:tc>
          <w:tcPr>
            <w:tcW w:w="156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Weighted Average Fair</w:t>
            </w:r>
          </w:p>
        </w:tc>
        <w:tc>
          <w:tcPr>
            <w:tcW w:w="0" w:type="dxa"/>
            <w:vAlign w:val="bottom"/>
          </w:tcPr>
          <w:p>
            <w:pPr>
              <w:spacing w:after="0"/>
              <w:rPr>
                <w:sz w:val="1"/>
                <w:szCs w:val="1"/>
                <w:color w:val="auto"/>
              </w:rPr>
            </w:pPr>
          </w:p>
        </w:tc>
      </w:tr>
      <w:tr>
        <w:trPr>
          <w:trHeight w:val="192"/>
        </w:trPr>
        <w:tc>
          <w:tcPr>
            <w:tcW w:w="796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Target</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performance stock unit awards, at December 31, 2014</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2015</w:t>
            </w:r>
          </w:p>
        </w:tc>
        <w:tc>
          <w:tcPr>
            <w:tcW w:w="7560" w:type="dxa"/>
            <w:vAlign w:val="bottom"/>
          </w:tcPr>
          <w:p>
            <w:pPr>
              <w:ind w:left="20"/>
              <w:spacing w:after="0"/>
              <w:rPr>
                <w:sz w:val="20"/>
                <w:szCs w:val="20"/>
                <w:color w:val="auto"/>
              </w:rPr>
            </w:pPr>
            <w:r>
              <w:rPr>
                <w:rFonts w:ascii="Arial" w:cs="Arial" w:eastAsia="Arial" w:hAnsi="Arial"/>
                <w:sz w:val="18"/>
                <w:szCs w:val="18"/>
                <w:color w:val="auto"/>
              </w:rPr>
              <w:t>Performance Awards granted</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218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2015</w:t>
            </w: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Awards forfeited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37"/>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Unvested performance stock unit awards, at December 31, 2015</w:t>
            </w:r>
          </w:p>
        </w:tc>
        <w:tc>
          <w:tcPr>
            <w:tcW w:w="1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number of performance stock units earned for the 2015 performance year was 196% of the target award, resulting in a total of 421 thousand units issued under the 2015 LTIP.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expenses the grant date fair value of the awards earned in the performance period over the respective service periods. The intrinsic value of unvested shares as of December 31, 2015 was $6.0 million. For the year ended December 31, 2015, the Company recognized compensation expense of $3.9 million. Unrecognized compensation expense related to performance based awards of $3.7 million is expected to be recognized over a weighted-average period of 0.8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our unvested restricted stock and stock unit awards are presented in the following table:</w:t>
      </w:r>
    </w:p>
    <w:p>
      <w:pPr>
        <w:spacing w:after="0" w:line="379" w:lineRule="exact"/>
        <w:rPr>
          <w:sz w:val="20"/>
          <w:szCs w:val="20"/>
          <w:color w:val="auto"/>
        </w:rPr>
      </w:pPr>
    </w:p>
    <w:p>
      <w:pPr>
        <w:ind w:left="7160"/>
        <w:spacing w:after="0"/>
        <w:tabs>
          <w:tab w:leader="none" w:pos="9640" w:val="left"/>
        </w:tabs>
        <w:rPr>
          <w:sz w:val="20"/>
          <w:szCs w:val="20"/>
          <w:color w:val="auto"/>
        </w:rPr>
      </w:pPr>
      <w:r>
        <w:rPr>
          <w:rFonts w:ascii="Arial" w:cs="Arial" w:eastAsia="Arial" w:hAnsi="Arial"/>
          <w:sz w:val="14"/>
          <w:szCs w:val="14"/>
          <w:b w:val="1"/>
          <w:bCs w:val="1"/>
          <w:color w:val="auto"/>
        </w:rPr>
        <w:t>Shares/units</w:t>
      </w:r>
      <w:r>
        <w:rPr>
          <w:sz w:val="20"/>
          <w:szCs w:val="20"/>
          <w:color w:val="auto"/>
        </w:rPr>
        <w:tab/>
      </w:r>
      <w:r>
        <w:rPr>
          <w:rFonts w:ascii="Arial" w:cs="Arial" w:eastAsia="Arial" w:hAnsi="Arial"/>
          <w:sz w:val="14"/>
          <w:szCs w:val="14"/>
          <w:b w:val="1"/>
          <w:bCs w:val="1"/>
          <w:color w:val="auto"/>
        </w:rPr>
        <w:t>Weighted Average</w:t>
      </w:r>
    </w:p>
    <w:p>
      <w:pPr>
        <w:spacing w:after="0" w:line="4" w:lineRule="exact"/>
        <w:rPr>
          <w:sz w:val="20"/>
          <w:szCs w:val="20"/>
          <w:color w:val="auto"/>
        </w:rPr>
      </w:pPr>
    </w:p>
    <w:p>
      <w:pPr>
        <w:ind w:left="7120"/>
        <w:spacing w:after="0"/>
        <w:tabs>
          <w:tab w:leader="none" w:pos="950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3"/>
          <w:szCs w:val="13"/>
          <w:b w:val="1"/>
          <w:bCs w:val="1"/>
          <w:color w:val="auto"/>
        </w:rPr>
        <w:t>Grant-Date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2012</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2013</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2014</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2015</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10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11.47</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6.24</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(405)</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(118)</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8.96</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15.83</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(564)</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13.33</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(26)</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15.38</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1,289</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12.86</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17.29</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(835)</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(29)</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14.34</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-1937385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-1594485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-1242695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-899795</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-548005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-205105</wp:posOffset>
            </wp:positionV>
            <wp:extent cx="72466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53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30" w:right="239" w:bottom="1440" w:gutter="0" w:footer="0" w:header="0"/>
          <w:type w:val="continuous"/>
        </w:sectPr>
      </w:pPr>
    </w:p>
    <w:bookmarkStart w:id="75" w:name="page76"/>
    <w:bookmarkEnd w:id="75"/>
    <w:p>
      <w:pPr>
        <w:jc w:val="both"/>
        <w:spacing w:after="0" w:line="257" w:lineRule="auto"/>
        <w:rPr>
          <w:sz w:val="20"/>
          <w:szCs w:val="20"/>
          <w:color w:val="auto"/>
        </w:rPr>
      </w:pPr>
      <w:r>
        <w:rPr>
          <w:rFonts w:ascii="Arial" w:cs="Arial" w:eastAsia="Arial" w:hAnsi="Arial"/>
          <w:sz w:val="18"/>
          <w:szCs w:val="18"/>
          <w:color w:val="auto"/>
        </w:rPr>
        <w:t>Certain of the directors have deferred receipt of the Common Stock underlying some or all of the restricted stock units they have been awarded until each such director ceases to serve on the Board or, under certain circumstances, upon a change of control. Thus, while some of these restricted stock units have vested, the directors have not yet received the underlying Common Stock. For the years ended December 31, 2015, 2014, and 2013, the total number of restricted stock units that are vested but for which the underlying Common Stock has not been distributed was 275,000, 221,000, and 175,000, respectively; these shares are shown as unvested in the above table.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intrinsic value of unvested shares as of December 31, 2015 was $10.9 million. The Company records expense on a straight-line basis over the vesting term. For the years ended December 31, 2015, 2014 and 2013, the Company recorded compensation expense for restricted stock awards of $4.8 million, $14.4 million, and $5.8 million, respectively. Unrecognized compensation expense related to restricted stock awards of $4.6 million at December 31, 2015 is expected to be recognized over a weighted-average period of 1.0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vesting provisions for the restricted stock and stock unit awards and the related number of shares granted during the year ended December 31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3"/>
              </w:rPr>
              <w:t>Shares/units (in thousands)</w:t>
            </w:r>
          </w:p>
        </w:tc>
        <w:tc>
          <w:tcPr>
            <w:tcW w:w="1400" w:type="dxa"/>
            <w:vAlign w:val="bottom"/>
            <w:tcBorders>
              <w:bottom w:val="single" w:sz="8" w:color="auto"/>
            </w:tcBorders>
          </w:tcPr>
          <w:p>
            <w:pPr>
              <w:spacing w:after="0"/>
              <w:rPr>
                <w:sz w:val="16"/>
                <w:szCs w:val="16"/>
                <w:color w:val="auto"/>
              </w:rPr>
            </w:pPr>
          </w:p>
        </w:tc>
      </w:tr>
      <w:tr>
        <w:trPr>
          <w:trHeight w:val="210"/>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Vesting Terms</w:t>
            </w: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218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2014</w:t>
            </w: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immediately and 50% on the 1 year anniversary of the grant date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456</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0"/>
              </w:rPr>
              <w:t>50% on the 1 year anniversary of the grant date and 50% on the 2 year anniversary</w:t>
            </w:r>
          </w:p>
        </w:tc>
        <w:tc>
          <w:tcPr>
            <w:tcW w:w="17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of the grant date</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
        </w:trPr>
        <w:tc>
          <w:tcPr>
            <w:tcW w:w="6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per year for four years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1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39</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25% immediately and 25% on each employment anniversary thereafter</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7"/>
        </w:trPr>
        <w:tc>
          <w:tcPr>
            <w:tcW w:w="6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immediately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1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54</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33.3% immediately and 33.3% per year thereafter on the</w:t>
            </w:r>
          </w:p>
        </w:tc>
        <w:tc>
          <w:tcPr>
            <w:tcW w:w="17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anniversary of the grant date</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94</w:t>
            </w:r>
          </w:p>
        </w:tc>
      </w:tr>
      <w:tr>
        <w:trPr>
          <w:trHeight w:val="27"/>
        </w:trPr>
        <w:tc>
          <w:tcPr>
            <w:tcW w:w="6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20% on February 28, 2015, 60% on July 31, 2015 and 20% on February 28, 2016</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459</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33.3% per year for three years</w:t>
            </w:r>
          </w:p>
        </w:tc>
        <w:tc>
          <w:tcPr>
            <w:tcW w:w="1780" w:type="dxa"/>
            <w:vAlign w:val="bottom"/>
          </w:tcPr>
          <w:p>
            <w:pPr>
              <w:jc w:val="right"/>
              <w:spacing w:after="0"/>
              <w:rPr>
                <w:sz w:val="20"/>
                <w:szCs w:val="20"/>
                <w:color w:val="auto"/>
              </w:rPr>
            </w:pPr>
            <w:r>
              <w:rPr>
                <w:rFonts w:ascii="Arial" w:cs="Arial" w:eastAsia="Arial" w:hAnsi="Arial"/>
                <w:sz w:val="18"/>
                <w:szCs w:val="18"/>
                <w:color w:val="auto"/>
              </w:rPr>
              <w:t>269</w:t>
            </w:r>
          </w:p>
        </w:tc>
        <w:tc>
          <w:tcPr>
            <w:tcW w:w="2180" w:type="dxa"/>
            <w:vAlign w:val="bottom"/>
          </w:tcPr>
          <w:p>
            <w:pPr>
              <w:jc w:val="right"/>
              <w:ind w:right="313"/>
              <w:spacing w:after="0"/>
              <w:rPr>
                <w:sz w:val="20"/>
                <w:szCs w:val="20"/>
                <w:color w:val="auto"/>
              </w:rPr>
            </w:pPr>
            <w:r>
              <w:rPr>
                <w:rFonts w:ascii="Arial" w:cs="Arial" w:eastAsia="Arial" w:hAnsi="Arial"/>
                <w:sz w:val="18"/>
                <w:szCs w:val="18"/>
                <w:color w:val="auto"/>
              </w:rPr>
              <w:t>38</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stock and stock units granted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1,046</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r>
      <w:tr>
        <w:trPr>
          <w:trHeight w:val="20"/>
        </w:trPr>
        <w:tc>
          <w:tcPr>
            <w:tcW w:w="60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nonvested shares is determined based on the closing trading price of our shares on the grant date. The fair value of shares vested and distributed during the years ended December 31, 2015 and 2014 was $9.5 million and $7.2 million, respectively. The fair value of shares vested during the year ended December 31, 2013 was not significant.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awards under our stock compensation plans provide dividend participation features and are considered participating securities in our earnings per share calculation.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Income Taxes</w:t>
      </w:r>
    </w:p>
    <w:p>
      <w:pPr>
        <w:spacing w:after="0" w:line="3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asset and liability method to reflect income taxes on our financial statements, pursuant to ASC 740.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it is more likely than not that such assets, losses, or credits will not be realized. We have not recognized deferred taxes relative to foreign subsidiaries’ earnings that are deemed to be permanently reinvested. Any related taxes associated with such earnings are not material.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3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Deferred tax liabilities (assets) were comprised of the following at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debt redemption</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51.3</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w:t>
            </w:r>
          </w:p>
        </w:tc>
      </w:tr>
      <w:tr>
        <w:trPr>
          <w:trHeight w:val="237"/>
        </w:trPr>
        <w:tc>
          <w:tcPr>
            <w:tcW w:w="778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417.7</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434.9</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and insurance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(302.4)</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(316.4)</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 accruals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(161.4)</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470.5</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494.5</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r>
      <w:tr>
        <w:trPr>
          <w:trHeight w:val="20"/>
        </w:trPr>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deferred tax liability of $3.5 million and $1.4 million as of December 31, 2015 and 2014, respectively, is included as separate line items in the accompanying balance sheets. Current income tax receivable was $2.3 million and $4.5 million as of December 31, 2015 and 2014, respectively, and is included in “Prepaid expenses and other” in the accompanying balance sheets.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2015, the Company has remaining federal Net Operating Loss carryforwards of approximately $700.2 million. Deemed ownership changes that occurred in July 2011, in July 2013 and in January 2014 imposed annual and cumulative limits under the Code on the utilization of these carryforwards. These limits are estimated to allow only $465.5 million of these losses to be used over their carry forward periods. These carryforwards expire between 2028 and 2035 if not used. As of December 31, 2015, the Company has foreign tax credit and other credit carryforwards of approximately $13.2 million, none of which will likely be utilized due to the Code limitations described above, and which will expire between 2016 and 2018 if not used.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2015 and 2014, a valuation allowance of $470.5 million and $494.5 million has been established for deferred tax assets because, based on available sources of future taxable income, it is more likely than not that those assets will not be realized.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income taxes at the federal statutory rate and the consolidated effective tax rate follows:</w:t>
      </w:r>
    </w:p>
    <w:p>
      <w:pPr>
        <w:spacing w:after="0" w:line="379" w:lineRule="exact"/>
        <w:rPr>
          <w:sz w:val="20"/>
          <w:szCs w:val="20"/>
          <w:color w:val="auto"/>
        </w:rPr>
      </w:pPr>
    </w:p>
    <w:p>
      <w:pPr>
        <w:ind w:left="6580"/>
        <w:spacing w:after="0"/>
        <w:tabs>
          <w:tab w:leader="none" w:pos="8460" w:val="left"/>
          <w:tab w:leader="none" w:pos="103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Federal statutory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 income taxes,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tax rate differential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Permanent differences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allowance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Benefit from intraperiod tax allocation under ASC 740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unrecognized tax benefits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from settlement of litigation &amp; audits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net (primarily prior year return to provision)</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jc w:val="right"/>
              <w:ind w:right="530"/>
              <w:spacing w:after="0"/>
              <w:rPr>
                <w:sz w:val="20"/>
                <w:szCs w:val="20"/>
                <w:color w:val="auto"/>
              </w:rPr>
            </w:pPr>
            <w:r>
              <w:rPr>
                <w:rFonts w:ascii="Arial" w:cs="Arial" w:eastAsia="Arial" w:hAnsi="Arial"/>
                <w:sz w:val="18"/>
                <w:szCs w:val="18"/>
                <w:color w:val="auto"/>
              </w:rPr>
              <w:t>35.0 %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35.0 %</w:t>
            </w:r>
          </w:p>
        </w:tc>
        <w:tc>
          <w:tcPr>
            <w:tcW w:w="12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2580" w:type="dxa"/>
            <w:vAlign w:val="bottom"/>
          </w:tcPr>
          <w:p>
            <w:pPr>
              <w:jc w:val="right"/>
              <w:ind w:right="510"/>
              <w:spacing w:after="0"/>
              <w:rPr>
                <w:sz w:val="20"/>
                <w:szCs w:val="20"/>
                <w:color w:val="auto"/>
              </w:rPr>
            </w:pPr>
            <w:r>
              <w:rPr>
                <w:rFonts w:ascii="Arial" w:cs="Arial" w:eastAsia="Arial" w:hAnsi="Arial"/>
                <w:sz w:val="18"/>
                <w:szCs w:val="18"/>
                <w:color w:val="auto"/>
              </w:rPr>
              <w:t>(50.0)%</w:t>
            </w:r>
          </w:p>
        </w:tc>
        <w:tc>
          <w:tcPr>
            <w:tcW w:w="1840" w:type="dxa"/>
            <w:vAlign w:val="bottom"/>
          </w:tcPr>
          <w:p>
            <w:pPr>
              <w:jc w:val="right"/>
              <w:ind w:right="550"/>
              <w:spacing w:after="0"/>
              <w:rPr>
                <w:sz w:val="20"/>
                <w:szCs w:val="20"/>
                <w:color w:val="auto"/>
              </w:rPr>
            </w:pPr>
            <w:r>
              <w:rPr>
                <w:rFonts w:ascii="Arial" w:cs="Arial" w:eastAsia="Arial" w:hAnsi="Arial"/>
                <w:sz w:val="18"/>
                <w:szCs w:val="18"/>
                <w:color w:val="auto"/>
              </w:rPr>
              <w:t>(4.9)%</w:t>
            </w: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2580" w:type="dxa"/>
            <w:vAlign w:val="bottom"/>
          </w:tcPr>
          <w:p>
            <w:pPr>
              <w:jc w:val="right"/>
              <w:ind w:right="530"/>
              <w:spacing w:after="0"/>
              <w:rPr>
                <w:sz w:val="20"/>
                <w:szCs w:val="20"/>
                <w:color w:val="auto"/>
              </w:rPr>
            </w:pPr>
            <w:r>
              <w:rPr>
                <w:rFonts w:ascii="Arial" w:cs="Arial" w:eastAsia="Arial" w:hAnsi="Arial"/>
                <w:sz w:val="18"/>
                <w:szCs w:val="18"/>
                <w:color w:val="auto"/>
              </w:rPr>
              <w:t>43.2 %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1.4 %</w:t>
            </w: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580" w:type="dxa"/>
            <w:vAlign w:val="bottom"/>
          </w:tcPr>
          <w:p>
            <w:pPr>
              <w:jc w:val="right"/>
              <w:ind w:right="510"/>
              <w:spacing w:after="0"/>
              <w:rPr>
                <w:sz w:val="20"/>
                <w:szCs w:val="20"/>
                <w:color w:val="auto"/>
              </w:rPr>
            </w:pPr>
            <w:r>
              <w:rPr>
                <w:rFonts w:ascii="Arial" w:cs="Arial" w:eastAsia="Arial" w:hAnsi="Arial"/>
                <w:sz w:val="18"/>
                <w:szCs w:val="18"/>
                <w:color w:val="auto"/>
              </w:rPr>
              <w:t>(88.6)%</w:t>
            </w:r>
          </w:p>
        </w:tc>
        <w:tc>
          <w:tcPr>
            <w:tcW w:w="1840" w:type="dxa"/>
            <w:vAlign w:val="bottom"/>
          </w:tcPr>
          <w:p>
            <w:pPr>
              <w:jc w:val="right"/>
              <w:ind w:right="550"/>
              <w:spacing w:after="0"/>
              <w:rPr>
                <w:sz w:val="20"/>
                <w:szCs w:val="20"/>
                <w:color w:val="auto"/>
              </w:rPr>
            </w:pPr>
            <w:r>
              <w:rPr>
                <w:rFonts w:ascii="Arial" w:cs="Arial" w:eastAsia="Arial" w:hAnsi="Arial"/>
                <w:sz w:val="18"/>
                <w:szCs w:val="18"/>
                <w:color w:val="auto"/>
              </w:rPr>
              <w:t>(6.4)%</w:t>
            </w:r>
          </w:p>
        </w:tc>
        <w:tc>
          <w:tcPr>
            <w:tcW w:w="12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0"/>
        </w:trPr>
        <w:tc>
          <w:tcPr>
            <w:tcW w:w="2580" w:type="dxa"/>
            <w:vAlign w:val="bottom"/>
          </w:tcPr>
          <w:p>
            <w:pPr>
              <w:jc w:val="right"/>
              <w:ind w:right="510"/>
              <w:spacing w:after="0"/>
              <w:rPr>
                <w:sz w:val="20"/>
                <w:szCs w:val="20"/>
                <w:color w:val="auto"/>
              </w:rPr>
            </w:pPr>
            <w:r>
              <w:rPr>
                <w:rFonts w:ascii="Arial" w:cs="Arial" w:eastAsia="Arial" w:hAnsi="Arial"/>
                <w:sz w:val="18"/>
                <w:szCs w:val="18"/>
                <w:color w:val="auto"/>
              </w:rPr>
              <w:t>(243.2)%</w:t>
            </w:r>
          </w:p>
        </w:tc>
        <w:tc>
          <w:tcPr>
            <w:tcW w:w="1840" w:type="dxa"/>
            <w:vAlign w:val="bottom"/>
          </w:tcPr>
          <w:p>
            <w:pPr>
              <w:jc w:val="right"/>
              <w:ind w:right="550"/>
              <w:spacing w:after="0"/>
              <w:rPr>
                <w:sz w:val="20"/>
                <w:szCs w:val="20"/>
                <w:color w:val="auto"/>
              </w:rPr>
            </w:pPr>
            <w:r>
              <w:rPr>
                <w:rFonts w:ascii="Arial" w:cs="Arial" w:eastAsia="Arial" w:hAnsi="Arial"/>
                <w:sz w:val="18"/>
                <w:szCs w:val="18"/>
                <w:color w:val="auto"/>
              </w:rPr>
              <w:t>(31.9)%</w:t>
            </w:r>
          </w:p>
        </w:tc>
        <w:tc>
          <w:tcPr>
            <w:tcW w:w="128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0"/>
        </w:trPr>
        <w:tc>
          <w:tcPr>
            <w:tcW w:w="2580" w:type="dxa"/>
            <w:vAlign w:val="bottom"/>
          </w:tcPr>
          <w:p>
            <w:pPr>
              <w:jc w:val="right"/>
              <w:ind w:right="530"/>
              <w:spacing w:after="0"/>
              <w:rPr>
                <w:sz w:val="20"/>
                <w:szCs w:val="20"/>
                <w:color w:val="auto"/>
              </w:rPr>
            </w:pPr>
            <w:r>
              <w:rPr>
                <w:rFonts w:ascii="Arial" w:cs="Arial" w:eastAsia="Arial" w:hAnsi="Arial"/>
                <w:sz w:val="18"/>
                <w:szCs w:val="18"/>
                <w:color w:val="auto"/>
              </w:rPr>
              <w:t>265.9 %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32.2 %</w:t>
            </w:r>
          </w:p>
        </w:tc>
      </w:tr>
      <w:tr>
        <w:trPr>
          <w:trHeight w:val="270"/>
        </w:trPr>
        <w:tc>
          <w:tcPr>
            <w:tcW w:w="2580" w:type="dxa"/>
            <w:vAlign w:val="bottom"/>
          </w:tcPr>
          <w:p>
            <w:pPr>
              <w:jc w:val="right"/>
              <w:ind w:right="510"/>
              <w:spacing w:after="0"/>
              <w:rPr>
                <w:sz w:val="20"/>
                <w:szCs w:val="20"/>
                <w:color w:val="auto"/>
              </w:rPr>
            </w:pPr>
            <w:r>
              <w:rPr>
                <w:rFonts w:ascii="Arial" w:cs="Arial" w:eastAsia="Arial" w:hAnsi="Arial"/>
                <w:sz w:val="18"/>
                <w:szCs w:val="18"/>
                <w:color w:val="auto"/>
              </w:rPr>
              <w:t>(11.4)%</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17.8 %</w:t>
            </w:r>
          </w:p>
        </w:tc>
        <w:tc>
          <w:tcPr>
            <w:tcW w:w="128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0"/>
        </w:trPr>
        <w:tc>
          <w:tcPr>
            <w:tcW w:w="2580" w:type="dxa"/>
            <w:vAlign w:val="bottom"/>
          </w:tcPr>
          <w:p>
            <w:pPr>
              <w:jc w:val="right"/>
              <w:ind w:right="530"/>
              <w:spacing w:after="0"/>
              <w:rPr>
                <w:sz w:val="20"/>
                <w:szCs w:val="20"/>
                <w:color w:val="auto"/>
              </w:rPr>
            </w:pPr>
            <w:r>
              <w:rPr>
                <w:rFonts w:ascii="Arial" w:cs="Arial" w:eastAsia="Arial" w:hAnsi="Arial"/>
                <w:sz w:val="18"/>
                <w:szCs w:val="18"/>
                <w:color w:val="auto"/>
              </w:rPr>
              <w:t>54.5 %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1.6 %</w:t>
            </w: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580" w:type="dxa"/>
            <w:vAlign w:val="bottom"/>
          </w:tcPr>
          <w:p>
            <w:pPr>
              <w:jc w:val="right"/>
              <w:ind w:right="530"/>
              <w:spacing w:after="0"/>
              <w:rPr>
                <w:sz w:val="20"/>
                <w:szCs w:val="20"/>
                <w:color w:val="auto"/>
              </w:rPr>
            </w:pPr>
            <w:r>
              <w:rPr>
                <w:rFonts w:ascii="Arial" w:cs="Arial" w:eastAsia="Arial" w:hAnsi="Arial"/>
                <w:sz w:val="18"/>
                <w:szCs w:val="18"/>
                <w:color w:val="auto"/>
              </w:rPr>
              <w:t>110.5 %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6.6 %</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jc w:val="right"/>
              <w:ind w:right="530"/>
              <w:spacing w:after="0"/>
              <w:rPr>
                <w:sz w:val="20"/>
                <w:szCs w:val="20"/>
                <w:color w:val="auto"/>
              </w:rPr>
            </w:pPr>
            <w:r>
              <w:rPr>
                <w:rFonts w:ascii="Arial" w:cs="Arial" w:eastAsia="Arial" w:hAnsi="Arial"/>
                <w:sz w:val="18"/>
                <w:szCs w:val="18"/>
                <w:color w:val="auto"/>
              </w:rPr>
              <w:t>115.9 %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19.2 %</w:t>
            </w:r>
          </w:p>
        </w:tc>
        <w:tc>
          <w:tcPr>
            <w:tcW w:w="1280" w:type="dxa"/>
            <w:vAlign w:val="bottom"/>
          </w:tcPr>
          <w:p>
            <w:pPr>
              <w:jc w:val="right"/>
              <w:spacing w:after="0"/>
              <w:rPr>
                <w:sz w:val="20"/>
                <w:szCs w:val="20"/>
                <w:color w:val="auto"/>
              </w:rPr>
            </w:pPr>
            <w:r>
              <w:rPr>
                <w:rFonts w:ascii="Arial" w:cs="Arial" w:eastAsia="Arial" w:hAnsi="Arial"/>
                <w:sz w:val="18"/>
                <w:szCs w:val="18"/>
                <w:color w:val="auto"/>
              </w:rPr>
              <w:t>35.4 %</w:t>
            </w:r>
          </w:p>
        </w:tc>
      </w:tr>
      <w:tr>
        <w:trPr>
          <w:trHeight w:val="27"/>
        </w:trPr>
        <w:tc>
          <w:tcPr>
            <w:tcW w:w="2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-1405890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-1062990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-719455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53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30" w:right="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color w:val="auto"/>
        </w:rPr>
        <w:t>The income tax provision (benefit) consisted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2013</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(23.6)</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5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income tax provision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91"/>
        </w:trPr>
        <w:tc>
          <w:tcPr>
            <w:tcW w:w="59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91"/>
        </w:trPr>
        <w:tc>
          <w:tcPr>
            <w:tcW w:w="59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64"/>
        </w:trPr>
        <w:tc>
          <w:tcPr>
            <w:tcW w:w="59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Based on the income (loss) before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Domestic</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(106.2)</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w:t>
            </w:r>
          </w:p>
        </w:tc>
      </w:tr>
      <w:tr>
        <w:trPr>
          <w:trHeight w:val="20"/>
        </w:trPr>
        <w:tc>
          <w:tcPr>
            <w:tcW w:w="5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2015 and 2013, the Company recognized $11.7 million and $41.7 million, respectively, of deferred benefit in the Statement of Consolidated Operations and an equal and offsetting deferred tax expense in other comprehensive income included in the Statement of Consolidated Comprehensive Loss due to the application of intraperiod tax allocation rules under ASC 740. There was no deferred benefit recognized in 2014, as the intraperiod tax allocation rules did not apply. This allocation has no effect on total tax provision or total valuation allowance.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YRC Worldwide applies the intraperiod tax allocation rules of ASC 740 to allocate income taxes among continuing operations, discontinued operations, extraordinary items, other comprehensive income (loss), and additional paid-in capital when our situation meets the criteria as prescribed in the rule.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total amount of unrecognized tax benefits for the years ended December 31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r>
      <w:tr>
        <w:trPr>
          <w:trHeight w:val="270"/>
        </w:trPr>
        <w:tc>
          <w:tcPr>
            <w:tcW w:w="7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Tax positions taken during a prior period</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11.6</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positions taken during the current period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70"/>
        </w:trPr>
        <w:tc>
          <w:tcPr>
            <w:tcW w:w="7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Tax positions taken during a prior period</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Lapse of applicable statute of limitations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Settlements with taxing authorities</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30.6</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23.1</w:t>
            </w: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and 2014, there are $7.6 million and $11.6 million of benefits that, if recognized, would affect the effective tax rate. We accrued interest of $2.0 million and $1.1 million for the years ended December 31, 2015 and 2014 and reversed $3.3</w:t>
      </w:r>
    </w:p>
    <w:p>
      <w:pPr>
        <w:sectPr>
          <w:pgSz w:w="11900" w:h="16838" w:orient="portrait"/>
          <w:cols w:equalWidth="0" w:num="1">
            <w:col w:w="11420"/>
          </w:cols>
          <w:pgMar w:left="240" w:top="53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30" w:right="239" w:bottom="1440" w:gutter="0" w:footer="0" w:header="0"/>
          <w:type w:val="continuous"/>
        </w:sectPr>
      </w:pPr>
    </w:p>
    <w:bookmarkStart w:id="78" w:name="page79"/>
    <w:bookmarkEnd w:id="78"/>
    <w:p>
      <w:pPr>
        <w:jc w:val="both"/>
        <w:spacing w:after="0" w:line="255" w:lineRule="auto"/>
        <w:rPr>
          <w:sz w:val="20"/>
          <w:szCs w:val="20"/>
          <w:color w:val="auto"/>
        </w:rPr>
      </w:pPr>
      <w:r>
        <w:rPr>
          <w:rFonts w:ascii="Arial" w:cs="Arial" w:eastAsia="Arial" w:hAnsi="Arial"/>
          <w:sz w:val="18"/>
          <w:szCs w:val="18"/>
          <w:color w:val="auto"/>
        </w:rPr>
        <w:t>million and $11.2 million of previously accrued interest on uncertain tax positions during the years ended December 31, 2015 and 2014 for a net reduction of $1.3 million and $10.1 million for 2015 and 2014. The reversal related primarily to settlements and other favorable resolution of prior uncertain positions. The total amount of interest accrued for uncertain tax positions is $3.1 million and $4.4 million as of as of December 31, 2015 and 2014. During the year ended December 31, 2015, we paid tax of $1.1 million and interest of $0.1 million to settle certain state and foreign audits of tax years 2006 through 2011 for certain of our subsidiaries and we reduced our previously recorded liability for unrecognized tax benefits accordingly. We have not accrued any penalties relative to uncertain tax positions. We have elected to treat interest and penalties on uncertain tax positions as interest expense and other operating expenses,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the existing unrecognized tax benefits may decrease over the next twelve months by as much as $3.2 million as a result of developments in examinations and/or litigation, or from the expiration of statutes of limitation.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Tax years that remain subject to examination for our major tax jurisdictions as of December 31, 2015:</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Statute remains open</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2005-2013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Tax years currently under examination/exam completed</w:t>
            </w:r>
          </w:p>
        </w:tc>
        <w:tc>
          <w:tcPr>
            <w:tcW w:w="4100" w:type="dxa"/>
            <w:vAlign w:val="bottom"/>
          </w:tcPr>
          <w:p>
            <w:pPr>
              <w:jc w:val="right"/>
              <w:spacing w:after="0"/>
              <w:rPr>
                <w:sz w:val="20"/>
                <w:szCs w:val="20"/>
                <w:color w:val="auto"/>
              </w:rPr>
            </w:pPr>
            <w:r>
              <w:rPr>
                <w:rFonts w:ascii="Arial" w:cs="Arial" w:eastAsia="Arial" w:hAnsi="Arial"/>
                <w:sz w:val="18"/>
                <w:szCs w:val="18"/>
                <w:color w:val="auto"/>
              </w:rPr>
              <w:t>2005-2013</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years not examined</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2014-2015</w:t>
            </w:r>
          </w:p>
        </w:tc>
      </w:tr>
      <w:tr>
        <w:trPr>
          <w:trHeight w:val="27"/>
        </w:trPr>
        <w:tc>
          <w:tcPr>
            <w:tcW w:w="73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Business Segments</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report financial and descriptive information about our reportable operating segments on a basis consistent with that used internally for evaluating segment performance and allocating resources to segments. We evaluate performance primarily on operating income and return on invested capital.</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charge management fees and other corporate services to our segments based upon usage or on an overhead allocation basis. Corporate and other operating losses represent operating expenses of the holding company, including compensation and benefits and professional services for all periods presented. Corporate identifiable assets primarily refer to cash, cash equivalents, restricted cash and deferred debt issuance costs as well as our investment in JHJ. Intersegment revenue relates to transportation services between our segments.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foreign sources totaled $116.5 million, $137.5 million, and $139.5 million in 2015, 2014 and 2013, respectively, and is mainly derived from Canada and, to a lesser extent, Mexico. Long-lived assets located in foreign countries totaled $6.5 million, $8.7 million and $12.4 million at December 31, 2015, 2014, and 2013,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3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13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YRC Freight</w:t>
            </w:r>
          </w:p>
        </w:tc>
        <w:tc>
          <w:tcPr>
            <w:tcW w:w="260" w:type="dxa"/>
            <w:vAlign w:val="bottom"/>
          </w:tcPr>
          <w:p>
            <w:pPr>
              <w:spacing w:after="0"/>
              <w:rPr>
                <w:sz w:val="14"/>
                <w:szCs w:val="14"/>
                <w:color w:val="auto"/>
              </w:rPr>
            </w:pPr>
          </w:p>
        </w:tc>
        <w:tc>
          <w:tcPr>
            <w:tcW w:w="1320" w:type="dxa"/>
            <w:vAlign w:val="bottom"/>
          </w:tcPr>
          <w:p>
            <w:pPr>
              <w:jc w:val="right"/>
              <w:ind w:right="412"/>
              <w:spacing w:after="0"/>
              <w:rPr>
                <w:sz w:val="20"/>
                <w:szCs w:val="20"/>
                <w:color w:val="auto"/>
              </w:rPr>
            </w:pPr>
            <w:r>
              <w:rPr>
                <w:rFonts w:ascii="Arial" w:cs="Arial" w:eastAsia="Arial" w:hAnsi="Arial"/>
                <w:sz w:val="14"/>
                <w:szCs w:val="14"/>
                <w:b w:val="1"/>
                <w:bCs w:val="1"/>
                <w:color w:val="auto"/>
              </w:rPr>
              <w:t>Regional</w:t>
            </w: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Corporate/Eliminations</w:t>
            </w:r>
          </w:p>
        </w:tc>
        <w:tc>
          <w:tcPr>
            <w:tcW w:w="280" w:type="dxa"/>
            <w:vAlign w:val="bottom"/>
          </w:tcPr>
          <w:p>
            <w:pPr>
              <w:spacing w:after="0"/>
              <w:rPr>
                <w:sz w:val="14"/>
                <w:szCs w:val="14"/>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Transportation</w:t>
            </w:r>
          </w:p>
        </w:tc>
        <w:tc>
          <w:tcPr>
            <w:tcW w:w="16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3,055.7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1,776.9</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4,832.4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85.4</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1,351.5</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652.9</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(109.8)</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1,894.6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93.1</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70.7</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7"/>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2014</w:t>
            </w:r>
          </w:p>
        </w:tc>
        <w:tc>
          <w:tcPr>
            <w:tcW w:w="8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3,237.4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1,831.4</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5,068.8</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66.1</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1,462.1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685.7</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98.0</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65.8</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3,136.8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1,728.6</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4,865.4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79.9</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1,513.4</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698.4</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(146.9)</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2,064.9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109.1</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63.1</w:t>
            </w: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Shareholders’ Deficit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the “Debt and Financing” footnote, on January 31, 2014, we issued 14,333,334 shares of our Common Stock and 583,334 of our Convertible Preferred Stock pursuant to the Stock Purchase Agreements, for an aggregate $250.0 million in cash. On March 14, 2014, the Company held a special meeting of stockholders at which our stockholders approved amending our Certificate of Incorporation to increase the number of authorized shares of Common Stock to 95.0 million and to allow an investor involved in the 2014 Financing Transactions to own more than 19.99% of outstanding Common Stock. Upon approval of these amendments, each outstanding share of Convertible Preferred Stock automatically converted into four shares of Common Stock and the Company recorded $18.1 million related to the amortization of the beneficial conversion feature on preferred stock on the statements of consolidated comprehensive income (loss).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2011, the Company designated one of its authorized shares of preferred stock as its Series A Voting Preferred Stock. The Series A Voting Preferred Stock has a $1 liquidation value and entitles the holder to elect two directors to the Company’s Board of Directors. The one share of Series A Voting Preferred Stock was issued to the IBT on July 22, 2011 in connection with the restructuring. The Series A Voting Preferred Stock was recorded at its liquidation value.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3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The following reflects the activity in the shares of our preferred and common stock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Preferred Shares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9"/>
              </w:rPr>
              <w:t>Common Shares</w:t>
            </w:r>
          </w:p>
        </w:tc>
        <w:tc>
          <w:tcPr>
            <w:tcW w:w="660" w:type="dxa"/>
            <w:vAlign w:val="bottom"/>
          </w:tcPr>
          <w:p>
            <w:pPr>
              <w:spacing w:after="0"/>
              <w:rPr>
                <w:sz w:val="16"/>
                <w:szCs w:val="16"/>
                <w:color w:val="auto"/>
              </w:rPr>
            </w:pPr>
          </w:p>
        </w:tc>
      </w:tr>
      <w:tr>
        <w:trPr>
          <w:trHeight w:val="276"/>
        </w:trPr>
        <w:tc>
          <w:tcPr>
            <w:tcW w:w="6020" w:type="dxa"/>
            <w:vAlign w:val="bottom"/>
            <w:tcBorders>
              <w:bottom w:val="single" w:sz="8" w:color="auto"/>
            </w:tcBorders>
            <w:gridSpan w:val="2"/>
          </w:tcPr>
          <w:p>
            <w:pPr>
              <w:ind w:left="5740"/>
              <w:spacing w:after="0"/>
              <w:rPr>
                <w:sz w:val="20"/>
                <w:szCs w:val="20"/>
                <w:color w:val="auto"/>
              </w:rPr>
            </w:pPr>
            <w:r>
              <w:rPr>
                <w:rFonts w:ascii="Arial" w:cs="Arial" w:eastAsia="Arial" w:hAnsi="Arial"/>
                <w:sz w:val="14"/>
                <w:szCs w:val="14"/>
                <w:b w:val="1"/>
                <w:bCs w:val="1"/>
                <w:color w:val="auto"/>
                <w:w w:val="83"/>
              </w:rPr>
              <w:t>2015</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2013</w:t>
            </w: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30,667</w:t>
            </w:r>
          </w:p>
        </w:tc>
        <w:tc>
          <w:tcPr>
            <w:tcW w:w="11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10,173</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7,976</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Issuance of Common Shares</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14,333</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Convertible Preferred Shares</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583</w:t>
            </w: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Conversion of Preferred Shares to Common Shares</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(583)</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2,333</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equity in exchange for debt</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1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3,471</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1,929</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Issuance of equity awards, net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479</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357</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268</w:t>
            </w:r>
          </w:p>
        </w:tc>
      </w:tr>
      <w:tr>
        <w:trPr>
          <w:trHeight w:val="27"/>
        </w:trPr>
        <w:tc>
          <w:tcPr>
            <w:tcW w:w="5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32,141</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30,667</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10,173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Term Loan agreement in place as of December 31, 2015, restricts the ability of YRC Worldwide to declare dividends on its outstanding capital stock.</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Earnings (Loss) Per Share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basic earnings (loss) per share by dividing our net earnings (loss) by our weighted-average shares outstanding at the end of the period. The calculation for diluted earnings per share adjusts the weighted average shares outstanding for our dilutive unvested shares and stock units using the treasury stock method and for our convertible notes using the if-converted method. Our calculations for basic and dilutive earnings (loss) per share for the years ended December 31, 2015, 2014, and 2013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 except per share data, shares and stock units in thousands)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dilutive net income (loss) available to common shareholders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324"/>
        </w:trPr>
        <w:tc>
          <w:tcPr>
            <w:tcW w:w="6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28,592</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9,332</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Unvested shares and stock units</w:t>
            </w:r>
            <w:r>
              <w:rPr>
                <w:rFonts w:ascii="Arial" w:cs="Arial" w:eastAsia="Arial" w:hAnsi="Arial"/>
                <w:sz w:val="25"/>
                <w:szCs w:val="25"/>
                <w:color w:val="auto"/>
                <w:vertAlign w:val="superscript"/>
              </w:rPr>
              <w:t>(b)</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Series B Notes</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weighted average shares outstanding</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28,592</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7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Basic earnings (loss) per share</w:t>
            </w:r>
            <w:r>
              <w:rPr>
                <w:rFonts w:ascii="Arial" w:cs="Arial" w:eastAsia="Arial" w:hAnsi="Arial"/>
                <w:sz w:val="25"/>
                <w:szCs w:val="25"/>
                <w:color w:val="auto"/>
                <w:vertAlign w:val="superscript"/>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63"/>
        </w:trPr>
        <w:tc>
          <w:tcPr>
            <w:tcW w:w="6700" w:type="dxa"/>
            <w:vAlign w:val="bottom"/>
          </w:tcPr>
          <w:p>
            <w:pPr>
              <w:ind w:left="20"/>
              <w:spacing w:after="0" w:line="263" w:lineRule="exact"/>
              <w:rPr>
                <w:sz w:val="20"/>
                <w:szCs w:val="20"/>
                <w:color w:val="auto"/>
              </w:rPr>
            </w:pPr>
            <w:r>
              <w:rPr>
                <w:rFonts w:ascii="Arial" w:cs="Arial" w:eastAsia="Arial" w:hAnsi="Arial"/>
                <w:sz w:val="18"/>
                <w:szCs w:val="18"/>
                <w:color w:val="auto"/>
              </w:rPr>
              <w:t>Diluted earnings (loss) per share</w:t>
            </w:r>
            <w:r>
              <w:rPr>
                <w:rFonts w:ascii="Arial" w:cs="Arial" w:eastAsia="Arial" w:hAnsi="Arial"/>
                <w:sz w:val="25"/>
                <w:szCs w:val="25"/>
                <w:color w:val="auto"/>
                <w:vertAlign w:val="superscript"/>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(8.96)</w:t>
            </w:r>
          </w:p>
        </w:tc>
      </w:tr>
    </w:tbl>
    <w:p>
      <w:pPr>
        <w:ind w:left="220" w:hanging="131"/>
        <w:spacing w:after="0"/>
        <w:tabs>
          <w:tab w:leader="none" w:pos="220" w:val="left"/>
        </w:tabs>
        <w:numPr>
          <w:ilvl w:val="0"/>
          <w:numId w:val="65"/>
        </w:numPr>
        <w:rPr>
          <w:rFonts w:ascii="Arial" w:cs="Arial" w:eastAsia="Arial" w:hAnsi="Arial"/>
          <w:sz w:val="9"/>
          <w:szCs w:val="9"/>
          <w:color w:val="auto"/>
        </w:rPr>
      </w:pPr>
      <w:r>
        <w:rPr>
          <w:rFonts w:ascii="Arial" w:cs="Arial" w:eastAsia="Arial" w:hAnsi="Arial"/>
          <w:sz w:val="14"/>
          <w:szCs w:val="14"/>
          <w:color w:val="auto"/>
        </w:rPr>
        <w:t>Earnings (loss) per share is based on unrounded figures and not the rounded figures presented.</w:t>
      </w:r>
    </w:p>
    <w:p>
      <w:pPr>
        <w:spacing w:after="0" w:line="1" w:lineRule="exact"/>
        <w:rPr>
          <w:rFonts w:ascii="Arial" w:cs="Arial" w:eastAsia="Arial" w:hAnsi="Arial"/>
          <w:sz w:val="9"/>
          <w:szCs w:val="9"/>
          <w:color w:val="auto"/>
        </w:rPr>
      </w:pPr>
    </w:p>
    <w:p>
      <w:pPr>
        <w:ind w:left="220" w:hanging="131"/>
        <w:spacing w:after="0"/>
        <w:tabs>
          <w:tab w:leader="none" w:pos="220" w:val="left"/>
        </w:tabs>
        <w:numPr>
          <w:ilvl w:val="0"/>
          <w:numId w:val="65"/>
        </w:numPr>
        <w:rPr>
          <w:rFonts w:ascii="Arial" w:cs="Arial" w:eastAsia="Arial" w:hAnsi="Arial"/>
          <w:sz w:val="9"/>
          <w:szCs w:val="9"/>
          <w:color w:val="auto"/>
        </w:rPr>
      </w:pPr>
      <w:r>
        <w:rPr>
          <w:rFonts w:ascii="Arial" w:cs="Arial" w:eastAsia="Arial" w:hAnsi="Arial"/>
          <w:sz w:val="14"/>
          <w:szCs w:val="14"/>
          <w:color w:val="auto"/>
        </w:rPr>
        <w:t>Includes unvested shares of Common Stock, unvested stock units, and vested stock units for which the underlying Common Stock has not been distributed.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Given our net loss position for the years ended December 31, 2014 and 2013, there are no dilutive securities for these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anti-dilutive securities for the years ended December 31 are as follows:</w:t>
      </w:r>
    </w:p>
    <w:p>
      <w:pPr>
        <w:spacing w:after="0" w:line="379"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(shares and stock units in thousands)</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r>
      <w:tr>
        <w:trPr>
          <w:trHeight w:val="270"/>
        </w:trPr>
        <w:tc>
          <w:tcPr>
            <w:tcW w:w="4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Anti-dilutive unvested shares, options, and stock units</w:t>
            </w:r>
            <w:r>
              <w:rPr>
                <w:rFonts w:ascii="Arial" w:cs="Arial" w:eastAsia="Arial" w:hAnsi="Arial"/>
                <w:sz w:val="25"/>
                <w:szCs w:val="25"/>
                <w:color w:val="auto"/>
                <w:vertAlign w:val="superscript"/>
              </w:rPr>
              <w:t>(a)</w:t>
            </w: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71</w:t>
            </w:r>
          </w:p>
        </w:tc>
        <w:tc>
          <w:tcPr>
            <w:tcW w:w="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7"/>
              </w:rPr>
              <w:t>1,072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Anti-dilutive 6% Notes</w:t>
            </w:r>
          </w:p>
        </w:tc>
        <w:tc>
          <w:tcPr>
            <w:tcW w:w="1180" w:type="dxa"/>
            <w:vAlign w:val="bottom"/>
          </w:tcPr>
          <w:p>
            <w:pPr>
              <w:spacing w:after="0"/>
              <w:rPr>
                <w:sz w:val="21"/>
                <w:szCs w:val="21"/>
                <w:color w:val="auto"/>
              </w:rPr>
            </w:pPr>
          </w:p>
        </w:tc>
        <w:tc>
          <w:tcPr>
            <w:tcW w:w="128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Anti-dilutive Series A Notes</w:t>
            </w:r>
          </w:p>
        </w:tc>
        <w:tc>
          <w:tcPr>
            <w:tcW w:w="1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Anti-dilutive Series B Notes</w:t>
            </w:r>
          </w:p>
        </w:tc>
        <w:tc>
          <w:tcPr>
            <w:tcW w:w="1180" w:type="dxa"/>
            <w:vAlign w:val="bottom"/>
          </w:tcPr>
          <w:p>
            <w:pPr>
              <w:spacing w:after="0"/>
              <w:rPr>
                <w:sz w:val="21"/>
                <w:szCs w:val="21"/>
                <w:color w:val="auto"/>
              </w:rPr>
            </w:pPr>
          </w:p>
        </w:tc>
        <w:tc>
          <w:tcPr>
            <w:tcW w:w="128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982</w:t>
            </w:r>
          </w:p>
        </w:tc>
        <w:tc>
          <w:tcPr>
            <w:tcW w:w="1080" w:type="dxa"/>
            <w:vAlign w:val="bottom"/>
          </w:tcPr>
          <w:p>
            <w:pPr>
              <w:jc w:val="right"/>
              <w:spacing w:after="0"/>
              <w:rPr>
                <w:sz w:val="20"/>
                <w:szCs w:val="20"/>
                <w:color w:val="auto"/>
              </w:rPr>
            </w:pPr>
            <w:r>
              <w:rPr>
                <w:rFonts w:ascii="Arial" w:cs="Arial" w:eastAsia="Arial" w:hAnsi="Arial"/>
                <w:sz w:val="18"/>
                <w:szCs w:val="18"/>
                <w:color w:val="auto"/>
              </w:rPr>
              <w:t>4,219</w:t>
            </w:r>
          </w:p>
        </w:tc>
      </w:tr>
    </w:tbl>
    <w:p>
      <w:pPr>
        <w:spacing w:after="0" w:line="89" w:lineRule="exact"/>
        <w:rPr>
          <w:sz w:val="20"/>
          <w:szCs w:val="20"/>
          <w:color w:val="auto"/>
        </w:rPr>
      </w:pPr>
    </w:p>
    <w:p>
      <w:pPr>
        <w:ind w:left="140" w:hanging="132"/>
        <w:spacing w:after="0"/>
        <w:tabs>
          <w:tab w:leader="none" w:pos="140" w:val="left"/>
        </w:tabs>
        <w:numPr>
          <w:ilvl w:val="0"/>
          <w:numId w:val="66"/>
        </w:numPr>
        <w:rPr>
          <w:rFonts w:ascii="Arial" w:cs="Arial" w:eastAsia="Arial" w:hAnsi="Arial"/>
          <w:sz w:val="9"/>
          <w:szCs w:val="9"/>
          <w:color w:val="auto"/>
        </w:rPr>
      </w:pPr>
      <w:r>
        <w:rPr>
          <w:rFonts w:ascii="Arial" w:cs="Arial" w:eastAsia="Arial" w:hAnsi="Arial"/>
          <w:sz w:val="14"/>
          <w:szCs w:val="14"/>
          <w:color w:val="auto"/>
        </w:rPr>
        <w:t>Includes unvested shares of Common Stock, unvested stock units, and vested stock units for which the underlying Common Stock has not been distributed.</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30" w:right="2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12.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 rental expenses under noncancelable lease agreements for certain buildings and operating equipment. Rental expense is charged to “Operating expense and supplies” or “Purchased transportation” on the accompanying statements of operations. Rental expense was $119.3 million, $98.7 million and $76.0 million for the years ended December 31, 2015,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we were committed under noncancelable lease agreements requiring minimum annual rentals payable as follows:</w:t>
      </w:r>
    </w:p>
    <w:p>
      <w:pPr>
        <w:spacing w:after="0" w:line="163"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annual rentals</w:t>
            </w:r>
          </w:p>
        </w:tc>
        <w:tc>
          <w:tcPr>
            <w:tcW w:w="14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80.0</w:t>
            </w:r>
          </w:p>
        </w:tc>
        <w:tc>
          <w:tcPr>
            <w:tcW w:w="88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68.8</w:t>
            </w:r>
          </w:p>
        </w:tc>
        <w:tc>
          <w:tcPr>
            <w:tcW w:w="8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51.2</w:t>
            </w:r>
          </w:p>
        </w:tc>
        <w:tc>
          <w:tcPr>
            <w:tcW w:w="78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25.7</w:t>
            </w:r>
          </w:p>
        </w:tc>
      </w:tr>
      <w:tr>
        <w:trPr>
          <w:trHeight w:val="27"/>
        </w:trPr>
        <w:tc>
          <w:tcPr>
            <w:tcW w:w="2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in the ordinary course of business that leases will be renewed or replaced as they expire. The leases provide for fixed and escalating rentals and contingent escalating rentals based on the Consumer Price Index not to exceed certain specified amounts. We record rent expense for our operating leases on a straight-line basis over the base term of the lease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we have $21.2 million committed for capital expenditures to be completed during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Bryant Holdings Securities Litigation</w:t>
      </w:r>
    </w:p>
    <w:p>
      <w:pPr>
        <w:spacing w:after="0" w:line="3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7, 2011, a putative class action was filed by Bryant Holdings LLC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individual defendants are former officers of our Company. No current officers or directors were named in the lawsuit. The parties participated in voluntary mediation between March 11, 2013 and April 15, 2013. The mediation resulted in the execution of a mutually acceptable settlement agreement by the parties. Plaintiffs’ fourth motion to approve settlement was denied by the district court in October 2015, and the Company continues to consider all options going forward. Substantially all of the payments contemplated by the settlement would be covered by our liability insurance. The self-insured retention on this matter has been accrued. On March 4, 2015, the district court set the case for trial on the individual claims beginning June 6,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Labor Law Change</w:t>
      </w:r>
    </w:p>
    <w:p>
      <w:pPr>
        <w:spacing w:after="0" w:line="3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October 2015, California adopted new rules governing the payment of piece-rate compensation. New California Labor Code section 226.2 sets forth requirements for the payment of a separate hourly wage for “nonproductive” time worked by piece-rate employees, and separate payment for compensable rest and recovery periods to those employees. The Company continues to assess the impact of this new law and ongoing compliance measures.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Incidental to the Company's business in the ordinary course, our equipment is involved in motor vehicle accidents and experiences damage, mechanical failures and cargo issues. From time to time, these matters result in the discharge of hazardous materials into the environment. The Company is sometimes responsible for the clean-up and remediation costs associated with these discharges, depending on local regulations and who is determined to be at fault. In 2015, 2014, and 2013, the Company spent approximately $8.1 million, $8.0 million, and $7.9 million, respectively, to comply with applicable laws regulating the discharge of materials into the environment, which included such clean-up and remediation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other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22" w:right="239" w:bottom="1440" w:gutter="0" w:footer="0" w:header="0"/>
        </w:sectPr>
      </w:pPr>
    </w:p>
    <w:bookmarkStart w:id="82" w:name="page83"/>
    <w:bookmarkEnd w:id="82"/>
    <w:p>
      <w:pPr>
        <w:jc w:val="both"/>
        <w:spacing w:after="0" w:line="277" w:lineRule="auto"/>
        <w:rPr>
          <w:sz w:val="20"/>
          <w:szCs w:val="20"/>
          <w:color w:val="auto"/>
        </w:rPr>
      </w:pPr>
      <w:r>
        <w:rPr>
          <w:rFonts w:ascii="Arial" w:cs="Arial" w:eastAsia="Arial" w:hAnsi="Arial"/>
          <w:sz w:val="18"/>
          <w:szCs w:val="18"/>
          <w:color w:val="auto"/>
        </w:rPr>
        <w:t>date of these financial statements, we believe that our financial statements include adequate provisions for estimated costs and losses that may be incurred within the litigation and proceedings to which we are a party.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Related Party Transactions</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20, 2013, we entered into an Advisory Agreement with MAEVA Group, LLC (“MAEVA”), a company owned and controlled by Harry J. Wilson and of which Mr. Wilson is Chairman and CEO. Mr. Wilson served until March 2, 2014 as a director of the Company appointed by the IBT pursuant to its rights as a holder of the Series A Voting Preferred Stock and was not an independent director of the Company. Under the Advisory Agreement, MAEVA provided advisory, analytical, consulting and other services to us in connection with one or more potential transactions and/or other strategic initiatives.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paid MAEVA a $5.5 million completion fee in January 2014 in connection with the completion of the 2014 Financing Transactions. Additionally in February 2014, we paid MAEVA an incremental fee of $3.5 million in recognition of its critical role and performance in designing and leading a series of highly complicated, challenging and interdependent transactions that were critical to the Company’s 2014 Financing Transactions. The term of the Advisory Agreement was extended for the first two months of 2014 in connection with the implementation of the 2014 Financing Transactions. Our entry into the Advisory Agreement and the fees paid to MAEVA in connection with the 2014 Financing Transactions were approved by the independent members of the Board.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3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YRC Worldwide Inc. and subsidiaries (the Company) as of December 31, 2015 and 2014, and the related statements of consolidated operations, comprehensive income (loss), shareholders’ deficit, and cash flows for each of the years in the three-year period ended December 31,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YRC Worldwide Inc. and subsidiaries as of December 31, 2015 and 2014, and the results of their operations and their cash flows for each of the years in the three-year period ended December 31, 2015,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YRC Worldwide Inc.’s internal control over financial reporting as of December 31, 2015,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and our report dated February 18, 2016 expressed an unqualified opinion on the effectiveness of the Company’s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3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YRC Worldwide Inc.’s internal control over financial reporting as of December 31, 2015,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Committee of Sponsoring Organizations of the Treadway Commission (COSO). YRC Worldwide Inc.’s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of the December 31, 2015 annual report on Form 10-K. Our responsibility is to express an opinion on YRC Worldwide Inc.’s internal control over financial reporting based on our audit.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YRC Worldwide Inc.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YRC Worldwide Inc. and subsidiaries as of December 31, 2015 and 2014, and the related statements of consolidated operations, comprehensive income (loss), shareholders’ deficit, and cash flows for each of the years in the three-year period ended December 31, 2015, and our report dated February 18, 2016 expressed an unqualified opinion on those consolidated financial statements.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4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December 31, 2015 and has concluded that our disclosure controls and procedures were effective as of December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is responsible for establishing and maintaining effective internal control over our financial reporting, which is designed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Our management assessed the effectiveness of our system of internal control over financial reporting as of December 31, 2015 based on the framework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its assessment using those criteria, our management concluded that, as of December 31, 2015, our system of internal control over financial reporting was effective.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KPMG LLP, the independent registered public accounting firm that audited our December 31, 2015 consolidated financial statements, has issued an audit report on our system of internal control over financial reporting. The KPMG LLP audit report is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December 31, 2015 that have materially affected, or are reasonably likely to materially affect, the Company’s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3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and Executive Officers of the Registrant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General Instruction G to Form 10-K, the information required by this item, other than information regarding (i) our executive officers, which is incorporated by reference to Part I of this Form 10-K under the heading “Executive Officers of the Registrant,” and (ii) our code of ethics, which is described below and titled the “Code of Business Conduct,” is included under the captions “Directors to be Elected by our Stockholders,” “Directors Selected by the Holder of our Series A Preferred Stock,” “Stockholder Proposals and Communications with our Board,” “Structure and Functioning of the Board-Audit &amp; Ethics Committee” and “Section 16(a) Beneficial Ownership Reporting Compliance” in our Proxy Statement related to the 2016 Annual Meeting of Stockholders and is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written Code of Business Conduct that applies to all of our directors, officers and employees, including our chief executive officer, chief financial officer and chief accounting officer. It is available under “Board Committee Charters and Code of Business Conduct” on our website located at www.yrcw.com. We intend to disclose any amendments to our Code of Business Conduct by posting such information on our website located at www.yrcw.com, other than technical, administrative or non-substantive amendments, and any waivers, including implicit waivers, from any provision of our Code of Business Conduct that applies to our principal executive officer, principal financial officer, principal accounting officer or controller, which information will be disclosed via SEC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the information required by this item is included under the captions “Compensation Committee Interlocks and Insider Participation,” “Director Compensation,” “Compensation Discussion and Analysis,” “Compensation Committee Report” and “Executive Compensation” in our Proxy Statement related to the 2016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“Security Ownership of Management and Directors,” “Security Ownership of Certain Beneficial Owners” and “Equity Compensation Plan Information” in our Proxy Statement related to the 2016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“Structure and Functioning of the Board” and “Certain Relationships and Related Transactions” and “Related Party Transaction Policies and Procedures” in our Proxy Statement related to the 2016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Accounting Fees and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 “Audit and Audit-Related Fees” in our Proxy Statement related to the 2016 Annual Meeting of Stockholders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26" w:right="239" w:bottom="1440"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PART IV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the Company included under Item 8 -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10800" w:type="dxa"/>
            <w:vAlign w:val="bottom"/>
          </w:tcPr>
          <w:p>
            <w:pPr>
              <w:ind w:left="260"/>
              <w:spacing w:after="0"/>
              <w:rPr>
                <w:sz w:val="20"/>
                <w:szCs w:val="20"/>
                <w:color w:val="auto"/>
              </w:rPr>
            </w:pPr>
            <w:r>
              <w:rPr>
                <w:rFonts w:ascii="Arial" w:cs="Arial" w:eastAsia="Arial" w:hAnsi="Arial"/>
                <w:sz w:val="18"/>
                <w:szCs w:val="18"/>
                <w:color w:val="auto"/>
                <w:w w:val="94"/>
              </w:rPr>
              <w:t>Amended and Restated Certificate of Incorporation of the Company (incorporated by reference to Exhibit 3.1 to Current Report on Form 8-K,</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filed on September 16,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10800" w:type="dxa"/>
            <w:vAlign w:val="bottom"/>
          </w:tcPr>
          <w:p>
            <w:pPr>
              <w:ind w:left="260"/>
              <w:spacing w:after="0"/>
              <w:rPr>
                <w:sz w:val="20"/>
                <w:szCs w:val="20"/>
                <w:color w:val="auto"/>
              </w:rPr>
            </w:pPr>
            <w:r>
              <w:rPr>
                <w:rFonts w:ascii="Arial" w:cs="Arial" w:eastAsia="Arial" w:hAnsi="Arial"/>
                <w:sz w:val="18"/>
                <w:szCs w:val="18"/>
                <w:color w:val="auto"/>
                <w:w w:val="97"/>
              </w:rPr>
              <w:t>Certificate of Amendment to the Certificate of Incorporation of the Company reducing the number of authorized shares (incorporated by</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reference to Exhibit 3.1 to Current Report on Form 8-K, filed on December 1,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3.1.3</w:t>
            </w:r>
          </w:p>
        </w:tc>
        <w:tc>
          <w:tcPr>
            <w:tcW w:w="10800" w:type="dxa"/>
            <w:vAlign w:val="bottom"/>
          </w:tcPr>
          <w:p>
            <w:pPr>
              <w:ind w:left="260"/>
              <w:spacing w:after="0"/>
              <w:rPr>
                <w:sz w:val="20"/>
                <w:szCs w:val="20"/>
                <w:color w:val="auto"/>
              </w:rPr>
            </w:pPr>
            <w:r>
              <w:rPr>
                <w:rFonts w:ascii="Arial" w:cs="Arial" w:eastAsia="Arial" w:hAnsi="Arial"/>
                <w:sz w:val="18"/>
                <w:szCs w:val="18"/>
                <w:color w:val="auto"/>
                <w:w w:val="93"/>
              </w:rPr>
              <w:t>Certificate of Elimination of Series B Convertible Preferred Stock (incorporated by reference to Exhibit 3.2 to Current Report on Form 8-K, filed</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on December 1,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3.1.4</w:t>
            </w:r>
          </w:p>
        </w:tc>
        <w:tc>
          <w:tcPr>
            <w:tcW w:w="10800" w:type="dxa"/>
            <w:vAlign w:val="bottom"/>
          </w:tcPr>
          <w:p>
            <w:pPr>
              <w:ind w:left="260"/>
              <w:spacing w:after="0"/>
              <w:rPr>
                <w:sz w:val="20"/>
                <w:szCs w:val="20"/>
                <w:color w:val="auto"/>
              </w:rPr>
            </w:pPr>
            <w:r>
              <w:rPr>
                <w:rFonts w:ascii="Arial" w:cs="Arial" w:eastAsia="Arial" w:hAnsi="Arial"/>
                <w:sz w:val="18"/>
                <w:szCs w:val="18"/>
                <w:color w:val="auto"/>
                <w:w w:val="92"/>
              </w:rPr>
              <w:t>Certificate of Designations of Series A Voting Preferred Stock (incorporated by reference to Exhibit 3.1 to Current Report on Form 8-K, filed on</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July 25,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3.1.5</w:t>
            </w:r>
          </w:p>
        </w:tc>
        <w:tc>
          <w:tcPr>
            <w:tcW w:w="10800" w:type="dxa"/>
            <w:vAlign w:val="bottom"/>
          </w:tcPr>
          <w:p>
            <w:pPr>
              <w:ind w:left="260"/>
              <w:spacing w:after="0"/>
              <w:rPr>
                <w:sz w:val="20"/>
                <w:szCs w:val="20"/>
                <w:color w:val="auto"/>
              </w:rPr>
            </w:pPr>
            <w:r>
              <w:rPr>
                <w:rFonts w:ascii="Arial" w:cs="Arial" w:eastAsia="Arial" w:hAnsi="Arial"/>
                <w:sz w:val="18"/>
                <w:szCs w:val="18"/>
                <w:color w:val="auto"/>
                <w:w w:val="93"/>
              </w:rPr>
              <w:t>Certificate of Amendment of the Certificate of Incorporation of the Company amending the number of authorized capital stock (incorporated by</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reference to Exhibit 3.1 to Current Report on Form 8-K, filed on March 17, 2014,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Amended and Restated Bylaws of the Company, adopted as of September 16, 2011 (incorporated by reference to Exhibit 3.2 to Current Report on</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Form 8-K, filed on September 16,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tcPr>
          <w:p>
            <w:pPr>
              <w:ind w:left="260"/>
              <w:spacing w:after="0"/>
              <w:rPr>
                <w:sz w:val="20"/>
                <w:szCs w:val="20"/>
                <w:color w:val="auto"/>
              </w:rPr>
            </w:pPr>
            <w:r>
              <w:rPr>
                <w:rFonts w:ascii="Arial" w:cs="Arial" w:eastAsia="Arial" w:hAnsi="Arial"/>
                <w:sz w:val="18"/>
                <w:szCs w:val="18"/>
                <w:color w:val="auto"/>
                <w:w w:val="93"/>
              </w:rPr>
              <w:t>Amended and Restated Certificate of Incorporation of the Company (incorporated by reference to Exhibit 3.1.1 to this Annual Report on Form</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2"/>
              </w:rPr>
              <w:t>10-K), Certificate of Amendment to the Certificate of Incorporation (incorporated by reference to Exhibit 3.1.2 to this Annual Report on Form 10-</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4"/>
              </w:rPr>
              <w:t>K) and Certificate of Elimination of Series B Convertible Preferred Stock (incorporated by reference to Exhibit 3.1.3 to this Annual Report on</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2"/>
              </w:rPr>
              <w:t>Form 10-K) and Certificate of Amendment to the Certificate of Incorporation (incorporated by reference to Exhibit 3.1.5 to this Annual Report on</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Form 10-K.</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tcPr>
          <w:p>
            <w:pPr>
              <w:ind w:left="260"/>
              <w:spacing w:after="0"/>
              <w:rPr>
                <w:sz w:val="20"/>
                <w:szCs w:val="20"/>
                <w:color w:val="auto"/>
              </w:rPr>
            </w:pPr>
            <w:r>
              <w:rPr>
                <w:rFonts w:ascii="Arial" w:cs="Arial" w:eastAsia="Arial" w:hAnsi="Arial"/>
                <w:sz w:val="18"/>
                <w:szCs w:val="18"/>
                <w:color w:val="auto"/>
              </w:rPr>
              <w:t>Amended and Restated Bylaws of the Company (incorporated by reference to Exhibit 3.2 to this Annual Report on Form 10-K).</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4.3</w:t>
            </w:r>
          </w:p>
        </w:tc>
        <w:tc>
          <w:tcPr>
            <w:tcW w:w="10800" w:type="dxa"/>
            <w:vAlign w:val="bottom"/>
          </w:tcPr>
          <w:p>
            <w:pPr>
              <w:ind w:left="260"/>
              <w:spacing w:after="0"/>
              <w:rPr>
                <w:sz w:val="20"/>
                <w:szCs w:val="20"/>
                <w:color w:val="auto"/>
              </w:rPr>
            </w:pPr>
            <w:r>
              <w:rPr>
                <w:rFonts w:ascii="Arial" w:cs="Arial" w:eastAsia="Arial" w:hAnsi="Arial"/>
                <w:sz w:val="18"/>
                <w:szCs w:val="18"/>
                <w:color w:val="auto"/>
                <w:w w:val="93"/>
              </w:rPr>
              <w:t>Certificate of Designations of Series A Voting Preferred Stock (incorporated by reference to Exhibit 3.1.4 to this Annual Report on Form 10-K).</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(10) Material Contracts</w:t>
      </w:r>
    </w:p>
    <w:p>
      <w:pPr>
        <w:spacing w:after="0" w:line="225" w:lineRule="exact"/>
        <w:rPr>
          <w:sz w:val="20"/>
          <w:szCs w:val="20"/>
          <w:color w:val="auto"/>
        </w:rPr>
      </w:pPr>
    </w:p>
    <w:p>
      <w:pPr>
        <w:jc w:val="both"/>
        <w:ind w:left="880" w:hanging="863"/>
        <w:spacing w:after="0" w:line="256"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National Master Freight Agreement, effective April 1, 2008, among the International Brotherhood of Teamsters, YRC Inc. (formerly, Yellow Transportation, Inc. and Roadway Express, Inc.), USF Holland Inc. and New Penn Motor Express, Inc. (incorporated by reference to Exhibit 10.1 to Current Report on Form 8-K, filed on February 11, 2008, File No. 000-12255).</w:t>
      </w: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Amended and Restated Memorandum of Understanding on the Job Security Plan, dated July 9, 2009, among the International Brotherhood of Teamsters, YRC Inc., USF Holland Inc. and New Penn Motor Express, Inc. (incorporated by reference to Exhibit 10.1 to Current Report on Form 8-K, filed on July 14, 2009, File No. 000-12255).</w:t>
      </w:r>
    </w:p>
    <w:p>
      <w:pPr>
        <w:spacing w:after="0" w:line="1" w:lineRule="exact"/>
        <w:rPr>
          <w:sz w:val="20"/>
          <w:szCs w:val="20"/>
          <w:color w:val="auto"/>
        </w:rPr>
      </w:pPr>
    </w:p>
    <w:p>
      <w:pPr>
        <w:jc w:val="both"/>
        <w:ind w:left="880" w:hanging="863"/>
        <w:spacing w:after="0" w:line="265" w:lineRule="auto"/>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Agreement for the Restructuring of the YRC Worldwide Inc. Operating Companies and related Term Sheet/Proposal (the “Restructuring Plan”), dated September 24, 2010, among the International Brotherhood of Teamsters, YRC Inc., USF Holland Inc. and New Penn Motor Express, Inc. (incorporated by reference to Exhibit 10.1 to Current Report on Form 8-K, filed on September 29, 2010,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Certification and Amendment (dated December 31, 2010) and Certification and Second Amendment (dated February 28, 2011) to the Restructuring Plan Term Sheet (incorporated by reference to Exhibit 10.3.4 to Annual Report on Form 10-K for the year ended December 31, 2010, filed on March 14, 2011, File No. 000-12255).</w:t>
      </w:r>
    </w:p>
    <w:p>
      <w:pPr>
        <w:spacing w:after="0" w:line="1" w:lineRule="exact"/>
        <w:rPr>
          <w:sz w:val="20"/>
          <w:szCs w:val="20"/>
          <w:color w:val="auto"/>
        </w:rPr>
      </w:pPr>
    </w:p>
    <w:p>
      <w:pPr>
        <w:jc w:val="both"/>
        <w:ind w:left="880" w:hanging="863"/>
        <w:spacing w:after="0" w:line="254" w:lineRule="auto"/>
        <w:tabs>
          <w:tab w:leader="none" w:pos="8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Extension of the Agreement for the Restructuring of the YRC Worldwide Inc. Operating Companies, dated February 7, 2014, by and among YRC Inc. (d/b/a YRC Freight), USF Holland Inc., New Penn Motor Express, Inc., USF Reddaway Inc. and the Teamsters National Freight Industry Negotiating Committee of the International Brotherhood of Teamsters (incorporated by reference to Exhibit 10.1 to Current Report on Form 8-K, filed on February 10, 2014, File No. 000-12255).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51" w:right="239" w:bottom="1440" w:gutter="0" w:footer="0" w:header="0"/>
        </w:sectPr>
      </w:pPr>
    </w:p>
    <w:bookmarkStart w:id="88" w:name="page89"/>
    <w:bookmarkEnd w:id="88"/>
    <w:p>
      <w:pPr>
        <w:jc w:val="both"/>
        <w:ind w:left="880" w:hanging="863"/>
        <w:spacing w:after="0" w:line="269" w:lineRule="auto"/>
        <w:tabs>
          <w:tab w:leader="none" w:pos="8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Amended and Restated Contribution Deferral Agreement, dated as of July 22, 2011, among YRC Inc., USF Holland Inc., New Penn Motor Express, Inc. and USF Reddaway Inc., collectively as primary obligors, the Trustees for the Central States, Southeast and Southwest Areas Pension Fund, the Wilmington Trust Company, as agent, and the other funds party thereto (incorporated by reference to Exhibit 10.6 to Quarterly Report on Form 10-Q for the quarter ended June 30, 2011, filed on August 8, 2011, File No. 000-12255).</w:t>
      </w:r>
    </w:p>
    <w:p>
      <w:pPr>
        <w:spacing w:after="0" w:line="2" w:lineRule="exact"/>
        <w:rPr>
          <w:sz w:val="20"/>
          <w:szCs w:val="20"/>
          <w:color w:val="auto"/>
        </w:rPr>
      </w:pPr>
    </w:p>
    <w:p>
      <w:pPr>
        <w:jc w:val="both"/>
        <w:ind w:left="880" w:hanging="863"/>
        <w:spacing w:after="0" w:line="281" w:lineRule="auto"/>
        <w:tabs>
          <w:tab w:leader="none" w:pos="8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Consent and First Amendment to the Amended and Restated Contribution Deferral Agreement, dated as of October 17, 2011, among YRC Inc., USF Holland Inc., New Penn Motor Express, Inc. and USF Reddaway Inc., collectively as primary obligors, the Trustees for the Central States, Southeast and Southwest Areas Pension Fund, the Wilmington Trust Company, as agent, and the other funds party thereto (incorporated by reference to Exhibit 10.8.2 to Annual Report on Form 10-K for the year ended December 31, 2011, filed February 28, 2012, File No. 000-12255).</w:t>
      </w:r>
    </w:p>
    <w:p>
      <w:pPr>
        <w:spacing w:after="0" w:line="3" w:lineRule="exact"/>
        <w:rPr>
          <w:sz w:val="20"/>
          <w:szCs w:val="20"/>
          <w:color w:val="auto"/>
        </w:rPr>
      </w:pPr>
    </w:p>
    <w:p>
      <w:pPr>
        <w:jc w:val="both"/>
        <w:ind w:left="880" w:hanging="863"/>
        <w:spacing w:after="0" w:line="265" w:lineRule="auto"/>
        <w:tabs>
          <w:tab w:leader="none" w:pos="8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Consent and Second Amendment to the Amended and Restated Contribution Deferral Agreement, dated as of January 31, 2014, among YRC Inc., USF Holland Inc., New Penn Motor Express, Inc. and USF Reddaway Inc., collectively as primary obligors, the Trustees for the Central States, Southeast and Southwest Areas Pension Fund, the Wilmington Trust Company, as agent, and the other funds party thereto (incorporated by reference to Exhibit 10.1 to the Current Report on Form 8-K, filed on January 31, 2014,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Letter Agreement, dated as of January 29, 2014 and effective as of January 31, 2014, among Central States, Southeast and Southwest Areas Pension Fund, YRC, Inc., USF Holland Inc., New Penn Motor Express, Inc., USF Reddaway Inc., as primary obligors, YRC Worldwide Inc., as primary guarantor, and certain additional guarantors (incorporated by reference to Exhibit 10.2 to Current Report on Form 8-K, filed on January 31, 2014, File No. 000-12255).</w:t>
      </w:r>
    </w:p>
    <w:p>
      <w:pPr>
        <w:spacing w:after="0" w:line="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Credit Agreement, dated as of February 13, 2014, by and among the Company, as borrower, the subsidiaries of the borrower party thereto from time to time, the lenders from time to time party thereto, and Credit Suisse AG, Cayman Islands Branch, as administrative agent and collateral agent for the lenders (incorporated by reference to Exhibit 10.10 to the Annual Report on Form 10-K for the year ended December 31, 2013, filed on March 10, 2014, File No. 000-12255).</w:t>
      </w:r>
    </w:p>
    <w:p>
      <w:pPr>
        <w:spacing w:after="0" w:line="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Amendment No. 1 to Credit Agreement dated as of September 25, 2014, by and among the Company, as borrower, the subsidiaries of the borrower party thereto from time to time, the lenders from time to time party thereto, and Credit Suisse AG, Cayman Islands Branch, as administrative agent and collateral agent for the lenders (incorporated by reference to Exhibit 10.1 to Current Report on Form 8-K, filed on September 25, 2014, File No. 000-12255).</w:t>
      </w:r>
    </w:p>
    <w:p>
      <w:pPr>
        <w:spacing w:after="0" w:line="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Amendment No. 2 to Credit Agreement, by and among the Company, the lenders party thereto and Credit Suisse AG, Cayman Islands Branch, as administrative agent (incorporated by reference to Exhibit 10.1 to Current Report on Form 8-K, filed on September 25, 2015,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Loan and Security Agreement, dated as of February 13, 2014, among the Company, as administrative borrower, the other borrowers named therein, the guarantors named therein, certain financial institutions, as lenders, and RBS Citizens Business Capital a division of RBS Asset Finance, Inc., a subsidiary of RBS Citizens, N.A., as agent, and RBS Citizens, N.A., Merrill Lynch, Pierce, Fenner &amp; Smith and CIT Finance LLC, as joint lead arrangers and joint bookrunners (incorporated by reference to Exhibit 10.11 to Annual Report on Form 10-K for the year ended December 31, 2013, File No. 000-12255).</w:t>
      </w:r>
    </w:p>
    <w:p>
      <w:pPr>
        <w:spacing w:after="0" w:line="2" w:lineRule="exact"/>
        <w:rPr>
          <w:sz w:val="20"/>
          <w:szCs w:val="20"/>
          <w:color w:val="auto"/>
        </w:rPr>
      </w:pPr>
    </w:p>
    <w:p>
      <w:pPr>
        <w:jc w:val="both"/>
        <w:ind w:left="880" w:hanging="863"/>
        <w:spacing w:after="0" w:line="255" w:lineRule="auto"/>
        <w:tabs>
          <w:tab w:leader="none" w:pos="8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Amendment No. 1 to Loan and Security Agreement, by and among the Company, certain of the Company’s subsidiaries party thereto, the lenders party thereto and RBS Citizens Business Capital, as agent (incorporated by reference to Exhibit 10.2 to Current Report on Form 8-K, filed on September 25, 2015, File No. 000-12255) .</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(10) Management Contracts, Compensatory Plans and Arrangements</w:t>
      </w:r>
    </w:p>
    <w:p>
      <w:pPr>
        <w:spacing w:after="0" w:line="225" w:lineRule="exact"/>
        <w:rPr>
          <w:sz w:val="20"/>
          <w:szCs w:val="20"/>
          <w:color w:val="auto"/>
        </w:rPr>
      </w:pPr>
    </w:p>
    <w:p>
      <w:pPr>
        <w:jc w:val="both"/>
        <w:ind w:left="880" w:hanging="863"/>
        <w:spacing w:after="0" w:line="258" w:lineRule="auto"/>
        <w:tabs>
          <w:tab w:leader="none" w:pos="86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YRC Worldwide Inc. Director Compensation Plan, effective December 13, 2013 (incorporated by reference to Exhibit 10.12.3 to the Annual Report on Form 10-K for the year ended December 31, 2013, filed on March 10, 2014,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8"/>
          <w:szCs w:val="18"/>
          <w:color w:val="auto"/>
        </w:rPr>
        <w:t>Form of Director Share Unit Agreement for Non-Employee Director under 2013 Director Compensation Plan (incorporated by reference to the Annual Report on Form 10-K for the year ended December 31, 2013, filed on March 10, 2014,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YRC Worldwide Inc. Director Compensation Plan, effective May 6, 2015 (incorporated by reference to Exhibit 10.1 to Quarterly Report on Form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10-Q for the quarter ended June 30, 2015, File No. 000-12255).</w:t>
      </w:r>
    </w:p>
    <w:p>
      <w:pPr>
        <w:spacing w:after="0" w:line="9"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8"/>
          <w:szCs w:val="18"/>
          <w:color w:val="auto"/>
        </w:rPr>
        <w:t>Form of Director Share Unit Agreement for Non-Employee Director under 2015 Director Compensation Plan (incorporated by reference to Exhibit 10.2 to Quarterly Report on Form 10-Q for the quarter ended June 30, 2015,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Indemnification Agreement between the Company and each of its directors and executive officers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10.5 to Current Report on Form 8-K, filed on March 15, 2007, File No. 000-12255).</w:t>
      </w:r>
    </w:p>
    <w:p>
      <w:pPr>
        <w:spacing w:after="0" w:line="9" w:lineRule="exact"/>
        <w:rPr>
          <w:sz w:val="20"/>
          <w:szCs w:val="20"/>
          <w:color w:val="auto"/>
        </w:rPr>
      </w:pPr>
    </w:p>
    <w:p>
      <w:pPr>
        <w:jc w:val="both"/>
        <w:ind w:left="880" w:right="20" w:hanging="863"/>
        <w:spacing w:after="0" w:line="261" w:lineRule="auto"/>
        <w:tabs>
          <w:tab w:leader="none" w:pos="86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8"/>
          <w:szCs w:val="18"/>
          <w:color w:val="auto"/>
        </w:rPr>
        <w:t>YRC Worldwide Inc. 2011 Incentive and Equity Award Plan (incorporated by reference to Exhibit 99.1 to Registration Statement on Form S-8, filed on November 30, 2011, File No. 333-178223).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30" w:right="239" w:bottom="1440" w:gutter="0" w:footer="0" w:header="0"/>
        </w:sectPr>
      </w:pPr>
    </w:p>
    <w:bookmarkStart w:id="89" w:name="page90"/>
    <w:bookmarkEnd w:id="89"/>
    <w:p>
      <w:pPr>
        <w:jc w:val="both"/>
        <w:ind w:left="880" w:right="20" w:hanging="863"/>
        <w:spacing w:after="0" w:line="258" w:lineRule="auto"/>
        <w:tabs>
          <w:tab w:leader="none" w:pos="86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8"/>
          <w:szCs w:val="18"/>
          <w:color w:val="auto"/>
        </w:rPr>
        <w:t>YRC Worldwide Inc. Amended and Restated 2011 Incentive and Equity Award Plan (incorporated by reference to Exhibit 10.7 to Quarterly Report on Form 10-Q for the quarter ended March 31, 2014, filed on May 1, 2014,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Form of Restricted Stock Agreement under YRC Worldwide Inc. 2011 Incentive and Equity Award Plan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10.29 to Annual Report on Form 10-K for the year ended December 31, 2011, filed on February 28, 2012, File No. 000-12255).</w:t>
      </w:r>
    </w:p>
    <w:p>
      <w:pPr>
        <w:spacing w:after="0" w:line="9"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8"/>
          <w:szCs w:val="18"/>
          <w:color w:val="auto"/>
        </w:rPr>
        <w:t>YRC Worldwide Inc. Supplemental Executive Pension Plan, effective January 1, 2005 (incorporated by reference to Exhibit 10.1 to Current Report on Form 8-K, filed on July 25, 2006,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10.9.2</w:t>
      </w:r>
      <w:r>
        <w:rPr>
          <w:sz w:val="20"/>
          <w:szCs w:val="20"/>
          <w:color w:val="auto"/>
        </w:rPr>
        <w:tab/>
      </w:r>
      <w:r>
        <w:rPr>
          <w:rFonts w:ascii="Arial" w:cs="Arial" w:eastAsia="Arial" w:hAnsi="Arial"/>
          <w:sz w:val="16"/>
          <w:szCs w:val="16"/>
          <w:color w:val="auto"/>
        </w:rPr>
        <w:t>Amendment to YRC Worldwide Inc. Supplemental Executive Pension Plan (incorporated by reference to Exhibit 10.3 to Current Report on Form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8-K, filed on July 8, 2008, File No. 000-12255).</w:t>
      </w:r>
    </w:p>
    <w:p>
      <w:pPr>
        <w:spacing w:after="0" w:line="9"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8"/>
          <w:szCs w:val="18"/>
          <w:color w:val="auto"/>
        </w:rPr>
        <w:t>Second Amendment to YRC Worldwide Inc. Supplemental Executive Pension Plan (incorporated by reference to Exhibit 10.30.3 to Annual Report on Form 10-K for the year ended December 31, 2011, filed February 28, 2012,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10.10.1</w:t>
      </w:r>
      <w:r>
        <w:rPr>
          <w:sz w:val="20"/>
          <w:szCs w:val="20"/>
          <w:color w:val="auto"/>
        </w:rPr>
        <w:tab/>
      </w:r>
      <w:r>
        <w:rPr>
          <w:rFonts w:ascii="Arial" w:cs="Arial" w:eastAsia="Arial" w:hAnsi="Arial"/>
          <w:sz w:val="18"/>
          <w:szCs w:val="18"/>
          <w:color w:val="auto"/>
        </w:rPr>
        <w:t>Yellow Corporation Pension Plan, amended and restated as of January 1, 2004 (incorporated by reference to Exhibit 10.27 to Annual Report on Form 10-K for the year ended December 31, 2003, filed on March 15, 2004, File No. 000-12255).</w:t>
      </w:r>
    </w:p>
    <w:p>
      <w:pPr>
        <w:spacing w:after="0" w:line="1" w:lineRule="exact"/>
        <w:rPr>
          <w:sz w:val="20"/>
          <w:szCs w:val="20"/>
          <w:color w:val="auto"/>
        </w:rPr>
      </w:pPr>
    </w:p>
    <w:p>
      <w:pPr>
        <w:jc w:val="both"/>
        <w:ind w:left="880" w:right="20" w:hanging="863"/>
        <w:spacing w:after="0" w:line="265" w:lineRule="auto"/>
        <w:tabs>
          <w:tab w:leader="none" w:pos="860" w:val="left"/>
        </w:tabs>
        <w:rPr>
          <w:sz w:val="20"/>
          <w:szCs w:val="20"/>
          <w:color w:val="auto"/>
        </w:rPr>
      </w:pPr>
      <w:r>
        <w:rPr>
          <w:rFonts w:ascii="Arial" w:cs="Arial" w:eastAsia="Arial" w:hAnsi="Arial"/>
          <w:sz w:val="18"/>
          <w:szCs w:val="18"/>
          <w:color w:val="auto"/>
        </w:rPr>
        <w:t>10.10.2</w:t>
      </w:r>
      <w:r>
        <w:rPr>
          <w:sz w:val="20"/>
          <w:szCs w:val="20"/>
          <w:color w:val="auto"/>
        </w:rPr>
        <w:tab/>
      </w:r>
      <w:r>
        <w:rPr>
          <w:rFonts w:ascii="Arial" w:cs="Arial" w:eastAsia="Arial" w:hAnsi="Arial"/>
          <w:sz w:val="17"/>
          <w:szCs w:val="17"/>
          <w:color w:val="auto"/>
        </w:rPr>
        <w:t>Amendment No. 1 to Yellow Corporation Pension Plan, as amended and restated as of January 1, 2004 (incorporated by reference to Exhibit 10.2 to Quarterly Report on Form 10-Q for the quarter ended September 30, 2005, filed on November 9, 2005, File No. 000-12255).</w:t>
      </w:r>
    </w:p>
    <w:p>
      <w:pPr>
        <w:spacing w:after="0"/>
        <w:tabs>
          <w:tab w:leader="none" w:pos="860" w:val="left"/>
        </w:tabs>
        <w:rPr>
          <w:sz w:val="20"/>
          <w:szCs w:val="20"/>
          <w:color w:val="auto"/>
        </w:rPr>
      </w:pPr>
      <w:r>
        <w:rPr>
          <w:rFonts w:ascii="Arial" w:cs="Arial" w:eastAsia="Arial" w:hAnsi="Arial"/>
          <w:sz w:val="18"/>
          <w:szCs w:val="18"/>
          <w:color w:val="auto"/>
        </w:rPr>
        <w:t>10.10.3</w:t>
      </w:r>
      <w:r>
        <w:rPr>
          <w:sz w:val="20"/>
          <w:szCs w:val="20"/>
          <w:color w:val="auto"/>
        </w:rPr>
        <w:tab/>
      </w:r>
      <w:r>
        <w:rPr>
          <w:rFonts w:ascii="Arial" w:cs="Arial" w:eastAsia="Arial" w:hAnsi="Arial"/>
          <w:sz w:val="16"/>
          <w:szCs w:val="16"/>
          <w:color w:val="auto"/>
        </w:rPr>
        <w:t>Amendment No. 2 to Yellow Corporation Pension Plan, as amended and restated as of January 1, 2004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10.28.3 to Annual Report on Form 10-K for the year ended December 31, 2010, filed on March 14, 2011, File No. 000-12255).</w:t>
      </w:r>
    </w:p>
    <w:p>
      <w:pPr>
        <w:spacing w:after="0" w:line="9"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10.10.4</w:t>
      </w:r>
      <w:r>
        <w:rPr>
          <w:sz w:val="20"/>
          <w:szCs w:val="20"/>
          <w:color w:val="auto"/>
        </w:rPr>
        <w:tab/>
      </w:r>
      <w:r>
        <w:rPr>
          <w:rFonts w:ascii="Arial" w:cs="Arial" w:eastAsia="Arial" w:hAnsi="Arial"/>
          <w:sz w:val="18"/>
          <w:szCs w:val="18"/>
          <w:color w:val="auto"/>
        </w:rPr>
        <w:t>Amendment No. 3 to Yellow Corporation Pension Plan, as amended and restated as of January 1, 2004 (incorporated by reference to Exhibit 10.2 to Current Report on Form 8-K, filed on July 8, 2008,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10.10.5</w:t>
      </w:r>
      <w:r>
        <w:rPr>
          <w:sz w:val="20"/>
          <w:szCs w:val="20"/>
          <w:color w:val="auto"/>
        </w:rPr>
        <w:tab/>
      </w:r>
      <w:r>
        <w:rPr>
          <w:rFonts w:ascii="Arial" w:cs="Arial" w:eastAsia="Arial" w:hAnsi="Arial"/>
          <w:sz w:val="16"/>
          <w:szCs w:val="16"/>
          <w:color w:val="auto"/>
        </w:rPr>
        <w:t>Amendment No. 4 to Yellow Corporation Pension Plan, as amended and restated as of January 1, 2004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10.22.5 to Annual Report on Form 10-K for the year ended December 31, 2008, filed on March 2, 2009, File No. 000-12255).</w:t>
      </w:r>
    </w:p>
    <w:p>
      <w:pPr>
        <w:spacing w:after="0" w:line="9"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10.10.6</w:t>
      </w:r>
      <w:r>
        <w:rPr>
          <w:sz w:val="20"/>
          <w:szCs w:val="20"/>
          <w:color w:val="auto"/>
        </w:rPr>
        <w:tab/>
      </w:r>
      <w:r>
        <w:rPr>
          <w:rFonts w:ascii="Arial" w:cs="Arial" w:eastAsia="Arial" w:hAnsi="Arial"/>
          <w:sz w:val="18"/>
          <w:szCs w:val="18"/>
          <w:color w:val="auto"/>
        </w:rPr>
        <w:t>Amendment No. 5 and Amendment No. 6 to Yellow Corporation Pension Plan, as amended and restated as of January 1, 2004 (incorporated by reference to Exhibit 10.28.6 to Annual Report on Form 10-K for the year ended December 31, 2009, filed on March 16, 2010,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10.10.7</w:t>
      </w:r>
      <w:r>
        <w:rPr>
          <w:sz w:val="20"/>
          <w:szCs w:val="20"/>
          <w:color w:val="auto"/>
        </w:rPr>
        <w:tab/>
      </w:r>
      <w:r>
        <w:rPr>
          <w:rFonts w:ascii="Arial" w:cs="Arial" w:eastAsia="Arial" w:hAnsi="Arial"/>
          <w:sz w:val="18"/>
          <w:szCs w:val="18"/>
          <w:color w:val="auto"/>
        </w:rPr>
        <w:t>Amendment No. 7 to Yellow Corporation Pension Plan, as amended and restated as of January 1, 2004 (incorporated by reference to Exhibit 10.7 to Quarterly Report on Form 10-Q for the quarter ended June 30, 2010, filed on August 9, 2010,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YRC Worldwide Inc. Non-Union Employee Option Plan (incorporated by reference to Exhibit 10.3 to Current Report on Form 8-K, filed on January 6, 2009,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YRC Worldwide Inc. Union Employee Option Plan (incorporated by reference to Exhibit 10.25 to Annual Report on Form 10-K for the year ended December 31, 2008, filed on March 2, 2009,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YRC Worldwide Inc. Second Union Employee Option Plan (incorporated by reference to Exhibit 10.1 to Current Report on Form 8-K, filed on March 5, 2010,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YRC Worldwide Inc. Cash Performance and Restricted Stock Award Agreement (incorporated by reference to Exhibit 10.1 to Current Report on Form 8-K, filed on April 3, 2009,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10.14.1</w:t>
      </w:r>
      <w:r>
        <w:rPr>
          <w:sz w:val="20"/>
          <w:szCs w:val="20"/>
          <w:color w:val="auto"/>
        </w:rPr>
        <w:tab/>
      </w:r>
      <w:r>
        <w:rPr>
          <w:rFonts w:ascii="Arial" w:cs="Arial" w:eastAsia="Arial" w:hAnsi="Arial"/>
          <w:sz w:val="18"/>
          <w:szCs w:val="18"/>
          <w:color w:val="auto"/>
        </w:rPr>
        <w:t>Form of YRC Worldwide Inc. Restricted Stock Agreement (incorporated by reference to Exhibit 10.1 to Current Report on Form 8-K, filed on March 13, 2015,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10.14.2</w:t>
      </w:r>
      <w:r>
        <w:rPr>
          <w:sz w:val="20"/>
          <w:szCs w:val="20"/>
          <w:color w:val="auto"/>
        </w:rPr>
        <w:tab/>
      </w:r>
      <w:r>
        <w:rPr>
          <w:rFonts w:ascii="Arial" w:cs="Arial" w:eastAsia="Arial" w:hAnsi="Arial"/>
          <w:sz w:val="18"/>
          <w:szCs w:val="18"/>
          <w:color w:val="auto"/>
        </w:rPr>
        <w:t>Form of YRC Worldwide Inc. Performance Stock Unit Agreement (incorporated by reference to Exhibit 10.2 to Current Report on Form 8-K, filed on March 13, 2015,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10.15.1</w:t>
      </w:r>
      <w:r>
        <w:rPr>
          <w:sz w:val="20"/>
          <w:szCs w:val="20"/>
          <w:color w:val="auto"/>
        </w:rPr>
        <w:tab/>
      </w:r>
      <w:r>
        <w:rPr>
          <w:rFonts w:ascii="Arial" w:cs="Arial" w:eastAsia="Arial" w:hAnsi="Arial"/>
          <w:sz w:val="18"/>
          <w:szCs w:val="18"/>
          <w:color w:val="auto"/>
        </w:rPr>
        <w:t>Employment Agreement, dated as of July 22, 2011, between the Company and James L. Welch (incorporated by reference to Exhibit 10.16 to Quarterly Report on Form 10-Q for the quarter ended June 30, 2011, filed on August 8, 2011,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10.15.2</w:t>
      </w:r>
      <w:r>
        <w:rPr>
          <w:sz w:val="20"/>
          <w:szCs w:val="20"/>
          <w:color w:val="auto"/>
        </w:rPr>
        <w:tab/>
      </w:r>
      <w:r>
        <w:rPr>
          <w:rFonts w:ascii="Arial" w:cs="Arial" w:eastAsia="Arial" w:hAnsi="Arial"/>
          <w:sz w:val="18"/>
          <w:szCs w:val="18"/>
          <w:color w:val="auto"/>
        </w:rPr>
        <w:t>Amendment No. 1 to Employment Agreement, dated as of October 30, 2012, between the Company and James L. Welch (incorporated by reference to Exhibit 10.1 to Quarterly Report on Form 10-Q for the quarter ended September 30, 2012, filed on November 2, 2012,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10.15.3</w:t>
      </w:r>
      <w:r>
        <w:rPr>
          <w:sz w:val="20"/>
          <w:szCs w:val="20"/>
          <w:color w:val="auto"/>
        </w:rPr>
        <w:tab/>
      </w:r>
      <w:r>
        <w:rPr>
          <w:rFonts w:ascii="Arial" w:cs="Arial" w:eastAsia="Arial" w:hAnsi="Arial"/>
          <w:sz w:val="18"/>
          <w:szCs w:val="18"/>
          <w:color w:val="auto"/>
        </w:rPr>
        <w:t>Employment Agreement Cancellation Agreement, dated as of December 30, 2014, between the Company and James L. Welch (incorporated by reference to Exhibit 10.1 to Current Report on Form 8-K, filed on January 2, 2015, File No. 000-12255).</w:t>
      </w:r>
    </w:p>
    <w:p>
      <w:pPr>
        <w:spacing w:after="0" w:line="1" w:lineRule="exact"/>
        <w:rPr>
          <w:sz w:val="20"/>
          <w:szCs w:val="20"/>
          <w:color w:val="auto"/>
        </w:rPr>
      </w:pPr>
    </w:p>
    <w:p>
      <w:pPr>
        <w:jc w:val="both"/>
        <w:ind w:left="880" w:hanging="863"/>
        <w:spacing w:after="0" w:line="290" w:lineRule="auto"/>
        <w:tabs>
          <w:tab w:leader="none" w:pos="86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7"/>
          <w:szCs w:val="17"/>
          <w:color w:val="auto"/>
        </w:rPr>
        <w:t>Employment Agreement, dated as of November 3, 2011, between the Company and Jamie G. Pierson (incorporated by reference to Exhibit 10.46 to Annual Report on Form 10-K for the year ended December 31, 2011, filed on February 28, 2012, File No. 000-12255).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30"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10.16.2</w:t>
            </w:r>
          </w:p>
        </w:tc>
        <w:tc>
          <w:tcPr>
            <w:tcW w:w="10600" w:type="dxa"/>
            <w:vAlign w:val="bottom"/>
          </w:tcPr>
          <w:p>
            <w:pPr>
              <w:ind w:left="60"/>
              <w:spacing w:after="0"/>
              <w:rPr>
                <w:sz w:val="20"/>
                <w:szCs w:val="20"/>
                <w:color w:val="auto"/>
              </w:rPr>
            </w:pPr>
            <w:r>
              <w:rPr>
                <w:rFonts w:ascii="Arial" w:cs="Arial" w:eastAsia="Arial" w:hAnsi="Arial"/>
                <w:sz w:val="18"/>
                <w:szCs w:val="18"/>
                <w:color w:val="auto"/>
                <w:w w:val="94"/>
              </w:rPr>
              <w:t>Amendment No. 1 to Employment Agreement, dated as of October 30, 2012, between the Company and Jamie G. Pierson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reference to Exhibit 10.2 to Quarterly Report on Form 10-Q for the quarter ended September 30, 2012, filed on November 2, 2012, File No. 000-</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10.16.3</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Employment Agreement Cancellation Agreement, dated as of December 30, 2014, between the Company and Jamie G. Pierson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reference to Exhibit 10.2 to 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600" w:type="dxa"/>
            <w:vAlign w:val="bottom"/>
          </w:tcPr>
          <w:p>
            <w:pPr>
              <w:ind w:left="60"/>
              <w:spacing w:after="0"/>
              <w:rPr>
                <w:sz w:val="20"/>
                <w:szCs w:val="20"/>
                <w:color w:val="auto"/>
              </w:rPr>
            </w:pPr>
            <w:r>
              <w:rPr>
                <w:rFonts w:ascii="Arial" w:cs="Arial" w:eastAsia="Arial" w:hAnsi="Arial"/>
                <w:sz w:val="18"/>
                <w:szCs w:val="18"/>
                <w:color w:val="auto"/>
                <w:w w:val="92"/>
              </w:rPr>
              <w:t>Escrow Agreement, dated as of November 3, 2011, among the Company, Jamie G. Pierson and BOKF, N.A., as escrow agent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w w:val="94"/>
              </w:rPr>
              <w:t>reference to Exhibit 10.47 to Annual Report on Form 10-K for the year ended December 31, 2011, filed on February 28, 2012, File No. 000-</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600" w:type="dxa"/>
            <w:vAlign w:val="bottom"/>
          </w:tcPr>
          <w:p>
            <w:pPr>
              <w:ind w:left="60"/>
              <w:spacing w:after="0"/>
              <w:rPr>
                <w:sz w:val="20"/>
                <w:szCs w:val="20"/>
                <w:color w:val="auto"/>
              </w:rPr>
            </w:pPr>
            <w:r>
              <w:rPr>
                <w:rFonts w:ascii="Arial" w:cs="Arial" w:eastAsia="Arial" w:hAnsi="Arial"/>
                <w:sz w:val="18"/>
                <w:szCs w:val="18"/>
                <w:color w:val="auto"/>
                <w:w w:val="94"/>
              </w:rPr>
              <w:t>General Release and Separation Agreement, dated as of November 21, 2014, between the Company and Michelle A. Friel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w w:val="98"/>
              </w:rPr>
              <w:t>reference to the Annual Report on Form 10-K for the year ended December 31, 2014, filed on February 20,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Severance Agreement, dated as of December 30, 2014, between the Company and James L. Welch (incorporated by reference to Exhibit 10.3 to</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600" w:type="dxa"/>
            <w:vAlign w:val="bottom"/>
          </w:tcPr>
          <w:p>
            <w:pPr>
              <w:ind w:left="60"/>
              <w:spacing w:after="0"/>
              <w:rPr>
                <w:sz w:val="20"/>
                <w:szCs w:val="20"/>
                <w:color w:val="auto"/>
              </w:rPr>
            </w:pPr>
            <w:r>
              <w:rPr>
                <w:rFonts w:ascii="Arial" w:cs="Arial" w:eastAsia="Arial" w:hAnsi="Arial"/>
                <w:sz w:val="18"/>
                <w:szCs w:val="18"/>
                <w:color w:val="auto"/>
                <w:w w:val="90"/>
              </w:rPr>
              <w:t>Severance Agreement, dated as of December 30, 2014, between the Company and Jamie G. Pierson (incorporated by reference to Exhibit 10.4 to</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10600" w:type="dxa"/>
            <w:vAlign w:val="bottom"/>
          </w:tcPr>
          <w:p>
            <w:pPr>
              <w:ind w:left="60"/>
              <w:spacing w:after="0"/>
              <w:rPr>
                <w:sz w:val="20"/>
                <w:szCs w:val="20"/>
                <w:color w:val="auto"/>
              </w:rPr>
            </w:pPr>
            <w:r>
              <w:rPr>
                <w:rFonts w:ascii="Arial" w:cs="Arial" w:eastAsia="Arial" w:hAnsi="Arial"/>
                <w:sz w:val="18"/>
                <w:szCs w:val="18"/>
                <w:color w:val="auto"/>
              </w:rPr>
              <w:t>Subsidiaries of the Company.</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tcPr>
          <w:p>
            <w:pPr>
              <w:ind w:left="6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Certification of James L. Welch pursuant to Exchange Act Rules 13a-14 and 15d-14, as adopted pursuant to Section 302 of the Sarbanes-Oxley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Certification of Jamie G. Pierson pursuant to Exchange Act Rules 13a-14 and 15d-14, as adopted pursuant to Section 302 of the Sarbanes-Oxley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tcPr>
          <w:p>
            <w:pPr>
              <w:ind w:left="60"/>
              <w:spacing w:after="0"/>
              <w:rPr>
                <w:sz w:val="20"/>
                <w:szCs w:val="20"/>
                <w:color w:val="auto"/>
              </w:rPr>
            </w:pPr>
            <w:r>
              <w:rPr>
                <w:rFonts w:ascii="Arial" w:cs="Arial" w:eastAsia="Arial" w:hAnsi="Arial"/>
                <w:sz w:val="18"/>
                <w:szCs w:val="18"/>
                <w:color w:val="auto"/>
                <w:w w:val="94"/>
              </w:rPr>
              <w:t>Certification of James L. Welch pursuant to 18 U.S.C. Section 1350, as adopted pursuant to Section 906 of the Sarbanes-Oxley Act of 2002.</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tcPr>
          <w:p>
            <w:pPr>
              <w:ind w:left="60"/>
              <w:spacing w:after="0"/>
              <w:rPr>
                <w:sz w:val="20"/>
                <w:szCs w:val="20"/>
                <w:color w:val="auto"/>
              </w:rPr>
            </w:pPr>
            <w:r>
              <w:rPr>
                <w:rFonts w:ascii="Arial" w:cs="Arial" w:eastAsia="Arial" w:hAnsi="Arial"/>
                <w:sz w:val="18"/>
                <w:szCs w:val="18"/>
                <w:color w:val="auto"/>
                <w:w w:val="93"/>
              </w:rPr>
              <w:t>Certification of Jamie G. Pierson pursuant to 18 U.S.C. Section 1350, as adopted pursuant to Section 906 of the Sarbanes-Oxley 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60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99"/>
              </w:rPr>
              <w:t>101.SCH*</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r>
    </w:tbl>
    <w:p>
      <w:pPr>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documents filed herewith.</w:t>
      </w:r>
    </w:p>
    <w:p>
      <w:pPr>
        <w:spacing w:after="0" w:line="9" w:lineRule="exact"/>
        <w:rPr>
          <w:sz w:val="20"/>
          <w:szCs w:val="20"/>
          <w:color w:val="auto"/>
        </w:rPr>
      </w:pPr>
    </w:p>
    <w:p>
      <w:pPr>
        <w:ind w:left="5620" w:right="2120" w:hanging="5612"/>
        <w:spacing w:after="0" w:line="793"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Confidential portions of this exhibit have been filed separately with the SEC pursuant to a request for confidential treatment. 91</w:t>
      </w:r>
    </w:p>
    <w:p>
      <w:pPr>
        <w:sectPr>
          <w:pgSz w:w="11900" w:h="16838" w:orient="portrait"/>
          <w:cols w:equalWidth="0" w:num="1">
            <w:col w:w="11420"/>
          </w:cols>
          <w:pgMar w:left="240" w:top="530"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YRC Worldwide Inc.</w:t>
      </w: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18, 2016</w:t>
      </w:r>
      <w:r>
        <w:rPr>
          <w:sz w:val="20"/>
          <w:szCs w:val="20"/>
          <w:color w:val="auto"/>
        </w:rPr>
        <w:tab/>
      </w:r>
      <w:r>
        <w:rPr>
          <w:rFonts w:ascii="Arial" w:cs="Arial" w:eastAsia="Arial" w:hAnsi="Arial"/>
          <w:sz w:val="16"/>
          <w:szCs w:val="16"/>
          <w:u w:val="single" w:color="auto"/>
          <w:color w:val="auto"/>
        </w:rPr>
        <w:t>BY: /s/ 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people by these presents, that each person whose signature appears below constitutes and appoints James L. Welch and Jamie G. Pierson, and each of them, his or her true and lawful attorneys-in-fact and agents, with full power of substitution and resubstitution, for him or her and in his or her name, place and stead, in any and all capacities, to sign any amendments to this annual report on Form 10-K, and to file the same, with all exhibits thereto,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confirming all that said attorneys-in-fact and agents or either of them, or his or their substitute or substitutes, may lawfully do or cause to be done by virtue hereof.</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30" w:right="239" w:bottom="1440" w:gutter="0" w:footer="0" w:header="0"/>
        </w:sectPr>
      </w:pPr>
    </w:p>
    <w:bookmarkStart w:id="92" w:name="page93"/>
    <w:bookmarkEnd w:id="92"/>
    <w:tbl>
      <w:tblPr>
        <w:tblLayout w:type="fixed"/>
        <w:tblInd w:w="100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James L. Welch</w:t>
            </w:r>
          </w:p>
        </w:tc>
        <w:tc>
          <w:tcPr>
            <w:tcW w:w="420" w:type="dxa"/>
            <w:vAlign w:val="bottom"/>
            <w:gridSpan w:val="11"/>
          </w:tcPr>
          <w:p>
            <w:pPr>
              <w:spacing w:after="0"/>
              <w:rPr>
                <w:sz w:val="17"/>
                <w:szCs w:val="17"/>
                <w:color w:val="auto"/>
              </w:rPr>
            </w:pPr>
          </w:p>
        </w:tc>
        <w:tc>
          <w:tcPr>
            <w:tcW w:w="4200" w:type="dxa"/>
            <w:vAlign w:val="bottom"/>
          </w:tcPr>
          <w:p>
            <w:pPr>
              <w:ind w:left="1080"/>
              <w:spacing w:after="0"/>
              <w:rPr>
                <w:sz w:val="20"/>
                <w:szCs w:val="20"/>
                <w:color w:val="auto"/>
              </w:rPr>
            </w:pPr>
            <w:r>
              <w:rPr>
                <w:rFonts w:ascii="Arial" w:cs="Arial" w:eastAsia="Arial" w:hAnsi="Arial"/>
                <w:sz w:val="18"/>
                <w:szCs w:val="18"/>
                <w:color w:val="auto"/>
              </w:rPr>
              <w:t>Chief Executive Officer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780" w:type="dxa"/>
            <w:vAlign w:val="bottom"/>
            <w:gridSpan w:val="12"/>
          </w:tcPr>
          <w:p>
            <w:pPr>
              <w:spacing w:after="0"/>
              <w:rPr>
                <w:sz w:val="20"/>
                <w:szCs w:val="20"/>
                <w:color w:val="auto"/>
              </w:rPr>
            </w:pPr>
            <w:r>
              <w:rPr>
                <w:rFonts w:ascii="Arial" w:cs="Arial" w:eastAsia="Arial" w:hAnsi="Arial"/>
                <w:sz w:val="18"/>
                <w:szCs w:val="18"/>
                <w:color w:val="auto"/>
              </w:rPr>
              <w:t>James L. Welch</w:t>
            </w: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Jamie G. Pierson</w:t>
            </w:r>
          </w:p>
        </w:tc>
        <w:tc>
          <w:tcPr>
            <w:tcW w:w="340" w:type="dxa"/>
            <w:vAlign w:val="bottom"/>
            <w:gridSpan w:val="10"/>
          </w:tcPr>
          <w:p>
            <w:pPr>
              <w:spacing w:after="0"/>
              <w:rPr>
                <w:sz w:val="24"/>
                <w:szCs w:val="24"/>
                <w:color w:val="auto"/>
              </w:rPr>
            </w:pPr>
          </w:p>
        </w:tc>
        <w:tc>
          <w:tcPr>
            <w:tcW w:w="4200" w:type="dxa"/>
            <w:vAlign w:val="bottom"/>
          </w:tcPr>
          <w:p>
            <w:pPr>
              <w:ind w:left="1080"/>
              <w:spacing w:after="0"/>
              <w:rPr>
                <w:sz w:val="20"/>
                <w:szCs w:val="20"/>
                <w:color w:val="auto"/>
              </w:rPr>
            </w:pPr>
            <w:r>
              <w:rPr>
                <w:rFonts w:ascii="Arial" w:cs="Arial" w:eastAsia="Arial" w:hAnsi="Arial"/>
                <w:sz w:val="18"/>
                <w:szCs w:val="18"/>
                <w:color w:val="auto"/>
              </w:rPr>
              <w:t>Executive Vice President &amp;</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780" w:type="dxa"/>
            <w:vAlign w:val="bottom"/>
            <w:gridSpan w:val="12"/>
          </w:tcPr>
          <w:p>
            <w:pPr>
              <w:spacing w:after="0"/>
              <w:rPr>
                <w:sz w:val="20"/>
                <w:szCs w:val="20"/>
                <w:color w:val="auto"/>
              </w:rPr>
            </w:pPr>
            <w:r>
              <w:rPr>
                <w:rFonts w:ascii="Arial" w:cs="Arial" w:eastAsia="Arial" w:hAnsi="Arial"/>
                <w:sz w:val="18"/>
                <w:szCs w:val="18"/>
                <w:color w:val="auto"/>
              </w:rPr>
              <w:t>Jamie G. Pierson</w:t>
            </w:r>
          </w:p>
        </w:tc>
        <w:tc>
          <w:tcPr>
            <w:tcW w:w="4200" w:type="dxa"/>
            <w:vAlign w:val="bottom"/>
          </w:tcPr>
          <w:p>
            <w:pPr>
              <w:ind w:left="1080"/>
              <w:spacing w:after="0"/>
              <w:rPr>
                <w:sz w:val="20"/>
                <w:szCs w:val="20"/>
                <w:color w:val="auto"/>
              </w:rPr>
            </w:pPr>
            <w:r>
              <w:rPr>
                <w:rFonts w:ascii="Arial" w:cs="Arial" w:eastAsia="Arial" w:hAnsi="Arial"/>
                <w:sz w:val="18"/>
                <w:szCs w:val="18"/>
                <w:color w:val="auto"/>
              </w:rPr>
              <w:t>Chief Financial Officer</w:t>
            </w:r>
          </w:p>
        </w:tc>
        <w:tc>
          <w:tcPr>
            <w:tcW w:w="2440" w:type="dxa"/>
            <w:vAlign w:val="bottom"/>
          </w:tcPr>
          <w:p>
            <w:pPr>
              <w:spacing w:after="0"/>
              <w:rPr>
                <w:sz w:val="24"/>
                <w:szCs w:val="24"/>
                <w:color w:val="auto"/>
              </w:rPr>
            </w:pPr>
          </w:p>
        </w:tc>
      </w:tr>
      <w:tr>
        <w:trPr>
          <w:trHeight w:val="351"/>
        </w:trPr>
        <w:tc>
          <w:tcPr>
            <w:tcW w:w="16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0"/>
              </w:rPr>
              <w:t>/s/ Stephanie D. Fisher</w:t>
            </w:r>
          </w:p>
        </w:tc>
        <w:tc>
          <w:tcPr>
            <w:tcW w:w="100" w:type="dxa"/>
            <w:vAlign w:val="bottom"/>
            <w:gridSpan w:val="4"/>
          </w:tcPr>
          <w:p>
            <w:pPr>
              <w:spacing w:after="0"/>
              <w:rPr>
                <w:sz w:val="24"/>
                <w:szCs w:val="24"/>
                <w:color w:val="auto"/>
              </w:rPr>
            </w:pPr>
          </w:p>
        </w:tc>
        <w:tc>
          <w:tcPr>
            <w:tcW w:w="4200" w:type="dxa"/>
            <w:vAlign w:val="bottom"/>
          </w:tcPr>
          <w:p>
            <w:pPr>
              <w:ind w:left="1080"/>
              <w:spacing w:after="0"/>
              <w:rPr>
                <w:sz w:val="20"/>
                <w:szCs w:val="20"/>
                <w:color w:val="auto"/>
              </w:rPr>
            </w:pPr>
            <w:r>
              <w:rPr>
                <w:rFonts w:ascii="Arial" w:cs="Arial" w:eastAsia="Arial" w:hAnsi="Arial"/>
                <w:sz w:val="18"/>
                <w:szCs w:val="18"/>
                <w:color w:val="auto"/>
              </w:rPr>
              <w:t>Vice President &amp; Controller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780" w:type="dxa"/>
            <w:vAlign w:val="bottom"/>
            <w:gridSpan w:val="12"/>
          </w:tcPr>
          <w:p>
            <w:pPr>
              <w:spacing w:after="0"/>
              <w:rPr>
                <w:sz w:val="20"/>
                <w:szCs w:val="20"/>
                <w:color w:val="auto"/>
              </w:rPr>
            </w:pPr>
            <w:r>
              <w:rPr>
                <w:rFonts w:ascii="Arial" w:cs="Arial" w:eastAsia="Arial" w:hAnsi="Arial"/>
                <w:sz w:val="18"/>
                <w:szCs w:val="18"/>
                <w:color w:val="auto"/>
              </w:rPr>
              <w:t>Stephanie D. Fisher</w:t>
            </w: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76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/s/ Raymond J. Bromark</w:t>
            </w:r>
          </w:p>
        </w:tc>
        <w:tc>
          <w:tcPr>
            <w:tcW w:w="20" w:type="dxa"/>
            <w:vAlign w:val="bottom"/>
          </w:tcPr>
          <w:p>
            <w:pPr>
              <w:spacing w:after="0"/>
              <w:rPr>
                <w:sz w:val="24"/>
                <w:szCs w:val="24"/>
                <w:color w:val="auto"/>
              </w:rPr>
            </w:pPr>
          </w:p>
        </w:tc>
        <w:tc>
          <w:tcPr>
            <w:tcW w:w="420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780" w:type="dxa"/>
            <w:vAlign w:val="bottom"/>
            <w:gridSpan w:val="12"/>
          </w:tcPr>
          <w:p>
            <w:pPr>
              <w:spacing w:after="0"/>
              <w:rPr>
                <w:sz w:val="20"/>
                <w:szCs w:val="20"/>
                <w:color w:val="auto"/>
              </w:rPr>
            </w:pPr>
            <w:r>
              <w:rPr>
                <w:rFonts w:ascii="Arial" w:cs="Arial" w:eastAsia="Arial" w:hAnsi="Arial"/>
                <w:sz w:val="18"/>
                <w:szCs w:val="18"/>
                <w:color w:val="auto"/>
              </w:rPr>
              <w:t>Raymond J. Bromark</w:t>
            </w: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 Douglas A. Carty</w:t>
            </w:r>
          </w:p>
        </w:tc>
        <w:tc>
          <w:tcPr>
            <w:tcW w:w="300" w:type="dxa"/>
            <w:vAlign w:val="bottom"/>
            <w:gridSpan w:val="8"/>
          </w:tcPr>
          <w:p>
            <w:pPr>
              <w:spacing w:after="0"/>
              <w:rPr>
                <w:sz w:val="24"/>
                <w:szCs w:val="24"/>
                <w:color w:val="auto"/>
              </w:rPr>
            </w:pPr>
          </w:p>
        </w:tc>
        <w:tc>
          <w:tcPr>
            <w:tcW w:w="420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780" w:type="dxa"/>
            <w:vAlign w:val="bottom"/>
            <w:gridSpan w:val="12"/>
          </w:tcPr>
          <w:p>
            <w:pPr>
              <w:spacing w:after="0"/>
              <w:rPr>
                <w:sz w:val="20"/>
                <w:szCs w:val="20"/>
                <w:color w:val="auto"/>
              </w:rPr>
            </w:pPr>
            <w:r>
              <w:rPr>
                <w:rFonts w:ascii="Arial" w:cs="Arial" w:eastAsia="Arial" w:hAnsi="Arial"/>
                <w:sz w:val="18"/>
                <w:szCs w:val="18"/>
                <w:color w:val="auto"/>
              </w:rPr>
              <w:t>Douglas A. Carty</w:t>
            </w: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74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2"/>
              </w:rPr>
              <w:t>/s/ William R. Davidson</w:t>
            </w:r>
          </w:p>
        </w:tc>
        <w:tc>
          <w:tcPr>
            <w:tcW w:w="40" w:type="dxa"/>
            <w:vAlign w:val="bottom"/>
            <w:gridSpan w:val="2"/>
          </w:tcPr>
          <w:p>
            <w:pPr>
              <w:spacing w:after="0"/>
              <w:rPr>
                <w:sz w:val="24"/>
                <w:szCs w:val="24"/>
                <w:color w:val="auto"/>
              </w:rPr>
            </w:pPr>
          </w:p>
        </w:tc>
        <w:tc>
          <w:tcPr>
            <w:tcW w:w="420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780" w:type="dxa"/>
            <w:vAlign w:val="bottom"/>
            <w:gridSpan w:val="12"/>
          </w:tcPr>
          <w:p>
            <w:pPr>
              <w:spacing w:after="0"/>
              <w:rPr>
                <w:sz w:val="20"/>
                <w:szCs w:val="20"/>
                <w:color w:val="auto"/>
              </w:rPr>
            </w:pPr>
            <w:r>
              <w:rPr>
                <w:rFonts w:ascii="Arial" w:cs="Arial" w:eastAsia="Arial" w:hAnsi="Arial"/>
                <w:sz w:val="18"/>
                <w:szCs w:val="18"/>
                <w:color w:val="auto"/>
              </w:rPr>
              <w:t>William R. Davidson</w:t>
            </w: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780" w:type="dxa"/>
            <w:vAlign w:val="bottom"/>
            <w:gridSpan w:val="12"/>
          </w:tcPr>
          <w:p>
            <w:pPr>
              <w:spacing w:after="0"/>
              <w:rPr>
                <w:sz w:val="20"/>
                <w:szCs w:val="20"/>
                <w:color w:val="auto"/>
              </w:rPr>
            </w:pPr>
            <w:r>
              <w:rPr>
                <w:rFonts w:ascii="Arial" w:cs="Arial" w:eastAsia="Arial" w:hAnsi="Arial"/>
                <w:sz w:val="18"/>
                <w:szCs w:val="18"/>
                <w:color w:val="auto"/>
              </w:rPr>
              <w:t>/s/ Matthew Doheny</w:t>
            </w:r>
          </w:p>
        </w:tc>
        <w:tc>
          <w:tcPr>
            <w:tcW w:w="420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4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Matthew Doheny</w:t>
            </w:r>
          </w:p>
        </w:tc>
        <w:tc>
          <w:tcPr>
            <w:tcW w:w="320" w:type="dxa"/>
            <w:vAlign w:val="bottom"/>
            <w:gridSpan w:val="9"/>
          </w:tcPr>
          <w:p>
            <w:pPr>
              <w:spacing w:after="0"/>
              <w:rPr>
                <w:sz w:val="24"/>
                <w:szCs w:val="24"/>
                <w:color w:val="auto"/>
              </w:rPr>
            </w:pP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6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1"/>
              </w:rPr>
              <w:t>/s/ Robert L. Friedman</w:t>
            </w:r>
          </w:p>
        </w:tc>
        <w:tc>
          <w:tcPr>
            <w:tcW w:w="120" w:type="dxa"/>
            <w:vAlign w:val="bottom"/>
            <w:gridSpan w:val="5"/>
          </w:tcPr>
          <w:p>
            <w:pPr>
              <w:spacing w:after="0"/>
              <w:rPr>
                <w:sz w:val="24"/>
                <w:szCs w:val="24"/>
                <w:color w:val="auto"/>
              </w:rPr>
            </w:pPr>
          </w:p>
        </w:tc>
        <w:tc>
          <w:tcPr>
            <w:tcW w:w="420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780" w:type="dxa"/>
            <w:vAlign w:val="bottom"/>
            <w:gridSpan w:val="12"/>
          </w:tcPr>
          <w:p>
            <w:pPr>
              <w:spacing w:after="0"/>
              <w:rPr>
                <w:sz w:val="20"/>
                <w:szCs w:val="20"/>
                <w:color w:val="auto"/>
              </w:rPr>
            </w:pPr>
            <w:r>
              <w:rPr>
                <w:rFonts w:ascii="Arial" w:cs="Arial" w:eastAsia="Arial" w:hAnsi="Arial"/>
                <w:sz w:val="18"/>
                <w:szCs w:val="18"/>
                <w:color w:val="auto"/>
              </w:rPr>
              <w:t>Robert L. Friedman</w:t>
            </w: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780" w:type="dxa"/>
            <w:vAlign w:val="bottom"/>
            <w:gridSpan w:val="12"/>
          </w:tcPr>
          <w:p>
            <w:pPr>
              <w:spacing w:after="0"/>
              <w:rPr>
                <w:sz w:val="20"/>
                <w:szCs w:val="20"/>
                <w:color w:val="auto"/>
              </w:rPr>
            </w:pPr>
            <w:r>
              <w:rPr>
                <w:rFonts w:ascii="Arial" w:cs="Arial" w:eastAsia="Arial" w:hAnsi="Arial"/>
                <w:sz w:val="18"/>
                <w:szCs w:val="18"/>
                <w:color w:val="auto"/>
              </w:rPr>
              <w:t>/s/ James E. Hoffman</w:t>
            </w:r>
          </w:p>
        </w:tc>
        <w:tc>
          <w:tcPr>
            <w:tcW w:w="420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5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James E. Hoffman</w:t>
            </w:r>
          </w:p>
        </w:tc>
        <w:tc>
          <w:tcPr>
            <w:tcW w:w="240" w:type="dxa"/>
            <w:vAlign w:val="bottom"/>
            <w:gridSpan w:val="7"/>
          </w:tcPr>
          <w:p>
            <w:pPr>
              <w:spacing w:after="0"/>
              <w:rPr>
                <w:sz w:val="24"/>
                <w:szCs w:val="24"/>
                <w:color w:val="auto"/>
              </w:rPr>
            </w:pP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7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0"/>
              </w:rPr>
              <w:t>/s/ Michael J. Kneeland</w:t>
            </w:r>
          </w:p>
        </w:tc>
        <w:tc>
          <w:tcPr>
            <w:tcW w:w="80" w:type="dxa"/>
            <w:vAlign w:val="bottom"/>
            <w:gridSpan w:val="3"/>
          </w:tcPr>
          <w:p>
            <w:pPr>
              <w:spacing w:after="0"/>
              <w:rPr>
                <w:sz w:val="24"/>
                <w:szCs w:val="24"/>
                <w:color w:val="auto"/>
              </w:rPr>
            </w:pPr>
          </w:p>
        </w:tc>
        <w:tc>
          <w:tcPr>
            <w:tcW w:w="420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780" w:type="dxa"/>
            <w:vAlign w:val="bottom"/>
            <w:gridSpan w:val="12"/>
          </w:tcPr>
          <w:p>
            <w:pPr>
              <w:spacing w:after="0"/>
              <w:rPr>
                <w:sz w:val="20"/>
                <w:szCs w:val="20"/>
                <w:color w:val="auto"/>
              </w:rPr>
            </w:pPr>
            <w:r>
              <w:rPr>
                <w:rFonts w:ascii="Arial" w:cs="Arial" w:eastAsia="Arial" w:hAnsi="Arial"/>
                <w:sz w:val="18"/>
                <w:szCs w:val="18"/>
                <w:color w:val="auto"/>
              </w:rPr>
              <w:t>Michael J. Kneeland</w:t>
            </w: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7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0"/>
              </w:rPr>
              <w:t>/s/ Patricia M. Nazemetz</w:t>
            </w:r>
          </w:p>
        </w:tc>
        <w:tc>
          <w:tcPr>
            <w:tcW w:w="420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780" w:type="dxa"/>
            <w:vAlign w:val="bottom"/>
            <w:gridSpan w:val="12"/>
          </w:tcPr>
          <w:p>
            <w:pPr>
              <w:spacing w:after="0"/>
              <w:rPr>
                <w:sz w:val="20"/>
                <w:szCs w:val="20"/>
                <w:color w:val="auto"/>
              </w:rPr>
            </w:pPr>
            <w:r>
              <w:rPr>
                <w:rFonts w:ascii="Arial" w:cs="Arial" w:eastAsia="Arial" w:hAnsi="Arial"/>
                <w:sz w:val="18"/>
                <w:szCs w:val="18"/>
                <w:color w:val="auto"/>
              </w:rPr>
              <w:t>Patricia M. Nazemetz</w:t>
            </w: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7"/>
              </w:rPr>
              <w:t>/s/ James F. Winestock</w:t>
            </w:r>
          </w:p>
        </w:tc>
        <w:tc>
          <w:tcPr>
            <w:tcW w:w="140" w:type="dxa"/>
            <w:vAlign w:val="bottom"/>
            <w:gridSpan w:val="6"/>
          </w:tcPr>
          <w:p>
            <w:pPr>
              <w:spacing w:after="0"/>
              <w:rPr>
                <w:sz w:val="24"/>
                <w:szCs w:val="24"/>
                <w:color w:val="auto"/>
              </w:rPr>
            </w:pPr>
          </w:p>
        </w:tc>
        <w:tc>
          <w:tcPr>
            <w:tcW w:w="420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18, 2016</w:t>
            </w:r>
          </w:p>
        </w:tc>
      </w:tr>
      <w:tr>
        <w:trPr>
          <w:trHeight w:val="291"/>
        </w:trPr>
        <w:tc>
          <w:tcPr>
            <w:tcW w:w="1780" w:type="dxa"/>
            <w:vAlign w:val="bottom"/>
            <w:gridSpan w:val="12"/>
          </w:tcPr>
          <w:p>
            <w:pPr>
              <w:spacing w:after="0"/>
              <w:rPr>
                <w:sz w:val="20"/>
                <w:szCs w:val="20"/>
                <w:color w:val="auto"/>
              </w:rPr>
            </w:pPr>
            <w:r>
              <w:rPr>
                <w:rFonts w:ascii="Arial" w:cs="Arial" w:eastAsia="Arial" w:hAnsi="Arial"/>
                <w:sz w:val="18"/>
                <w:szCs w:val="18"/>
                <w:color w:val="auto"/>
              </w:rPr>
              <w:t>James F. Winestock</w:t>
            </w: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Pr>
          <w:p>
            <w:pPr>
              <w:ind w:left="1640"/>
              <w:spacing w:after="0"/>
              <w:rPr>
                <w:sz w:val="20"/>
                <w:szCs w:val="20"/>
                <w:color w:val="auto"/>
              </w:rPr>
            </w:pPr>
            <w:r>
              <w:rPr>
                <w:rFonts w:ascii="Arial" w:cs="Arial" w:eastAsia="Arial" w:hAnsi="Arial"/>
                <w:sz w:val="18"/>
                <w:szCs w:val="18"/>
                <w:color w:val="auto"/>
              </w:rPr>
              <w:t>93</w:t>
            </w:r>
          </w:p>
        </w:tc>
        <w:tc>
          <w:tcPr>
            <w:tcW w:w="2440" w:type="dxa"/>
            <w:vAlign w:val="bottom"/>
          </w:tcPr>
          <w:p>
            <w:pPr>
              <w:spacing w:after="0"/>
              <w:rPr>
                <w:sz w:val="24"/>
                <w:szCs w:val="24"/>
                <w:color w:val="auto"/>
              </w:rPr>
            </w:pPr>
          </w:p>
        </w:tc>
      </w:tr>
    </w:tbl>
    <w:p>
      <w:pPr>
        <w:sectPr>
          <w:pgSz w:w="11900" w:h="16838" w:orient="portrait"/>
          <w:cols w:equalWidth="0" w:num="1">
            <w:col w:w="9420"/>
          </w:cols>
          <w:pgMar w:left="1440" w:top="797" w:right="10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4900" w:type="dxa"/>
            <w:vAlign w:val="bottom"/>
            <w:vMerge w:val="restart"/>
          </w:tcPr>
          <w:p>
            <w:pPr>
              <w:ind w:left="80"/>
              <w:spacing w:after="0"/>
              <w:rPr>
                <w:sz w:val="20"/>
                <w:szCs w:val="20"/>
                <w:color w:val="auto"/>
              </w:rPr>
            </w:pPr>
            <w:r>
              <w:rPr>
                <w:rFonts w:ascii="Arial" w:cs="Arial" w:eastAsia="Arial" w:hAnsi="Arial"/>
                <w:sz w:val="18"/>
                <w:szCs w:val="18"/>
                <w:color w:val="auto"/>
              </w:rPr>
              <w:t>Subsidiaries of YRC Worldwide Inc.</w:t>
            </w:r>
          </w:p>
        </w:tc>
        <w:tc>
          <w:tcPr>
            <w:tcW w:w="2220" w:type="dxa"/>
            <w:vAlign w:val="bottom"/>
          </w:tcPr>
          <w:p>
            <w:pPr>
              <w:ind w:left="108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202"/>
        </w:trPr>
        <w:tc>
          <w:tcPr>
            <w:tcW w:w="430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Arial" w:cs="Arial" w:eastAsia="Arial" w:hAnsi="Arial"/>
                <w:sz w:val="18"/>
                <w:szCs w:val="18"/>
                <w:color w:val="auto"/>
              </w:rPr>
              <w:t>At December 31, 2015</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Jurisdiction of</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tcPr>
          <w:p>
            <w:pPr>
              <w:ind w:left="3840"/>
              <w:spacing w:after="0"/>
              <w:rPr>
                <w:sz w:val="20"/>
                <w:szCs w:val="20"/>
                <w:color w:val="auto"/>
              </w:rPr>
            </w:pPr>
            <w:r>
              <w:rPr>
                <w:rFonts w:ascii="Arial" w:cs="Arial" w:eastAsia="Arial" w:hAnsi="Arial"/>
                <w:sz w:val="18"/>
                <w:szCs w:val="18"/>
                <w:b w:val="1"/>
                <w:bCs w:val="1"/>
                <w:color w:val="auto"/>
              </w:rPr>
              <w:t>Percentage</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Incorporation or</w:t>
            </w:r>
          </w:p>
        </w:tc>
        <w:tc>
          <w:tcPr>
            <w:tcW w:w="0" w:type="dxa"/>
            <w:vAlign w:val="bottom"/>
          </w:tcPr>
          <w:p>
            <w:pPr>
              <w:spacing w:after="0"/>
              <w:rPr>
                <w:sz w:val="1"/>
                <w:szCs w:val="1"/>
                <w:color w:val="auto"/>
              </w:rPr>
            </w:pPr>
          </w:p>
        </w:tc>
      </w:tr>
      <w:tr>
        <w:trPr>
          <w:trHeight w:val="234"/>
        </w:trPr>
        <w:tc>
          <w:tcPr>
            <w:tcW w:w="4300" w:type="dxa"/>
            <w:vAlign w:val="bottom"/>
          </w:tcPr>
          <w:p>
            <w:pPr>
              <w:ind w:left="366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ind w:left="3840"/>
              <w:spacing w:after="0"/>
              <w:rPr>
                <w:sz w:val="20"/>
                <w:szCs w:val="20"/>
                <w:color w:val="auto"/>
              </w:rPr>
            </w:pPr>
            <w:r>
              <w:rPr>
                <w:rFonts w:ascii="Arial" w:cs="Arial" w:eastAsia="Arial" w:hAnsi="Arial"/>
                <w:sz w:val="18"/>
                <w:szCs w:val="18"/>
                <w:b w:val="1"/>
                <w:bCs w:val="1"/>
                <w:color w:val="auto"/>
              </w:rPr>
              <w:t>Ownership</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Formation</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1105481 Ontario,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Express Lane Service,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4300" w:type="dxa"/>
            <w:vAlign w:val="bottom"/>
          </w:tcPr>
          <w:p>
            <w:pPr>
              <w:ind w:left="40"/>
              <w:spacing w:after="0"/>
              <w:rPr>
                <w:sz w:val="20"/>
                <w:szCs w:val="20"/>
                <w:color w:val="auto"/>
              </w:rPr>
            </w:pPr>
            <w:r>
              <w:rPr>
                <w:rFonts w:ascii="Arial" w:cs="Arial" w:eastAsia="Arial" w:hAnsi="Arial"/>
                <w:sz w:val="18"/>
                <w:szCs w:val="18"/>
                <w:color w:val="auto"/>
              </w:rPr>
              <w:t>JHJ International Transportation Co., Ltd.</w:t>
            </w:r>
          </w:p>
        </w:tc>
        <w:tc>
          <w:tcPr>
            <w:tcW w:w="4900" w:type="dxa"/>
            <w:vAlign w:val="bottom"/>
          </w:tcPr>
          <w:p>
            <w:pPr>
              <w:ind w:left="3480"/>
              <w:spacing w:after="0"/>
              <w:rPr>
                <w:sz w:val="20"/>
                <w:szCs w:val="20"/>
                <w:color w:val="auto"/>
              </w:rPr>
            </w:pPr>
            <w:r>
              <w:rPr>
                <w:rFonts w:ascii="Arial" w:cs="Arial" w:eastAsia="Arial" w:hAnsi="Arial"/>
                <w:sz w:val="18"/>
                <w:szCs w:val="18"/>
                <w:color w:val="auto"/>
              </w:rPr>
              <w:t>50%</w:t>
            </w:r>
            <w:r>
              <w:rPr>
                <w:rFonts w:ascii="Arial" w:cs="Arial" w:eastAsia="Arial" w:hAnsi="Arial"/>
                <w:sz w:val="25"/>
                <w:szCs w:val="25"/>
                <w:color w:val="auto"/>
                <w:vertAlign w:val="superscript"/>
              </w:rPr>
              <w:t>1</w:t>
            </w:r>
          </w:p>
        </w:tc>
        <w:tc>
          <w:tcPr>
            <w:tcW w:w="222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4300" w:type="dxa"/>
            <w:vAlign w:val="bottom"/>
          </w:tcPr>
          <w:p>
            <w:pPr>
              <w:ind w:left="40"/>
              <w:spacing w:after="0"/>
              <w:rPr>
                <w:sz w:val="20"/>
                <w:szCs w:val="20"/>
                <w:color w:val="auto"/>
              </w:rPr>
            </w:pPr>
            <w:r>
              <w:rPr>
                <w:rFonts w:ascii="Arial" w:cs="Arial" w:eastAsia="Arial" w:hAnsi="Arial"/>
                <w:sz w:val="18"/>
                <w:szCs w:val="18"/>
                <w:color w:val="auto"/>
              </w:rPr>
              <w:t>OPK Insurance Co. Ltd.</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70"/>
        </w:trPr>
        <w:tc>
          <w:tcPr>
            <w:tcW w:w="4300" w:type="dxa"/>
            <w:vAlign w:val="bottom"/>
            <w:vMerge w:val="restart"/>
          </w:tcPr>
          <w:p>
            <w:pPr>
              <w:ind w:left="40"/>
              <w:spacing w:after="0"/>
              <w:rPr>
                <w:sz w:val="20"/>
                <w:szCs w:val="20"/>
                <w:color w:val="auto"/>
              </w:rPr>
            </w:pPr>
            <w:r>
              <w:rPr>
                <w:rFonts w:ascii="Arial" w:cs="Arial" w:eastAsia="Arial" w:hAnsi="Arial"/>
                <w:sz w:val="18"/>
                <w:szCs w:val="18"/>
                <w:color w:val="auto"/>
              </w:rPr>
              <w:t>Roadway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vMerge w:val="restart"/>
          </w:tcPr>
          <w:p>
            <w:pPr>
              <w:ind w:left="280"/>
              <w:spacing w:after="0"/>
              <w:rPr>
                <w:sz w:val="20"/>
                <w:szCs w:val="20"/>
                <w:color w:val="auto"/>
              </w:rPr>
            </w:pPr>
            <w:r>
              <w:rPr>
                <w:rFonts w:ascii="Arial" w:cs="Arial" w:eastAsia="Arial" w:hAnsi="Arial"/>
                <w:sz w:val="18"/>
                <w:szCs w:val="18"/>
                <w:color w:val="auto"/>
              </w:rPr>
              <w:t>Roadway Next Day Corporation</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vMerge w:val="restart"/>
          </w:tcPr>
          <w:p>
            <w:pPr>
              <w:ind w:left="500"/>
              <w:spacing w:after="0"/>
              <w:rPr>
                <w:sz w:val="20"/>
                <w:szCs w:val="20"/>
                <w:color w:val="auto"/>
              </w:rPr>
            </w:pPr>
            <w:r>
              <w:rPr>
                <w:rFonts w:ascii="Arial" w:cs="Arial" w:eastAsia="Arial" w:hAnsi="Arial"/>
                <w:sz w:val="18"/>
                <w:szCs w:val="18"/>
                <w:color w:val="auto"/>
              </w:rPr>
              <w:t>New Penn Motor Express,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vMerge w:val="restart"/>
          </w:tcPr>
          <w:p>
            <w:pPr>
              <w:ind w:left="280"/>
              <w:spacing w:after="0"/>
              <w:rPr>
                <w:sz w:val="20"/>
                <w:szCs w:val="20"/>
                <w:color w:val="auto"/>
              </w:rPr>
            </w:pPr>
            <w:r>
              <w:rPr>
                <w:rFonts w:ascii="Arial" w:cs="Arial" w:eastAsia="Arial" w:hAnsi="Arial"/>
                <w:sz w:val="18"/>
                <w:szCs w:val="18"/>
                <w:color w:val="auto"/>
              </w:rPr>
              <w:t>YRC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Reimer Express Lines Ltd.</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4300" w:type="dxa"/>
            <w:vAlign w:val="bottom"/>
          </w:tcPr>
          <w:p>
            <w:pPr>
              <w:ind w:left="720"/>
              <w:spacing w:after="0"/>
              <w:rPr>
                <w:sz w:val="20"/>
                <w:szCs w:val="20"/>
                <w:color w:val="auto"/>
              </w:rPr>
            </w:pPr>
            <w:r>
              <w:rPr>
                <w:rFonts w:ascii="Arial" w:cs="Arial" w:eastAsia="Arial" w:hAnsi="Arial"/>
                <w:sz w:val="18"/>
                <w:szCs w:val="18"/>
                <w:color w:val="auto"/>
              </w:rPr>
              <w:t>YRC Transportation, S.A. de C.V.</w:t>
            </w:r>
          </w:p>
        </w:tc>
        <w:tc>
          <w:tcPr>
            <w:tcW w:w="4900" w:type="dxa"/>
            <w:vAlign w:val="bottom"/>
          </w:tcPr>
          <w:p>
            <w:pPr>
              <w:ind w:left="350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25"/>
                <w:szCs w:val="25"/>
                <w:color w:val="auto"/>
                <w:vertAlign w:val="superscript"/>
              </w:rPr>
              <w:t>2</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118"/>
        </w:trPr>
        <w:tc>
          <w:tcPr>
            <w:tcW w:w="43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Roadway Express International,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140"/>
              <w:spacing w:after="0"/>
              <w:rPr>
                <w:sz w:val="20"/>
                <w:szCs w:val="20"/>
                <w:color w:val="auto"/>
              </w:rPr>
            </w:pPr>
            <w:r>
              <w:rPr>
                <w:rFonts w:ascii="Arial" w:cs="Arial" w:eastAsia="Arial" w:hAnsi="Arial"/>
                <w:sz w:val="18"/>
                <w:szCs w:val="18"/>
                <w:color w:val="auto"/>
                <w:w w:val="91"/>
              </w:rPr>
              <w:t>Transcontinental Lease, S. de R.L.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25"/>
                <w:szCs w:val="25"/>
                <w:color w:val="auto"/>
                <w:vertAlign w:val="superscript"/>
              </w:rPr>
              <w:t>3</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Roadway Express, S.A.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5"/>
                <w:szCs w:val="25"/>
                <w:color w:val="auto"/>
                <w:vertAlign w:val="superscript"/>
              </w:rPr>
              <w:t>4</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Roadway Reverse Logistics,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Transcontinental Lease, S. de R.L.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5"/>
                <w:szCs w:val="25"/>
                <w:color w:val="auto"/>
                <w:vertAlign w:val="superscript"/>
              </w:rPr>
              <w:t>3</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140"/>
              <w:spacing w:after="0"/>
              <w:rPr>
                <w:sz w:val="20"/>
                <w:szCs w:val="20"/>
                <w:color w:val="auto"/>
              </w:rPr>
            </w:pPr>
            <w:r>
              <w:rPr>
                <w:rFonts w:ascii="Arial" w:cs="Arial" w:eastAsia="Arial" w:hAnsi="Arial"/>
                <w:sz w:val="18"/>
                <w:szCs w:val="18"/>
                <w:color w:val="auto"/>
              </w:rPr>
              <w:t>Roadway Express, S.A. de C.V.</w:t>
            </w:r>
          </w:p>
        </w:tc>
        <w:tc>
          <w:tcPr>
            <w:tcW w:w="4900" w:type="dxa"/>
            <w:vAlign w:val="bottom"/>
          </w:tcPr>
          <w:p>
            <w:pPr>
              <w:ind w:left="3500"/>
              <w:spacing w:after="0" w:line="270" w:lineRule="exact"/>
              <w:rPr>
                <w:sz w:val="20"/>
                <w:szCs w:val="20"/>
                <w:color w:val="auto"/>
              </w:rPr>
            </w:pPr>
            <w:r>
              <w:rPr>
                <w:rFonts w:ascii="Arial" w:cs="Arial" w:eastAsia="Arial" w:hAnsi="Arial"/>
                <w:sz w:val="18"/>
                <w:szCs w:val="18"/>
                <w:color w:val="auto"/>
              </w:rPr>
              <w:t xml:space="preserve">.01% </w:t>
            </w:r>
            <w:r>
              <w:rPr>
                <w:rFonts w:ascii="Arial" w:cs="Arial" w:eastAsia="Arial" w:hAnsi="Arial"/>
                <w:sz w:val="25"/>
                <w:szCs w:val="25"/>
                <w:color w:val="auto"/>
                <w:vertAlign w:val="superscript"/>
              </w:rPr>
              <w:t>4</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YRC Transportation, S.A.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58.9% </w:t>
            </w:r>
            <w:r>
              <w:rPr>
                <w:rFonts w:ascii="Arial" w:cs="Arial" w:eastAsia="Arial" w:hAnsi="Arial"/>
                <w:sz w:val="25"/>
                <w:szCs w:val="25"/>
                <w:color w:val="auto"/>
                <w:vertAlign w:val="superscript"/>
              </w:rPr>
              <w:t>2</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920"/>
              <w:spacing w:after="0"/>
              <w:rPr>
                <w:sz w:val="20"/>
                <w:szCs w:val="20"/>
                <w:color w:val="auto"/>
              </w:rPr>
            </w:pPr>
            <w:r>
              <w:rPr>
                <w:rFonts w:ascii="Arial" w:cs="Arial" w:eastAsia="Arial" w:hAnsi="Arial"/>
                <w:sz w:val="18"/>
                <w:szCs w:val="18"/>
                <w:color w:val="auto"/>
              </w:rPr>
              <w:t>YRC Services S. de R.L. de C.V.</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Association Solutions,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International Investments,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vMerge w:val="restart"/>
          </w:tcPr>
          <w:p>
            <w:pPr>
              <w:ind w:left="40"/>
              <w:spacing w:after="0"/>
              <w:rPr>
                <w:sz w:val="20"/>
                <w:szCs w:val="20"/>
                <w:color w:val="auto"/>
              </w:rPr>
            </w:pPr>
            <w:r>
              <w:rPr>
                <w:rFonts w:ascii="Arial" w:cs="Arial" w:eastAsia="Arial" w:hAnsi="Arial"/>
                <w:sz w:val="18"/>
                <w:szCs w:val="18"/>
                <w:color w:val="auto"/>
              </w:rPr>
              <w:t>YRC Logistics Asia Limited</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PT Meridian IQ Indonesia International</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w w:val="98"/>
              </w:rPr>
              <w:t>YRC (Shanghai) Management Consulting Co., Ltd.</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Mortgages,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Regional Transportation,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Bestway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Dugan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Glen Moore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Holland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USF Holland International Sales Corporation</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Reddaway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RedStar LLC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YRC Logistics Services,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YRC Logistics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Enterprise Services,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YRCW Receivables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 w:hanging="72"/>
        <w:spacing w:after="0"/>
        <w:tabs>
          <w:tab w:leader="none" w:pos="80" w:val="left"/>
        </w:tabs>
        <w:numPr>
          <w:ilvl w:val="0"/>
          <w:numId w:val="68"/>
        </w:numPr>
        <w:rPr>
          <w:rFonts w:ascii="Arial" w:cs="Arial" w:eastAsia="Arial" w:hAnsi="Arial"/>
          <w:sz w:val="18"/>
          <w:szCs w:val="18"/>
          <w:color w:val="auto"/>
          <w:vertAlign w:val="superscript"/>
        </w:rPr>
      </w:pPr>
      <w:r>
        <w:rPr>
          <w:rFonts w:ascii="Arial" w:cs="Arial" w:eastAsia="Arial" w:hAnsi="Arial"/>
          <w:sz w:val="18"/>
          <w:szCs w:val="18"/>
          <w:color w:val="auto"/>
        </w:rPr>
        <w:t>JHJ International Transportation Co., Ltd. is owned 50% by YRC Worldwide Inc. and 50% by a third party.</w:t>
      </w:r>
    </w:p>
    <w:p>
      <w:pPr>
        <w:sectPr>
          <w:pgSz w:w="11900" w:h="16838" w:orient="portrait"/>
          <w:cols w:equalWidth="0" w:num="1">
            <w:col w:w="11420"/>
          </w:cols>
          <w:pgMar w:left="240" w:top="580" w:right="239" w:bottom="0" w:gutter="0" w:footer="0" w:header="0"/>
        </w:sectPr>
      </w:pPr>
    </w:p>
    <w:bookmarkStart w:id="94" w:name="page95"/>
    <w:bookmarkEnd w:id="94"/>
    <w:p>
      <w:pPr>
        <w:ind w:left="80" w:hanging="72"/>
        <w:spacing w:after="0"/>
        <w:tabs>
          <w:tab w:leader="none" w:pos="80" w:val="left"/>
        </w:tabs>
        <w:numPr>
          <w:ilvl w:val="0"/>
          <w:numId w:val="69"/>
        </w:numPr>
        <w:rPr>
          <w:rFonts w:ascii="Arial" w:cs="Arial" w:eastAsia="Arial" w:hAnsi="Arial"/>
          <w:sz w:val="18"/>
          <w:szCs w:val="18"/>
          <w:color w:val="auto"/>
          <w:vertAlign w:val="superscript"/>
        </w:rPr>
      </w:pPr>
      <w:r>
        <w:rPr>
          <w:rFonts w:ascii="Arial" w:cs="Arial" w:eastAsia="Arial" w:hAnsi="Arial"/>
          <w:sz w:val="18"/>
          <w:szCs w:val="18"/>
          <w:color w:val="auto"/>
        </w:rPr>
        <w:t>YRC Transportation, S.A. de C.V. is owned 58.9% by YRC Inc. and 41.1% by Reimer Express Lines Ltd.</w:t>
      </w:r>
    </w:p>
    <w:p>
      <w:pPr>
        <w:spacing w:after="0" w:line="35" w:lineRule="exact"/>
        <w:rPr>
          <w:sz w:val="20"/>
          <w:szCs w:val="20"/>
          <w:color w:val="auto"/>
        </w:rPr>
      </w:pPr>
    </w:p>
    <w:p>
      <w:pPr>
        <w:ind w:left="80" w:hanging="72"/>
        <w:spacing w:after="0"/>
        <w:tabs>
          <w:tab w:leader="none" w:pos="80" w:val="left"/>
        </w:tabs>
        <w:numPr>
          <w:ilvl w:val="0"/>
          <w:numId w:val="70"/>
        </w:numPr>
        <w:rPr>
          <w:rFonts w:ascii="Arial" w:cs="Arial" w:eastAsia="Arial" w:hAnsi="Arial"/>
          <w:sz w:val="16"/>
          <w:szCs w:val="16"/>
          <w:color w:val="auto"/>
          <w:vertAlign w:val="superscript"/>
        </w:rPr>
      </w:pPr>
      <w:r>
        <w:rPr>
          <w:rFonts w:ascii="Arial" w:cs="Arial" w:eastAsia="Arial" w:hAnsi="Arial"/>
          <w:sz w:val="16"/>
          <w:szCs w:val="16"/>
          <w:color w:val="auto"/>
        </w:rPr>
        <w:t>Transcontinental Lease, S. de R.L. de C.V. is owned 99.99% by YRC Inc. and .01% by Roadway Express International, Inc.</w:t>
      </w:r>
    </w:p>
    <w:p>
      <w:pPr>
        <w:spacing w:after="0" w:line="45"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4</w:t>
      </w:r>
      <w:r>
        <w:rPr>
          <w:rFonts w:ascii="Arial" w:cs="Arial" w:eastAsia="Arial" w:hAnsi="Arial"/>
          <w:sz w:val="16"/>
          <w:szCs w:val="16"/>
          <w:color w:val="auto"/>
        </w:rPr>
        <w:t xml:space="preserve"> Roadway Express, S.A. de C.V. is owned 99.99% by YRC Inc. and .01% by Transcontinental Lease, S. de R.L. de C.V.</w:t>
      </w:r>
    </w:p>
    <w:p>
      <w:pPr>
        <w:sectPr>
          <w:pgSz w:w="11900" w:h="16838" w:orient="portrait"/>
          <w:cols w:equalWidth="0" w:num="1">
            <w:col w:w="10219"/>
          </w:cols>
          <w:pgMar w:left="240" w:top="125"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3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statements (Nos. 333-174277 and 333-176971) on Form S-1, (Nos. 333-190079 and 333-193752) on Form S-3, and (Nos. 333-121370, 333-121470, 333-124847, 333-139691, 333-144958, 333-150941, 333-159354, 333-167931, 333-168401, and 333-178223) on Form S-8 of YRC Worldwide Inc. of our reports dated February 18, 2016, with respect to the consolidated balance sheets of YRC Worldwide Inc. and subsidiaries as of December 31, 2015 and 2014, and the related consolidated statements of operations, comprehensive income (loss), stockholders’ deficit, and cash flows for each of the years in the three-year period ended December 31, 2015, and the effectiveness of internal control over financial reporting as of December 31, 2015, which reports appear in the December 31, 2015 annual report on Form 10-K of YRC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18, 2016</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18, 2016</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2015,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18, 2016</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2015,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18, 2016</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1)"/>
      <w:numFmt w:val="lowerLetter"/>
      <w:start w:val="1"/>
    </w:lvl>
  </w:abstractNum>
  <w:abstractNum w:abstractNumId="16">
    <w:nsid w:val="7A6D8D3C"/>
    <w:multiLevelType w:val="hybridMultilevel"/>
    <w:lvl w:ilvl="0">
      <w:lvlJc w:val="left"/>
      <w:lvlText w:val="(%1)"/>
      <w:numFmt w:val="lowerLetter"/>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lowerLetter"/>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lowerLetter"/>
      <w:start w:val="1"/>
    </w:lvl>
  </w:abstractNum>
  <w:abstractNum w:abstractNumId="25">
    <w:nsid w:val="749ABB43"/>
    <w:multiLevelType w:val="hybridMultilevel"/>
    <w:lvl w:ilvl="0">
      <w:lvlJc w:val="left"/>
      <w:lvlText w:val="(%1)"/>
      <w:numFmt w:val="lowerLetter"/>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lowerLetter"/>
      <w:start w:val="1"/>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lowerLetter"/>
      <w:start w:val="1"/>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lowerLetter"/>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1)"/>
      <w:numFmt w:val="lowerLetter"/>
      <w:start w:val="1"/>
    </w:lvl>
  </w:abstractNum>
  <w:abstractNum w:abstractNumId="42">
    <w:nsid w:val="47398C89"/>
    <w:multiLevelType w:val="hybridMultilevel"/>
    <w:lvl w:ilvl="0">
      <w:lvlJc w:val="left"/>
      <w:lvlText w:val="(%1)"/>
      <w:numFmt w:val="lowerLetter"/>
      <w:start w:val="1"/>
    </w:lvl>
  </w:abstractNum>
  <w:abstractNum w:abstractNumId="43">
    <w:nsid w:val="354FE9F9"/>
    <w:multiLevelType w:val="hybridMultilevel"/>
    <w:lvl w:ilvl="0">
      <w:lvlJc w:val="left"/>
      <w:lvlText w:val="(%1)"/>
      <w:numFmt w:val="lowerLetter"/>
      <w:start w:val="1"/>
    </w:lvl>
  </w:abstractNum>
  <w:abstractNum w:abstractNumId="44">
    <w:nsid w:val="15B5AF5C"/>
    <w:multiLevelType w:val="hybridMultilevel"/>
    <w:lvl w:ilvl="0">
      <w:lvlJc w:val="left"/>
      <w:lvlText w:val="(%1)"/>
      <w:numFmt w:val="lowerLetter"/>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decimal"/>
      <w:start w:val="1"/>
    </w:lvl>
    <w:lvl w:ilvl="1">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1)"/>
      <w:numFmt w:val="lowerLetter"/>
      <w:start w:val="1"/>
    </w:lvl>
  </w:abstractNum>
  <w:abstractNum w:abstractNumId="49">
    <w:nsid w:val="61574095"/>
    <w:multiLevelType w:val="hybridMultilevel"/>
    <w:lvl w:ilvl="0">
      <w:lvlJc w:val="left"/>
      <w:lvlText w:val="(%1)"/>
      <w:numFmt w:val="lowerLetter"/>
      <w:start w:val="1"/>
    </w:lvl>
  </w:abstractNum>
  <w:abstractNum w:abstractNumId="50">
    <w:nsid w:val="7E0C57B1"/>
    <w:multiLevelType w:val="hybridMultilevel"/>
    <w:lvl w:ilvl="0">
      <w:lvlJc w:val="left"/>
      <w:lvlText w:val="(%1)"/>
      <w:numFmt w:val="lowerLetter"/>
      <w:start w:val="1"/>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1)"/>
      <w:numFmt w:val="lowerLetter"/>
      <w:start w:val="3"/>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lvl w:ilvl="1">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lowerLetter"/>
      <w:start w:val="2"/>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1"/>
      <w:numFmt w:val="bullet"/>
      <w:start w:val="1"/>
    </w:lvl>
  </w:abstractNum>
  <w:abstractNum w:abstractNumId="68">
    <w:nsid w:val="6B94764"/>
    <w:multiLevelType w:val="hybridMultilevel"/>
    <w:lvl w:ilvl="0">
      <w:lvlJc w:val="left"/>
      <w:lvlText w:val="2"/>
      <w:numFmt w:val="bullet"/>
      <w:start w:val="1"/>
    </w:lvl>
  </w:abstractNum>
  <w:abstractNum w:abstractNumId="69">
    <w:nsid w:val="42C296BD"/>
    <w:multiLevelType w:val="hybridMultilevel"/>
    <w:lvl w:ilvl="0">
      <w:lvlJc w:val="left"/>
      <w:lvlText w:val="3"/>
      <w:numFmt w:val="bullet"/>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2019-12-29T14:18:17Z</dcterms:created>
  <dcterms:modified xsi:type="dcterms:W3CDTF">2019-12-29T14:18:17Z</dcterms:modified>
</cp:coreProperties>
</file>