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66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18"/>
        </w:trPr>
        <w:tc>
          <w:tcPr>
            <w:tcW w:w="3460" w:type="dxa"/>
            <w:vAlign w:val="bottom"/>
            <w:gridSpan w:val="3"/>
          </w:tcPr>
          <w:p>
            <w:pPr>
              <w:ind w:left="860"/>
              <w:spacing w:after="0"/>
              <w:rPr>
                <w:sz w:val="20"/>
                <w:szCs w:val="20"/>
                <w:color w:val="auto"/>
              </w:rPr>
            </w:pPr>
            <w:r>
              <w:rPr>
                <w:rFonts w:ascii="Arial" w:cs="Arial" w:eastAsia="Arial" w:hAnsi="Arial"/>
                <w:sz w:val="18"/>
                <w:szCs w:val="18"/>
                <w:b w:val="1"/>
                <w:bCs w:val="1"/>
                <w:color w:val="auto"/>
                <w:w w:val="89"/>
              </w:rPr>
              <w:t>Commission file number: 0-12255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4457700</wp:posOffset>
            </wp:positionH>
            <wp:positionV relativeFrom="paragraph">
              <wp:posOffset>-213995</wp:posOffset>
            </wp:positionV>
            <wp:extent cx="542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66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gridSpan w:val="3"/>
          </w:tcPr>
          <w:p>
            <w:pPr>
              <w:jc w:val="right"/>
              <w:ind w:right="124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2"/>
              </w:rPr>
              <w:t>(State or other jurisdiction of</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61"/>
              <w:spacing w:after="0"/>
              <w:rPr>
                <w:sz w:val="20"/>
                <w:szCs w:val="20"/>
                <w:color w:val="auto"/>
              </w:rPr>
            </w:pPr>
            <w:r>
              <w:rPr>
                <w:rFonts w:ascii="Arial" w:cs="Arial" w:eastAsia="Arial" w:hAnsi="Arial"/>
                <w:sz w:val="14"/>
                <w:szCs w:val="14"/>
                <w:b w:val="1"/>
                <w:bCs w:val="1"/>
                <w:color w:val="auto"/>
                <w:w w:val="96"/>
              </w:rPr>
              <w:t>(I.R.S. Employer</w:t>
            </w:r>
          </w:p>
        </w:tc>
      </w:tr>
      <w:tr>
        <w:trPr>
          <w:trHeight w:val="270"/>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3"/>
              </w:rPr>
              <w:t>incorporation or organization)</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5360" w:type="dxa"/>
            <w:vAlign w:val="bottom"/>
            <w:gridSpan w:val="3"/>
          </w:tcPr>
          <w:p>
            <w:pPr>
              <w:jc w:val="right"/>
              <w:ind w:right="1441"/>
              <w:spacing w:after="0"/>
              <w:rPr>
                <w:sz w:val="20"/>
                <w:szCs w:val="20"/>
                <w:color w:val="auto"/>
              </w:rPr>
            </w:pPr>
            <w:r>
              <w:rPr>
                <w:rFonts w:ascii="Arial" w:cs="Arial" w:eastAsia="Arial" w:hAnsi="Arial"/>
                <w:sz w:val="18"/>
                <w:szCs w:val="18"/>
                <w:b w:val="1"/>
                <w:bCs w:val="1"/>
                <w:color w:val="auto"/>
              </w:rPr>
              <w:t>66211</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60" w:type="dxa"/>
            <w:vAlign w:val="bottom"/>
          </w:tcPr>
          <w:p>
            <w:pPr>
              <w:spacing w:after="0"/>
              <w:rPr>
                <w:sz w:val="23"/>
                <w:szCs w:val="23"/>
                <w:color w:val="auto"/>
              </w:rPr>
            </w:pPr>
          </w:p>
        </w:tc>
        <w:tc>
          <w:tcPr>
            <w:tcW w:w="5360" w:type="dxa"/>
            <w:vAlign w:val="bottom"/>
            <w:gridSpan w:val="3"/>
          </w:tcPr>
          <w:p>
            <w:pPr>
              <w:jc w:val="center"/>
              <w:ind w:right="3761"/>
              <w:spacing w:after="0"/>
              <w:rPr>
                <w:sz w:val="20"/>
                <w:szCs w:val="20"/>
                <w:color w:val="auto"/>
              </w:rPr>
            </w:pPr>
            <w:r>
              <w:rPr>
                <w:rFonts w:ascii="Arial" w:cs="Arial" w:eastAsia="Arial" w:hAnsi="Arial"/>
                <w:sz w:val="18"/>
                <w:szCs w:val="18"/>
                <w:b w:val="1"/>
                <w:bCs w:val="1"/>
                <w:color w:val="auto"/>
                <w:w w:val="90"/>
              </w:rPr>
              <w:t>(913) 696-6100</w:t>
            </w:r>
          </w:p>
        </w:tc>
      </w:tr>
      <w:tr>
        <w:trPr>
          <w:trHeight w:val="186"/>
        </w:trPr>
        <w:tc>
          <w:tcPr>
            <w:tcW w:w="9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77"/>
        </w:trPr>
        <w:tc>
          <w:tcPr>
            <w:tcW w:w="9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8"/>
        </w:trPr>
        <w:tc>
          <w:tcPr>
            <w:tcW w:w="3860" w:type="dxa"/>
            <w:vAlign w:val="bottom"/>
          </w:tcPr>
          <w:p>
            <w:pPr>
              <w:jc w:val="center"/>
              <w:ind w:left="398"/>
              <w:spacing w:after="0"/>
              <w:rPr>
                <w:sz w:val="20"/>
                <w:szCs w:val="20"/>
                <w:color w:val="auto"/>
              </w:rPr>
            </w:pPr>
            <w:r>
              <w:rPr>
                <w:rFonts w:ascii="Arial" w:cs="Arial" w:eastAsia="Arial" w:hAnsi="Arial"/>
                <w:sz w:val="18"/>
                <w:szCs w:val="18"/>
                <w:color w:val="auto"/>
                <w:w w:val="90"/>
              </w:rPr>
              <w:t>Title of each class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jc w:val="center"/>
              <w:ind w:left="378"/>
              <w:spacing w:after="0"/>
              <w:rPr>
                <w:sz w:val="20"/>
                <w:szCs w:val="20"/>
                <w:color w:val="auto"/>
              </w:rPr>
            </w:pPr>
            <w:r>
              <w:rPr>
                <w:rFonts w:ascii="Arial" w:cs="Arial" w:eastAsia="Arial" w:hAnsi="Arial"/>
                <w:sz w:val="18"/>
                <w:szCs w:val="18"/>
                <w:color w:val="auto"/>
                <w:w w:val="89"/>
              </w:rPr>
              <w:t>Common Stock, $0.01 par value per share</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-130175</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4"/>
          <w:szCs w:val="24"/>
          <w:color w:val="auto"/>
        </w:rPr>
      </w:pPr>
    </w:p>
    <w:p>
      <w:pPr>
        <w:ind w:left="660"/>
        <w:spacing w:after="0" w:line="207" w:lineRule="exact"/>
        <w:tabs>
          <w:tab w:leader="none" w:pos="1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line="196" w:lineRule="exact"/>
        <w:tabs>
          <w:tab w:leader="none" w:pos="944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15(d) of the Exchange Act. Yes o</w:t>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ectPr>
          <w:pgSz w:w="11900" w:h="16838" w:orient="portrait"/>
          <w:cols w:equalWidth="0" w:num="1">
            <w:col w:w="11420"/>
          </w:cols>
          <w:pgMar w:left="240" w:top="220" w:right="239" w:bottom="1440" w:gutter="0" w:footer="0" w:header="0"/>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referenced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spacing w:after="0"/>
              <w:rPr>
                <w:sz w:val="24"/>
                <w:szCs w:val="24"/>
                <w:color w:val="auto"/>
              </w:rPr>
            </w:pPr>
          </w:p>
        </w:tc>
        <w:tc>
          <w:tcPr>
            <w:tcW w:w="3160" w:type="dxa"/>
            <w:vAlign w:val="bottom"/>
            <w:vMerge w:val="restart"/>
          </w:tcPr>
          <w:p>
            <w:pPr>
              <w:ind w:left="5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1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1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1300"/>
        <w:spacing w:after="0" w:line="207" w:lineRule="exact"/>
        <w:tabs>
          <w:tab w:leader="none" w:pos="19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2016, the aggregate market value of the registrant’s common stock held by non-affiliates of the registrant was $285.7 million based on the closing price as reported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940" w:type="dxa"/>
            <w:vAlign w:val="bottom"/>
            <w:gridSpan w:val="2"/>
          </w:tcPr>
          <w:p>
            <w:pPr>
              <w:jc w:val="center"/>
              <w:ind w:right="4640"/>
              <w:spacing w:after="0"/>
              <w:rPr>
                <w:sz w:val="20"/>
                <w:szCs w:val="20"/>
                <w:color w:val="auto"/>
              </w:rPr>
            </w:pPr>
            <w:r>
              <w:rPr>
                <w:rFonts w:ascii="Arial" w:cs="Arial" w:eastAsia="Arial" w:hAnsi="Arial"/>
                <w:sz w:val="14"/>
                <w:szCs w:val="14"/>
                <w:color w:val="auto"/>
                <w:w w:val="85"/>
              </w:rPr>
              <w:t>Class</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Outstanding at February 10, 2017</w:t>
            </w:r>
          </w:p>
        </w:tc>
      </w:tr>
      <w:tr>
        <w:trPr>
          <w:trHeight w:val="20"/>
        </w:trPr>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64"/>
        </w:trPr>
        <w:tc>
          <w:tcPr>
            <w:tcW w:w="6300" w:type="dxa"/>
            <w:vAlign w:val="bottom"/>
            <w:gridSpan w:val="3"/>
          </w:tcPr>
          <w:p>
            <w:pPr>
              <w:jc w:val="center"/>
              <w:ind w:right="3280"/>
              <w:spacing w:after="0"/>
              <w:rPr>
                <w:sz w:val="20"/>
                <w:szCs w:val="20"/>
                <w:color w:val="auto"/>
              </w:rPr>
            </w:pPr>
            <w:r>
              <w:rPr>
                <w:rFonts w:ascii="Arial" w:cs="Arial" w:eastAsia="Arial" w:hAnsi="Arial"/>
                <w:sz w:val="18"/>
                <w:szCs w:val="18"/>
                <w:color w:val="auto"/>
                <w:w w:val="89"/>
              </w:rPr>
              <w:t>Common Stock, $0.01 par value per share</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33,221,499 shares</w:t>
            </w: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information required by Part III of this Form 10-K, either is incorporated herein by reference to a definitive proxy statement filed with the SEC no later than 120 days after the end of the fiscal year covered by this Form 10-K or will be included in an amendment to this Form 10-K filed with the SEC no later than 120 days after the end of the fiscal year covered by this Form 10-K.</w:t>
      </w:r>
    </w:p>
    <w:p>
      <w:pPr>
        <w:sectPr>
          <w:pgSz w:w="11900" w:h="16838" w:orient="portrait"/>
          <w:cols w:equalWidth="0" w:num="1">
            <w:col w:w="11420"/>
          </w:cols>
          <w:pgMar w:left="240" w:top="36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80" w:type="dxa"/>
            <w:vAlign w:val="bottom"/>
            <w:gridSpan w:val="6"/>
          </w:tcPr>
          <w:p>
            <w:pPr>
              <w:jc w:val="center"/>
              <w:ind w:right="440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8"/>
        </w:trPr>
        <w:tc>
          <w:tcPr>
            <w:tcW w:w="580" w:type="dxa"/>
            <w:vAlign w:val="bottom"/>
          </w:tcPr>
          <w:p>
            <w:pPr>
              <w:spacing w:after="0"/>
              <w:rPr>
                <w:sz w:val="20"/>
                <w:szCs w:val="20"/>
                <w:color w:val="auto"/>
              </w:rPr>
            </w:pPr>
            <w:r>
              <w:rPr>
                <w:rFonts w:ascii="Arial" w:cs="Arial" w:eastAsia="Arial" w:hAnsi="Arial"/>
                <w:sz w:val="14"/>
                <w:szCs w:val="14"/>
                <w:color w:val="auto"/>
              </w:rPr>
              <w:t>Item</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230"/>
        </w:trPr>
        <w:tc>
          <w:tcPr>
            <w:tcW w:w="580" w:type="dxa"/>
            <w:vAlign w:val="bottom"/>
          </w:tcPr>
          <w:p>
            <w:pPr>
              <w:spacing w:after="0"/>
              <w:rPr>
                <w:sz w:val="19"/>
                <w:szCs w:val="19"/>
                <w:color w:val="auto"/>
              </w:rPr>
            </w:pPr>
          </w:p>
        </w:tc>
        <w:tc>
          <w:tcPr>
            <w:tcW w:w="10240" w:type="dxa"/>
            <w:vAlign w:val="bottom"/>
            <w:gridSpan w:val="20"/>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600" w:type="dxa"/>
            <w:vAlign w:val="bottom"/>
            <w:gridSpan w:val="19"/>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1A</w:t>
            </w:r>
          </w:p>
        </w:tc>
        <w:tc>
          <w:tcPr>
            <w:tcW w:w="1024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1B</w:t>
            </w:r>
          </w:p>
        </w:tc>
        <w:tc>
          <w:tcPr>
            <w:tcW w:w="10240" w:type="dxa"/>
            <w:vAlign w:val="bottom"/>
            <w:gridSpan w:val="2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2040" w:type="dxa"/>
            <w:vAlign w:val="bottom"/>
            <w:gridSpan w:val="1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820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gridSpan w:val="6"/>
          </w:tcPr>
          <w:p>
            <w:pPr>
              <w:spacing w:after="0"/>
              <w:rPr>
                <w:rFonts w:ascii="Arial" w:cs="Arial" w:eastAsia="Arial" w:hAnsi="Arial"/>
                <w:sz w:val="18"/>
                <w:szCs w:val="18"/>
                <w:color w:val="0000FF"/>
                <w:w w:val="87"/>
              </w:rPr>
            </w:pPr>
            <w:hyperlink w:anchor="page18">
              <w:r>
                <w:rPr>
                  <w:rFonts w:ascii="Arial" w:cs="Arial" w:eastAsia="Arial" w:hAnsi="Arial"/>
                  <w:sz w:val="18"/>
                  <w:szCs w:val="18"/>
                  <w:color w:val="0000FF"/>
                  <w:w w:val="87"/>
                </w:rPr>
                <w:t>Legal Proceedings</w:t>
              </w:r>
            </w:hyperlink>
          </w:p>
        </w:tc>
        <w:tc>
          <w:tcPr>
            <w:tcW w:w="890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10240" w:type="dxa"/>
            <w:vAlign w:val="bottom"/>
            <w:gridSpan w:val="2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Executive Officers</w:t>
              </w:r>
            </w:hyperlink>
          </w:p>
        </w:tc>
        <w:tc>
          <w:tcPr>
            <w:tcW w:w="854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PART II</w:t>
            </w:r>
          </w:p>
        </w:tc>
        <w:tc>
          <w:tcPr>
            <w:tcW w:w="890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gridSpan w:val="19"/>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Market for Registrant's Common Equity, Related Stockholder Matters and Issuer Purchases of Equity Securities</w:t>
              </w:r>
            </w:hyperlink>
          </w:p>
        </w:tc>
        <w:tc>
          <w:tcPr>
            <w:tcW w:w="2180" w:type="dxa"/>
            <w:vAlign w:val="bottom"/>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gridSpan w:val="1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Selected Financial Data</w:t>
              </w:r>
            </w:hyperlink>
          </w:p>
        </w:tc>
        <w:tc>
          <w:tcPr>
            <w:tcW w:w="218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6460" w:type="dxa"/>
            <w:vAlign w:val="bottom"/>
            <w:gridSpan w:val="17"/>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7A</w:t>
            </w:r>
          </w:p>
        </w:tc>
        <w:tc>
          <w:tcPr>
            <w:tcW w:w="4360" w:type="dxa"/>
            <w:vAlign w:val="bottom"/>
            <w:gridSpan w:val="14"/>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1"/>
                <w:szCs w:val="21"/>
                <w:color w:val="auto"/>
              </w:rPr>
            </w:pPr>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436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588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1024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9A</w:t>
            </w:r>
          </w:p>
        </w:tc>
        <w:tc>
          <w:tcPr>
            <w:tcW w:w="650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374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9B</w:t>
            </w:r>
          </w:p>
        </w:tc>
        <w:tc>
          <w:tcPr>
            <w:tcW w:w="1340" w:type="dxa"/>
            <w:vAlign w:val="bottom"/>
            <w:gridSpan w:val="6"/>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Other Information</w:t>
              </w:r>
            </w:hyperlink>
          </w:p>
        </w:tc>
        <w:tc>
          <w:tcPr>
            <w:tcW w:w="360" w:type="dxa"/>
            <w:vAlign w:val="bottom"/>
            <w:gridSpan w:val="2"/>
          </w:tcPr>
          <w:p>
            <w:pPr>
              <w:spacing w:after="0"/>
              <w:rPr>
                <w:sz w:val="21"/>
                <w:szCs w:val="21"/>
                <w:color w:val="auto"/>
              </w:rPr>
            </w:pPr>
          </w:p>
        </w:tc>
        <w:tc>
          <w:tcPr>
            <w:tcW w:w="854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890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gridSpan w:val="13"/>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Directors, Executive Officers and Corporate Governance</w:t>
              </w:r>
            </w:hyperlink>
          </w:p>
        </w:tc>
        <w:tc>
          <w:tcPr>
            <w:tcW w:w="6140" w:type="dxa"/>
            <w:vAlign w:val="bottom"/>
            <w:gridSpan w:val="7"/>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4100" w:type="dxa"/>
            <w:vAlign w:val="bottom"/>
            <w:gridSpan w:val="13"/>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Executive Compensation</w:t>
              </w:r>
            </w:hyperlink>
          </w:p>
        </w:tc>
        <w:tc>
          <w:tcPr>
            <w:tcW w:w="614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4880" w:type="dxa"/>
            <w:vAlign w:val="bottom"/>
            <w:gridSpan w:val="15"/>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Security Ownership of Certain Beneficial Owners and Management</w:t>
              </w:r>
            </w:hyperlink>
          </w:p>
        </w:tc>
        <w:tc>
          <w:tcPr>
            <w:tcW w:w="536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10240" w:type="dxa"/>
            <w:vAlign w:val="bottom"/>
            <w:gridSpan w:val="2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Certain Relationships and Related Transactions, and Director Independence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2900" w:type="dxa"/>
            <w:vAlign w:val="bottom"/>
            <w:gridSpan w:val="11"/>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Principal Accountant Fees and Services</w:t>
              </w:r>
            </w:hyperlink>
          </w:p>
        </w:tc>
        <w:tc>
          <w:tcPr>
            <w:tcW w:w="2540" w:type="dxa"/>
            <w:vAlign w:val="bottom"/>
            <w:gridSpan w:val="5"/>
          </w:tcPr>
          <w:p>
            <w:pPr>
              <w:spacing w:after="0"/>
              <w:rPr>
                <w:sz w:val="21"/>
                <w:szCs w:val="21"/>
                <w:color w:val="auto"/>
              </w:rPr>
            </w:pPr>
          </w:p>
        </w:tc>
        <w:tc>
          <w:tcPr>
            <w:tcW w:w="48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615"/>
        </w:trPr>
        <w:tc>
          <w:tcPr>
            <w:tcW w:w="58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PART IV</w:t>
            </w:r>
          </w:p>
        </w:tc>
        <w:tc>
          <w:tcPr>
            <w:tcW w:w="734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2900" w:type="dxa"/>
            <w:vAlign w:val="bottom"/>
            <w:gridSpan w:val="11"/>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Exhibits, Financial Statement Schedules</w:t>
              </w:r>
            </w:hyperlink>
          </w:p>
        </w:tc>
        <w:tc>
          <w:tcPr>
            <w:tcW w:w="7340" w:type="dxa"/>
            <w:vAlign w:val="bottom"/>
            <w:gridSpan w:val="9"/>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85</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2900" w:type="dxa"/>
            <w:vAlign w:val="bottom"/>
            <w:gridSpan w:val="1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Form 10-K Summary</w:t>
              </w:r>
            </w:hyperlink>
          </w:p>
        </w:tc>
        <w:tc>
          <w:tcPr>
            <w:tcW w:w="734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70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80" w:type="dxa"/>
            <w:vAlign w:val="bottom"/>
          </w:tcPr>
          <w:p>
            <w:pPr>
              <w:spacing w:after="0"/>
              <w:rPr>
                <w:sz w:val="24"/>
                <w:szCs w:val="24"/>
                <w:color w:val="auto"/>
              </w:rPr>
            </w:pPr>
          </w:p>
        </w:tc>
        <w:tc>
          <w:tcPr>
            <w:tcW w:w="1060" w:type="dxa"/>
            <w:vAlign w:val="bottom"/>
            <w:gridSpan w:val="5"/>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Exhibits Index</w:t>
              </w:r>
            </w:hyperlink>
          </w:p>
        </w:tc>
        <w:tc>
          <w:tcPr>
            <w:tcW w:w="480" w:type="dxa"/>
            <w:vAlign w:val="bottom"/>
            <w:gridSpan w:val="2"/>
          </w:tcPr>
          <w:p>
            <w:pPr>
              <w:spacing w:after="0"/>
              <w:rPr>
                <w:sz w:val="24"/>
                <w:szCs w:val="24"/>
                <w:color w:val="auto"/>
              </w:rPr>
            </w:pPr>
          </w:p>
        </w:tc>
        <w:tc>
          <w:tcPr>
            <w:tcW w:w="8700" w:type="dxa"/>
            <w:vAlign w:val="bottom"/>
            <w:gridSpan w:val="1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85</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1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89">
              <w:r>
                <w:rPr>
                  <w:rFonts w:ascii="Arial" w:cs="Arial" w:eastAsia="Arial" w:hAnsi="Arial"/>
                  <w:sz w:val="18"/>
                  <w:szCs w:val="18"/>
                  <w:color w:val="0000FF"/>
                  <w:w w:val="85"/>
                </w:rPr>
                <w:t>Signatures</w:t>
              </w:r>
            </w:hyperlink>
          </w:p>
        </w:tc>
        <w:tc>
          <w:tcPr>
            <w:tcW w:w="300" w:type="dxa"/>
            <w:vAlign w:val="bottom"/>
            <w:gridSpan w:val="2"/>
          </w:tcPr>
          <w:p>
            <w:pPr>
              <w:spacing w:after="0"/>
              <w:rPr>
                <w:sz w:val="21"/>
                <w:szCs w:val="21"/>
                <w:color w:val="auto"/>
              </w:rPr>
            </w:pPr>
          </w:p>
        </w:tc>
        <w:tc>
          <w:tcPr>
            <w:tcW w:w="918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r>
      <w:tr>
        <w:trPr>
          <w:trHeight w:val="723"/>
        </w:trPr>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80" w:type="dxa"/>
            <w:vAlign w:val="bottom"/>
            <w:gridSpan w:val="13"/>
          </w:tcPr>
          <w:p>
            <w:pPr>
              <w:jc w:val="right"/>
              <w:ind w:right="3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30"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entire report, including (among other items) Item 1, “Business” and Item 7, “Management’s Discussion and Analysis of Financial Condition and Results of Operations” includes forward-looking statements (each a “forward-looking statement”) within the meaning of Section 27A of the Securities Act of 1933, as amended (the “Securities Act”), and Section 21E of the Securities Exchange Act of 1934, as amended (“Exchange Act”). Forward-looking statements include those preceded by, followed by or including the words “will,” “expect,” “intend,” “anticipate,” “believe,” “project,” “forecast,” “propose,” “plan,” “designed,” “estimate,” “enable” and similar expressions. Those forward-looking statements speak only as of the date of this report. We disclaim any obligation to update those statements, except as applicable law may require us to do so, and we caution you not to rely unduly on them. We have based those forward-looking statements on our current expectations and assumptions about future events, which may prove to be inaccurate. While our management considers those expectations and assumptions to be reasonable, they are inherently subject to significant business, economic, competitive, regulatory (including environmental), legal and other risks, contingencies and uncertainties, most of which are difficult to predict and many of which are beyond our control. Therefore, actual results may differ materially and adversely from those expressed in any forward-looking statements. Factors that might cause or contribute to such differences include, but are not limited to, those we discuss in this report under the section entitled “Risk Factors” in Item 1A and the section entitled “Liquidity and Capital Resources” in Item 7, “Management’s Discussion and Analysis of Financial Condition and Results of Operations,” and in other reports we file with the Securities and Exchange Commission (the “SEC”). The factors we discuss in this report are not necessarily all the important factors that could affect us. Unpredictable or unknown factors we have not discussed in this report also could have material adverse effects on actual results of matters that are the subject of our forward-looking statements. We do not intend to update our description of important factors each time a potentially important factor arises. We advise our existing and potential security holders that they should (1) be aware that important factors to which we do not refer in this report could affect the accuracy of our forward-looking statements and (2) use caution and common sense when considering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General Description of the Business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subsidiary YRC Inc. (doing business as, and hereinafter referred to as, “YRC Freight”) and Reimer Express Lines Ltd. (“YRC Reimer”), a subsidiary located in Canada that specializes in shipments into, across and out of Canada. In addition to the United States and Canada, YRC Freight also serves parts of Mexico and Puerto Rico.</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revenue and other information regarding our reporting segments, see the “Business Segments” footnote of our consolidated financial statements included in this Annual Report on Form 10-K.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Incorporated in Delaware in 1983 and headquartered in Overland Park, Kansas, we employed approximately 32,000 people as of December 31, 2016. The mailing address of our headquarters is 10990 Roe Avenue, Overland Park, Kansas 66211, and our telephone number is (913) 696-6100. Our website is www.yrcw.com. Through the “SEC Filings” link on our website, we make available the following filings as soon as reasonably practicable after they are electronically filed with or furnished to the SEC: our Annual Report on Form 10-K, Quarterly Reports on Form 10-Q, Current Reports on Form 8-K, and any amendments to those reports filed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2"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or furnished pursuant to Section 13(a) or 15(d) of the Exchange Act. All of these filings may be viewed or printed from our website free of charge.</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Description of the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YRC Freight offers a full range of services for the transportation of industrial, commercial and retail goods in national, regional and international markets, primarily through the operation of owned or leased equipment in its North American ground distribution network.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YRC Freight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YRC Freight also provides higher-margin specialized services, including guaranteed expedited services, time-specific deliveries, cross-border services, coast-to-coast air delivery, product returns, temperature-sensitive shipment protection and government material shipments.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YRC Freight serves manufacturing, wholesale, retail and government customers throughout North America. YRC Freight’s approximate 20,000 employees are dedicated to operating its extensive network which supports approximately 10.4 million shipments annually. YRC Freight shipments have an average shipment size of approximately 1,200 pounds and travel an average distance of roughly 1,300 miles. Operations research and engineering teams coordinate the equipment, routing, sequencing and timing necessary to efficiently transport shipments through our distribution network. On December 31, 2016, YRC Freight’s revenue fleet was comprised of approximately 7,700 tractors, including approximately 6,200 owned tractors and 1,500 leased tractors, and approximately 31,000 trailers, including approximately 24,900 owned trailers and 6,100 leased trailers. The YRC Freight network includes 260 strategically located service facilities including 125 owned facilities with 8,217 doors and 135 leased facilities with 6,062 doors.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YRC Freight provides services throughout North America, has one of the largest networks of LTL service centers, equipment and transportation professionals and provides flexible and efficient supply chain solutions including:</w:t>
      </w:r>
    </w:p>
    <w:p>
      <w:pPr>
        <w:spacing w:after="0" w:line="166" w:lineRule="exact"/>
        <w:rPr>
          <w:sz w:val="20"/>
          <w:szCs w:val="20"/>
          <w:color w:val="auto"/>
        </w:rPr>
      </w:pPr>
    </w:p>
    <w:p>
      <w:pPr>
        <w:ind w:left="660" w:hanging="328"/>
        <w:spacing w:after="0" w:line="31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Standard LTL: </w:t>
      </w:r>
      <w:r>
        <w:rPr>
          <w:rFonts w:ascii="Arial" w:cs="Arial" w:eastAsia="Arial" w:hAnsi="Arial"/>
          <w:sz w:val="17"/>
          <w:szCs w:val="17"/>
          <w:color w:val="auto"/>
        </w:rPr>
        <w:t>one-stop shopping for all big-shipment national LTL freight needs with centralized customer service for LTL shipping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of North America. YRC Freight offers flexibility, convenience and reliability that comes with one national freight shipping provider.</w:t>
      </w:r>
    </w:p>
    <w:p>
      <w:pPr>
        <w:spacing w:after="0" w:line="138"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Guaranteed Standard: </w:t>
      </w:r>
      <w:r>
        <w:rPr>
          <w:rFonts w:ascii="Arial" w:cs="Arial" w:eastAsia="Arial" w:hAnsi="Arial"/>
          <w:sz w:val="18"/>
          <w:szCs w:val="18"/>
          <w:color w:val="auto"/>
        </w:rPr>
        <w:t>a guaranteed on-time service with more direct points than any other guaranteed standard delivery service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Our guaranteed multiple-day window service is designed to meet retail industry needs to reduce chargeback fees.</w:t>
      </w:r>
    </w:p>
    <w:p>
      <w:pPr>
        <w:spacing w:after="0" w:line="161"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Accelerated: </w:t>
      </w:r>
      <w:r>
        <w:rPr>
          <w:rFonts w:ascii="Arial" w:cs="Arial" w:eastAsia="Arial" w:hAnsi="Arial"/>
          <w:sz w:val="16"/>
          <w:szCs w:val="16"/>
          <w:color w:val="auto"/>
        </w:rPr>
        <w:t>a faster option to our Standard service that moves through YRC Freight’s faster network to increase our customers’ speed to market.</w:t>
      </w:r>
    </w:p>
    <w:p>
      <w:pPr>
        <w:spacing w:after="0" w:line="248"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Time-Critical: </w:t>
      </w:r>
      <w:r>
        <w:rPr>
          <w:rFonts w:ascii="Arial" w:cs="Arial" w:eastAsia="Arial" w:hAnsi="Arial"/>
          <w:sz w:val="18"/>
          <w:szCs w:val="18"/>
          <w:color w:val="auto"/>
        </w:rPr>
        <w:t>for expedited and specialized shipments including emergency and window deliveries via ground or air anywhere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with shipment arrival timed to the hour or day, proactive notification and a 100% on-time guarantee.</w:t>
      </w:r>
    </w:p>
    <w:p>
      <w:pPr>
        <w:spacing w:after="0" w:line="161"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Specialized Solutions: </w:t>
      </w:r>
      <w:r>
        <w:rPr>
          <w:rFonts w:ascii="Arial" w:cs="Arial" w:eastAsia="Arial" w:hAnsi="Arial"/>
          <w:sz w:val="18"/>
          <w:szCs w:val="18"/>
          <w:color w:val="auto"/>
        </w:rPr>
        <w:t>includes a variety of services to meet industry and customer-specific needs with offerings such as Custom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and Distribution, Reverse Logistics, Residential White Glove, and Exhibit Services.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yrcfreight.com: </w:t>
      </w:r>
      <w:r>
        <w:rPr>
          <w:rFonts w:ascii="Arial" w:cs="Arial" w:eastAsia="Arial" w:hAnsi="Arial"/>
          <w:sz w:val="17"/>
          <w:szCs w:val="17"/>
          <w:color w:val="auto"/>
        </w:rPr>
        <w:t>a secure e-commerce website offering online resources for supply chain visibility and shipment management in real time.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includes the operations of its wholly owned Canadian subsidiary, YRC Reimer. Founded in 1952, YRC Reimer offers Canadian shippers a selection of direct connections within Canada, throughout North America and around the world. YRC Reimer’s operating network and information systems are completely integrated with those of YRC Freight, enabling YRC Reimer to provide seamless cross-border services between Canada, Mexico and the United States and markets overseas.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YRC Freight represented 63%, 63% and 64% of our consolidated operating revenue in 2016, 2015 and 2014,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Regional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Regional Transportation is comprised of Holland, New Penn and Reddaway:</w:t>
      </w:r>
    </w:p>
    <w:p>
      <w:pPr>
        <w:spacing w:after="0" w:line="221" w:lineRule="exact"/>
        <w:rPr>
          <w:sz w:val="20"/>
          <w:szCs w:val="20"/>
          <w:color w:val="auto"/>
        </w:rPr>
      </w:pPr>
    </w:p>
    <w:p>
      <w:pPr>
        <w:ind w:left="660" w:hanging="328"/>
        <w:spacing w:after="0" w:line="34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Holland: </w:t>
      </w:r>
      <w:r>
        <w:rPr>
          <w:rFonts w:ascii="Arial" w:cs="Arial" w:eastAsia="Arial" w:hAnsi="Arial"/>
          <w:sz w:val="16"/>
          <w:szCs w:val="16"/>
          <w:color w:val="auto"/>
        </w:rPr>
        <w:t>headquartered in Holland, Michigan, provides local next-day, regional and expedited services through a network located in 21 states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Midwestern and Southeastern portions of the United States. Holland also provides service to the provinces of Ontario and Quebec, Canada.</w:t>
      </w:r>
    </w:p>
    <w:p>
      <w:pPr>
        <w:spacing w:after="0" w:line="116"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New Penn: </w:t>
      </w:r>
      <w:r>
        <w:rPr>
          <w:rFonts w:ascii="Arial" w:cs="Arial" w:eastAsia="Arial" w:hAnsi="Arial"/>
          <w:sz w:val="18"/>
          <w:szCs w:val="18"/>
          <w:color w:val="auto"/>
        </w:rPr>
        <w:t>headquartered in Lebanon, Pennsylvania, provides local next-day, day-definite, and time-definite services through a network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Northeastern United States; Quebec, Canada; and Puerto Rico.</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Reddaway: </w:t>
      </w:r>
      <w:r>
        <w:rPr>
          <w:rFonts w:ascii="Arial" w:cs="Arial" w:eastAsia="Arial" w:hAnsi="Arial"/>
          <w:sz w:val="18"/>
          <w:szCs w:val="18"/>
          <w:color w:val="auto"/>
        </w:rPr>
        <w:t>headquartered in Tualatin, Oregon, provides local next-day, regional and expedited services through a network located in 12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spanning California, the Pacific Northwest, the Rocky Mountain States and the Southwest. Additionally, Reddaway provides services to Alaska, Hawaii and to the province of British Columbia, Canada.</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the Regional Transportation companies deliver services in the next-day, second-day and time-sensitive markets, which are among the fastest-growing transportation segments. The Regional Transportation service portfolio includes:</w:t>
      </w:r>
    </w:p>
    <w:p>
      <w:pPr>
        <w:spacing w:after="0" w:line="166"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delivery: </w:t>
      </w:r>
      <w:r>
        <w:rPr>
          <w:rFonts w:ascii="Arial" w:cs="Arial" w:eastAsia="Arial" w:hAnsi="Arial"/>
          <w:sz w:val="18"/>
          <w:szCs w:val="18"/>
          <w:color w:val="auto"/>
        </w:rPr>
        <w:t>including next-day local area delivery and second-day services; consolidation/distribution services; protect-from-freezing and</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materials handling; truckload and a variety of other specialized offerings.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Guaranteed and expedited delivery: </w:t>
      </w:r>
      <w:r>
        <w:rPr>
          <w:rFonts w:ascii="Arial" w:cs="Arial" w:eastAsia="Arial" w:hAnsi="Arial"/>
          <w:sz w:val="18"/>
          <w:szCs w:val="18"/>
          <w:color w:val="auto"/>
        </w:rPr>
        <w:t>including day-definite, hour-definite and time-definite capabilities.</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Interregional delivery: </w:t>
      </w:r>
      <w:r>
        <w:rPr>
          <w:rFonts w:ascii="Arial" w:cs="Arial" w:eastAsia="Arial" w:hAnsi="Arial"/>
          <w:sz w:val="18"/>
          <w:szCs w:val="18"/>
          <w:color w:val="auto"/>
        </w:rPr>
        <w:t>combining our best-in-class regional networks, Regional Transportation provides reliable, high-value services between our</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 operations.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Cross-border delivery: </w:t>
      </w:r>
      <w:r>
        <w:rPr>
          <w:rFonts w:ascii="Arial" w:cs="Arial" w:eastAsia="Arial" w:hAnsi="Arial"/>
          <w:sz w:val="18"/>
          <w:szCs w:val="18"/>
          <w:color w:val="auto"/>
        </w:rPr>
        <w:t>through strategic partnerships, the Regional Transportation companies provide full-service capabilities between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Canada, and Puerto Rico.</w:t>
      </w:r>
    </w:p>
    <w:p>
      <w:pPr>
        <w:spacing w:after="0" w:line="16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hollandregional.com, reddawayregional.com and newpenn.com: </w:t>
      </w:r>
      <w:r>
        <w:rPr>
          <w:rFonts w:ascii="Arial" w:cs="Arial" w:eastAsia="Arial" w:hAnsi="Arial"/>
          <w:sz w:val="18"/>
          <w:szCs w:val="18"/>
          <w:color w:val="auto"/>
        </w:rPr>
        <w:t>are e-commerce websites offering secure and customized online resources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transportation activity.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approximately 12,000 employees of our Regional Transportation companies serve and support manufacturing, wholesale, retail and government customers throughout North America and transport approximately 10.3 million shipments annually. Regional Transportation shipments have an average shipment size of approximately 1,500 pounds and travel an average distance of roughly 400 miles. At December 31, 2016, the Regional Transportation network includes 127 service facilities including 62 owned facilities with 3,978 doors and 65 leased facilities with 2,886 doors. The Regional Transportation revenue fleet includes approximately 6,600 tractors including approximately 5,000 owned and 1,600 leased and approximately 13,500 trailers including approximately 10,800 owned and 2,700 leased.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Regional Transportation companies accounted for 37%, 37% and 36% of our consolidated operating revenue in 2016, 2015 and 2014,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headquartered in Overland Park, Kansas, has approximately 300 employees. The parent company provides centrally-managed support to our operating companies that spans a variety of functions, including components of finance, legal, risk management, sales, and security.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Each of our shared services organizations charges the operating companies for their services, either based upon usage or on an overhead allocation basis.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companies operate in a highly competitive environment. Given the growth of U.S. import/export trade, our competitors include global, integrated freight transportation services providers; global freight forwarders; national freight services providers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62" w:right="239" w:bottom="1440" w:gutter="0" w:footer="0" w:header="0"/>
        </w:sectPr>
      </w:pPr>
    </w:p>
    <w:bookmarkStart w:id="6" w:name="page7"/>
    <w:bookmarkEnd w:id="6"/>
    <w:p>
      <w:pPr>
        <w:jc w:val="both"/>
        <w:spacing w:after="0" w:line="308" w:lineRule="auto"/>
        <w:rPr>
          <w:sz w:val="20"/>
          <w:szCs w:val="20"/>
          <w:color w:val="auto"/>
        </w:rPr>
      </w:pPr>
      <w:r>
        <w:rPr>
          <w:rFonts w:ascii="Arial" w:cs="Arial" w:eastAsia="Arial" w:hAnsi="Arial"/>
          <w:sz w:val="17"/>
          <w:szCs w:val="17"/>
          <w:color w:val="auto"/>
        </w:rPr>
        <w:t>(including intermodal providers); regional or interregional carriers; third party logistics providers; and small, intraregional transportation companies. The entire trucking industry also faces emerging competition from online crowd-sourcing technology firms that specialize in load-matching services.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companies also have competitors within several different modes of transportation including: LTL, truckload, air and ocean cargo, intermodal rail, parcel and package companies, transportation consolidators, reverse logistics firms, and privately-owned fleets.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Ground-based transportation includes private fleets and “for-hire” provider groups. The private provider segment consists of fleets owned by companies that move their own goods and materials. The “for-hire” groups are classified based on the typical shipment sizes that they handle. Truckload refers to providers transporting shipments that generally fill an entire van, and LTL refers to providers transporting goods from multiple shippers in a single trailer.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LTL transportation providers consolidate numerous shipments (generally ranging from 100 to 10,000 pounds) from varying businesses at individual service centers in close proximity to where those shipments originated. Utilizing expansive networks of pickup and delivery operations around local service centers, shipments are moved between origin and destination using distribution centers when necessary, where consolidation and deconsolidation of shipments occur. Depending on the distance shipped, shared load providers are often classified into one of four sub-groups: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 Average distance is typically fewer than 500 miles with a focus on one- and two-day delivery times. Regional transportation companies can move shipments directly to their respective destination centers, which increases service reliability and avoids costs associated with intermediate handling.</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Interregional - Average distance is usually between 500 and 1,000 miles with a focus on two- and three-day delivery times. There is a competitive overlap between regional and national providers in this category, as each group sees the interregional segment as a growth opportunity, and few providers focus exclusively on this sector.</w:t>
      </w:r>
    </w:p>
    <w:p>
      <w:pPr>
        <w:spacing w:after="0" w:line="14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National - Average distance is typically in excess of 1,000 miles with focus on two- to five-day delivery times. National providers rely on intermediate shipment handling through a network of facilities, which require numerous satellite service centers, multiple distribution centers and a relay network. To gain service and cost advantages, they often ship directly between service centers, minimizing intermediate handling.</w:t>
      </w:r>
    </w:p>
    <w:p>
      <w:pPr>
        <w:spacing w:after="0" w:line="12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 Providing freight forwarding and final-mile delivery services to companies shipping to and from multiple regions around the world. This service can be offered through a combination of owned assets or through a purchased transportation model and may involve just one leg of a shipment’s movement between countries.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YRC Freight provides services in all four sub-groups in North America. Holland, New Penn and Reddaway compete in the regional, interregional and national transportation marketplace. Each brand competes against a number of providers in these markets, from small firms with one or two vehicles to global competitors with thousands of physical assets. While we have competitors with a similar multi-dimensional approach, there are few in the traditional LTL segment with as comprehensive an offering in those categories as our family of companies provide.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Asset-based LTL carriers depend on Third Party Logistics (“3PL”) firms. These non-asset based service providers are both our customers and competitors. As clients, these firms aggregate truck shipment demand and distribute that demand across the transportation sector. Asset-based LTL carriers are the primary providers of shipping capacity to these companies and benefit from the relationship. As competitors, 3PLs often control shipper relationships and can shift shipment volumes away from specific carriers. Certain 3PLs have completed purchases of asset-based LTL carriers, which might alter the competitive landscape in the future.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technology firms have introduced, or are in the process of introducing, load-matching technologies for heavyweight freight. Whereas these firms operate similar to a third party logistics firm, they allow any carrier to bid on specific shipment opportunities. Successfully winning a bid opportunity could be based on a truck’s proximity to the pick-up location, price, or other factors. Just as in the 3PL scenario, we view these as potential opportunities as well as a competitive risk.</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Competitive cost of entry into the asset-based LTL sector on a small scale, within a limited service area, is relatively low (although more so than in other sectors of the transportation industry). The larger the service area, the greater the barriers to entry, due primarily to the need for additional equipment and facilities associated with broader geographic service coverage. Broader market coverage in the competitive transportation landscape also requires increased technology investment and the ability to capture cost efficiencies from shipment density (scale), making entry on a national basis more difficult. Further development of density-based pricing strategies will require carriers to continue to make investments in scanning and measuring technologies. We have already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taken significant steps toward implementing these technologies, and other competitors in our industry are also making investments in this technology at varying speeds.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companies and other interstate carriers were substantially deregulated following the enactment of the Motor Carrier Act of 1980, the Trucking Industry Regulatory Reform Act of 1994, the Federal Aviation Administration Authorization of 1994 and the ICC Termination Act of 1995. Prices and services are now largely free of regulatory controls, although the states retained the right to require compliance with safety and insurance requirements, and interstate motor carriers remain subject to regulatory controls imposed by agencies within the U.S. Department of Transportation.</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companies are subject to regulatory and legislative changes, which can affect our economics and those of our competitors. Some regulatory changes could potentially impact the pool of available drivers. Various federal and state agencies regulate us and our operations are also subject to various federal, foreign, state, provincial and local environmental laws and regulations dealing with transportation, storage, presence, use, disposal and handling of hazardous materials, emissions related to the use of petroleum-based fuels, fuel efficiency, discharge of storm-water and underground fuel storage tanks. Our drivers and facility employees are protected by occupational safety and health regulations and our drivers are subject to hours of service regulations, all of which are subject to change. We are also subject to regulations to combat terrorism imposed by the U.S. Department of Homeland Security and other federal and state agencies. See the Risk Factors section related to our compliance with laws and regulations in Item 1A of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U.S. federal, foreign, state, provincial and local regulations with regard to air and water quality and other environmental matters. We believe that we are in substantial compliance with these regulations. Regulation in this area continues to evolve and changes in standards of enforcement of existing regulations, as well as the enactment and enforcement of new legislation or regulation, may require us and our customers to modify, supplement or replace equipment or facilities or to change or discontinue present methods of operation.</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companies store fuel for use in our revenue equipment in approximately 251 underground storage tanks (“USTs”) located throughout the United States. Maintenance of such USTs is regulated at the federal and, in some cases, state level. The USTs are required to have leak detection systems and are required to be extracted upon our exiting the property.</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2016, we spent approximately $9.1 million to comply with U.S. federal, state and local provisions regulating the discharge of materials into the environment or otherwise relating to the protection of the environment (collectively, “Environmental Regulations”). In 2017, we expect to spend approximately $9.2 million to comply with the Environmental Regulations. Based upon current information, we believe that our compliance with Environmental Regulations will not have a material adverse effect upon our capital expenditures, results of operations and competitive position because we have either made adequate reserves for such compliance expenditures or the cost for such compliance is expected to be small in comparison with our overall expenses.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Comprehensive Environmental Response, Compensation and Liability Act (known as the “Superfund Act”) imposes liability for the release of a “hazardous substance” into the environment. Superfund liability is imposed without regard to fault and even if the waste disposal was in compliance with then-current laws and regulations. With the joint and several liabilities imposed under the Superfund Act, a potentially responsible party (“PRP”) may be required to pay more than its proportional share of any required environmental remediation. Several of our subsidiaries have been identified as PRPs at various sites discussed below. The U.S. Environmental Protection Agency (the “EPA”) and appropriate state agencies are supervising investigative and cleanup activities at these sites.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former Yellow Transportation (now a part of YRC Freight) has been alleged to be a PRP for two locations: Angeles Chemical Co., Santa Fe Springs, CA and Alburn Incinerator, Inc., Chicago, IL, which is included in the Lake Calumet Cluster Site. With respect to these sites, there is little, if any evidence that YRC Freight contributed to any contamination and these allegations are not believed to present material exposure. The former Roadway Express (now a part of YRC Freight) has been alleged to be a PRP for three locations: Ward Transformer, Raleigh, NC, Roosevelt Irrigation District, Phoenix, AZ and Berry's Creek, Carlstadt, NJ. There is scant evidence connecting YRC Freight with either the Ward Transformer site or to the Roosevelt Irrigation District’s contaminated groundwater wells and any potential exposure is believed to be immaterial. The EPA has notified YRC Freight and 140 other potential parties of their possible responsibility at the Berry's Creek site where YRC Freight owns and operates a service center.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The EPA has issued YRC Worldwide a Request for Information (“RFI”) regarding current and former Yellow Transportation and Roadway Express (now YRC Freight) facilities adjacent to or in close proximity of Newtown Creek, NY and its tributaries. None of YRC Worldwide’s operating companies have been named as a PRP in this matter, but YRC Freight has entered into a tolling agreement with the Newtown Creek Group (“NCG”). The NCG is comprised of five companies who have agreed to perform a Remedial Investigation and Feasibility Study under the supervision of the EPA.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USF Red Star, a non-operating subsidiary, has been alleged to be a PRP at three locations: Booth Oil, N. Tonawanda, NY and two separate landfills in Byron, NY, and Moira, NY. Holland has been alleged to be a PRP for one location, Horton Sales Piedmont Site, Greenville County, SC. Although the outcome of any legal matter is subject to uncertainties, based on our current knowledge, we believe the potential combined costs at all of the above sites will not be significant.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PRPs in Superfund actions have joint and several liabilities for all costs of remediation, it is not possible at this time to quantify our ultimate exposure because the projects are either in the investigative or early remediation stage. Based upon current information, we do not believe that probable or reasonably possible expenditures in connection with the sites described above are likely to have a material adverse effect on our financial condition or results of operations because:</w:t>
      </w:r>
    </w:p>
    <w:p>
      <w:pPr>
        <w:spacing w:after="0" w:line="187"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necessary, we have established adequate reserves to cover the estimate we presently believe will be our liability with respect to the matter;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subsidiaries have only limited or de minimis involvement in the sites based upon volumetric calculations;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PRPs involved in the sites have substantial assets and may reasonably be expected to pay a larger share of the cost of remediation; and</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our ultimate liability is relatively small compared with our overall expenses.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other governmental proceedings and regulations, including foreign regulations, relating to environmental matters, and are investigating potential violations of Environmental Regulations with respect to certain sites, but we do not believe that any of these matters or investigations is likely to have a material adverse effect on our business, financial condition, liquidity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Factors and Seasonality</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subject to a number of general economic factors that may have a material adverse effect on the results of our operations, many of which are largely out of our control. These include the impact of recessionary economic cycles and downturns in our customers’ business cycles,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We operate in a highly price-sensitive and competitive industry, making industry pricing actions, quality of customer service, effective asset utilization and cost control major competitive factors.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revenues are subject to seasonal variations which are common in the trucking industry. Customers tend to reduce shipments just prior to and after the winter holiday season. Operating expenses as a percent of revenue tend to be higher, and operating cash flows as a percent of revenue tend to be lower in the winter months, primarily due to colder weather and seasonally lower levels of shipments and the seasonal timing of expenditures. Generally, most of the first quarter and the latter part of the fourth quarter are the seasonally weakest while the second and third quarters are the seasonally strongest. The availability and cost of labor and other operating cost inputs, such as fuel, equipment maintenance and equipment replacements, can significantly impact our overall cost, competitive position within our industry and our resulting earnings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Information About Geographic Areas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revenue from foreign sources is mainly derived from Canada and, to a lesser extent, Mexico. We have certain long-lived assets located in these areas as well. We discuss this information in the “Business Segments” footnote of our consolidated financial statements included in this Annual Report on Form 10-K.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risks and uncertainties described elsewhere in this report or in our other SEC filings, the following risk factors should be considered carefully in evaluating us. These risks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Risks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general economic factors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a number of general economic factors that may adversely affect our business, financial condition and results of operations, many of which are largely out of our control. These factors include recessionary economic cycles and downturns in customers’ business cycles and changes in their business practices,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Because a portion of our costs are fixed, it may be difficult for us to quickly adjust our cost structure proportionally with fluctuations in volume levels. Customers encountering adverse economic conditions represent a greater potential for loss, and we may be required to increase our reserve for bad-debt losses. Further, we depend on our suppliers for equipment, parts and services that are critical to our business. A disruption in the availability of these supplies or a material increase in their cost due to adverse economic conditions or financial constraints of our suppliers could adversely impact our business, results of operations and liquidity.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business risks and increasing costs associated with the transportation industry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business risks and increasing costs associated with the transportation industry that are largely out of our control, any of which could adversely affect our business, financial condition and results of operations. The factors contributing to these risks and costs include weather, excess capacity in the transportation industry, interest rates, license and registration fees, insurance premiums, self-insurance levels, letters of credit required to support outstanding claims, and increasing equipment and operational costs, as well as the other factors discussed in these risk factors. Further, the future availability and support available for our current technology may make it necessary for us to upgrade or change these systems, which may be costly and could disrupt or reduce the efficiency of our operations.</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operate in a highly competitive industry, and our business will suffer if we are unable to adequately address potential downward pricing pressures and other factors that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Numerous competitive factors could adversely affect our business, financial condition and results of operations. These factors include the following:</w:t>
      </w:r>
    </w:p>
    <w:p>
      <w:pPr>
        <w:spacing w:after="0" w:line="237"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compete with many other transportation service providers of varying sizes and types, some of which have a lower cost structure, more and/or newer equipment and greater capital resources than we do or have other competitive advantages;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competitors periodically reduce their prices to gain business, especially during times of reduced growth rates in the economy, which limits our ability to maintain or increase prices or maintain or grow our business;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may negotiate rates or contracts that minimize or eliminate our ability to offset fuel prices through fuel surcharges;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reduce the number of carriers they use by selecting so-called “core carriers” as approved transportation service providers, and in some instances, we may not be selected;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periodically accept bids from multiple carriers for their shipping needs, which may depress prices or result in the loss of some business to competitors;</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towards consolidation in the ground transportation industry may create other large carriers with greater financial resources and other competitive advantages relating to their size;</w:t>
      </w: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from non-asset-based logistics and freight brokerage companies may adversely affect our customer relationships and prices;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a union carrier, we may have a competitive disadvantage compared to non-union carriers with lower cost and greater operating flexibility.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jc w:val="both"/>
        <w:spacing w:after="0" w:line="266" w:lineRule="auto"/>
        <w:rPr>
          <w:sz w:val="20"/>
          <w:szCs w:val="20"/>
          <w:color w:val="auto"/>
        </w:rPr>
      </w:pPr>
      <w:r>
        <w:rPr>
          <w:rFonts w:ascii="Arial" w:cs="Arial" w:eastAsia="Arial" w:hAnsi="Arial"/>
          <w:sz w:val="18"/>
          <w:szCs w:val="18"/>
          <w:b w:val="1"/>
          <w:bCs w:val="1"/>
          <w:color w:val="auto"/>
        </w:rPr>
        <w:t>If our relationship with our employees and unions were to deteriorate, we may be faced with labor disruptions or stoppages, which could have a material adverse effect on our business, financial condition and results of operations and place us at a disadvantage relative to non-union competitors.</w:t>
      </w:r>
    </w:p>
    <w:p>
      <w:pPr>
        <w:spacing w:after="0" w:line="1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of our operating subsidiaries have employees who are represented by the International Brotherhood of Teamsters (“IBT”). These employees represent the majority of our workforce at December 31, 2016. Salaries, wages and employee benefits compose over half of our operating costs.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YRC Freight, New Penn, and Holland subsidiaries employ most of their unionized employees under the terms of a common national master freight agreement with the IBT, as supplemented by additional regional supplements and local agreements, a significant majority of which will expire on March 31, 2019. The IBT also represents a number of employees at Reddaway, and YRC Reimer under more localized agreements, which have wages, benefit contributions and other terms and conditions that better fit the cost structure and operating models of these business units. Our subsidiaries are regularly subject to grievances, arbitration proceedings and other claims concerning alleged past and current non-compliance with applicable labor law and collective bargaining agreements.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the outcome of any of these matters. These matters, if resolved in a manner unfavorable to us, could have a material adverse effect on our business, financial condition, liquidity and results of operations.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pension expense and funding obligations could increase significantly and have a material adverse effect on our business, financial condition and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funding obligations for our U.S. single-employer defined benefit pension plans qualified with the Internal Revenue Service (“IRS”) depend upon their funded status, the future performance of assets set aside in trusts for these plans, the level of interest rates used to determine funding levels and actuarial experience, and any changes in government laws and regulations.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subsidiaries began making contributions to most of the multi-employer pension funds (the “funds”) beginning June 1, 2011 at the rate of 25% of the contribution rate in effect on July 1, 2009. A fund that did not allow our subsidiaries to begin making contributions at a reduced rate elected to either (i) apply the amount of the contributions toward paying down previously deferred contributions under our Contribution Deferral Agreement, or (ii) have the amount of the contributions placed in escrow until such time when the fund is able to accept re-entry at the reduced 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contributions to the funds do not reach certain goals (including those required not to enter endangered or critical status or those required by a fund’s funding improvement or rehabilitation plan), our pension expenses and required cash contributions could further increase upon the expiration of our collective bargaining agreements and, as a result, could materially adversely affect our business, financial condition and results of operations. Decreases in investment returns that are not offset by contributions could also increase our obligations under such plans.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from or termination of all of the multi-employer pension plans would be an estimated $10 billion on a pre-tax basis. If we were subject to withdrawal liability with respect to a plan, the Employment Retirement Income Security Act of 1974, as amended (“ERISA”), provides that a withdrawing employer can pay the obligation in a lump sum or over time based upon an annual payment that is the highest contribution rate to the relevant plan multiplied by the average of the three highest consecutive years measured in contribution base units, which, in some cases, could be up to 20 years. Even so, our applicable subsidiaries have no current intention of taking any action that would subject us to payment of material withdrawal obligations; however we cannot provide any assurance that such obligations will not arise in the future which would have a material adverse effect on our business, financial condition, liquidity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self-insurance and claims expenses could have a material adverse effect on our business, financial condition and results of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insurance and claims expenses might exceed historical levels. We currently self-insure for a majority of our claims exposure resulting from workers’ compensation, property damage and liability claims, and cargo, supplemented by large deductible purchased insurance. If the number or severity of claims for which we are self-insured increases, our business, financial condition and results of operations could be adversely affected, and we may have to post additional letters of credit or cash collateral to state workers’ compensation authorities or insurers to support our insurance policies, which may adversely affect our liquidity. Although we have significantly reduced our letter of credit expense in recent years, there is no assurance this trend will continue. If we lose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our ability to self-insure, our insurance costs could materially increase, and we may find it difficult to obtain adequate levels of insurance coverage.</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self-insured retention limits can make our insurance and claims expense higher or more volatile. We accrue for the costs of the uninsured portion of pending claims, based on the nature and severity of individual claims and historical claims development trends. Estimating the number and severity of claims, as well as related judgment or settlement amounts is inherently difficult. This, along with legal expenses, incurred but not reported claims, and other uncertainties can cause unfavorable differences between actual self-insurance costs and our reserve estimates.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our insurance coverage with respect to each of workers’ compensation, property damage and liability claims, and cargo claims is subject to policy limits. Although we believe our aggregate insurance policy limits are sufficient to cover reasonably expected claims, it is possible that one or more claims could exceed those limits. In this case, we would bear the excess expense, in addition to the amount of self-insurance. Our insurance and claims expense could increase, or we could find it necessary to raise our self-insured retention or decrease our aggregate coverage limits when our policies are renewed or replaced.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significant ongoing capital expenditure requirements that could have a material adverse effect on our business, financial condition and results of operations if we are unable to generate sufficient cash from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capital intensive. Our capital expenditures focus primarily on revenue equipment replacement, land and structures and investments in information technology. Our capital expenditures for the years ended December 31, 2016 and 2015 were $100.6 million and $108.0 million, respectively. These amounts were principally used to fund the purchase of used tractors and trailers, to refurbish engines for our revenue fleet, and capitalized costs for our network facilities and technology infrastructure. We will need to continue to update our fleet periodically. If we are unable to generate sufficient cash from operations to fund our capital requirements, we may have to limit our growth, utilize our existing liquidity, or enter into additional financing arrangements, including leasing arrangements, or operate our revenue equipment (including tractors and trailers) for longer periods resulting in increased maintenance costs, any of which could reduce our operating income. If our cash from operations and existing financing arrangements are not sufficient to fund our capital expenditure requirements, we may not be able to obtain additional financing at all or on terms acceptable to us. In addition, our credit facilities contain provisions that limit our level of annual capital expenditures.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an industry subject to extensive government regulations, and costs of compliance with, or liability for violation of, existing or future regulations could significantly increase our costs of doing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Departments of Transportation and Homeland Security and various federal, state, local and foreign agencies exercise broad powers over our business, generally governing such activities as authorization to engage in motor carrier operations, safety and permits to conduct transportation business. Our drivers are also subject to hours-of-service rules from the Federal Motor Carrier Safety Administration (“FMCSA”). In the future, we may become subject to new or more restrictive regulations that the FMCSA, Departments of Transportation and Homeland Security, the Occupational Safety and Health Administration, the Environmental Protection Agency or other authorities impose, including regulations relating to engine exhaust emissions, the hours of service that our drivers may provide in any one time period, security and other matters. Compliance with these regulations could substantially impair equipment productivity and increase our costs.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2010, the FMSCA established the Compliance Safety Accountability (“CSA”) motor carrier oversight program under which drivers and fleets are evaluated based on certain safety-related standards. Carriers’ safety and fitness ratings under CSA include the on-road safety performance of the carriers’ drivers. The FMSCA has also implemented changes to the hours of service regulations which govern the work hours of commercial drivers and recently adopted a rule that requires commercial drivers who currently use paper log books to maintain hours-of-service records with electronic logging devices (“ELDs”) by December 2017 and commercial drivers who use automatic on-board recording devices to adopt ELDs by December 2019. We are currently in the process of updating our fleet to comply with these new regulations. The FMSCA has announced a number of other safety-related proposals that are pending legislative approval the process of being adopted. As a result of these increased standards, drivers who do not meet such standards are not eligible to drive for us. If we experience safety and fitness violations, our fleet could be ranked poorly as compared to our peers, and our safety and fitness scores could be adversely impacted. A reduction in our safety and fitness scores or those of our drivers could also reduce our competitiveness in relation to other companies that have higher scores. Additionally, competition for drivers with favorable safety ratings may increase and thus result in increases in driver-related compensation costs.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Like many trucking companies, we compensate our drivers based primarily on piece-rate and activity-based formulas. California adopted legislation that sets forth requirements for the payment of a separate hourly wage for “nonproductive” time worked by piece-rate employees, and separate payment for compensable rest and recovery periods to those employees. Specifically, the new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legislation, which became effective January 1, 2016, codifies three basic statutory requirements for the payment of employees on a piece-rate basis: (i) employees must be separately compensated for the time during which they take rest and recovery breaks; (ii) employees must be separately compensated for “other nonproductive time,” which is defined as “time under the employer’s control, exclusive of rest and recovery periods, that is not directly related to the activity being compensated on a piece-rate basis;” and (iii) that this “other nonproduction time” time must be compensated at an hourly rate no less than the applicable minimum wage. The application of this legislation to the Company and its operations, which currently remains ambiguous, could increase our operating costs, including labor costs and legal exposure.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various Environmental Regulations, and costs of compliance with, or liabilities for violations of, existing or future laws and regulations could significantly increase our costs of doing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subject to Environmental Regulations dealing with, among other things, the handling of hazardous materials, underground fuel storage tanks and discharge and retention of storm water. We operate in industrial areas, where truck terminals and other industrial activities are located, and where groundwater or other forms of environmental contamination may have occurred. Our operations involve the risks of fuel spillage or seepage, environmental damage and hazardous waste disposal, among others. If we are involved in a spill or other accident involving hazardous substances, or if we are found to be in violation of applicable environmental laws or regulations, it could significantly increase our cost of doing business. Under specific environmental laws and regulations, we could be held responsible for all of the costs relating to any contamination at our past or present terminals and at third-party waste disposal sites. If we fail to comply with applicable environmental laws and regulations, we could be subject to substantial fines or penalties and to civil and criminal liability.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 climate change initiatives become more prevalent, federal, state and local governments and our customers are beginning to promulgate solutions for these issues. This increased focus on greenhouse gas emission reductions and corporate environmental sustainability may result in new regulations and customer requirements that could negatively affect us. This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These costs, changes and loss of revenue could have a material adverse effect on our business, financial condition, liquidity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by anti-terrorism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aftermath of terrorist attacks on the United States, federal, state and municipal authorities have implemented and continue to implement security measures, including checkpoints and travel restrictions on large trucks. Although many companies would be adversely affected by any slowdown in the availability of freight transportation, the negative impact could affect our business disproportionately. For example, we offer specialized services that guarantee on-time delivery. If the security measures disrupt or impede the timing of our deliveries, we may fail to meet the needs of our customers, or may incur increased expenses to do so. We cannot assure you that these measures will not significantly increase our costs and reduce our operating margins and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 future litigation may adversely affect our business, financial condition, liquidity or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and continue to be involved in legal proceedings, claims and other litigation that arise in the ordinary course of business. Litigation may be related to labor and employment, competitive matters, property damage and liability claims, safety and contract compliance, environmental liability, our past financial restructurings and other matters. We discuss legal proceedings in the “Commitments, Contingencies and Uncertainties” footnote to our consolidated financial statements included elsewhere in this Annual Report on Form 10-K.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An unfavorable outcome of any particular matter or any future legal proceedings could have a material adverse effect on our business, financial condition, liquidity or results of operations. In the future, we could incur judgments or enter into settlements of claims that could harm our financial position,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and cost savings from operational changes and performance improvement initiatives.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initiate operational changes and process improvements to reduce costs and improve financial performance. These changes and initiatives typically include evaluating management talent, reducing overhead costs, closing redundant facilities, making upgrades to our technology, eliminating non-core assets and unnecessary activities and implementing changes of operations under our labor agreements. There is no assurance that any changes and improvements will be successful, that their implementation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may not have an adverse impact on our operating results or that we will not have to initiate additional changes and improvements in order to achieve the projected benefits and cost savings.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profitability and our ability to maintain or grow our fleet.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Should our shipping volumes increase, we may need to attract new qualified drivers and may face difficulty doing so. Like many in the trucking industry, it is important to our business that we retain the necessary number of qualified drivers to operate efficiently. Regulatory requirements, including the CSA program of the FMCSA, have reduced the number of eligible employee drivers and independent contractors and may continue to do so in the future. Future Company driver shortages may result in less than optimal use of purchased transportation, which may result in higher costs to the Company and which use is limited under our Memorandum of Understanding (“MOU”) with the International Brotherhood of Teamsters. The compensation we offer our drivers is subject to market conditions, and we may find it necessary to increase driver compensation in future periods if we must attract new drivers. In addition, we and our industry suffer from a high driver turnover rate. Driver turnover requires us to continually recruit a substantial number of drivers in order to operate existing revenue equipment. If we are unable to continue to retain drivers and attract new drivers when needed, we could be required to adjust our compensation packages, increase our use of purchased transportation, let tractors sit idle, or operate with fewer tractors and face difficulty meeting customer demands, any of which would adversely affect our growth and profitability.</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privacy breach or IT system disruption could adversely affect our business and we may be required to increase our spending on data and system security.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business processes and activities. In addition, the provision of service to our customers and the operation of our networks and systems involve the storage and transmission of proprietary information and sensitive or confidential data, including personal information of customers, employees and others. Our information technology systems, some of which are managed by third-parties, may be susceptible to damage, disruptions or shutdowns due to failures during the process of upgrading or replacing software, databases or components thereof, power outages, hardware failures, computer viruses, attacks by computer hackers, malicious insiders, telecommunication failures, user errors or catastrophic events. Hackers, acting individually or in coordinated groups, may also launch distributed denial of service attacks or ransom or other coordinated attacks that may cause service outages or other interruptions in our business and access to our data. In addition, breaches in security could expose us, our customers, or the individuals affected, to a risk of loss or misuse of proprietary information and sensitive or confidential data. The techniques used to obtain unauthorized access, disable or degrade service or sabotage systems change frequently, may be difficult to detect for a long time and often are not recognized until launched against a target. As a result, we may be unable to anticipate these techniques or to implement adequate preventative measures.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of these occurrences could result in disruptions in our operations, the loss of existing or potential customers, damage to our brand and reputation, and litigation and potential liability for the Company. In addition, the cost and operational consequences of implementing further data or system protection measures could be significant and our efforts to deter, identify, mitigate and/or eliminate any security breaches may not be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doing business in foreign countries.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a portion of our operations in Canada and, to a lesser extent, Mexico. Our revenue from foreign sources totaled $101.0 million, $116.5 million, and $137.5 million in 2016, 2015 and 2014, respectively, and our long-lived assets located in foreign countries totaled $5.2 million, $6.5 million and $8.7 million at December 31, 2016, 2015, and 2014, respectively. As a participating carrier in the Customs and Trade Partnership Against Terrorism (“C-TPAT”) program, we and our contractors are able to cross into these countries more efficiently, thereby avoiding substantial delays. If we should lose the ability to participate in the C-TPAT program, we could experience significant border delays which could have a negative impact on our ability to remain competitive and operate efficiently in those countries. In addition, our foreign operations are subject to certain risks inherent in doing business in jurisdictions outside of the United States, including:</w:t>
      </w:r>
    </w:p>
    <w:p>
      <w:pPr>
        <w:spacing w:after="0" w:line="1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laws, regulations, trade, monetary or fiscal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foreign currency exchange rates and changes in the rate of 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violence and civil unrest in foreign countries;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the requirements of applicable anti-bribery laws, including the U.S. Foreign Corrupt Practices Act;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controls on the repatriation of cash, including the imposition or increase of withholding and other taxes on remittances and other payments by our subsidiaries.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services of key employees and the loss of any substantial number of these individuals or an inability to hire additional personnel could adversely affect us.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success is dependent upon our ability to attract and retain skilled employees, particularly personnel with significant management and leadership skills. If we are unable to attract and retain skilled key employees, we may be unable to accomplish the objectives set forth in our business and strategic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the impact of weather affect our operations and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is common in the trucking industry, our revenues are subject to seasonal variations. During late fourth quarter and early first quarter each year, we expect operating expenses as a percent of revenue to increase and operating cash flows as a percent of revenue to decrease as compared to the rest of the year. The seasonal impact is primarily due to inclement weather, seasonally lower levels of shipments, and the seasonal timing of expenditures. We anticipate these seasonal trends will continue to impact our business and our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fuel prices and shortages of fuel can have a material adverse effect on the results of operations and profitability.</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lessen the effect of fluctuating fuel prices on our margins, we utilize a fuel surcharge program with our customers. These programs are common in the trucking industry and involve adjusting amounts charged to customers as fuel prices fluctuate. In the short term, under our present fuel surcharge program, rising fuel costs generally benefit us while falling fuel costs have a negative impact on our results of operations, though these effects are typically moderated over time. However, rapid material changes in the index upon which we base our program or on our cost of fuel could significantly impact our revenue and operating income, resulting in a material adverse effect on our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fuel shortages and petroleum product rationing could have a material adverse impact on our operations and profitability.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Risks</w:t>
      </w:r>
    </w:p>
    <w:p>
      <w:pPr>
        <w:spacing w:after="0" w:line="22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and cash interest payment obligations, lease obligations and pension funding obligations could adversely affect our financial flexibility and our competitive position.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2016, we had $1,010.3 million in aggregate principal amount of outstanding indebtedness. We also have, and will continue to have, substantial lease obligations. As of December 31, 2016, our expected minimum cash payments under our operating leases for 2017 were $107.4 million and our operating lease obligations totaled $334.7 million, which are payable through 2030. We currently plan to procure a portion of our new revenue equipment using operating leases in 2017 and beyond. We expect our funding obligations in 2017 under our single-employer pension plans and the multi-employer pension funds will be approximately $143.0 million. Our indebtedness, lease obligations and pension funding obligations could continue to have an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these obligations could:</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changes or persistent slow growth in general economic, industry and competitive conditions;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make principal and interest payments on our indebtedness, leases and pension funding obligations,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us from taking advantage of business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and meet future stepped up financial covenants in our credit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lease obligations, and pension funding obligations; and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5" w:name="page16"/>
    <w:bookmarkEnd w:id="15"/>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 on satisfactory terms or at all.</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service all of our indebtedness and satisfy all of other obligations depends on many factors beyond our control, and if we cannot generate enough cash to service our indebtedness and satisfy such other obligations, we may be forced to take one or more actions, which may not be successful.</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operations are the principal source of funding for us. Our business may not generate cash flow from operations in an amount sufficient to fund our liquidity needs. If our cash flows are insufficient to service our indebtedness and satisfy our other obligations, we may be forced to reduce or delay capital expenditures, sell assets, seek additional capital or restructure or refinance our indebtedness or other financial obligations. Our ability to restructure or refinance our indebtedness will depend on the condition of the capital and credit markets and our financial condition at such time. Any refinancing of our indebtedness could be at higher interest rates. In addition, any refinancing of our indebtedness or restructuring of our other obligations may require us to comply with more onerous covenants, which could further restrict our business operations and limit our financial flexibility. In addition, the terms of existing or future debt agreements may restrict us from adopting some of these alternatives. Any failure to make payments of interest and principal on our outstanding indebtedness or satisfy our other financial obligations on a timely basis would likely result in a lowering of our credit rating, which could harm our ability to incur additional indebtedness. These alternative measures may not be successful and, as a result, our liquidity and financial condition could be adversely affected and we may not be able to meet our scheduled debt service obligations. If for any reason we are unable to meet our debt service obligations, we would be in default under the terms of the agreements governing our outstanding debt.</w:t>
      </w:r>
    </w:p>
    <w:p>
      <w:pPr>
        <w:spacing w:after="0" w:line="1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Restrictive covenants in the documents governing our existing and future indebtedness may limit our current and future operations, particularly our ability to respond to changes in our business or to pursue our business strategies.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could adversely affect our ability to:</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documents governing our indebtedness contain financial covenants, affirmative covenants requiring us to take certain actions and negative covenants restricting our ability to take certain actions. We amended the agreement (“Term Loan Agreement”) for our $700 million term loan facility (“Term Loan”) in January 2017 to, among other things, adjust the total leverage ratio covenant. If going forward we are unsuccessful in meeting our stepped up financial covenants, we will need again to seek an amendment or waiver from our lenders or otherwise we will be in default under our credit facilities, which would enable lenders thereunder to accelerate the repayment of amounts outstanding and exercise remedies with respect to collateral. If our lenders under our credit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jc w:val="both"/>
        <w:spacing w:after="0" w:line="297" w:lineRule="auto"/>
        <w:rPr>
          <w:sz w:val="20"/>
          <w:szCs w:val="20"/>
          <w:color w:val="auto"/>
        </w:rPr>
      </w:pPr>
      <w:r>
        <w:rPr>
          <w:rFonts w:ascii="Arial" w:cs="Arial" w:eastAsia="Arial" w:hAnsi="Arial"/>
          <w:sz w:val="16"/>
          <w:szCs w:val="16"/>
          <w:color w:val="auto"/>
        </w:rPr>
        <w:t>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 regard. In addition, any covenant breach or event of default could harm our credit rating and our ability to obtain additional financing on acceptable terms. The occurrence of any of these events could have a material adverse effect on our financial condition and liquidity.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our Common Stock may fluctuate significantly, and this may make it difficult to resell our Common Stock when holders want or at prices they find attractive.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market price for our Common Stock has been highly volatile and subject to significant fluctuations. We expect the market price of our Common Stock to continue to be volatile and subject to these fluctuations in response to a wide variety of factors, including the following:</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if any, or securities analysts’ estimates of 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commentary about us or our stock price by the financial press and in online investor communities.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stock markets from time to time experience price and volume fluctuations that may be unrelated or disproportionate to the operating performance of companies and that may be extreme. These fluctuations may adversely affect the trading price of our Common Stock, regardless of our actual operating performance.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issuances of our Common Stock or equity-related securities in the public market could adversely affect the trading price of our Common Stock and our ability to raise funds in new stock offerings.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future, we may issue additional shares of our Common Stock to raise capital or in connection with a restructuring or refinancing of our indebtedness. In addition, shares of our Common Stock are reserved for issuance, exercise of outstanding stock options and vesting of outstanding share units. As of December 31, 2016, we had outstanding options to purchase an aggregate of approximately 33,000 shares of Common Stock, outstanding nonvested restricted stock and share units and performance based share units representing the right to receive a total of approximately 1.4 million shares of Common Stock upon vesting, and an aggregate of approximately 2.1 million shares of our Common Stock was reserved for future issuance under our Amended and Restated 2011 Incentive and Equity Award Plan (the “Amended 2011 Plan”). We have registered under the Securities Act all of the shares of Common Stock that we may issue upon the exercise of our outstanding options and the vesting of outstanding share units and on account of future awards made under the Amended 2011 Plan. All of these registered shares generally can be freely sold in the public market upon issuance. If a large number of these shares are sold in the public market, the sales could reduce the trading price of our Common Stock.</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predict the size of future issuances or the effect, if any, that such issuances may have on the market price for our Common Stock. Sales of significant amounts of our Common Stock or equity-related securities in the public market, or the perception that such sales may occur, could adversely affect prevailing trading prices of our Common Stock and could impair our ability to raise capital through future offerings of equity or equity-related securities. Further sales of shares of our Common Stock or the availability of shares of our Common Stock for future sale or in connection with hedging and arbitrage activity that may develop with respect to our Common Stock, could adversely affect the trading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in the foreseeable future.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anticipate that we will pay any dividends on shares of our Common Stock in the foreseeable future. We intend to retain any future earnings to fund operations, to service debt and other obligations, such as lease and pension funding requirements, and to use for other corporate needs. Further, our credit facilities limit our ability to pay cash dividends.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We can issue shares of preferred stock that may adversely affect the rights of holders of our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currently authorizes the issuance of 5.0 million shares of preferred stock. Our Board of Directors is authorized to approve the issuance of one or more series of preferred stock without further authorization of our shareholders and to fix the number of shares, the designations, the relative rights and the limitations of any series of preferred stock. As a result, our Board, without shareholder approval, could authorize the issuance of preferred stock with voting, conversion and other rights that could proportionately reduce, minimize or otherwise adversely affect the voting power and other rights of holders of our Common Stock or other series of preferred stock or that could have the effect of delaying, deferring or preventing a change in our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2016, we operated a total of 387 transportation service facilities located in 50 states, Puerto Rico and Canada. Of this total, we own 187 and we lease 200, generally with lease terms ranging from one month to ten years with right of renewal options. The number of customer freight servicing doors totaled 21,143, of which 12,195 are at owned facilities and 8,948 are at leased facilities. The transportation service centers vary in size ranging from one to three doors at small local facilities to 426 doors at the largest consolidation and distribution facility. In addition, we and our subsidiaries own and occupy a general office building in Lebanon, Pennsylvania. We also lease and occupy general office buildings in Holland, Michigan, Overland Park, Kansas, Sioux Falls, South Dakota, Tualatin, Oregon and Winnipeg, Manitoba. Our owned transportation service facilities and office buildings serve as collateral under our credit agreements.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facilities and equipment are adequate to meet current business requirements in 2017. Refer to “Item 7. Management’s Discussion and Analysis of Financial Condition and Results of Operations” for a more detailed discussion of expectations regarding capital spending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footnote of our consolidated financial statements included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our executive officers, each of whom serves until his or her successor has been elected and qualified or until his or her earlier resignation or removal:</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70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Age</w:t>
            </w:r>
          </w:p>
        </w:tc>
        <w:tc>
          <w:tcPr>
            <w:tcW w:w="8720" w:type="dxa"/>
            <w:vAlign w:val="bottom"/>
            <w:gridSpan w:val="2"/>
          </w:tcPr>
          <w:p>
            <w:pPr>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49"/>
        </w:trPr>
        <w:tc>
          <w:tcPr>
            <w:tcW w:w="2060" w:type="dxa"/>
            <w:vAlign w:val="bottom"/>
            <w:gridSpan w:val="2"/>
          </w:tcPr>
          <w:p>
            <w:pPr>
              <w:spacing w:after="0"/>
              <w:rPr>
                <w:sz w:val="20"/>
                <w:szCs w:val="20"/>
                <w:color w:val="auto"/>
              </w:rPr>
            </w:pPr>
            <w:r>
              <w:rPr>
                <w:rFonts w:ascii="Arial" w:cs="Arial" w:eastAsia="Arial" w:hAnsi="Arial"/>
                <w:sz w:val="18"/>
                <w:szCs w:val="18"/>
                <w:color w:val="auto"/>
              </w:rPr>
              <w:t>James L. Welch</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8720" w:type="dxa"/>
            <w:vAlign w:val="bottom"/>
            <w:gridSpan w:val="2"/>
          </w:tcPr>
          <w:p>
            <w:pPr>
              <w:spacing w:after="0"/>
              <w:rPr>
                <w:sz w:val="20"/>
                <w:szCs w:val="20"/>
                <w:color w:val="auto"/>
              </w:rPr>
            </w:pPr>
            <w:r>
              <w:rPr>
                <w:rFonts w:ascii="Arial" w:cs="Arial" w:eastAsia="Arial" w:hAnsi="Arial"/>
                <w:sz w:val="18"/>
                <w:szCs w:val="18"/>
                <w:color w:val="auto"/>
                <w:w w:val="97"/>
              </w:rPr>
              <w:t>YRC Worldwide: Chief Executive Officer (since July 2011); Dynamex Inc. (transportation and logistics services):</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7"/>
              </w:rPr>
              <w:t>President and Chief Executive Officer (2008 - 2011); JHT Holdings (truck transportation): Interim Chief Executive</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2"/>
              </w:rPr>
              <w:t>Officer (2007 - 2008); Yellow Transportation (subsidiary of our Company): President and Chief Executive Officer (2000</w:t>
            </w:r>
          </w:p>
        </w:tc>
      </w:tr>
    </w:tbl>
    <w:p>
      <w:pPr>
        <w:jc w:val="both"/>
        <w:ind w:left="2660" w:right="20" w:firstLine="9"/>
        <w:spacing w:after="0" w:line="302" w:lineRule="auto"/>
        <w:tabs>
          <w:tab w:leader="none" w:pos="27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2007), and various other positions (1978 - 2000); Current Director: SkyWest Inc. (regional airline); Former Director: Dynamex Inc., Spirit AeroSystems Holdings Inc. (commercial airplane assemblies and components), Roadrunner Transportation (transportation and logistics services), and Erickson Air Crane, Inc. (heavy lift helicopter company).</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Stephanie D. Fisher</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8840" w:type="dxa"/>
            <w:vAlign w:val="bottom"/>
          </w:tcPr>
          <w:p>
            <w:pPr>
              <w:ind w:left="100"/>
              <w:spacing w:after="0"/>
              <w:rPr>
                <w:sz w:val="20"/>
                <w:szCs w:val="20"/>
                <w:color w:val="auto"/>
              </w:rPr>
            </w:pPr>
            <w:r>
              <w:rPr>
                <w:rFonts w:ascii="Arial" w:cs="Arial" w:eastAsia="Arial" w:hAnsi="Arial"/>
                <w:sz w:val="18"/>
                <w:szCs w:val="18"/>
                <w:color w:val="auto"/>
              </w:rPr>
              <w:t>Acting Chief Financial Officer (since January 2017) and Vice President and Controller of YRC</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Worldwide (since May 2012); Director - Financial Reporting and various positions in the</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Company’s Corporate Accounting department (2004-2012); Member of the Supervisory</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Committee of CommunityAmerica Credit Union (since December 2010, Chairman of the Committee since May 2012).</w:t>
            </w:r>
          </w:p>
        </w:tc>
      </w:tr>
      <w:tr>
        <w:trPr>
          <w:trHeight w:val="593"/>
        </w:trPr>
        <w:tc>
          <w:tcPr>
            <w:tcW w:w="1860" w:type="dxa"/>
            <w:vAlign w:val="bottom"/>
          </w:tcPr>
          <w:p>
            <w:pPr>
              <w:spacing w:after="0"/>
              <w:rPr>
                <w:sz w:val="20"/>
                <w:szCs w:val="20"/>
                <w:color w:val="auto"/>
              </w:rPr>
            </w:pPr>
            <w:r>
              <w:rPr>
                <w:rFonts w:ascii="Arial" w:cs="Arial" w:eastAsia="Arial" w:hAnsi="Arial"/>
                <w:sz w:val="18"/>
                <w:szCs w:val="18"/>
                <w:color w:val="auto"/>
              </w:rPr>
              <w:t>James A. Fry</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Vice President, General Counsel and Corporate Secretary of YRC Worldwide (since April 2015); Swift Transportation</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6"/>
              </w:rPr>
              <w:t>Company: Executive Vice President and General Counsel (2010-2015), Corporate Counsel (2008-2010); General</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Counsel of Global Aircraft Solutions, Inc. (2003-2008).</w:t>
            </w:r>
          </w:p>
        </w:tc>
      </w:tr>
      <w:tr>
        <w:trPr>
          <w:trHeight w:val="377"/>
        </w:trPr>
        <w:tc>
          <w:tcPr>
            <w:tcW w:w="1860" w:type="dxa"/>
            <w:vAlign w:val="bottom"/>
          </w:tcPr>
          <w:p>
            <w:pPr>
              <w:spacing w:after="0"/>
              <w:rPr>
                <w:sz w:val="20"/>
                <w:szCs w:val="20"/>
                <w:color w:val="auto"/>
              </w:rPr>
            </w:pPr>
            <w:r>
              <w:rPr>
                <w:rFonts w:ascii="Arial" w:cs="Arial" w:eastAsia="Arial" w:hAnsi="Arial"/>
                <w:sz w:val="18"/>
                <w:szCs w:val="18"/>
                <w:color w:val="auto"/>
              </w:rPr>
              <w:t>Justin Hall</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Chief Customer Officer of YRC Worldwide (since June 2016); President of Logistics Planning Services (transportation</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management and logistics software) (2006-2016).</w:t>
            </w:r>
          </w:p>
        </w:tc>
      </w:tr>
      <w:tr>
        <w:trPr>
          <w:trHeight w:val="391"/>
        </w:trPr>
        <w:tc>
          <w:tcPr>
            <w:tcW w:w="1860" w:type="dxa"/>
            <w:vAlign w:val="bottom"/>
          </w:tcPr>
          <w:p>
            <w:pPr>
              <w:spacing w:after="0"/>
              <w:rPr>
                <w:sz w:val="20"/>
                <w:szCs w:val="20"/>
                <w:color w:val="auto"/>
              </w:rPr>
            </w:pPr>
            <w:r>
              <w:rPr>
                <w:rFonts w:ascii="Arial" w:cs="Arial" w:eastAsia="Arial" w:hAnsi="Arial"/>
                <w:sz w:val="18"/>
                <w:szCs w:val="18"/>
                <w:color w:val="auto"/>
              </w:rPr>
              <w:t>Mark D. Boehmer</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Vice President and Treasurer of YRC Worldwide (since July 2013); Vice President and Treasurer of Sealy Corporation</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(bedding manufacturer) (2003-2013).</w:t>
            </w:r>
          </w:p>
        </w:tc>
      </w:tr>
      <w:tr>
        <w:trPr>
          <w:trHeight w:val="377"/>
        </w:trPr>
        <w:tc>
          <w:tcPr>
            <w:tcW w:w="1860" w:type="dxa"/>
            <w:vAlign w:val="bottom"/>
          </w:tcPr>
          <w:p>
            <w:pPr>
              <w:spacing w:after="0"/>
              <w:rPr>
                <w:sz w:val="20"/>
                <w:szCs w:val="20"/>
                <w:color w:val="auto"/>
              </w:rPr>
            </w:pPr>
            <w:r>
              <w:rPr>
                <w:rFonts w:ascii="Arial" w:cs="Arial" w:eastAsia="Arial" w:hAnsi="Arial"/>
                <w:sz w:val="18"/>
                <w:szCs w:val="18"/>
                <w:color w:val="auto"/>
              </w:rPr>
              <w:t>Darren D. Hawkins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President (since February 2014), Senior Vice President - Sales and Marketing (January 2013-February 2014) of YRC</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0"/>
              </w:rPr>
              <w:t>Freight; Director of Operations (December 2011-January 2013) and Director of Sales (January 2009-December 2011) for</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Con- Way Freight, a subsidiary of Con-Way, Inc.; various positions of increasing responsibility with Yellow</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Transportation (1991-2009).</w:t>
            </w:r>
          </w:p>
        </w:tc>
      </w:tr>
      <w:tr>
        <w:trPr>
          <w:trHeight w:val="593"/>
        </w:trPr>
        <w:tc>
          <w:tcPr>
            <w:tcW w:w="1860" w:type="dxa"/>
            <w:vAlign w:val="bottom"/>
          </w:tcPr>
          <w:p>
            <w:pPr>
              <w:spacing w:after="0"/>
              <w:rPr>
                <w:sz w:val="20"/>
                <w:szCs w:val="20"/>
                <w:color w:val="auto"/>
              </w:rPr>
            </w:pPr>
            <w:r>
              <w:rPr>
                <w:rFonts w:ascii="Arial" w:cs="Arial" w:eastAsia="Arial" w:hAnsi="Arial"/>
                <w:sz w:val="18"/>
                <w:szCs w:val="18"/>
                <w:color w:val="auto"/>
              </w:rPr>
              <w:t>Scott D. Ware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8840" w:type="dxa"/>
            <w:vAlign w:val="bottom"/>
          </w:tcPr>
          <w:p>
            <w:pPr>
              <w:ind w:left="100"/>
              <w:spacing w:after="0"/>
              <w:rPr>
                <w:sz w:val="20"/>
                <w:szCs w:val="20"/>
                <w:color w:val="auto"/>
              </w:rPr>
            </w:pPr>
            <w:r>
              <w:rPr>
                <w:rFonts w:ascii="Arial" w:cs="Arial" w:eastAsia="Arial" w:hAnsi="Arial"/>
                <w:sz w:val="18"/>
                <w:szCs w:val="18"/>
                <w:color w:val="auto"/>
                <w:w w:val="95"/>
              </w:rPr>
              <w:t>President (since May 2012), Vice President Operations &amp; Linehaul (2009-2012) and Vice President Linehaul (2007-</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5"/>
              </w:rPr>
              <w:t>2009) of Holland; Director of Linehaul of SAIA Inc. (2002-2007); Director of Linehaul of JEVIC (2000-2002); various</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industry management roles with Preston, Overnite, Con-Way and Spartan Express (1985-2000).</w:t>
            </w:r>
          </w:p>
        </w:tc>
      </w:tr>
      <w:tr>
        <w:trPr>
          <w:trHeight w:val="593"/>
        </w:trPr>
        <w:tc>
          <w:tcPr>
            <w:tcW w:w="1860" w:type="dxa"/>
            <w:vAlign w:val="bottom"/>
          </w:tcPr>
          <w:p>
            <w:pPr>
              <w:spacing w:after="0"/>
              <w:rPr>
                <w:sz w:val="20"/>
                <w:szCs w:val="20"/>
                <w:color w:val="auto"/>
              </w:rPr>
            </w:pPr>
            <w:r>
              <w:rPr>
                <w:rFonts w:ascii="Arial" w:cs="Arial" w:eastAsia="Arial" w:hAnsi="Arial"/>
                <w:sz w:val="18"/>
                <w:szCs w:val="18"/>
                <w:color w:val="auto"/>
              </w:rPr>
              <w:t>Thomas J. O’Connor</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8840" w:type="dxa"/>
            <w:vAlign w:val="bottom"/>
          </w:tcPr>
          <w:p>
            <w:pPr>
              <w:ind w:left="100"/>
              <w:spacing w:after="0"/>
              <w:rPr>
                <w:sz w:val="20"/>
                <w:szCs w:val="20"/>
                <w:color w:val="auto"/>
              </w:rPr>
            </w:pPr>
            <w:r>
              <w:rPr>
                <w:rFonts w:ascii="Arial" w:cs="Arial" w:eastAsia="Arial" w:hAnsi="Arial"/>
                <w:sz w:val="18"/>
                <w:szCs w:val="18"/>
                <w:color w:val="auto"/>
                <w:w w:val="91"/>
              </w:rPr>
              <w:t>President of Reddaway (since January 2007); President of USF Bestway (subsidiary of the Company) (2005-2007); Vice</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7"/>
              </w:rPr>
              <w:t>President - Western Division and officer of the Company (1999-2005), District Manager (1995-1999) and various</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management positions of increasing responsibility (1982-1995) of Roadway Express, Inc. (subsidiary of the Company).</w:t>
            </w:r>
          </w:p>
        </w:tc>
      </w:tr>
      <w:tr>
        <w:trPr>
          <w:trHeight w:val="593"/>
        </w:trPr>
        <w:tc>
          <w:tcPr>
            <w:tcW w:w="1860" w:type="dxa"/>
            <w:vAlign w:val="bottom"/>
          </w:tcPr>
          <w:p>
            <w:pPr>
              <w:spacing w:after="0"/>
              <w:rPr>
                <w:sz w:val="20"/>
                <w:szCs w:val="20"/>
                <w:color w:val="auto"/>
              </w:rPr>
            </w:pPr>
            <w:r>
              <w:rPr>
                <w:rFonts w:ascii="Arial" w:cs="Arial" w:eastAsia="Arial" w:hAnsi="Arial"/>
                <w:sz w:val="18"/>
                <w:szCs w:val="18"/>
                <w:color w:val="auto"/>
              </w:rPr>
              <w:t>Donald R. Foust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President of New Penn (since August 2014); Regional Vice President, Eastern Sales and Operations (2013-July 2014),</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Vice President, Sales and Marketing (2012-2013), Director of Corporate Sales (2011-2012), Regional Sales Manager</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(2009-2011) of Roadrunner Transportation Services (transportation and logistics); various management roles at Yellow</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Transportation (subsidiary of the Company) (1999-2009).</w:t>
            </w:r>
          </w:p>
        </w:tc>
      </w:tr>
      <w:tr>
        <w:trPr>
          <w:trHeight w:val="702"/>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40" w:type="dxa"/>
            <w:vAlign w:val="bottom"/>
          </w:tcPr>
          <w:p>
            <w:pPr>
              <w:ind w:left="306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00"/>
          </w:cols>
          <w:pgMar w:left="240" w:top="52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10, 2017, 347 stockholders of record held YRC Worldwide common stock. Trading activity averaged 706,869 shares per day during 2016, up from 636,524 per day in 2015. The NASDAQ Stock Market quotes prices for our common stock under the symbol “YRCW.”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Financial Information (unaudited)</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10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3"/>
                <w:szCs w:val="13"/>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Second Quarter</w:t>
            </w:r>
          </w:p>
        </w:tc>
        <w:tc>
          <w:tcPr>
            <w:tcW w:w="300" w:type="dxa"/>
            <w:vAlign w:val="bottom"/>
          </w:tcPr>
          <w:p>
            <w:pPr>
              <w:spacing w:after="0"/>
              <w:rPr>
                <w:sz w:val="13"/>
                <w:szCs w:val="13"/>
                <w:color w:val="auto"/>
              </w:rPr>
            </w:pPr>
          </w:p>
        </w:tc>
        <w:tc>
          <w:tcPr>
            <w:tcW w:w="100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0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Diluted income (loss) per share</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High</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4840" w:type="dxa"/>
            <w:vAlign w:val="bottom"/>
            <w:gridSpan w:val="2"/>
          </w:tcPr>
          <w:p>
            <w:pPr>
              <w:ind w:left="30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588"/>
        </w:trPr>
        <w:tc>
          <w:tcPr>
            <w:tcW w:w="2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10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3"/>
                <w:szCs w:val="13"/>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Second Quarter</w:t>
            </w:r>
          </w:p>
        </w:tc>
        <w:tc>
          <w:tcPr>
            <w:tcW w:w="300" w:type="dxa"/>
            <w:vAlign w:val="bottom"/>
          </w:tcPr>
          <w:p>
            <w:pPr>
              <w:spacing w:after="0"/>
              <w:rPr>
                <w:sz w:val="13"/>
                <w:szCs w:val="13"/>
                <w:color w:val="auto"/>
              </w:rPr>
            </w:pPr>
          </w:p>
        </w:tc>
        <w:tc>
          <w:tcPr>
            <w:tcW w:w="100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0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r>
              <w:rPr>
                <w:rFonts w:ascii="Arial" w:cs="Arial" w:eastAsia="Arial" w:hAnsi="Arial"/>
                <w:sz w:val="8"/>
                <w:szCs w:val="8"/>
                <w:b w:val="1"/>
                <w:bCs w:val="1"/>
                <w:color w:val="auto"/>
                <w:w w:val="98"/>
              </w:rPr>
              <w:t>(b)</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Diluted income (loss) per share</w:t>
            </w:r>
          </w:p>
        </w:tc>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77"/>
        </w:trPr>
        <w:tc>
          <w:tcPr>
            <w:tcW w:w="2280" w:type="dxa"/>
            <w:vAlign w:val="bottom"/>
            <w:tcBorders>
              <w:bottom w:val="single" w:sz="8" w:color="CCEEFF"/>
            </w:tcBorders>
            <w:vMerge w:val="continue"/>
            <w:shd w:val="clear" w:color="auto" w:fill="CCEEFF"/>
          </w:tcPr>
          <w:p>
            <w:pPr>
              <w:spacing w:after="0"/>
              <w:rPr>
                <w:sz w:val="6"/>
                <w:szCs w:val="6"/>
                <w:color w:val="auto"/>
              </w:rPr>
            </w:pPr>
          </w:p>
        </w:tc>
        <w:tc>
          <w:tcPr>
            <w:tcW w:w="256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High</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30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line="250"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Diluted income (loss) per share amounts were computed independently for each of the quarters presented. The sum of the quarters may differ from the total annual amount primarily due to change in the number of outstanding shares in the year and the impact of the if-converted method used to calculate earnings per share.</w:t>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the fourth quarter of 2015, operating loss and net loss included a non-union pension settlement charge of $28.7 million.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repurchase any shares of our Common Stock in 2016, 2015 or 2014. The Term Loan Agreement does not permit us to purchase shares of our Common Stock outside of limited exceptions.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declare any cash dividends on our Common Stock in 2016, 2015 or 2014. Our Term Loan Agreement limits our ability to declare dividends on any of our outstanding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Common Stock Performance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a line graph comparing the quarterly percentage change in the cumulative total stockholder return of the Company’s common stock against the cumulative total return of the S&amp;P Composite-500 Stock Index and the Dow Jones Transportation Average Stock Index for the period of five years commencing December 31, 2011 and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848985" cy="2804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selected financial data below should be read in conjunction with “Management’s Discussion and Analysis of Financial Condition and Results of Operations” and “Financial Statements and Supplementary Data” included in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(dollars in millions, except per share data. shares 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r>
      <w:tr>
        <w:trPr>
          <w:trHeight w:val="202"/>
        </w:trPr>
        <w:tc>
          <w:tcPr>
            <w:tcW w:w="432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For the Year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4,850.5</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24.1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(136.5)</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w w:val="96"/>
              </w:rPr>
              <w:t>Less: Net income attributable to non-controlling interest</w:t>
            </w:r>
          </w:p>
        </w:tc>
        <w:tc>
          <w:tcPr>
            <w:tcW w:w="3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YRC Worldwide Inc.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(140.4)</w:t>
            </w:r>
          </w:p>
        </w:tc>
      </w:tr>
      <w:tr>
        <w:trPr>
          <w:trHeight w:val="229"/>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Amortization of beneficial conversion feature 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7"/>
              </w:rPr>
              <w:t>Net income (loss) attributable to common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(140.4)</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50.4</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19.8</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14.3</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At Year-End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4320" w:type="dxa"/>
            <w:vAlign w:val="bottom"/>
            <w:gridSpan w:val="6"/>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(b)</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1,770.0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1,879.4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1,965.1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2,046.4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2,211.1</w:t>
            </w:r>
          </w:p>
        </w:tc>
      </w:tr>
      <w:tr>
        <w:trPr>
          <w:trHeight w:val="270"/>
        </w:trPr>
        <w:tc>
          <w:tcPr>
            <w:tcW w:w="4320" w:type="dxa"/>
            <w:vAlign w:val="bottom"/>
            <w:gridSpan w:val="6"/>
          </w:tcPr>
          <w:p>
            <w:pPr>
              <w:ind w:left="40"/>
              <w:spacing w:after="0" w:line="27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(b)</w:t>
            </w:r>
          </w:p>
        </w:tc>
        <w:tc>
          <w:tcPr>
            <w:tcW w:w="320" w:type="dxa"/>
            <w:vAlign w:val="bottom"/>
          </w:tcPr>
          <w:p>
            <w:pPr>
              <w:spacing w:after="0"/>
              <w:rPr>
                <w:sz w:val="23"/>
                <w:szCs w:val="23"/>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1,344.9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1,361.0</w:t>
            </w:r>
          </w:p>
        </w:tc>
      </w:tr>
      <w:tr>
        <w:trPr>
          <w:trHeight w:val="275"/>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shareholders’ deficit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(629.1)</w:t>
            </w:r>
          </w:p>
        </w:tc>
      </w:tr>
      <w:tr>
        <w:trPr>
          <w:trHeight w:val="304"/>
        </w:trPr>
        <w:tc>
          <w:tcPr>
            <w:tcW w:w="4320" w:type="dxa"/>
            <w:vAlign w:val="bottom"/>
            <w:tcBorders>
              <w:top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Per Share Measurements</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Basic per share data: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80" w:type="dxa"/>
            <w:vAlign w:val="bottom"/>
            <w:gridSpan w:val="5"/>
          </w:tcPr>
          <w:p>
            <w:pPr>
              <w:ind w:left="2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(19.20)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7,311</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Diluted per share data:</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(19.20)</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7,311</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32,000</w:t>
            </w:r>
          </w:p>
        </w:tc>
      </w:tr>
      <w:tr>
        <w:trPr>
          <w:trHeight w:val="270"/>
        </w:trPr>
        <w:tc>
          <w:tcPr>
            <w:tcW w:w="4320" w:type="dxa"/>
            <w:vAlign w:val="bottom"/>
            <w:gridSpan w:val="6"/>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YRC Freight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Regional Transportation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42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right="2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Operating ratio is calculated as (i) 100 percent (ii) minus the result of dividing operating income by operating revenue or (iii) plus the result of dividing operating loss by operating revenue and expressed as a percentage.</w:t>
      </w:r>
    </w:p>
    <w:p>
      <w:pPr>
        <w:ind w:left="340" w:hanging="332"/>
        <w:spacing w:after="0" w:line="255"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Due to the adoption of Accounting Standards Update (“ASU”) 2015-03, </w:t>
      </w:r>
      <w:r>
        <w:rPr>
          <w:rFonts w:ascii="Arial" w:cs="Arial" w:eastAsia="Arial" w:hAnsi="Arial"/>
          <w:sz w:val="14"/>
          <w:szCs w:val="14"/>
          <w:i w:val="1"/>
          <w:iCs w:val="1"/>
          <w:color w:val="auto"/>
        </w:rPr>
        <w:t>Interest - Imputation of Interest</w:t>
      </w:r>
      <w:r>
        <w:rPr>
          <w:rFonts w:ascii="Arial" w:cs="Arial" w:eastAsia="Arial" w:hAnsi="Arial"/>
          <w:sz w:val="14"/>
          <w:szCs w:val="14"/>
          <w:color w:val="auto"/>
        </w:rPr>
        <w:t>, “Total assets” and “Total debt” were updated to reflect the reclassification of unamortized debt issuance costs.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within the meaning of Section 27A of the Securities Act and Section 21E of the Exchange Act. See the introductory section immediately prior to “Part I” and Risk Factors in “Item 1A” of this report regarding these statements.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Consolidated Results of Operations: </w:t>
      </w:r>
      <w:r>
        <w:rPr>
          <w:rFonts w:ascii="Arial" w:cs="Arial" w:eastAsia="Arial" w:hAnsi="Arial"/>
          <w:sz w:val="16"/>
          <w:szCs w:val="16"/>
          <w:color w:val="auto"/>
        </w:rPr>
        <w:t>an analysis of our consolidated results of operations for the years ended December 31, 2016, 2015 and 2014</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Reporting Segment Results of Operations: </w:t>
      </w:r>
      <w:r>
        <w:rPr>
          <w:rFonts w:ascii="Arial" w:cs="Arial" w:eastAsia="Arial" w:hAnsi="Arial"/>
          <w:sz w:val="16"/>
          <w:szCs w:val="16"/>
          <w:color w:val="auto"/>
        </w:rPr>
        <w:t>an analysis of our results of operations for the years ended December 31, 2016, 2015 and 2014 for our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reporting segments: YRC Freight and Regional Transportation</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an analysis of our results using certain non-GAAP financial measures, for the years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2016, 2015 and 2014</w:t>
      </w:r>
    </w:p>
    <w:p>
      <w:pPr>
        <w:spacing w:after="0" w:line="12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a discussion of our major sources and uses of cash as well as an analysis of our cash flows and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obligations and commercial commitments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is a holding company that, through its operating subsidiaries, offers its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heavyweight shipments and flexible supply chain solutions, ensuring customers can ship industrial, commercial and retail goods with confidence.</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measure the performance of our business both on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Operating revenue has two primary components: volume (commonly evaluated using tonnage, tonnage per day,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Operating Income (Loss)</w:t>
      </w:r>
      <w:r>
        <w:rPr>
          <w:rFonts w:ascii="Arial" w:cs="Arial" w:eastAsia="Arial" w:hAnsi="Arial"/>
          <w:sz w:val="18"/>
          <w:szCs w:val="18"/>
          <w:color w:val="auto"/>
        </w:rPr>
        <w:t>: Operating income (loss) is operating revenue less operating expenses. Consolidated operating income (loss)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corporate charges that are not allocated to our reporting segments.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is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We use EBITDA and Adjusted EBITDA, which are non-GAAP financial measures, to assess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0" w:right="239" w:bottom="1440" w:gutter="0" w:footer="0" w:header="0"/>
        </w:sectPr>
      </w:pPr>
    </w:p>
    <w:bookmarkStart w:id="23" w:name="page24"/>
    <w:bookmarkEnd w:id="23"/>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EBITDA</w:t>
      </w:r>
      <w:r>
        <w:rPr>
          <w:rFonts w:ascii="Arial" w:cs="Arial" w:eastAsia="Arial" w:hAnsi="Arial"/>
          <w:sz w:val="18"/>
          <w:szCs w:val="18"/>
          <w:color w:val="auto"/>
        </w:rPr>
        <w:t>: 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7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 non-GAAP measure that reflects EBITDA, and further adjusts for letter of credit fees, equity-based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gains or losses on property disposals, restructuring professional fees, non-recurring consulting fees, expenses associated with certain lump sum payments to our union employees, and gains or losses from permitted dispositions and discontinued operations, among other items, as defined in our credit facilities. Adjusted EBITDA is used for internal management purposes as a financial measure that reflects core operating performance, to measure compliance with certain financial covenants in our credit facilities and to determine certain executive bonus compensation.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225" w:lineRule="exact"/>
        <w:rPr>
          <w:sz w:val="20"/>
          <w:szCs w:val="20"/>
          <w:color w:val="auto"/>
        </w:rPr>
      </w:pPr>
    </w:p>
    <w:p>
      <w:pPr>
        <w:ind w:left="1300" w:hanging="320"/>
        <w:spacing w:after="0" w:line="258"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nonrecurring consulting fees, letter of credit fees, service interest or principal payments on our outstanding debt or fund our lump sum payments to our union employees required under the MOU;</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hanging="320"/>
        <w:spacing w:after="0" w:line="265"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Equity based compensation is an element of our long-term incentive compensation package, although adjusted EBITDA excludes employee equity-based compensation expense when presenting our ongoing operating performance for a particular period; and</w:t>
      </w: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23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consolidated results for 2016, 2015 and 2014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three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Borders>
              <w:bottom w:val="single" w:sz="8" w:color="auto"/>
            </w:tcBorders>
            <w:gridSpan w:val="2"/>
          </w:tcPr>
          <w:p>
            <w:pPr>
              <w:jc w:val="right"/>
              <w:ind w:right="914"/>
              <w:spacing w:after="0"/>
              <w:rPr>
                <w:sz w:val="20"/>
                <w:szCs w:val="20"/>
                <w:color w:val="auto"/>
              </w:rPr>
            </w:pPr>
            <w:r>
              <w:rPr>
                <w:rFonts w:ascii="Arial" w:cs="Arial" w:eastAsia="Arial" w:hAnsi="Arial"/>
                <w:sz w:val="14"/>
                <w:szCs w:val="14"/>
                <w:b w:val="1"/>
                <w:bCs w:val="1"/>
                <w:color w:val="auto"/>
              </w:rPr>
              <w:t>Percent Change</w:t>
            </w:r>
          </w:p>
        </w:tc>
        <w:tc>
          <w:tcPr>
            <w:tcW w:w="320" w:type="dxa"/>
            <w:vAlign w:val="bottom"/>
            <w:tcBorders>
              <w:bottom w:val="single" w:sz="8" w:color="auto"/>
            </w:tcBorders>
          </w:tcPr>
          <w:p>
            <w:pPr>
              <w:spacing w:after="0"/>
              <w:rPr>
                <w:sz w:val="16"/>
                <w:szCs w:val="16"/>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 vs. 2015</w:t>
            </w: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 vs. 2014</w:t>
            </w:r>
          </w:p>
        </w:tc>
        <w:tc>
          <w:tcPr>
            <w:tcW w:w="320" w:type="dxa"/>
            <w:vAlign w:val="bottom"/>
            <w:tcBorders>
              <w:bottom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(2.8)%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620" w:type="dxa"/>
            <w:vAlign w:val="bottom"/>
          </w:tcPr>
          <w:p>
            <w:pPr>
              <w:jc w:val="right"/>
              <w:ind w:right="236"/>
              <w:spacing w:after="0"/>
              <w:rPr>
                <w:sz w:val="20"/>
                <w:szCs w:val="20"/>
                <w:color w:val="auto"/>
              </w:rPr>
            </w:pPr>
            <w:r>
              <w:rPr>
                <w:rFonts w:ascii="Arial" w:cs="Arial" w:eastAsia="Arial" w:hAnsi="Arial"/>
                <w:sz w:val="18"/>
                <w:szCs w:val="18"/>
                <w:color w:val="auto"/>
              </w:rPr>
              <w:t>33.7 %</w:t>
            </w:r>
          </w:p>
        </w:tc>
        <w:tc>
          <w:tcPr>
            <w:tcW w:w="1400" w:type="dxa"/>
            <w:vAlign w:val="bottom"/>
          </w:tcPr>
          <w:p>
            <w:pPr>
              <w:jc w:val="right"/>
              <w:spacing w:after="0"/>
              <w:rPr>
                <w:sz w:val="20"/>
                <w:szCs w:val="20"/>
                <w:color w:val="auto"/>
              </w:rPr>
            </w:pPr>
            <w:r>
              <w:rPr>
                <w:rFonts w:ascii="Arial" w:cs="Arial" w:eastAsia="Arial" w:hAnsi="Arial"/>
                <w:sz w:val="18"/>
                <w:szCs w:val="18"/>
                <w:color w:val="auto"/>
              </w:rPr>
              <w:t>104.4 %</w:t>
            </w:r>
          </w:p>
        </w:tc>
        <w:tc>
          <w:tcPr>
            <w:tcW w:w="3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1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2.4 %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620" w:type="dxa"/>
            <w:vAlign w:val="bottom"/>
          </w:tcPr>
          <w:p>
            <w:pPr>
              <w:jc w:val="right"/>
              <w:ind w:right="436"/>
              <w:spacing w:after="0"/>
              <w:rPr>
                <w:sz w:val="20"/>
                <w:szCs w:val="20"/>
                <w:color w:val="auto"/>
              </w:rPr>
            </w:pPr>
            <w:r>
              <w:rPr>
                <w:rFonts w:ascii="Arial" w:cs="Arial" w:eastAsia="Arial" w:hAnsi="Arial"/>
                <w:sz w:val="18"/>
                <w:szCs w:val="18"/>
                <w:color w:val="auto"/>
              </w:rPr>
              <w:t>NM</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320" w:type="dxa"/>
            <w:vAlign w:val="bottom"/>
          </w:tcPr>
          <w:p>
            <w:pPr>
              <w:ind w:left="40"/>
              <w:spacing w:after="0"/>
              <w:rPr>
                <w:sz w:val="20"/>
                <w:szCs w:val="20"/>
                <w:color w:val="auto"/>
              </w:rPr>
            </w:pPr>
            <w:r>
              <w:rPr>
                <w:rFonts w:ascii="Arial" w:cs="Arial" w:eastAsia="Arial" w:hAnsi="Arial"/>
                <w:sz w:val="13"/>
                <w:szCs w:val="13"/>
                <w:color w:val="auto"/>
              </w:rPr>
              <w:t>(a)</w:t>
            </w:r>
          </w:p>
        </w:tc>
      </w:tr>
    </w:tbl>
    <w:p>
      <w:pPr>
        <w:spacing w:after="0" w:line="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consolidated operating revenue decreased $134.9 million, or 2.8%, for the year ended December 31, 2016 compared to 2015. The decrease in revenue was largely attributed to the reduction in fuel surcharge revenue and declines in volume, partially offset by improved yield (excluding fuel surcharge).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decreased $166.2 million, or 3.5%, for the year ended December 31, 2016 compared to 2015, due to a reduction in salaries, wages and employee benefits, lower fuel costs, and a decrease in liability claims expense, in addition to gains on property disposals.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7"/>
          <w:szCs w:val="17"/>
          <w:i w:val="1"/>
          <w:iCs w:val="1"/>
          <w:color w:val="auto"/>
        </w:rPr>
        <w:t>Salaries, wages and employee benefits</w:t>
      </w:r>
      <w:r>
        <w:rPr>
          <w:rFonts w:ascii="Arial" w:cs="Arial" w:eastAsia="Arial" w:hAnsi="Arial"/>
          <w:sz w:val="17"/>
          <w:szCs w:val="17"/>
          <w:color w:val="auto"/>
        </w:rPr>
        <w:t>. Salaries, wages and employee benefits decreased $45.1 million, or 1.6%, primarily due to a $35.2 million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salaries and wages resulting from a decrease in shipping volumes, which required fewer employee hours to process freight, and a reduction in incentive compensation expense. Workers’ compensation decreased $6.3 million primarily due to a reduction in new claim frequency driven by safety initiatives and favorable development of outstanding claims. Additionally, employee benefit costs decreased by $2.1 million, which included the impact of a non-union pension settlement charge of $28.7 million recognized in the fourth quarter of 2015 as a result of pension settlements from lump sum payouts during the year, partially offset by higher overall employee benefits costs for both non-union and union employees. The increase in union and non-union employee benefit costs is due to contractual rate increases and higher usage,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Operating expenses and supplies</w:t>
      </w:r>
      <w:r>
        <w:rPr>
          <w:rFonts w:ascii="Arial" w:cs="Arial" w:eastAsia="Arial" w:hAnsi="Arial"/>
          <w:sz w:val="18"/>
          <w:szCs w:val="18"/>
          <w:color w:val="auto"/>
        </w:rPr>
        <w:t>. Operating expenses and supplies decreased $79.3 million, or 9.0%, primarily due to a $60.9 million decrease in fuel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driven by lower fuel prices on a per gallon basis, as well as fewer miles driven. Additionally, vehicle maintenance expense decreased by $15.3 million due to lower maintenance costs per mile and fewer miles driven.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decreased $7.5 million, or 1.3%, primarily due to a $29.1 million decrease in rail purchased transportation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driven by a reduction in rail miles and lower rail rates, which is principally related to lower fuel surcharges charged by our providers. This was offset by an increase of $16.2 million in vehicle rent expense due to higher usage of operating leases for revenue equipment.</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Other operating expenses decreased $13.9 million, or 5.2%, primarily due to a decrease of $11.2 million in our liability claims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primarily due to lower frequency and severity in the current year and favorable development on our prior year outstanding claims.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Gains/losses on property disposals. </w:t>
      </w:r>
      <w:r>
        <w:rPr>
          <w:rFonts w:ascii="Arial" w:cs="Arial" w:eastAsia="Arial" w:hAnsi="Arial"/>
          <w:sz w:val="17"/>
          <w:szCs w:val="17"/>
          <w:color w:val="auto"/>
        </w:rPr>
        <w:t>Net gains on disposals of property were $14.6 million in 2016 compared to net losses of $1.9 million in 2015.</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Nonoperating expenses increased $2.3 million for the year ended December 31, 2016 compared to 2015 primarily due to an $8.4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foreign currency transaction losses, offset by a decrease in interest expense of $4.2 million.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effective tax rate for the years ended December 31, 2016 and 2015 was 12.6% and 115.9%, respectively. Significant items impacting the 2016 rate include a refund from a prior year amended return, a net state and foreign tax provision, certain permanent items, and a change in the valuation allowance established for the net deferred tax asset balance at December 31, 2016.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2016 and 2015, we have a full valuation allowance against our net deferred tax assets, exclusive of a deferred tax liability related to a foreign jurisdiction.</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2011, July 2013, and January 2014, we experienced significant changes in the ownership of our stock, as measured for Federal income tax purposes. These changes triggered the application of Section 382 of the Internal Revenue Code, as amended (the “Code”), which will likely have no substantial impact on the use of tax net operating loss carryovers (“NOLs”) generated through January 31, 2014 and prior to offset future taxable income. The deferred tax assets resulting from the existing NOLs for which a Section 382 change applies are already fully offset by a valuation allowance.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operating revenue decreased $236.4 million for the year ended December 31, 2015 compared to 2014. The decrease in revenue was largely attributed to a reduction in fuel surcharge revenue and declines in volume, partially offset by yield improvements due to our actions to improve price and freight mix.</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$283.9 million, or 5.7%, for the year ended December 31, 2015 compared to 2014 due to a reduction in salaries, wages and employee benefits, lower fuel costs, and a decrease in purchased transportation expense.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decreased $33.0 million, or 1.1%, due to a $32.2 million decrease in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wages, resulting from a decrease in shipping volumes, which required fewer employee hours to process freight, combined with a $20.8 million decrease in workers’ compensation expenses primarily due to a reduction in new claim frequency driven by safety initiatives and favorable development of prior year claims. These decreases were offset by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$19.9 million increase in employee benefits expense, primarily due to a non-union pension settlement charge of $28.7 million recognized in the fourth quarter of 2015 as a result of pension settlements from lump sum payouts during the year. This was partially offset by lower overall employee benefits costs at our YRC Freight segment due to a decrease in shipping volumes and employee hours worked in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Operating expenses and supplies</w:t>
      </w:r>
      <w:r>
        <w:rPr>
          <w:rFonts w:ascii="Arial" w:cs="Arial" w:eastAsia="Arial" w:hAnsi="Arial"/>
          <w:sz w:val="16"/>
          <w:szCs w:val="16"/>
          <w:color w:val="auto"/>
        </w:rPr>
        <w:t>. Operating expenses and supplies decreased $232.3 million, or 20.9%, due to a $228.7 million decrease in fuel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lower fuel prices on a per gallon basis, as well as fewer miles driven. The decrease was also related to a reduction in vehicle maintenance expense of $5.1 million, proceeds of $4.1 million for a legal settlement in first quarter 2015 and a reduction in bad debt expense of $5.8 million due to improved aging of accounts receivable. This decrease was partially offset by $5.1 million of nonrecurring consulting fees incurred at the YRC Freight segment.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$29.8 million, or 5.0%, due to a $51.3 million decrease in rail, local and over-the-road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transportation expense due to a reduction in shipment volumes and lower rail and road rates, which was principally related to lower fuel surcharges charged by our providers in 2015, when compared to 2014. Offsetting this decrease, we experienced an increase of $23.4 million in vehicle rent expense resulting from higher usage of leased revenue equipment.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$2.7 million, or 1.0%, due to a $6.5 million decrease in cargo claims expense due to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frequency of new claims and less severity of outstanding claims in 2015, as compared to 2014, offset by a $3.3 million increase in our liability claims expense primarily due to unfavorable development on our outstanding claims.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Gains/losses on property disposals. </w:t>
      </w:r>
      <w:r>
        <w:rPr>
          <w:rFonts w:ascii="Arial" w:cs="Arial" w:eastAsia="Arial" w:hAnsi="Arial"/>
          <w:sz w:val="17"/>
          <w:szCs w:val="17"/>
          <w:color w:val="auto"/>
        </w:rPr>
        <w:t>Net losses on disposals of property were $1.9 million in 2015 compared to net gains of $11.9 million in 2014.</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Nonoperating expenses decreased $31.9 million, or 24.7%, for the year ended December 31, 2015 compared to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primarily driven by a $42.4 million reduction in interest expense. In the first quarter of 2014, we incurred additional interest expense due to the acceleration of the amortization of the deferred debt costs on our then-existing term loan facility and then-existing asset based loan facility when they were extinguished in the first quarter of 2014. The higher interest expense in 2014 was partially offset by the gain on extinguishment of debt of $11.2 million we recorded in the first quarter of 2014, comprised of $16.3 million related to the acceleration of net premiums on our old debt, partially offset by $5.1 million of additional expense related to the fair value of the incremental shares provided to those holders of our 10% Series B Convertible Senior Secured Notes (“Series B Notes”) who exchanged their outstanding balances at a price of $15.00 per share. The higher interest expense in 2014 was also attributable to the additional interest expense incurred in third quarter of 2014 due to the redemption of our Series A Convertible Senior Secured Notes (“Series A Notes”).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effective tax rate for the years ended December 31, 2015 and 2014 was 115.9% and 19.2%, respectively. Significant items impacting the 2015 rate include a benefit recognized due to application of ASC 740, “Income Taxes” (“ASC 740”), rules regarding intra-period tax allocation, a state tax provision, a foreign tax provision, certain permanent items, a decrease in the reserve for uncertain tax positions and an increase in the valuation allowance established for the net deferred tax asset balance at December 31, 2015. Significant items impacting the 2014 rate include a state tax provision, a foreign tax provision, certain permanent items, a decrease in the reserve for uncertain tax positions and an increase in the valuation allowance established for the net deferred tax asset balance at December 31, 2014.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2015 and 2014, we have a full valuation allowance against our net deferred tax assets, exclusive of a deferred tax liability related to a foreign jurisdiction.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167" w:lineRule="exact"/>
        <w:rPr>
          <w:sz w:val="20"/>
          <w:szCs w:val="20"/>
          <w:color w:val="auto"/>
        </w:rPr>
      </w:pPr>
    </w:p>
    <w:p>
      <w:pPr>
        <w:jc w:val="both"/>
        <w:ind w:left="660" w:hanging="328"/>
        <w:spacing w:after="0" w:line="28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w:t>
      </w:r>
      <w:r>
        <w:rPr>
          <w:rFonts w:ascii="Arial" w:cs="Arial" w:eastAsia="Arial" w:hAnsi="Arial"/>
          <w:sz w:val="17"/>
          <w:szCs w:val="17"/>
          <w:b w:val="1"/>
          <w:bCs w:val="1"/>
          <w:color w:val="auto"/>
        </w:rPr>
        <w:t xml:space="preserve"> </w:t>
      </w:r>
      <w:r>
        <w:rPr>
          <w:rFonts w:ascii="Arial" w:cs="Arial" w:eastAsia="Arial" w:hAnsi="Arial"/>
          <w:sz w:val="17"/>
          <w:szCs w:val="17"/>
          <w:color w:val="auto"/>
        </w:rPr>
        <w:t>Freight provides for the movement of industrial, commercial and retail goods, primarily through centralized management. This reporting segment includes our LTL subsidiary YRC Freight and YRC Reimer, a subsidiary located in Canada that specializes in shipments into, across and out of Canada. In addition to the United States and Canada, YRC Freight also serves parts of Mexico and Puerto Rico.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6" w:name="page27"/>
    <w:bookmarkEnd w:id="26"/>
    <w:p>
      <w:pPr>
        <w:jc w:val="both"/>
        <w:ind w:left="660" w:hanging="328"/>
        <w:spacing w:after="0" w:line="31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63%, 63% and 64% of our consolidated operating revenue in 2016, 2015 and 2014, respectively. The table below provides summary financial information for YRC Freight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Borders>
              <w:bottom w:val="single" w:sz="8" w:color="auto"/>
            </w:tcBorders>
          </w:tcPr>
          <w:p>
            <w:pPr>
              <w:spacing w:after="0"/>
              <w:rPr>
                <w:sz w:val="16"/>
                <w:szCs w:val="16"/>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2016 vs. 2015</w:t>
            </w:r>
          </w:p>
        </w:tc>
        <w:tc>
          <w:tcPr>
            <w:tcW w:w="14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2015 vs. 2014</w:t>
            </w:r>
          </w:p>
        </w:tc>
        <w:tc>
          <w:tcPr>
            <w:tcW w:w="300" w:type="dxa"/>
            <w:vAlign w:val="bottom"/>
          </w:tcPr>
          <w:p>
            <w:pPr>
              <w:spacing w:after="0"/>
              <w:rPr>
                <w:sz w:val="22"/>
                <w:szCs w:val="22"/>
                <w:color w:val="auto"/>
              </w:rPr>
            </w:pPr>
          </w:p>
        </w:tc>
      </w:tr>
      <w:tr>
        <w:trPr>
          <w:trHeight w:val="250"/>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1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2,958.9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3,055.7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3,237.4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195.6 %</w:t>
            </w:r>
          </w:p>
        </w:tc>
        <w:tc>
          <w:tcPr>
            <w:tcW w:w="120" w:type="dxa"/>
            <w:vAlign w:val="bottom"/>
          </w:tcPr>
          <w:p>
            <w:pPr>
              <w:spacing w:after="0"/>
              <w:rPr>
                <w:sz w:val="21"/>
                <w:szCs w:val="21"/>
                <w:color w:val="auto"/>
              </w:rPr>
            </w:pP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NM</w:t>
            </w:r>
          </w:p>
        </w:tc>
        <w:tc>
          <w:tcPr>
            <w:tcW w:w="30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
        </w:trPr>
        <w:tc>
          <w:tcPr>
            <w:tcW w:w="4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4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1.2pp</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0.6pp</w:t>
            </w:r>
          </w:p>
        </w:tc>
        <w:tc>
          <w:tcPr>
            <w:tcW w:w="300" w:type="dxa"/>
            <w:vAlign w:val="bottom"/>
            <w:shd w:val="clear" w:color="auto" w:fill="CCEEFF"/>
          </w:tcPr>
          <w:p>
            <w:pPr>
              <w:spacing w:after="0"/>
              <w:rPr>
                <w:sz w:val="23"/>
                <w:szCs w:val="23"/>
                <w:color w:val="auto"/>
              </w:rPr>
            </w:pPr>
          </w:p>
        </w:tc>
      </w:tr>
    </w:tbl>
    <w:p>
      <w:pPr>
        <w:spacing w:after="0" w:line="19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$2,958.9 million in 2016, a decrease of $96.8 million or 3.2% compared to 2015. The decrease in revenue was largely driven by a reduction in fuel surcharge revenue and declines in volume, partially offset by improved yield (excluding fuel surcharge). The table below summarizes the key revenue metrics for the YRC Freight reporting segment for the years ended December 31:</w:t>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2,922.7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3,033.4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(0.9)%</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852"/>
        </w:trPr>
        <w:tc>
          <w:tcPr>
            <w:tcW w:w="5680" w:type="dxa"/>
            <w:vAlign w:val="bottom"/>
          </w:tcPr>
          <w:p>
            <w:pPr>
              <w:ind w:left="16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4"/>
                <w:szCs w:val="24"/>
                <w:color w:val="auto"/>
              </w:rPr>
            </w:pPr>
          </w:p>
        </w:tc>
        <w:tc>
          <w:tcPr>
            <w:tcW w:w="9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8"/>
          <w:szCs w:val="18"/>
          <w:color w:val="auto"/>
        </w:rPr>
        <w:t>Reconciliation of operating revenue to total picked up revenue:</w:t>
      </w:r>
    </w:p>
    <w:tbl>
      <w:tblPr>
        <w:tblLayout w:type="fixed"/>
        <w:tblInd w:w="1940" w:type="dxa"/>
        <w:tblCellMar>
          <w:top w:w="0" w:type="dxa"/>
          <w:left w:w="0" w:type="dxa"/>
          <w:bottom w:w="0" w:type="dxa"/>
          <w:right w:w="0" w:type="dxa"/>
        </w:tblCellMar>
      </w:tblPr>
      <w:tr>
        <w:trPr>
          <w:trHeight w:val="236"/>
        </w:trPr>
        <w:tc>
          <w:tcPr>
            <w:tcW w:w="488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2,958.9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3,055.7</w:t>
            </w:r>
          </w:p>
        </w:tc>
      </w:tr>
      <w:tr>
        <w:trPr>
          <w:trHeight w:val="276"/>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169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7"/>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7"/>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YRC Freight was $53.2 million for the year ended December 31, 2016, an increase of $35.2 million from the same period in 2015, consisting of a $96.8 million decrease in revenue and a $132.0 million decrease in operating expenses. The decrease in operating expense consisted primarily of a reduction in salaries and wages expense, lower fuel costs and a decrease in purchased transportation.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6"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decreased $42.5 million, or 2.4%, due to a $21.5 million decrease in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wages, which is primarily driven by a decrease in shipping volumes, which required fewer employee hours to process freight. Workers’ compensation expense decreased $4.9 million due to a reduction in new claim frequency driven by safety initiatives and favorable development of prior year claims. Additionally, employee benefit costs decreased by $16.1 million, which includes the impact of a non-union pension settlement charge of $28.7 million recognized in the fourth quarter of 2015 as a result of pension settlements from lump sum payouts during the year, partially offset by higher overall employee benefit costs for both union and non-union employees. The increase in union and non-union employee benefit costs is due to contractual rate increases and higher usage, respectively.</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Operating expenses and supplies</w:t>
      </w:r>
      <w:r>
        <w:rPr>
          <w:rFonts w:ascii="Arial" w:cs="Arial" w:eastAsia="Arial" w:hAnsi="Arial"/>
          <w:sz w:val="17"/>
          <w:szCs w:val="17"/>
          <w:color w:val="auto"/>
        </w:rPr>
        <w:t>. Operating expenses and supplies decreased $55.7 million, or 9.9%, primarily due to a $34.8 million decrease in fuel</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driven by lower fuel prices on a per gallon basis, as well as fewer miles driven. Additionally, vehicle maintenance expense decreased by $13.7 million due to lower maintenance costs per mile and fewer miles driven and we had $5.1 million decrease in nonrecurring consulting fees in 2016.</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$16.8 million, or 3.8%, primarily due to a $29.1 million decrease in rail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expense due to a reduction in rail miles and lower rail rates, which is principally related to lower fuel surcharges charged by our providers. This was offset by an increase of $9.7 million in local purchased transportation expense, in addition to a $2.6 million increase in vehicle rent expense, which is due to higher usage of operating leases for revenue equipment.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Gains/losses on property disposals. </w:t>
      </w:r>
      <w:r>
        <w:rPr>
          <w:rFonts w:ascii="Arial" w:cs="Arial" w:eastAsia="Arial" w:hAnsi="Arial"/>
          <w:sz w:val="17"/>
          <w:szCs w:val="17"/>
          <w:color w:val="auto"/>
        </w:rPr>
        <w:t>Net gains on disposals of property were $15.7 million in 2016 compared to net losses of $1.9 million in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YRC Freight reported operating revenue of $3,055.7 million in 2015, a decrease of $181.7 million or 5.6% compared to 2014. The decrease in revenue was largely driven by a reduction in fuel surcharge revenue and declines in volume, partially offset by improvements in yield. The increases in yield were attributed to a stronger overall pricing environment, particularly in the first half of 2015, successful contract negotiations with our customers, and improvements in billing and collecting the appropriate accessorial revenue associated with our shipments. The table below summarizes the key revenue metrics for the YRC Freight reporting segment for the years ended December 31:</w:t>
      </w: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3,219.6</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(6.0)%</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11,502</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(7.4)%</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0.3 %</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1.7 %</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1.5 %</w:t>
            </w:r>
          </w:p>
        </w:tc>
      </w:tr>
      <w:tr>
        <w:trPr>
          <w:trHeight w:val="852"/>
        </w:trPr>
        <w:tc>
          <w:tcPr>
            <w:tcW w:w="5680" w:type="dxa"/>
            <w:vAlign w:val="bottom"/>
          </w:tcPr>
          <w:p>
            <w:pPr>
              <w:ind w:left="144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504253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42535" cy="180340"/>
                    </a:xfrm>
                    <a:prstGeom prst="rect">
                      <a:avLst/>
                    </a:prstGeom>
                    <a:noFill/>
                  </pic:spPr>
                </pic:pic>
              </a:graphicData>
            </a:graphic>
          </wp:anchor>
        </w:drawing>
      </w:r>
    </w:p>
    <w:p>
      <w:pPr>
        <w:spacing w:after="0" w:line="18" w:lineRule="exact"/>
        <w:rPr>
          <w:sz w:val="20"/>
          <w:szCs w:val="20"/>
          <w:color w:val="auto"/>
        </w:rPr>
      </w:pPr>
    </w:p>
    <w:p>
      <w:pPr>
        <w:ind w:left="1940" w:hanging="170"/>
        <w:spacing w:after="0"/>
        <w:tabs>
          <w:tab w:leader="none" w:pos="1940"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760" w:type="dxa"/>
        <w:tblCellMar>
          <w:top w:w="0" w:type="dxa"/>
          <w:left w:w="0" w:type="dxa"/>
          <w:bottom w:w="0" w:type="dxa"/>
          <w:right w:w="0" w:type="dxa"/>
        </w:tblCellMar>
      </w:tblPr>
      <w:tr>
        <w:trPr>
          <w:trHeight w:val="236"/>
        </w:trPr>
        <w:tc>
          <w:tcPr>
            <w:tcW w:w="526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3,055.7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3,237.4</w:t>
            </w:r>
          </w:p>
        </w:tc>
      </w:tr>
      <w:tr>
        <w:trPr>
          <w:trHeight w:val="27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3,033.4</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8890</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9"/>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9"/>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-208915</wp:posOffset>
            </wp:positionV>
            <wp:extent cx="1697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Operating income for YRC Freight was $18.0 million for the year ended December 31, 2015, an increase of $17.5 million from the same period in 2014, consisting of a $181.7 million decrease in revenue and a $199.2 million decrease in operating expenses. The decrease in operating expense consisted primarily of a reduction in salaries and wages expense, lower fuel costs, and a decrease in purchased transportation.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decreased $44.9 million, or 2.5%, primarily due to a $38.3 million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salaries and wages primarily driven by a decrease in shipping volumes, which required fewer employee hours to process freight, combined with a $16.9 million decrease in workers’ compensation expenses due to a reduction in new claim frequency and favorable development of prior year claims. The decreases were offset by a $10.3 million increase in employee benefits expense, which included a non-union pension settlement charge of $28.7 million recognized in the fourth quarter of 2015 as a result of pension settlements from lump sum payouts during the year. This was partially offset by lower overall employee benefits costs due to a decrease in shipping volumes and employee hours worked in 2015.</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Operating expenses and supplies</w:t>
      </w:r>
      <w:r>
        <w:rPr>
          <w:rFonts w:ascii="Arial" w:cs="Arial" w:eastAsia="Arial" w:hAnsi="Arial"/>
          <w:sz w:val="18"/>
          <w:szCs w:val="18"/>
          <w:color w:val="auto"/>
        </w:rPr>
        <w:t>. Operating expenses and supplies decreased $128.7 million, or 18.6%, primarily due to a $131.6 million decrease in fuel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driven by lower fuel prices on a per gallon basis, as well as fewer miles driven. The decrease was also related to proceeds of $4.1 million for a legal settlement in first quarter 2015 and a reduction in bad debt expense of $4.1 million due to improved aging of accounts receivable. This decrease was partially offset by $5.1 million of nonrecurring consulting fees.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$38.1 million, or 8.0%, primarily due to a $49.1 million, or 14.6%, decrease in rail, local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over-the-road purchased transportation expense due to lower rail and road rates, which was principally related to lower fuel surcharges charged by our providers, combined with a reduction in shipment volumes in 2015, as compared to 2014. Offsetting this decrease, we incurred an increase of $12.0 million higher vehicle lease expense due to increased usage of operating leases for revenue equipment.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Gains/losses on property disposals. </w:t>
      </w:r>
      <w:r>
        <w:rPr>
          <w:rFonts w:ascii="Arial" w:cs="Arial" w:eastAsia="Arial" w:hAnsi="Arial"/>
          <w:sz w:val="17"/>
          <w:szCs w:val="17"/>
          <w:color w:val="auto"/>
        </w:rPr>
        <w:t>Net losses on disposals of property were $1.9 million in 2015 compared to net gains of $15.9 million in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Regional Transportation represented 37%, 37% and 36% of consolidated operating revenue in 2016, 2015 and 2014, respectively. The table below provides summary financial information for Regional Transportation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w w:val="90"/>
              </w:rPr>
              <w:t>Percent Change</w:t>
            </w:r>
          </w:p>
        </w:tc>
        <w:tc>
          <w:tcPr>
            <w:tcW w:w="1260" w:type="dxa"/>
            <w:vAlign w:val="bottom"/>
            <w:tcBorders>
              <w:bottom w:val="single" w:sz="8" w:color="auto"/>
            </w:tcBorders>
          </w:tcPr>
          <w:p>
            <w:pPr>
              <w:spacing w:after="0"/>
              <w:rPr>
                <w:sz w:val="16"/>
                <w:szCs w:val="16"/>
                <w:color w:val="auto"/>
              </w:rPr>
            </w:pPr>
          </w:p>
        </w:tc>
      </w:tr>
      <w:tr>
        <w:trPr>
          <w:trHeight w:val="264"/>
        </w:trPr>
        <w:tc>
          <w:tcPr>
            <w:tcW w:w="3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80" w:type="dxa"/>
            <w:vAlign w:val="bottom"/>
            <w:gridSpan w:val="3"/>
          </w:tcPr>
          <w:p>
            <w:pPr>
              <w:ind w:left="460"/>
              <w:spacing w:after="0"/>
              <w:rPr>
                <w:sz w:val="20"/>
                <w:szCs w:val="20"/>
                <w:color w:val="auto"/>
              </w:rPr>
            </w:pPr>
            <w:r>
              <w:rPr>
                <w:rFonts w:ascii="Arial" w:cs="Arial" w:eastAsia="Arial" w:hAnsi="Arial"/>
                <w:sz w:val="14"/>
                <w:szCs w:val="14"/>
                <w:b w:val="1"/>
                <w:bCs w:val="1"/>
                <w:color w:val="auto"/>
              </w:rPr>
              <w:t>2016 vs. 2015</w:t>
            </w:r>
          </w:p>
        </w:tc>
        <w:tc>
          <w:tcPr>
            <w:tcW w:w="1260" w:type="dxa"/>
            <w:vAlign w:val="bottom"/>
          </w:tcPr>
          <w:p>
            <w:pPr>
              <w:jc w:val="right"/>
              <w:ind w:right="374"/>
              <w:spacing w:after="0"/>
              <w:rPr>
                <w:sz w:val="20"/>
                <w:szCs w:val="20"/>
                <w:color w:val="auto"/>
              </w:rPr>
            </w:pPr>
            <w:r>
              <w:rPr>
                <w:rFonts w:ascii="Arial" w:cs="Arial" w:eastAsia="Arial" w:hAnsi="Arial"/>
                <w:sz w:val="14"/>
                <w:szCs w:val="14"/>
                <w:b w:val="1"/>
                <w:bCs w:val="1"/>
                <w:color w:val="auto"/>
                <w:w w:val="87"/>
              </w:rPr>
              <w:t>2015 vs. 2014</w:t>
            </w:r>
          </w:p>
        </w:tc>
      </w:tr>
      <w:tr>
        <w:trPr>
          <w:trHeight w:val="250"/>
        </w:trPr>
        <w:tc>
          <w:tcPr>
            <w:tcW w:w="3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29.2 %</w:t>
            </w: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3"/>
                <w:szCs w:val="23"/>
                <w:color w:val="auto"/>
              </w:rPr>
            </w:pP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(0.1)pp</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1.2pp</w:t>
            </w:r>
          </w:p>
        </w:tc>
      </w:tr>
    </w:tbl>
    <w:p>
      <w:pPr>
        <w:spacing w:after="0" w:line="19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Regional Transportation reported operating revenue of $1,739.3 million for 2016, representing a decrease of $37.6 million, or 2.1%, from 2015. The decrease in revenue was largely driven by a reduction in fuel surcharge revenue and declines in volume, partially offset by improvements to yield. The table below summarizes the key revenue metrics for the Regional Transportation reporting segment for the years ended December 31: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tbl>
      <w:tblPr>
        <w:tblLayout w:type="fixed"/>
        <w:tblInd w:w="340" w:type="dxa"/>
        <w:tblCellMar>
          <w:top w:w="0" w:type="dxa"/>
          <w:left w:w="0" w:type="dxa"/>
          <w:bottom w:w="0" w:type="dxa"/>
          <w:right w:w="0" w:type="dxa"/>
        </w:tblCellMar>
      </w:tblPr>
      <w:tr>
        <w:trPr>
          <w:trHeight w:val="192"/>
        </w:trPr>
        <w:tc>
          <w:tcPr>
            <w:tcW w:w="5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1,776.5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(0.4)%</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(0.8)%</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25"/>
                <w:szCs w:val="25"/>
                <w:color w:val="auto"/>
                <w:vertAlign w:val="superscript"/>
              </w:rPr>
              <w:t>(a)</w:t>
            </w:r>
            <w:r>
              <w:rPr>
                <w:rFonts w:ascii="Arial" w:cs="Arial" w:eastAsia="Arial" w:hAnsi="Arial"/>
                <w:sz w:val="18"/>
                <w:szCs w:val="18"/>
                <w:color w:val="auto"/>
              </w:rPr>
              <w:t xml:space="preserve"> Reconciliation of operating revenue to total picked up revenue: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1,739.3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1,776.9</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8890</wp:posOffset>
            </wp:positionV>
            <wp:extent cx="1672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 w:lineRule="exact"/>
        <w:rPr>
          <w:sz w:val="20"/>
          <w:szCs w:val="20"/>
          <w:color w:val="auto"/>
        </w:rPr>
      </w:pPr>
    </w:p>
    <w:p>
      <w:pPr>
        <w:ind w:left="460" w:hanging="128"/>
        <w:spacing w:after="0"/>
        <w:tabs>
          <w:tab w:leader="none" w:pos="460" w:val="left"/>
        </w:tabs>
        <w:numPr>
          <w:ilvl w:val="0"/>
          <w:numId w:val="31"/>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w:t>
      </w:r>
    </w:p>
    <w:p>
      <w:pPr>
        <w:spacing w:after="0" w:line="13" w:lineRule="exact"/>
        <w:rPr>
          <w:rFonts w:ascii="Arial" w:cs="Arial" w:eastAsia="Arial" w:hAnsi="Arial"/>
          <w:sz w:val="9"/>
          <w:szCs w:val="9"/>
          <w:color w:val="auto"/>
        </w:rPr>
      </w:pPr>
    </w:p>
    <w:p>
      <w:pPr>
        <w:ind w:left="460" w:hanging="128"/>
        <w:spacing w:after="0"/>
        <w:tabs>
          <w:tab w:leader="none" w:pos="460" w:val="left"/>
        </w:tabs>
        <w:numPr>
          <w:ilvl w:val="0"/>
          <w:numId w:val="31"/>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-208915</wp:posOffset>
            </wp:positionV>
            <wp:extent cx="16725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Regional Transportation was $81.3 million for the year ended December 31, 2016, a decrease of $4.1 million from the same period in 2015, which consisted of a $37.6 million decrease in revenue and a $33.5 million decrease in operating expenses. The decrease in operating expense consisted primarily of lower fuel costs and a reduction in liability claims expense.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$5.4 million, or 0.5%, primarily due to an increase of $11.4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union and non-union employee benefit costs due to the increase in contractual rate increases and higher usage, respectively, offset by a net decrease of $4.6 million in salaries and wages. The decrease in salaries and wages is principally related to a Regional Transportation segment profit sharing bonus that was paid to eligible union employees in 2015, with no similar bonus paid in 2016, offset by an overall increase in annual wage rates.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expenses and supplies</w:t>
      </w:r>
      <w:r>
        <w:rPr>
          <w:rFonts w:ascii="Arial" w:cs="Arial" w:eastAsia="Arial" w:hAnsi="Arial"/>
          <w:sz w:val="18"/>
          <w:szCs w:val="18"/>
          <w:color w:val="auto"/>
        </w:rPr>
        <w:t>. Operating expenses and supplies decreased $30.8 million, or 8.8%, primarily due to a $26.1 million decrease in fuel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driven by lower fuel prices on a per gallon basis, as well as fewer miles driven.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$9.8 million, or 8.0%, primarily due to a $13.6 million increase in vehicle rent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higher usage of leased revenue equipment. This was offset by a decrease of $3.2 million in local purchased transportation.</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$17.5 million, or 16.3%, primarily due to a decrease of $15.5 million in our liability claims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due to favorable development on our prior year outstanding claims in 2016, as compared to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Regional Transportation reported operating revenue of $1,776.9 million for 2015, representing a decrease of $54.5 million, or 3.0%, from 2014. The decrease in revenue was largely driven by a reduction in fuel surcharge revenue and declines in volume, partially offset by improvements to yield. The table below summarizes the key revenue metrics for the Regional Transportation reporting segment for the years ended December 31: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52" w:right="239" w:bottom="1440" w:gutter="0" w:footer="0" w:header="0"/>
        </w:sectPr>
      </w:pPr>
    </w:p>
    <w:bookmarkStart w:id="30" w:name="page31"/>
    <w:bookmarkEnd w:id="30"/>
    <w:tbl>
      <w:tblPr>
        <w:tblLayout w:type="fixed"/>
        <w:tblInd w:w="340" w:type="dxa"/>
        <w:tblCellMar>
          <w:top w:w="0" w:type="dxa"/>
          <w:left w:w="0" w:type="dxa"/>
          <w:bottom w:w="0" w:type="dxa"/>
          <w:right w:w="0" w:type="dxa"/>
        </w:tblCellMar>
      </w:tblPr>
      <w:tr>
        <w:trPr>
          <w:trHeight w:val="192"/>
        </w:trPr>
        <w:tc>
          <w:tcPr>
            <w:tcW w:w="5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1,833.0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(3.4)%</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(0.6)%</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0.4 %</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revenue/shipment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0.9 %</w:t>
            </w:r>
          </w:p>
        </w:tc>
      </w:tr>
      <w:tr>
        <w:trPr>
          <w:trHeight w:val="825"/>
        </w:trPr>
        <w:tc>
          <w:tcPr>
            <w:tcW w:w="5680" w:type="dxa"/>
            <w:vAlign w:val="bottom"/>
          </w:tcPr>
          <w:p>
            <w:pPr>
              <w:ind w:left="168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4"/>
                <w:szCs w:val="2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7620</wp:posOffset>
            </wp:positionV>
            <wp:extent cx="472503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25035" cy="180340"/>
                    </a:xfrm>
                    <a:prstGeom prst="rect">
                      <a:avLst/>
                    </a:prstGeom>
                    <a:noFill/>
                  </pic:spPr>
                </pic:pic>
              </a:graphicData>
            </a:graphic>
          </wp:anchor>
        </w:drawing>
      </w:r>
    </w:p>
    <w:p>
      <w:pPr>
        <w:ind w:left="2200" w:hanging="180"/>
        <w:spacing w:after="0"/>
        <w:tabs>
          <w:tab w:leader="none" w:pos="220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Reconciliation of operating revenue to total picked up revenue:</w:t>
      </w:r>
    </w:p>
    <w:p>
      <w:pPr>
        <w:spacing w:after="0" w:line="56" w:lineRule="exact"/>
        <w:rPr>
          <w:sz w:val="20"/>
          <w:szCs w:val="20"/>
          <w:color w:val="auto"/>
        </w:rPr>
      </w:pPr>
    </w:p>
    <w:tbl>
      <w:tblPr>
        <w:tblLayout w:type="fixed"/>
        <w:tblInd w:w="2000" w:type="dxa"/>
        <w:tblCellMar>
          <w:top w:w="0" w:type="dxa"/>
          <w:left w:w="0" w:type="dxa"/>
          <w:bottom w:w="0" w:type="dxa"/>
          <w:right w:w="0" w:type="dxa"/>
        </w:tblCellMar>
      </w:tblPr>
      <w:tr>
        <w:trPr>
          <w:trHeight w:val="236"/>
        </w:trPr>
        <w:tc>
          <w:tcPr>
            <w:tcW w:w="480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1,776.9</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1,831.4</w:t>
            </w:r>
          </w:p>
        </w:tc>
      </w:tr>
      <w:tr>
        <w:trPr>
          <w:trHeight w:val="276"/>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1,776.5</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8890</wp:posOffset>
            </wp:positionV>
            <wp:extent cx="1672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33"/>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33"/>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-208915</wp:posOffset>
            </wp:positionV>
            <wp:extent cx="1672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income for Regional Transportation was $85.4 million for the year ended December 31, 2015, an increase of $19.3 million from the same period in 2014, which consisted of a $54.5 million decrease in revenue and a $73.8 million decrease in operating expenses. The decrease in operating expense consisted primarily of lower fuel costs, offset by an increase in salaries, wages and employee benefits expense.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increased $9.0 million, or 0.9%, primarily due to a $4.5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wages, principally related to a Regional transportation segment profit sharing bonus paid to eligible union employees, and an $8.9 million increase in employee benefits. The increase in salaries, wages and employee benefits was partially offset by a $4.6 million decrease in workers’ compensation expenses due to a reduction in new claim frequency and favorable development of prior year claims.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expenses and supplies</w:t>
      </w:r>
      <w:r>
        <w:rPr>
          <w:rFonts w:ascii="Arial" w:cs="Arial" w:eastAsia="Arial" w:hAnsi="Arial"/>
          <w:sz w:val="18"/>
          <w:szCs w:val="18"/>
          <w:color w:val="auto"/>
        </w:rPr>
        <w:t>. Operating expenses and supplies decreased $91.9 million, or 20.8%, primarily due to a $97.2 million decrease in fuel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driven by lower fuel prices on a per gallon basis, as well as fewer miles driven.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increased $8.4 million, or 7.4%, primarily due to an $11.3 million, or 40.9%, increase in vehicle 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resulting from higher usage of leased revenue equipment due to our strategy of using operating leases for our new revenue equipment. This was offset by a decrease of $2.1 million in local purchased transportation in 2015, when compared to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losses on disposals of property were $0.2 million in 2015 compared to $4.0 million in 2014.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5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net income (loss) to EBITDA and EBITDA to Adjusted EBITDA (defined in our Term Loan Agreement as “Consolidated EBITDA”)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2016, 2015 and 2014.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(loss)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229.3</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for Term Loan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consulting fees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291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-98425</wp:posOffset>
            </wp:positionV>
            <wp:extent cx="2915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years ended December 31, 2016, 2015 and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by segment:</w:t>
            </w:r>
          </w:p>
        </w:tc>
        <w:tc>
          <w:tcPr>
            <w:tcW w:w="1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YRC Freight</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Regional Transportation</w:t>
            </w:r>
          </w:p>
        </w:tc>
        <w:tc>
          <w:tcPr>
            <w:tcW w:w="1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32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530"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reconciliation of operating income, by segment, to Adjusted EBITDA for the years ended December 31, 2016, 2015 and 2014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2941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-98425</wp:posOffset>
            </wp:positionV>
            <wp:extent cx="2941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7"/>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Losses on property disposals,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2950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-98425</wp:posOffset>
            </wp:positionV>
            <wp:extent cx="2950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Corporate (in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17145</wp:posOffset>
            </wp:positionV>
            <wp:extent cx="2950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-98425</wp:posOffset>
            </wp:positionV>
            <wp:extent cx="2950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sources of liquidity are cash and cash equivalents, available borrowings under our ABL Facility and any prospective net cash flow from operations. As of December 31, 2016, our availability under our ABL Facility was $89.0 million, which is derived by reducing the amount that may be advanced against eligible receivables plus eligible borrowing base cash by certain reserves imposed by the ABL Agent and our $357.2 million of outstanding letters of credit. Of the $89.0 million in availability, we do not expect to access more than $44.4 million (“Managed Accessibility”) based on our springing fixed charge coverage ratio (as set forth in our ABL Facility). Our cash and cash equivalents and Managed Accessibility was $181.1 million as of December 31,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color w:val="auto"/>
        </w:rPr>
        <w:t>As of December 31, 2015, our availability under our ABL Facility was $79.7 million. Of the $79.7 million in availability, Managed Accessibility was $35.5 million. Our cash and cash equivalents and Managed Accessibility was $209.3 million as of December 31, 2015.</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equipment leases and funding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our Standard &amp; Poor’s Corporate Family Rating was “B-” and Moody’s Investor Service Corporate Family Rating was “B3.”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on January 31, 2017, that, among other things, restrict certain capital expenditures and require us to comply with a maximum total leverage ratio covenant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4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 Total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vMerge w:val="continue"/>
          </w:tcPr>
          <w:p>
            <w:pPr>
              <w:spacing w:after="0"/>
              <w:rPr>
                <w:sz w:val="16"/>
                <w:szCs w:val="16"/>
                <w:color w:val="auto"/>
              </w:rPr>
            </w:pPr>
          </w:p>
        </w:tc>
        <w:tc>
          <w:tcPr>
            <w:tcW w:w="4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Leverage Ratio    Four Consecutive Fiscal Quarters Ending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3.50 to 1.00   March 31, 2018</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2017</w:t>
            </w:r>
          </w:p>
        </w:tc>
        <w:tc>
          <w:tcPr>
            <w:tcW w:w="1200" w:type="dxa"/>
            <w:vAlign w:val="bottom"/>
          </w:tcPr>
          <w:p>
            <w:pPr>
              <w:ind w:left="220"/>
              <w:spacing w:after="0"/>
              <w:rPr>
                <w:sz w:val="20"/>
                <w:szCs w:val="20"/>
                <w:color w:val="auto"/>
              </w:rPr>
            </w:pPr>
            <w:r>
              <w:rPr>
                <w:rFonts w:ascii="Arial" w:cs="Arial" w:eastAsia="Arial" w:hAnsi="Arial"/>
                <w:sz w:val="18"/>
                <w:szCs w:val="18"/>
                <w:color w:val="auto"/>
              </w:rPr>
              <w:t>3.85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June 30, 2018</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3.85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30, 2018</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2017</w:t>
            </w:r>
          </w:p>
        </w:tc>
        <w:tc>
          <w:tcPr>
            <w:tcW w:w="1200" w:type="dxa"/>
            <w:vAlign w:val="bottom"/>
          </w:tcPr>
          <w:p>
            <w:pPr>
              <w:ind w:left="220"/>
              <w:spacing w:after="0"/>
              <w:rPr>
                <w:sz w:val="20"/>
                <w:szCs w:val="20"/>
                <w:color w:val="auto"/>
              </w:rPr>
            </w:pPr>
            <w:r>
              <w:rPr>
                <w:rFonts w:ascii="Arial" w:cs="Arial" w:eastAsia="Arial" w:hAnsi="Arial"/>
                <w:sz w:val="18"/>
                <w:szCs w:val="18"/>
                <w:color w:val="auto"/>
              </w:rPr>
              <w:t>3.75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3.50 to 1.00</w:t>
            </w:r>
          </w:p>
        </w:tc>
        <w:tc>
          <w:tcPr>
            <w:tcW w:w="2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our “Debt and Financing” footnote of our consolidated financial statements for a description of Consolidated Adjusted EBITDA, defined in our Term Loan Agreement as “Consolidated EBITDA.” Consolidated Total Debt, as defined in our Term Loan Agreement, is the principal amount of indebtedness outstanding. Our total leverage ratio for the four quarters ending December 31, 2016 was 3.40 to 1.00.</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To maintain compliance with the maximum total leverage ratio over the tenor of the Term Loan and satisfy our liquidity needs, we would have to achieve operating results that reflect slight improvement over our 2016 results. Means for improving our profitability may include ongoing successful implementation and realization of pricing, productivity and efficiency initiatives, as well as increased volume, some of which are outside of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 from operations decreased by $37.7 million to $103.1 million for the year ended December 31, 2016 compared to $140.8 million for the year ended December 31, 2015. The decrease in operating cash flows is primarily related to a $61.7 million decrease in cash flow from accounts receivable, offset by a $20.8 million year-over-year increase in net income.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flow from operations increased by $112.3 million to $140.8 million for the year ended December 31, 2015 compared to $28.5 million for the year ended December 31, 2014. The favorable cash flow impact is largely related to a $68.4 million year-over-year improvement in net income (loss) and increased cash inflow from accounts receivable, which is attributed to improved management of days sales outstanding and lower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Investing cash flows used $67.7 million of cash in 2016 compared to $121.4 million in 2015, primarily due to an increase of $17.6 million in proceeds from the disposal of property and equipment resulting from significant property sales in 2016 and proceeds of $14.6 million related to the sale of JHJ. This was offset by an increase of $16.3 million in net amounts deposited into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restricted escrow account. See a detailed discussion of 2016 and 2015 capital expenditures below in “Capital Expenditures” for further information.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cash flows used $121.4 million in 2015 compared to $41.6 million of cash in 2014. In 2015, we made net deposits of $33.1 million in restricted escrow refunds, compared to net receipts of $1.6 million increase in 2014. Also, proceeds from the disposal of property and equipment increased by $3.3 million in 2015 as compared to 2014. See a detailed discussion of 2015 and 2014 capital expenditures below in “Capital Expenditures”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2016 was $72.5 million, which consists primarily of $70.7 million in repayments of our long-term debt, of which $40.5 million was in addition to regularly scheduled principal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2015 was $16.7 million, which consists solely in repayments of our long-term debt.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financing activities for 2014 was $7.9 million. The cash provided during 2014 was driven by the issuance of $693.0 million in long-term debt for the Term Loan and $250.0 million in equity issuance proceeds, offset by $892.7 million of repayments of our long-term debt. The repayments primarily consisted of $298.1 million for our previous term loan (the “Prior Term Loan”), $324.9 million for our prior asset-based loan that was replaced by our ABL Facility (“Prior ABL Facility”), $69.4 million for our 6% Convertible Senior Notes (“6% Notes”) and $183.5 million for our Series A Notes. We also paid $29.1 million in debt issuance costs and $17.1 million in equity issuance costs related to our new debt and equity issued in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focus primarily on the replacement of revenue equipment, improvements to structures, and investments in information technology. Our business is capital intensive with significant investments in service center facilities and a fleet of tractors and trailers. We determine the amount and timing of capital expenditures based on numerous factors, including fleet age, service center condition, viability of IT systems, anticipated liquidity levels, economic conditions, new or expanded services, regulatory actions and availability of financing.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actual net capital expenditures (proceeds) by type of investment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27.4</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18.3</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69.2</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proceeds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capital expenditures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expenditures for revenue equipment were used primarily to fund the purchase of used tractors and trailers and to refurbish engines for our revenue fleet. The decrease in capital expenditures for revenue equipment for the year ended December 31, 2016, as compared to 2015, is due to our decision to increase our usage of leased revenue equipment. In 2016, the capital value equivalent of operating leases for revenue equipment totaled $152.5 million. Other capital expenditures in 2016 consisted primarily of in-cab safety technology. In 2014, other capital expenditures consisted primarily of new dimensioners, which are used to measure shipment size at our distribution centers.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For the year ended December 31, 2016, we entered into new operating lease commitments for revenue equipment totaling $126.4 million, with such payments to be made over the average lease term of 5 years. As of December 31, 2016, our operating lease obligations through 2030 totaled $334.7 million and are expected to increase as we lease additional revenue equipment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sections provide aggregated information regarding our contractual obligations and commercial commitments as of December 31,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Non-Union Pension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defined benefit pension plans for certain employees not covered by collective bargaining agreements. The Yellow Transportation and Roadway qualified plans cover approximately 9,000 employees including those currently receiving benefits and those who have left the company with deferred benefits. On January 1, 2004, the existing qualified benefit plans were closed to new participants. On July 1, 2008, the benefit accrual for participants was frozen.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adopted the legislative changes provided by the Bipartisan Budget Act of 2015 (“BBA 2015”) which was signed into law on November 2, 2015. This legislation extends the use of longer-term, stabilized interest rate assumptions for measuring pension obligations under the minimum funding requirements. We expect to make the plan contributions as required by BBA 2015 and other regulations.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2016, our net pension expense was $19.9 million and our cash contributions were $56.5 million. Using our current plan assumptions, which include an assumed 7.0% return on assets and a discount rate of 4.27%, we expect to record expense of $13.2 million for the year ended December 31, 2017. We expect our cash contributions for our non-union sponsored pension plans for the next five years to be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Expected Cash Contributions</w:t>
            </w:r>
          </w:p>
        </w:tc>
      </w:tr>
      <w:tr>
        <w:trPr>
          <w:trHeight w:val="250"/>
        </w:trPr>
        <w:tc>
          <w:tcPr>
            <w:tcW w:w="5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2017</w:t>
            </w:r>
          </w:p>
        </w:tc>
        <w:tc>
          <w:tcPr>
            <w:tcW w:w="5160" w:type="dxa"/>
            <w:vAlign w:val="bottom"/>
            <w:tcBorders>
              <w:bottom w:val="single" w:sz="8" w:color="BFE4FF"/>
            </w:tcBorders>
            <w:shd w:val="clear" w:color="auto" w:fill="BFE4FF"/>
          </w:tcPr>
          <w:p>
            <w:pPr>
              <w:jc w:val="right"/>
              <w:ind w:right="6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2018</w:t>
            </w:r>
          </w:p>
        </w:tc>
        <w:tc>
          <w:tcPr>
            <w:tcW w:w="5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5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2019</w:t>
            </w:r>
          </w:p>
        </w:tc>
        <w:tc>
          <w:tcPr>
            <w:tcW w:w="51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2020</w:t>
            </w:r>
          </w:p>
        </w:tc>
        <w:tc>
          <w:tcPr>
            <w:tcW w:w="5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5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40" w:type="dxa"/>
            <w:vAlign w:val="bottom"/>
            <w:shd w:val="clear" w:color="auto" w:fill="BFE4FF"/>
          </w:tcPr>
          <w:p>
            <w:pPr>
              <w:ind w:left="40"/>
              <w:spacing w:after="0"/>
              <w:rPr>
                <w:sz w:val="20"/>
                <w:szCs w:val="20"/>
                <w:color w:val="auto"/>
              </w:rPr>
            </w:pPr>
            <w:r>
              <w:rPr>
                <w:rFonts w:ascii="Arial" w:cs="Arial" w:eastAsia="Arial" w:hAnsi="Arial"/>
                <w:sz w:val="18"/>
                <w:szCs w:val="18"/>
                <w:color w:val="auto"/>
              </w:rPr>
              <w:t>2021</w:t>
            </w:r>
          </w:p>
        </w:tc>
        <w:tc>
          <w:tcPr>
            <w:tcW w:w="5160" w:type="dxa"/>
            <w:vAlign w:val="bottom"/>
            <w:shd w:val="clear" w:color="auto" w:fill="BFE4FF"/>
          </w:tcPr>
          <w:p>
            <w:pPr>
              <w:spacing w:after="0"/>
              <w:rPr>
                <w:sz w:val="21"/>
                <w:szCs w:val="21"/>
                <w:color w:val="auto"/>
              </w:rPr>
            </w:pPr>
          </w:p>
        </w:tc>
        <w:tc>
          <w:tcPr>
            <w:tcW w:w="11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5140" w:type="dxa"/>
            <w:vAlign w:val="bottom"/>
            <w:shd w:val="clear" w:color="auto" w:fill="BFE4FF"/>
          </w:tcPr>
          <w:p>
            <w:pPr>
              <w:spacing w:after="0"/>
              <w:rPr>
                <w:sz w:val="2"/>
                <w:szCs w:val="2"/>
                <w:color w:val="auto"/>
              </w:rPr>
            </w:pPr>
          </w:p>
        </w:tc>
        <w:tc>
          <w:tcPr>
            <w:tcW w:w="516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strategy for our pension assets and our related pension contribution funding obligation includes an active interest rate hedging program designed to mitigate the impact of changes in interest rates on each plan’s funded position. If the pension discount rate falls, our investment strategy is designed to significantly mitigate such interest rate risk to each pension plan’s funded status and our contribution funding obligation. Conversely, if the pension discount rate rises, some portion of the beneficial impact of a rising discount rate on the pension liability will be forgone. The investment program is dynamic and the hedging program is designed to adapt to market conditions.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future actual asset returns fall short of the 7.0% assumption by 1.0% per year, total cash contributions would be $10.8 million higher over the next five years. If future actual asset returns exceed the 7.0% assumption by 1.0% per year, total cash contributions would be $11.0 million lower over the next five years.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future interest rates decrease 100 basis points from January 1, 2017 levels, total cash contributions would be $35.3 million lower over the next five years. This reflects our liability hedging strategy and the impact of BBA 2015 legislation. The liability hedging strategy results in additional asset returns from decreases in interest rates. However, BBA 2015 limits the increase in liabilities from lower interest rates such that the net effect is lower contributions. If interest rates increase 100 basis points from January 1, 2017 levels, total cash contributions would be $38.6 million higher over the next five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3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After 5 years</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36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764.1</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Lease financing obligations</w:t>
            </w:r>
            <w:r>
              <w:rPr>
                <w:rFonts w:ascii="Arial" w:cs="Arial" w:eastAsia="Arial" w:hAnsi="Arial"/>
                <w:sz w:val="25"/>
                <w:szCs w:val="25"/>
                <w:color w:val="auto"/>
                <w:vertAlign w:val="superscript"/>
              </w:rPr>
              <w:t>(c)</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142.2</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Pension deferral obligations</w:t>
            </w:r>
            <w:r>
              <w:rPr>
                <w:rFonts w:ascii="Arial" w:cs="Arial" w:eastAsia="Arial" w:hAnsi="Arial"/>
                <w:sz w:val="25"/>
                <w:szCs w:val="25"/>
                <w:color w:val="auto"/>
                <w:vertAlign w:val="superscript"/>
              </w:rPr>
              <w:t>(d)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124.7</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Workers’ compensation and property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54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w w:val="96"/>
              </w:rPr>
              <w:t>damage and liability claims obligations</w:t>
            </w:r>
            <w:r>
              <w:rPr>
                <w:rFonts w:ascii="Arial" w:cs="Arial" w:eastAsia="Arial" w:hAnsi="Arial"/>
                <w:sz w:val="25"/>
                <w:szCs w:val="25"/>
                <w:color w:val="auto"/>
                <w:w w:val="96"/>
                <w:vertAlign w:val="superscript"/>
              </w:rPr>
              <w:t>(e)</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372.3</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97.7</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(f)</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334.7</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19.1</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contractual obligations</w:t>
            </w:r>
            <w:r>
              <w:rPr>
                <w:rFonts w:ascii="Arial" w:cs="Arial" w:eastAsia="Arial" w:hAnsi="Arial"/>
                <w:sz w:val="25"/>
                <w:szCs w:val="25"/>
                <w:color w:val="auto"/>
                <w:vertAlign w:val="superscript"/>
              </w:rPr>
              <w:t>(g)</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Capital expenditure obligations</w:t>
            </w:r>
            <w:r>
              <w:rPr>
                <w:rFonts w:ascii="Arial" w:cs="Arial" w:eastAsia="Arial" w:hAnsi="Arial"/>
                <w:sz w:val="25"/>
                <w:szCs w:val="25"/>
                <w:color w:val="auto"/>
                <w:vertAlign w:val="superscript"/>
              </w:rPr>
              <w:t>(h)</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6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1,779.4</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fees and unused line fees and are not included on the Company’s consolidated balance sheets.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Term Loan, which has been updated to reflect the Term Loan Amendment on January 31, 2017, includes principal and interest payments, but excludes the unamortized discounts.</w:t>
      </w:r>
    </w:p>
    <w:p>
      <w:pPr>
        <w:spacing w:after="0" w:line="12"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lease financing obligations include interest payments of $95.1 million and principal payments of $47.1 million. The remaining principal obligation is offset by the estimated book value of leased property at the expiration date of each lease agreement.</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workers’ compensation and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Operating leases represent future payments, which include interest, under contractual lease arrangements primarily for revenue equipment and are not included on the Company’s consolidated balance sheets.</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Capital expenditure obligations primarily includes noncancelable statements of work for technology solutions and are not included on the Company’s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cash flow.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7"/>
          </w:tcPr>
          <w:p>
            <w:pPr>
              <w:jc w:val="right"/>
              <w:ind w:right="814"/>
              <w:spacing w:after="0"/>
              <w:rPr>
                <w:sz w:val="20"/>
                <w:szCs w:val="20"/>
                <w:color w:val="auto"/>
              </w:rPr>
            </w:pPr>
            <w:r>
              <w:rPr>
                <w:rFonts w:ascii="Arial" w:cs="Arial" w:eastAsia="Arial" w:hAnsi="Arial"/>
                <w:sz w:val="14"/>
                <w:szCs w:val="14"/>
                <w:b w:val="1"/>
                <w:bCs w:val="1"/>
                <w:color w:val="auto"/>
              </w:rPr>
              <w:t>Amount of Commitment Expiration Per Period</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Less than 1 year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After 5 years</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ABL Facility availability </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357.2</w:t>
            </w:r>
          </w:p>
        </w:tc>
        <w:tc>
          <w:tcPr>
            <w:tcW w:w="28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Surety bonds</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125.4</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commercial commitments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571.6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451.0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60" w:right="20" w:hanging="328"/>
        <w:spacing w:after="0" w:line="250"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as previously defined, was $44.4 million.</w:t>
      </w:r>
    </w:p>
    <w:p>
      <w:pPr>
        <w:ind w:left="660" w:right="20" w:hanging="328"/>
        <w:spacing w:after="0" w:line="24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660" w:hanging="328"/>
        <w:spacing w:after="0" w:line="255"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3"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Preparation of our financial statements requires accounting policies that involve significant estimates and judgments regarding the amounts included in the financial statements and disclosed in the accompanying notes to the financial statements. We continually review the appropriateness of our accounting policies and the accuracy of our estimates including discussion with the Audit and Ethics Committee of our Board of Directors who make recommendations to management regarding these policies. Even with a thorough process, estimates must be adjusted based on changing circumstances and new information. Management has identified the policies described below as requiring significant judgment and having a potential material impact to our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consider our policies regarding revenue-related reserves as critical based on their significance in evaluating our financial performance. We have an extensive system that allows us to accurately capture, record and control all relevant information necessary to effectively manage our revenue reserves.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YRC Freight and Regional Transportation recognize revenue on a gross basis because they are the primary obligors even when other transportation service providers are used who act on their behalf. YRC Freight and Regional Transportation remain responsible to their customers for complete and proper shipment, including the risk of physical loss or damage of the goods and cargo claims issues. Management believes these policies most accurately reflect revenue as earned. Our revenue-related reserves involve three primary estimates: shipments in transit, rerate reserves and uncollectible accounts.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Shipments in Transit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assign pricing to bills of lading at the time of shipment based primarily on the weight, general classification of the product, the shipping destination and individual customer discounts. This process is referred to as rating. For shipments in transit, YRC Freight and Regional Transportation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 Management believes this provides a reasonable estimation of the portion of in transit revenue actually earned. At December 31, 2016 and 2015, our financial statements included deferred revenue as a reduction to “Accounts Receivable” of $25.0 million and $24.0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Rerate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various points throughout our customer invoicing process, incorrect ratings (</w:t>
      </w:r>
      <w:r>
        <w:rPr>
          <w:rFonts w:ascii="Arial" w:cs="Arial" w:eastAsia="Arial" w:hAnsi="Arial"/>
          <w:sz w:val="18"/>
          <w:szCs w:val="18"/>
          <w:i w:val="1"/>
          <w:iCs w:val="1"/>
          <w:color w:val="auto"/>
        </w:rPr>
        <w:t>i.e.</w:t>
      </w:r>
      <w:r>
        <w:rPr>
          <w:rFonts w:ascii="Arial" w:cs="Arial" w:eastAsia="Arial" w:hAnsi="Arial"/>
          <w:sz w:val="18"/>
          <w:szCs w:val="18"/>
          <w:color w:val="auto"/>
        </w:rPr>
        <w:t xml:space="preserve"> prices) could be identified based on many factors, including weight verifications or updated customer discounts. Although the majority of rerating occurs in the same month as the original rating, a portion occurs during the following periods. We accrue a reserve for rerating primarily based on historical trends. At December 31, 2016 and 2015, our financial statements included a rerate reserve as a reduction to “Accounts Receivable” of $10.4 million and $8.1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Uncollectible Accounts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make adjustments to the allowance for doubtful accounts as appropriate. Our allowance for doubtful accounts totaled $9.5 million and $7.4 million as of December 31,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for Claims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self-insured up to certain limits for workers’ compensation, property damage and liability claims, and cargo loss and damage. We measure the liabilities associated with workers’ compensation and property damage and liability claims primarily through actuarial methods performed by an independent third party. Actuarial methods include estimates for the undiscounted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1"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liability for claims reported, for claims incurred but not reported and for certain future administrative costs. These estimates are based on historical loss experience and judgments about the present and expected levels of costs per claim and the time required to settle claims. The effect of future inflation for costs is considered in the actuarial analysis. Actual claims may vary from these estimates due to a number of factors, including but not limited to, accident frequency and severity, claims management, changes in healthcare costs and overall economic conditions. We discount the actuarial calculations of claims liabilities for each calendar year to present value based on the average U.S. Treasury rate, during the calendar year of occurrence, for maturities that match the initial expected payout of the liabilities. As of December 31, 2016 and 2015, we had $364.4 million and $392.7 million accrued for outstanding claims,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July 1, 2008, we froze our qualified and nonqualified defined benefit pension plans for all participating employees not covered by collective bargaining agreements. Given the frozen status of the plans, the key estimates in determining pension cost are return on plan assets and discount rate, each of which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assumption for expected return on plan assets represents a long-term assumption of our portfolio performance that can impact our pension expense. With $878.7 million of plan assets for the YRC Worldwide funded pension plans, a 100-basis-point decrease in the assumption for expected rate of return on assets would increase annual pension expense by approximately $8.4 million and would have no effect on the underfunded pension liability reflected on the balance sheet at December 31,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2016 expected rate of return of 7.00% is appropriate based on our investment portfolio as well as a review of other objective indices. Although plan investments are subject to short-term market volatility, we believe they are well diversified and closely managed. Our asset allocation as of December 31, 2016 and 2015, and targeted long-term asset allocation for the plans are as follows:</w:t>
      </w:r>
    </w:p>
    <w:p>
      <w:pPr>
        <w:spacing w:after="0" w:line="294"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3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19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Target</w:t>
            </w:r>
          </w:p>
        </w:tc>
      </w:tr>
      <w:tr>
        <w:trPr>
          <w:trHeight w:val="250"/>
        </w:trPr>
        <w:tc>
          <w:tcPr>
            <w:tcW w:w="34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Equities</w:t>
            </w:r>
          </w:p>
        </w:tc>
        <w:tc>
          <w:tcPr>
            <w:tcW w:w="1940" w:type="dxa"/>
            <w:vAlign w:val="bottom"/>
            <w:tcBorders>
              <w:bottom w:val="single" w:sz="8" w:color="BFE4FF"/>
            </w:tcBorders>
            <w:shd w:val="clear" w:color="auto" w:fill="BFE4FF"/>
          </w:tcPr>
          <w:p>
            <w:pPr>
              <w:jc w:val="right"/>
              <w:ind w:right="1234"/>
              <w:spacing w:after="0"/>
              <w:rPr>
                <w:sz w:val="20"/>
                <w:szCs w:val="20"/>
                <w:color w:val="auto"/>
              </w:rPr>
            </w:pPr>
            <w:r>
              <w:rPr>
                <w:rFonts w:ascii="Arial" w:cs="Arial" w:eastAsia="Arial" w:hAnsi="Arial"/>
                <w:sz w:val="18"/>
                <w:szCs w:val="18"/>
                <w:color w:val="auto"/>
              </w:rPr>
              <w:t>38.0%</w:t>
            </w:r>
          </w:p>
        </w:tc>
        <w:tc>
          <w:tcPr>
            <w:tcW w:w="1040" w:type="dxa"/>
            <w:vAlign w:val="bottom"/>
            <w:tcBorders>
              <w:bottom w:val="single" w:sz="8" w:color="BFE4FF"/>
            </w:tcBorders>
            <w:shd w:val="clear" w:color="auto" w:fill="BFE4FF"/>
          </w:tcPr>
          <w:p>
            <w:pPr>
              <w:jc w:val="right"/>
              <w:ind w:right="310"/>
              <w:spacing w:after="0"/>
              <w:rPr>
                <w:sz w:val="20"/>
                <w:szCs w:val="20"/>
                <w:color w:val="auto"/>
              </w:rPr>
            </w:pPr>
            <w:r>
              <w:rPr>
                <w:rFonts w:ascii="Arial" w:cs="Arial" w:eastAsia="Arial" w:hAnsi="Arial"/>
                <w:sz w:val="18"/>
                <w:szCs w:val="18"/>
                <w:color w:val="auto"/>
              </w:rPr>
              <w:t>37.0%</w:t>
            </w:r>
          </w:p>
        </w:tc>
        <w:tc>
          <w:tcPr>
            <w:tcW w:w="15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940" w:type="dxa"/>
            <w:vAlign w:val="bottom"/>
          </w:tcPr>
          <w:p>
            <w:pPr>
              <w:jc w:val="right"/>
              <w:ind w:right="1234"/>
              <w:spacing w:after="0"/>
              <w:rPr>
                <w:sz w:val="20"/>
                <w:szCs w:val="20"/>
                <w:color w:val="auto"/>
              </w:rPr>
            </w:pPr>
            <w:r>
              <w:rPr>
                <w:rFonts w:ascii="Arial" w:cs="Arial" w:eastAsia="Arial" w:hAnsi="Arial"/>
                <w:sz w:val="18"/>
                <w:szCs w:val="18"/>
                <w:color w:val="auto"/>
              </w:rPr>
              <w:t>30.0%</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30.0%</w:t>
            </w: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Absolute Return</w:t>
            </w:r>
          </w:p>
        </w:tc>
        <w:tc>
          <w:tcPr>
            <w:tcW w:w="1940" w:type="dxa"/>
            <w:vAlign w:val="bottom"/>
            <w:shd w:val="clear" w:color="auto" w:fill="BFE4FF"/>
          </w:tcPr>
          <w:p>
            <w:pPr>
              <w:jc w:val="right"/>
              <w:ind w:right="1234"/>
              <w:spacing w:after="0"/>
              <w:rPr>
                <w:sz w:val="20"/>
                <w:szCs w:val="20"/>
                <w:color w:val="auto"/>
              </w:rPr>
            </w:pPr>
            <w:r>
              <w:rPr>
                <w:rFonts w:ascii="Arial" w:cs="Arial" w:eastAsia="Arial" w:hAnsi="Arial"/>
                <w:sz w:val="18"/>
                <w:szCs w:val="18"/>
                <w:color w:val="auto"/>
              </w:rPr>
              <w:t>32.0%</w:t>
            </w:r>
          </w:p>
        </w:tc>
        <w:tc>
          <w:tcPr>
            <w:tcW w:w="1040" w:type="dxa"/>
            <w:vAlign w:val="bottom"/>
            <w:shd w:val="clear" w:color="auto" w:fill="BFE4FF"/>
          </w:tcPr>
          <w:p>
            <w:pPr>
              <w:jc w:val="right"/>
              <w:ind w:right="310"/>
              <w:spacing w:after="0"/>
              <w:rPr>
                <w:sz w:val="20"/>
                <w:szCs w:val="20"/>
                <w:color w:val="auto"/>
              </w:rPr>
            </w:pPr>
            <w:r>
              <w:rPr>
                <w:rFonts w:ascii="Arial" w:cs="Arial" w:eastAsia="Arial" w:hAnsi="Arial"/>
                <w:sz w:val="18"/>
                <w:szCs w:val="18"/>
                <w:color w:val="auto"/>
              </w:rPr>
              <w:t>33.0%</w:t>
            </w:r>
          </w:p>
        </w:tc>
        <w:tc>
          <w:tcPr>
            <w:tcW w:w="15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3400" w:type="dxa"/>
            <w:vAlign w:val="bottom"/>
            <w:shd w:val="clear" w:color="auto" w:fill="BFE4FF"/>
          </w:tcPr>
          <w:p>
            <w:pPr>
              <w:spacing w:after="0"/>
              <w:rPr>
                <w:sz w:val="2"/>
                <w:szCs w:val="2"/>
                <w:color w:val="auto"/>
              </w:rPr>
            </w:pPr>
          </w:p>
        </w:tc>
        <w:tc>
          <w:tcPr>
            <w:tcW w:w="1940" w:type="dxa"/>
            <w:vAlign w:val="bottom"/>
            <w:shd w:val="clear" w:color="auto" w:fill="BFE4FF"/>
          </w:tcPr>
          <w:p>
            <w:pPr>
              <w:spacing w:after="0"/>
              <w:rPr>
                <w:sz w:val="2"/>
                <w:szCs w:val="2"/>
                <w:color w:val="auto"/>
              </w:rPr>
            </w:pPr>
          </w:p>
        </w:tc>
        <w:tc>
          <w:tcPr>
            <w:tcW w:w="1040" w:type="dxa"/>
            <w:vAlign w:val="bottom"/>
            <w:shd w:val="clear" w:color="auto" w:fill="BFE4FF"/>
          </w:tcPr>
          <w:p>
            <w:pPr>
              <w:spacing w:after="0"/>
              <w:rPr>
                <w:sz w:val="2"/>
                <w:szCs w:val="2"/>
                <w:color w:val="auto"/>
              </w:rPr>
            </w:pPr>
          </w:p>
        </w:tc>
        <w:tc>
          <w:tcPr>
            <w:tcW w:w="158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various market factors, we selected an expected rate of return on assets of 7.0% effective for the 2016 and 2015 valuations. We will continue to review our expected long-term rate of return on an annual basis and revise appropriately.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impacts the following year’s pension cost. We determine the discount rate by selecting a portfolio of high quality non-callable bonds with interest payments and maturities generally consistent with our expected benefit payments.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discount rate can significantly impact our net pension liability. However, our liability hedging strategy mitigates this impact with additional asset returns. A 100-basis-point decrease in our discount rate would increase our underfunded pension liability by approximately $75.3 million. That same change would decrease our annual pension expense by approximately $9.0 million, driven by the return on assets. The discount rate can fluctuate considerably over periods depending on overall economic conditions that impact long-term corporate bond yields. At December 31, 2016 and 2015, we used a discount rate to determine benefit obligations of 4.27% and 4.81%,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Gains and losses occur due to changes in the amount of either the projected benefit obligation or plan assets from experience being different than assumed and from changes in assumptions. We recognize an amortization of the net gain or loss as a component of net pension cost for a year if, as of the beginning of the year, that net gain or loss exceeds ten percent of the greater of the benefit obligation or the market-related value of plan assets. If an amortization is required, it equals the amount of net gain or loss that exceeds the ten percent corridor, amortized over the average remaining life expectancy of plan participants.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0"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As of December 31, 2016, the pension plans have net losses of $462.1 million and a projected benefit obligation of $1,233.6 million. The average remaining life expectancy of plan participants is approximately 23 years. For 2017, we expect to amortize approximately $15.7 million of the net loss. The comparable amortization amounts for 2016 and 2015 were $13.7 million and $16.0 million, respectively.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2016, our plan assets included $496.3 million of investments that are measured at net asset value (“NAV”) per share (or its equivalent) using the practical expedient in accordance with the fair value measurement and $41.8 million of Level 3 investments. Level 3 market values are based on inputs that are supported by little or no market activity and are significant to the fair value of the investment. These investments are subject to estimation to determine fair value which is used to determine components of our annual pension expense and the net liability. We engage a third party expert to assist us in determining these fair values.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YRC Freight, Holland, Reddaway and New Penn, contribute to 32 separate multi-employer pension plans for employees covered by our collective bargaining agreements (approximately 78% of total YRC Worldwide employees). The pension plans provide defined benefits to retired participants.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directly manage multi-employer plans. Trustees, half of whom the respective union appoints and half of whom various contributing employers appoint, manage the trusts covering these plans.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collective bargaining agreements with the unions determine the amount of our contributions to these plans. We recognize as net pension expense the contractually required contribution for the respective period and recognize as a liability any contributions due and unpaid.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Pension Protection Act became law and modified both the Code, as it applies to multi-employer pension plans and the ERISA. The Code and ERISA (in each case, as so modified) and related regulations establish minimum funding requirements for multi-employer pension plans. The funding status of these plans is determined by many factors.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Multi-Employer Pension Reform Act (“MPRA”) became law which modified the ability to suspend accrued benefits of plans facing insolvency by adding a new zone status of Critical and Declining.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our multi-employer pension plans fail to:</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meet minimum funding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meet a required funding improvement or rehabilitation plan that the Pension Protection Act may require for certain of our underfunded plans,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from the IRS certain changes to or a waiver of the requirements in how the applicable plan calculates its funding levels,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pension benefits to a level where the requirements are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could be required to make additional contributions to our multi-employer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our multi-employer pension plans enters critical status or worse and our contributions are not sufficient to satisfy any rehabilitation plan schedule, the Pension Protection Act could require us to make additional surcharge contributions to the multi-employer pension plan in the amount of five to ten percent of the existing contributions required by our labor agreement for the remaining term of the labor agreement.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from the third quarter of 2009 through May 2011 will give rise to these excise taxes as we believe these contributions were not required for that period.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amount involved, a requirement to increase contributions beyond our contractually agreed rate or the imposition of an excise tax on us could have a material adverse impact on our business, financial condition, liquidity,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Funded Status of the Multi-Employer Pension Plans and Contingent Withdrawal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administrators and trustees of multi-employer pension plans do not routinely provide us with current information regarding the funded status of the plans. Much of our information regarding the funded status has been (i) obtained from public filings using publicly available plan asset values, which are often dated, and (ii) based on the limited information available from plan administrators or trustees, which has not been independently validated.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Pension Protection Act provides that certain plans with a funded percentage of less than 65%, or that fail other tests, will be deemed to be in critical status. Plans in critical status must create a rehabilitation plan to exit critical status within periods that the Pension Protection Act prescribes. The MPRA created a new zone status of “Critical and Declining” for plans facing insolvency. Based on information obtained from public filings and from plan administrators and trustees, we believe many of the multi-employer pension plans in which we participate, including, but not limited to, The Central States Southeast and Southwest Areas Pension Plan, Road Carriers Local 707 Pension Fund, New York State Teamsters Conference Pension and Retirement Fund, and Teamsters Local 641 Pension Fund are in critical or critical and declining status. If the funding of the multi-employer pension plans does not reach certain goals (including those required not to enter endangered, critical status or critical and declining or those required by a plan’s funding improvement or rehabilitation plan), our pension expenses could further increase.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or termination from all of the multi-employer pension plans would be an estimated $10 billion on a pre-tax basis. Our applicable subsidiaries have no current intention of taking any action that would subject us to payment of material withdrawal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Lives of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the appropriateness of depreciable lives for each category of property and equipment. These studies utilize models, which take into account actual usage, physical wear and tear, and replacement history to calculate remaining life of our asset base. For revenue equipment, we consider the optimal life cycle usage of each type of equipment, including the ability to utilize the equipment in different parts of the fleet or at different operating units in the organization. Capital, engine replacement, refurbishment and maintenance costs are considered in determining total cost of ownership and related useful lives for purposes of depreciation recognition. We also make assumptions regarding future conditions in determining potential salvage values. These assumptions impact the amount of depreciation expense recognized in the period and any gain or loss once the asset is disposed.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 asset and liability method to reflect income taxes on our financial statements.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based on the weight of evidence, it is more likely than not that such assets, losses, or credits will not be realized. Changes in valuation allowances are included in our tax provision or in equity if directly related to other comprehensive income (loss), unless affected by a specific intra-period allocation as happened in 2015, as described below. In determining whether a valuation allowance is warranted, we evaluate factors such as prior years’ earnings, loss carry-back and carry-forward periods, reversals of existing deferred tax liabilities and tax planning strategies that potentially enhance the likelihood of the realization of a deferred tax asset. We have not recognized deferred taxes relative to foreign subsidiaries’ earnings that are deemed to be permanently reinvested. Any related taxes associated with such earnings are not material.</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applies the intraperiod tax allocation rules of ASC 740 to allocate income taxes among continuing operations, discontinued operations, extraordinary items, other comprehensive income (loss), and additional paid-in capital when our situation meets the criteria as prescribed in the rule.</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the tax effect of net income (loss) before income taxes generally should be computed without regard to the tax effects of net income (loss) before income taxes from the other categories referenced in the preceding paragraph, an exception applies when there is a loss before income taxes and income from those other categories. In that situation, the appropriate tax provision is allocated to the other categories of earnings and a related tax benefit is recorded in net income (loss). This exception to the general rule applies even when a valuation allowance is in place at the beginning and end of the year. While intraperiod tax allocation does not change the overall tax provision, it may result in a gross-up of the individual components, thereby changing the amount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30"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of tax provision included in each category. In 2015, the Company met the criteria necessary to apply the exception within the intraperiod tax allocation rules, since it incurred a net loss before income taxes and income was recognized in other comprehensive income (loss). As a result, the Company recorded a tax benefit of $11.7 million in income tax benefit (as reported on the Consolidated Statement of Operations) and an offsetting tax expense of $11.7 million in total other comprehensive income (loss) for the year ended December 31, 2015. The total income tax benefit did not change, and the total provision continued to be impacted by the full valuation allowance on our U.S. deferred tax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3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a variety of market risks, including the effects of interest rates, foreign exchange rates and fuel prices.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adequate funding through seasonal business cycles and minimize overall borrowing costs, we utilize both fixed rate and variable rate financial instruments with varying maturities. At December 31, 2016, we had approximately 28% of our outstanding debt at fixed rates. As amended, at the Company’s election, a significant portion of the remaining variable rate debt may operate at a 1, 3 or 6-month LIBOR, with a floor of 1.0% plus a fixed margin of 7.5%. Based on a 3-month LIBOR, if interest rates for our variable rate long-term debt had increased 100 basis points during the year, our interest expense would have increased, and income before taxes would have decreased by $7.0 million and $4.2 million for the years ended December 31, 2016 and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interest rates on our fixed-rate debt as of December 31, 2016.</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4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1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Fixed-rate debt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279.7</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9.0 - 18.3%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9.0 - 18.3%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7.3 - 18.3%</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9.0 - 14.5%</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10 - 16.8%</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Exchange Rates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operating expenses, assets and liabilities of our Canadian and Mexican subsidiaries are denominated in local currencies, thereby creating exposure to fluctuations in exchange rates. The risks related to foreign currency exchange rates are not significant to our consolidated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Prices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and Regional Transportation currently have fuel surcharge programs in place. These programs are well established within the industry and customer acceptance of fuel surcharges remains high. Since the amount of fuel surcharge is based on average, national diesel fuel prices and is reset weekly, our exposure to fuel price volatility is reduced. In general, under our present fuel surcharge program, we believe rising fuel prices are beneficial to us, and falling fuel prices are detrimental to us, in the short term, the effects of which are mitigated over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in millions except share and per share data)</w:t>
            </w: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$9.5 and $7.4</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2,822.8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insurance accruals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accrued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5"/>
              </w:rPr>
              <w:t>Common stock, $0.01 par value per share - authorized 95,000,000 shares, issued 32,473,000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32,141,000 shares</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61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611" w:right="239" w:bottom="1440" w:gutter="0" w:footer="0" w:header="0"/>
          <w:type w:val="continuous"/>
        </w:sectPr>
      </w:pPr>
    </w:p>
    <w:bookmarkStart w:id="44" w:name="page45"/>
    <w:bookmarkEnd w:id="44"/>
    <w:p>
      <w:pPr>
        <w:ind w:left="3720"/>
        <w:spacing w:after="0"/>
        <w:rPr>
          <w:sz w:val="20"/>
          <w:szCs w:val="20"/>
          <w:color w:val="auto"/>
        </w:rPr>
      </w:pPr>
      <w:r>
        <w:rPr>
          <w:rFonts w:ascii="Arial" w:cs="Arial" w:eastAsia="Arial" w:hAnsi="Arial"/>
          <w:sz w:val="18"/>
          <w:szCs w:val="18"/>
          <w:color w:val="auto"/>
        </w:rPr>
        <w:t>STATEMENTS OF CONSOLIDATED OPERATIONS</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millions except per share data; shares 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5,068.8</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Salaries, wages and employee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Operating expenses and supplies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5,023.3</w:t>
            </w:r>
          </w:p>
        </w:tc>
      </w:tr>
      <w:tr>
        <w:trPr>
          <w:trHeight w:val="237"/>
        </w:trPr>
        <w:tc>
          <w:tcPr>
            <w:tcW w:w="6740" w:type="dxa"/>
            <w:vAlign w:val="bottom"/>
          </w:tcPr>
          <w:p>
            <w:pPr>
              <w:ind w:left="11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Nonoperating expenses,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beneficial conversion feature on preferred stock</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28,592</w:t>
            </w:r>
          </w:p>
        </w:tc>
      </w:tr>
      <w:tr>
        <w:trPr>
          <w:trHeight w:val="297"/>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 -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Net actuarial gains (losses) and other adjustments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prior net losses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Settlement adjustment</w:t>
            </w: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Reclassification of foreign currency translation gains to net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income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ind w:left="20"/>
              <w:spacing w:after="0" w:line="205" w:lineRule="exact"/>
              <w:rPr>
                <w:sz w:val="20"/>
                <w:szCs w:val="20"/>
                <w:color w:val="auto"/>
              </w:rPr>
            </w:pPr>
            <w:r>
              <w:rPr>
                <w:rFonts w:ascii="Arial" w:cs="Arial" w:eastAsia="Arial" w:hAnsi="Arial"/>
                <w:sz w:val="18"/>
                <w:szCs w:val="18"/>
                <w:b w:val="1"/>
                <w:bCs w:val="1"/>
                <w:color w:val="auto"/>
                <w:w w:val="93"/>
              </w:rPr>
              <w:t>Comprehensive income (loss) attributable to YRC Worldwide</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w:t>
            </w:r>
          </w:p>
        </w:tc>
        <w:tc>
          <w:tcPr>
            <w:tcW w:w="28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530" w:right="1440" w:bottom="1440" w:gutter="0" w:footer="0" w:header="0"/>
        </w:sectPr>
      </w:pPr>
    </w:p>
    <w:bookmarkStart w:id="46" w:name="page47"/>
    <w:bookmarkEnd w:id="46"/>
    <w:p>
      <w:pPr>
        <w:jc w:val="center"/>
        <w:ind w:right="-739"/>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163.6</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Amortizations of premiums and discounts on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Equity-based compensation and employee benefits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Deferred income tax benefit,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2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receipts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Restricted escrow deposits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equity method investment,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(892.7)</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Equity issuance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proceeds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176.3</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80"/>
          </w:cols>
          <w:pgMar w:left="240" w:top="746" w:right="979" w:bottom="1440" w:gutter="0" w:footer="0" w:header="0"/>
        </w:sectPr>
      </w:pPr>
    </w:p>
    <w:bookmarkStart w:id="47" w:name="page48"/>
    <w:bookmarkEnd w:id="47"/>
    <w:p>
      <w:pPr>
        <w:jc w:val="center"/>
        <w:ind w:left="220" w:right="219"/>
        <w:spacing w:after="0" w:line="264" w:lineRule="auto"/>
        <w:rPr>
          <w:sz w:val="20"/>
          <w:szCs w:val="20"/>
          <w:color w:val="auto"/>
        </w:rPr>
      </w:pPr>
      <w:r>
        <w:rPr>
          <w:rFonts w:ascii="Arial" w:cs="Arial" w:eastAsia="Arial" w:hAnsi="Arial"/>
          <w:sz w:val="18"/>
          <w:szCs w:val="18"/>
          <w:color w:val="auto"/>
        </w:rPr>
        <w:t>STATEMENTS OF CONSOLIDATED CASH FLOWS (CONTINUED) YRC Worldwide Inc. and Subsidiaries For the Years Ended December 31</w:t>
      </w:r>
    </w:p>
    <w:p>
      <w:pPr>
        <w:spacing w:after="0" w:line="281"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Letter of credit fees paid</w:t>
            </w:r>
          </w:p>
        </w:tc>
        <w:tc>
          <w:tcPr>
            <w:tcW w:w="1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refund (payment), net</w:t>
            </w:r>
          </w:p>
        </w:tc>
        <w:tc>
          <w:tcPr>
            <w:tcW w:w="1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Debt redeemed for equity consideration</w:t>
            </w:r>
          </w:p>
        </w:tc>
        <w:tc>
          <w:tcPr>
            <w:tcW w:w="1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51.8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530" w:right="1440" w:bottom="1440" w:gutter="0" w:footer="0" w:header="0"/>
        </w:sectPr>
      </w:pPr>
    </w:p>
    <w:bookmarkStart w:id="48" w:name="page49"/>
    <w:bookmarkEnd w:id="48"/>
    <w:p>
      <w:pPr>
        <w:jc w:val="center"/>
        <w:ind w:right="-519"/>
        <w:spacing w:after="0"/>
        <w:rPr>
          <w:sz w:val="20"/>
          <w:szCs w:val="20"/>
          <w:color w:val="auto"/>
        </w:rPr>
      </w:pPr>
      <w:r>
        <w:rPr>
          <w:rFonts w:ascii="Arial" w:cs="Arial" w:eastAsia="Arial" w:hAnsi="Arial"/>
          <w:sz w:val="18"/>
          <w:szCs w:val="18"/>
          <w:color w:val="auto"/>
        </w:rPr>
        <w:t>STATEMENTS OF CONSOLIDATED SHAREHOLDERS’ DEFICIT</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 the Years Ended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74"/>
        </w:trPr>
        <w:tc>
          <w:tcPr>
            <w:tcW w:w="7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equity in exchange for debt</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preferred shares to common shares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common stock upon conversion of Series B Notes</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Capital Surplus: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equity, net</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preferred stock to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Beneficial conversion feature on preferred stock</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upon conversion of Series B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Equity issuance costs</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2,290.9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(2,239.3)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conversion feature on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(loss) attributable to YRC Worldwide Inc.</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Pension,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gains (losses) and other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Amortization of prior net losses</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foreign currency translation gains to 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00"/>
          </w:cols>
          <w:pgMar w:left="240" w:top="530" w:right="7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one of the largest transportation service providers in the world, offers its customers a wide range of transportation services. YRC Worldwide has one of the largest, most comprehensive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7" w:lineRule="exact"/>
        <w:rPr>
          <w:sz w:val="20"/>
          <w:szCs w:val="20"/>
          <w:color w:val="auto"/>
        </w:rPr>
      </w:pPr>
    </w:p>
    <w:p>
      <w:pPr>
        <w:jc w:val="both"/>
        <w:ind w:left="660" w:hanging="328"/>
        <w:spacing w:after="0" w:line="279"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subsidiary YRC Freight and YRC Reimer, a subsidiary located in Canada that specializes in shipments into, across and out of Canada. In addition to the United States and Canada, YRC Freight also serves parts of Mexico and Puerto Rico.</w:t>
      </w:r>
    </w:p>
    <w:p>
      <w:pPr>
        <w:spacing w:after="0" w:line="171" w:lineRule="exact"/>
        <w:rPr>
          <w:rFonts w:ascii="Arial" w:cs="Arial" w:eastAsia="Arial" w:hAnsi="Arial"/>
          <w:sz w:val="17"/>
          <w:szCs w:val="17"/>
          <w:color w:val="auto"/>
        </w:rPr>
      </w:pPr>
    </w:p>
    <w:p>
      <w:pPr>
        <w:jc w:val="both"/>
        <w:ind w:left="660" w:hanging="328"/>
        <w:spacing w:after="0" w:line="312"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Regional Transportation is the reporting segment for our transportation service providers focused on business opportunities in the regional and 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38" w:lineRule="exact"/>
        <w:rPr>
          <w:rFonts w:ascii="Arial" w:cs="Arial" w:eastAsia="Arial" w:hAnsi="Arial"/>
          <w:sz w:val="16"/>
          <w:szCs w:val="16"/>
          <w:color w:val="auto"/>
        </w:rPr>
      </w:pPr>
    </w:p>
    <w:p>
      <w:pPr>
        <w:ind w:left="200" w:hanging="192"/>
        <w:spacing w:after="0"/>
        <w:tabs>
          <w:tab w:leader="none" w:pos="20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Accounting Policies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policies refer to specific accounting principles and the methods of applying those principles to fairly present our financial position and results of operations in accordance with generally accepted accounting principles. The policies discussed below include those that management has determined to be the most appropriate in preparing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significant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Until its sale in March 2016, our investment in the non-majority owned affiliate was accounted for on the equity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makes estimates and assumptions when preparing the financial statements in conformity with U.S. generally accepted accounting principles which affect the amounts reported in the financial statements and accompanying notes. Actual results could differ from those estimates. Items subject to such estimates and assumptions include the useful lives of fixed assets and revenue-related reserves; the valuation of deferred tax assets/liabilities, non-union pension plan liability and pension plan assets; and workers’ compensation and property damage and liability claims, and income tax uncertainties.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demand deposits and highly liquid investments purchased with maturities of three months or less. Under the Company’s cash management system, checks issued but not presented to banks frequently result in book overdraft balances for accounting purposes which are classified within accounts payable in the accompanying consolidated balance sheets. The change in book overdrafts are reported as a component of operating cash flows for accounts payable as they do not represent bank overdrafts.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3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Concentration of Credit Risks and Other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services and extend credit based on an evaluation of the customer’s financial condition, without requiring collateral. Exposure to losses on receivables is principally dependent on each customer’s financial condition. We monitor our exposure for credit losses and maintain allowances for anticipated losses.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December 31, 2016, approximately 78% of our labor force is subject to collective bargaining agreements. As part of the 2014 Financing Transactions (which is described more fully in the “Debt and Financing” footnote to our consolidated financial statements), our primary labor agreement was modified to, among other things, extend the expiration date of the agreement from March 31, 2015 to March 31, 2019. This extension also extended the contribution rates under our multi-employer pension plan. The modification provided for lump sum payments in lieu of wage increases in 2014 and 2015, but provided for wage increases in 2016 through 2019. We amortized these lump sum payments over the period in which the wages were not increased beginning on April 1, 2014. Finally, the modification provided for certain changes to work rules and our use of purchased transportation in certain situations.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shipments in transit, we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recognize revenue on a gross basis because we are the primary obligors even when we use other transportation service providers who act on our behalf. We remain responsible to our customers for complete and proper shipment, including the risk of physical loss or damage of the goods and cargo claims issues.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verifications or updated customer discounts. Although the majority of rerating occurs in the same month as the original rating, a portion occurs during the following periods. We accrue a reserve for rerating based primarily on historical trends. At December 31, 2016 and 2015, our financial statements included a rerate reserve as a reduction to “Accounts Receivable” of $10.4 million and $8.1 million, respectively.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$9.5 million and $7.4 million as of December 31, 2016 and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functional currency is the U.S. dollar, whereas, our foreign operations utilize the local currency as their functional currency. Accordingly, for purposes of translating foreign subsidiary financial statements to the U.S. dollar reporting currency, assets and liabilities of our foreign operations are translated at the fiscal year end exchange rates and income and expenses are translated monthly, at the average exchange rates for each respective month, with changes recognized in other comprehensive loss. Foreign currency gains and losses resulting from foreign currency transactions resulted in net gains of $0.9 million, $9.3 million and $5.7 million during 2016, 2015 and 2014, respectively, and are included in “Nonoperating expenses - Other, net” in the accompanying statements of consolidated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3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Self-Insurance Accruals for Claims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Claims and insurance accruals, both current and long-term, reflect the estimated settlement cost of claims for workers’ compensation, property damage and liability claims, and cargo loss and damage that insurance does not cover. We establish and modify reserve estimates for workers’ compensation and property damage and liability claims primarily upon actuarial analyses prepared by independent actuaries. These reserves are discounted to present value using a risk-free rate based on the year of occurrence. The risk-free rate is the U.S. Treasury rate for maturities that match the expected payout of such claims and was 1.0%, 1.0% and 0.9% for workers’ compensation claims incurred as of December 31, 2016, 2015 and 2014, respectively. The rate was 0.8%, 0.7% and 0.4% for property damage and liability claims incurred as of December 31, 2016, 2015 and 2014, respectively. The process of determining reserve requirements utilizes historical trends and involves an evaluation of accident frequency and severity, claims management, changes in health care costs and certain future administrative costs. The effect of future inflation for costs is considered in the actuarial analysis. Adjustments to previously established reserves are included in operating results in the year of adjustment. As of December 31, 2016 and 2015, we had $364.4 million and $392.7 million, respectively, accrued for outstanding claims.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Expected aggregate undiscounted amounts and material changes to these amounts as of December 31 are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Workers’</w:t>
            </w:r>
          </w:p>
        </w:tc>
        <w:tc>
          <w:tcPr>
            <w:tcW w:w="22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Property Damage and</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2015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2016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settlement cost estimate at December 31, 2016</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Discounted settlement cost estimate at December 31, 2016</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277.0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72.1</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amounts above, settlement cost amounts for cargo claims and other insurance related amounts, none of which are discounted, totaled $15.3 million and $17.0 million at December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cash payments to settle claims which were incurred on or before December 31, 2016, for the next five years and thereafter are as follows:</w:t>
      </w:r>
    </w:p>
    <w:p>
      <w:pPr>
        <w:spacing w:after="0" w:line="37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600" w:type="dxa"/>
            <w:vAlign w:val="bottom"/>
          </w:tcPr>
          <w:p>
            <w:pPr>
              <w:jc w:val="right"/>
              <w:ind w:right="534"/>
              <w:spacing w:after="0"/>
              <w:rPr>
                <w:sz w:val="20"/>
                <w:szCs w:val="20"/>
                <w:color w:val="auto"/>
              </w:rPr>
            </w:pPr>
            <w:r>
              <w:rPr>
                <w:rFonts w:ascii="Arial" w:cs="Arial" w:eastAsia="Arial" w:hAnsi="Arial"/>
                <w:sz w:val="14"/>
                <w:szCs w:val="14"/>
                <w:b w:val="1"/>
                <w:bCs w:val="1"/>
                <w:color w:val="auto"/>
              </w:rPr>
              <w:t>Workers’</w:t>
            </w:r>
          </w:p>
        </w:tc>
        <w:tc>
          <w:tcPr>
            <w:tcW w:w="2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Property Damage and</w:t>
            </w:r>
          </w:p>
        </w:tc>
        <w:tc>
          <w:tcPr>
            <w:tcW w:w="480" w:type="dxa"/>
            <w:vAlign w:val="bottom"/>
          </w:tcPr>
          <w:p>
            <w:pPr>
              <w:spacing w:after="0"/>
              <w:rPr>
                <w:sz w:val="14"/>
                <w:szCs w:val="14"/>
                <w:color w:val="auto"/>
              </w:rPr>
            </w:pPr>
          </w:p>
        </w:tc>
        <w:tc>
          <w:tcPr>
            <w:tcW w:w="142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19.3</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right"/>
              <w:ind w:right="1234"/>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Stock Compensation Plans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various stock-based employee compensation plans, which are described more fully in the “Stock Compensation Plans” footnote to our consolidated financial statements. We recognize compensation costs for non-vested shares based on the grant date fair value. For our share-based payments granted, with no performance requirement, we recognize compensation cost on a straight-line basis over the requisite service period (generally three to four years) based on the grant-date fair value. For our performance-based awards, the Company expenses the grant date fair value of the awards which are probable of being earned in the performance period over the respective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property and equipment at cost as of December 31:</w:t>
      </w:r>
    </w:p>
    <w:p>
      <w:pPr>
        <w:spacing w:after="0" w:line="200" w:lineRule="exact"/>
        <w:rPr>
          <w:sz w:val="20"/>
          <w:szCs w:val="20"/>
          <w:color w:val="auto"/>
        </w:rPr>
      </w:pP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Structures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789.3</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Technology equipment and software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146.4</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57"/>
        </w:trPr>
        <w:tc>
          <w:tcPr>
            <w:tcW w:w="642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2,822.8</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carry property and equipment at cost less accumulated depreciation. We compute depreciation using the straight-line method based on the following service lives:</w:t>
      </w:r>
    </w:p>
    <w:p>
      <w:pPr>
        <w:spacing w:after="0" w:line="39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Years</w:t>
      </w:r>
    </w:p>
    <w:p>
      <w:pPr>
        <w:spacing w:after="0" w:line="25" w:lineRule="exact"/>
        <w:rPr>
          <w:sz w:val="20"/>
          <w:szCs w:val="20"/>
          <w:color w:val="auto"/>
        </w:rPr>
      </w:pPr>
    </w:p>
    <w:tbl>
      <w:tblPr>
        <w:tblLayout w:type="fixed"/>
        <w:tblInd w:w="1060" w:type="dxa"/>
        <w:tblCellMar>
          <w:top w:w="0" w:type="dxa"/>
          <w:left w:w="0" w:type="dxa"/>
          <w:bottom w:w="0" w:type="dxa"/>
          <w:right w:w="0" w:type="dxa"/>
        </w:tblCellMar>
      </w:tblPr>
      <w:tr>
        <w:trPr>
          <w:trHeight w:val="256"/>
        </w:trPr>
        <w:tc>
          <w:tcPr>
            <w:tcW w:w="5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Structures</w:t>
            </w:r>
          </w:p>
        </w:tc>
        <w:tc>
          <w:tcPr>
            <w:tcW w:w="3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Revenue equipment</w:t>
            </w:r>
          </w:p>
        </w:tc>
        <w:tc>
          <w:tcPr>
            <w:tcW w:w="300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7"/>
        </w:trPr>
        <w:tc>
          <w:tcPr>
            <w:tcW w:w="5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equipment and software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3840" w:type="dxa"/>
            <w:vAlign w:val="bottom"/>
            <w:gridSpan w:val="2"/>
          </w:tcPr>
          <w:p>
            <w:pPr>
              <w:jc w:val="right"/>
              <w:ind w:right="490"/>
              <w:spacing w:after="0"/>
              <w:rPr>
                <w:sz w:val="20"/>
                <w:szCs w:val="20"/>
                <w:color w:val="auto"/>
              </w:rPr>
            </w:pPr>
            <w:r>
              <w:rPr>
                <w:rFonts w:ascii="Arial" w:cs="Arial" w:eastAsia="Arial" w:hAnsi="Arial"/>
                <w:sz w:val="18"/>
                <w:szCs w:val="18"/>
                <w:color w:val="auto"/>
              </w:rPr>
              <w:t>3 - 10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charge maintenance and repairs to expense as incurred and betterments are capitalized. The cost of replacement tires are expensed at the time those tires are placed into service, as is the case with other repair and maintenance costs. Leasehold improvements are capitalized and amortized over the shorter of their useful lives or the remaining lease term.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purchasing new revenue equipment, we will also rebuild the engines of our tractors (at certain time or mile intervals). Because rebuilding an engine increases its useful life, we capitalize these costs and depreciate over the remaining useful life of the unit. The cost of engines on newly acquired revenue equipment is capitalized and depreciated over the estimated useful life of the related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in technology equipment and software consists primarily of freight movement, automation, administrative, and related software.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2016, 2015 and 2014, depreciation expense was $146.3 million, $145.5 million and $145.1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23, 2015, the Company entered into an equity interest sale and purchase agreement to sell its fifty percent interest in its Chinese joint venture, JHJ International Transportation Co. (“JHJ”), for a purchase price of $16.3 million, which subsequently closed on March 30, 2016. At closing we received proceeds of $16.3 million and paid transaction fees of $1.7 million. At March 30, 2016, the carrying value of the investment was $22.7 million with an offsetting cumulative foreign translation adjustment of $10.4 million, resulting in a net gain on the transaction of $2.3 million. The gain on the transaction is included in “Nonoperating expenses - Other, net” in the accompanying statement of consolidated comprehensive income for the twelve months ended December 31,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30"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We accounted for the ownership of our joint venture under the equity method and accordingly, recognized our share of the respective joint ventures earnings in “Nonoperating expenses - Other, net” in the accompanying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components of these results for the years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43"/>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equity method earnings</w:t>
            </w:r>
          </w:p>
        </w:tc>
        <w:tc>
          <w:tcPr>
            <w:tcW w:w="34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r>
      <w:tr>
        <w:trPr>
          <w:trHeight w:val="27"/>
        </w:trPr>
        <w:tc>
          <w:tcPr>
            <w:tcW w:w="45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determined fair value measurements used in our consolidated financial statements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7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the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in markets that are not active, or other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or can be corroborated by observable data for substantially the full term of the assets or liabilities.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or liability’s fair value measurement level with the fair value hierarchy is based on the lowest level of any input that is significant to the fair value measurement. Valuation techniques used maximize the use of observable inputs and minimize the use of unobservable inputs.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methodologies described above may produce a fair value calculation that may not be indicative of net realizable value or reflective of future fair values. We believe that our valuation methods are appropriate and consistent with other market participants. The use of different methodologies or assumptions to determine the fair value of certain financial assets could result in a different fair value measurement at the reporting date. There have been no changes in the methodologies used at December 31, 2016 and 2015.</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fair value hierarchy of our financial assets held at fair value on a recurring basis, which consists of our restricted cash held in escrow: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 at December 31,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6"/>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 at December 31, 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2016 and 2015, we reclassified the amortization of our net pension gain (loss), net of tax, totaling $13.7 million and $14.1 million, respectively, from accumulated other comprehensive loss to net income (loss). This reclassification is a component of net periodic pension cost and is discussed in the “Employee Benefits” footnote. In addition, we also reclassified foreign currency translation adjustments of $10.4 million related to the sale of our investment in JHJ from accumulated other comprehensive loss to net income (loss), as discussed in the “Equity Method Investments” section of this footnote.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2015, the Financial Accounting Standards Board (“FASB”) issued Accounting Standards Update (“ASU”) 2015-07, </w:t>
      </w:r>
      <w:r>
        <w:rPr>
          <w:rFonts w:ascii="Arial" w:cs="Arial" w:eastAsia="Arial" w:hAnsi="Arial"/>
          <w:sz w:val="18"/>
          <w:szCs w:val="18"/>
          <w:i w:val="1"/>
          <w:iCs w:val="1"/>
          <w:color w:val="auto"/>
        </w:rPr>
        <w:t>Disclosures for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Entities that Calculate Net Asset Value per Share (or Its Equivalent)</w:t>
      </w:r>
      <w:r>
        <w:rPr>
          <w:rFonts w:ascii="Arial" w:cs="Arial" w:eastAsia="Arial" w:hAnsi="Arial"/>
          <w:sz w:val="18"/>
          <w:szCs w:val="18"/>
          <w:color w:val="auto"/>
        </w:rPr>
        <w:t>, which eliminates the requirement to categorize investments in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if their fair value is measured at net asset value (“NAV”) per share (or its equivalent) using the practical expedient in accordance with the standard for fair value measurement. The standard, which requires retrospective application, was effective for the Company beginning January 1, 2016. The fair value disclosures for our defined benefit pension plan investments as of December 31, 2016 and 2015, respectively, have been updated to reflect the adoption of this standard, as presented in the “Employee Benefits” footnote of our consolidated financial statements. There was no other impact to the consolidated financial statements from the adoption of this standard.</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2015, the FASB issued ASU 2015-03,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xml:space="preserve"> which requires debt issue costs related to a recognized debt liability be presented in the balance sheet as a direct deduction from the carrying amount of that debt liability, consistent with the accounting treatment for debt discounts. The recognition and measurement guidance of debt issuance costs are not affected by this update. The standard was effective for the Company beginning January 1, 2016. The Company adopted the standard in the first quarter of 2016, which required retrospective application. The December 31, 2015 consolidated balance sheet and related disclosures were updated to reflect the reclassification of $15.2 million of unamortized debt issuance costs, from “Other assets” to “Long-term debt, less current portion” which related to its Term Loan, Second A&amp;R CDA, and lease financing obligations. There was no other impact to the consolidated financial statements from the adoption of this standard.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xml:space="preserve"> which defers the effective date of ASU 2014-9,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new standard introduces a five-step model to determine when and how revenue is recognized. The premise of the new 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 period beginning January 1, 2018, including interim periods within that reporting period. Early application is permitted for annual periods beginning January 1, 2017. Entities are allowed to transition to the new standard by either recasting prior periods or recognizing the cumulative effect. The Company is in the process of reviewing customer contracts, but we believe our transportation revenue recognized under the new standard will generally approximate revenue under current standards, in that we recognize transportation revenue proportionately as we perform the transportation service for our customer. The Company plans to complete its evaluation in 2017, including an assessment of the new expanded disclosure requirements and a final determination of the transition method we will use to adopt the new standard.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requires entities with a classified balance sheet to present all deferred tax assets and liabilities as noncurrent. The new standard will be effective for the Company for its annual reporting period beginning January 1, 2017, including interim periods within that reporting period.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52"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ASU allows entities to choose either prospective or retrospective transition. The Company will adopt the standard in the first quarter of 2017 and plans to elect prospective application. The Company does not believe the adoption of this standard will have a material impact on the consolidated financial statements.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a right-to-use asset and a lease obligation for all leases. Lessees are permitted to make an accounting policy election to not recognize an asset and liability for leases with a term of twelve months or less. Lessor accounting under the new standard is substantially unchanged.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and requires a modified retrospective transition approach. The Company is currently evaluating the impacts the adoption of this standard will have on the consolidated financial statements.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which reduces diversity in the practice of classifying certain transactions in the statement of cash flows. The new standard will become effective for the Company for its annual reporting period beginning January 1, 2018, including interim periods within that reporting period and requires a retrospective transition approach. The Company will adopt the standard beginning with the first quarter of 2018. The Company does not believe the adoption of this standard will have a material impact on the consolidated financial statements.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that requires entities to recognize at the transaction date the income tax consequences of many intercompany asset transfers. The new standard will be effective for the Company for its annual reporting period beginning January 1, 2018, including interim periods within that reporting period. Early application is permitted at the beginning of an interim or annual period. Entities should apply the new standard on a modified retrospective basis with a cumulative effect adjustment to retained earnings as of the beginning of the period of adoption. The Company will adopt the standard in the first quarter of 2018. The Company is still evaluating the effect but does not believe the change will have a material impact on the consolidated financial statements.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to clarify the guidance on how companies present restricted cash and restricted cash equivalents in the statement of cash flows. As a result, the Company will no longer present transfers between cash and cash equivalents and restricted cash in the statement of cash flows. The new standard will become effective for the Company for its annual reporting period beginning January 1, 2018, including interim periods within that reporting period and requires a retrospective transition approach. The Company will adopt the standard beginning with the first quarter of 2018. The Company does not believe the adoption of this standard will have a material impact on the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Intangibles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amortizable intangible assets are as follows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16"/>
                <w:szCs w:val="16"/>
                <w:color w:val="auto"/>
              </w:rPr>
            </w:pPr>
          </w:p>
        </w:tc>
      </w:tr>
      <w:tr>
        <w:trPr>
          <w:trHeight w:val="258"/>
        </w:trPr>
        <w:tc>
          <w:tcPr>
            <w:tcW w:w="2380" w:type="dxa"/>
            <w:vAlign w:val="bottom"/>
          </w:tcPr>
          <w:p>
            <w:pPr>
              <w:spacing w:after="0"/>
              <w:rPr>
                <w:sz w:val="22"/>
                <w:szCs w:val="22"/>
                <w:color w:val="auto"/>
              </w:rPr>
            </w:pP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2"/>
                <w:szCs w:val="22"/>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2380" w:type="dxa"/>
            <w:vAlign w:val="bottom"/>
          </w:tcPr>
          <w:p>
            <w:pPr>
              <w:spacing w:after="0"/>
              <w:rPr>
                <w:sz w:val="23"/>
                <w:szCs w:val="23"/>
                <w:color w:val="auto"/>
              </w:rPr>
            </w:pP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23"/>
                <w:szCs w:val="23"/>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23"/>
                <w:szCs w:val="23"/>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23"/>
                <w:szCs w:val="2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Accumulated</w:t>
            </w:r>
          </w:p>
        </w:tc>
      </w:tr>
      <w:tr>
        <w:trPr>
          <w:trHeight w:val="27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3"/>
              </w:rPr>
              <w:t>Life (years)</w:t>
            </w:r>
          </w:p>
        </w:tc>
        <w:tc>
          <w:tcPr>
            <w:tcW w:w="280" w:type="dxa"/>
            <w:vAlign w:val="bottom"/>
          </w:tcPr>
          <w:p>
            <w:pPr>
              <w:spacing w:after="0"/>
              <w:rPr>
                <w:sz w:val="24"/>
                <w:szCs w:val="2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24"/>
                <w:szCs w:val="24"/>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related</w:t>
            </w:r>
          </w:p>
        </w:tc>
        <w:tc>
          <w:tcPr>
            <w:tcW w:w="2140" w:type="dxa"/>
            <w:vAlign w:val="bottom"/>
            <w:tcBorders>
              <w:top w:val="single" w:sz="8" w:color="auto"/>
            </w:tcBorders>
            <w:shd w:val="clear" w:color="auto" w:fill="CCEEFF"/>
          </w:tcPr>
          <w:p>
            <w:pPr>
              <w:jc w:val="center"/>
              <w:ind w:left="764"/>
              <w:spacing w:after="0"/>
              <w:rPr>
                <w:sz w:val="20"/>
                <w:szCs w:val="20"/>
                <w:color w:val="auto"/>
              </w:rPr>
            </w:pPr>
            <w:r>
              <w:rPr>
                <w:rFonts w:ascii="Arial" w:cs="Arial" w:eastAsia="Arial" w:hAnsi="Arial"/>
                <w:sz w:val="18"/>
                <w:szCs w:val="18"/>
                <w:color w:val="auto"/>
                <w:w w:val="89"/>
              </w:rPr>
              <w:t>12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7"/>
        </w:trPr>
        <w:tc>
          <w:tcPr>
            <w:tcW w:w="23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Amortization expense for intangible assets recognized on a straight line basis was $13.5 million, $18.2 million and $18.3 million for the years ended December 31, 2016, 2015 and 2014, respectively. The definite-lived intangible assets are fully amortized in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3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carrying amount of our indefinite lived tradenames attributable to each applicable segment: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Regional Transportation</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with indefinite lives, which consist of our tradenames, are not subject to amortization, but are subjected to an impairment test at least annually or more frequently if a triggering event occurs. The impairment test for tradenames consists of a comparison of the fair value of the tradename with its carrying amount. An impairment loss is recognized for the amount by which the carrying amount exceeds the fair value of the asset. In making this assessment, we utilized the relief from royalty method, an income approach (a level 3 fair value measurement), which includes assumptions as to future revenue, applicable royalty rate and cost of capital, among others.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other assets at December 31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 for JHJ</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70"/>
        </w:trPr>
        <w:tc>
          <w:tcPr>
            <w:tcW w:w="6640" w:type="dxa"/>
            <w:vAlign w:val="bottom"/>
          </w:tcPr>
          <w:p>
            <w:pPr>
              <w:ind w:left="20"/>
              <w:spacing w:after="0" w:line="270" w:lineRule="exact"/>
              <w:rPr>
                <w:sz w:val="20"/>
                <w:szCs w:val="20"/>
                <w:color w:val="auto"/>
              </w:rPr>
            </w:pPr>
            <w:r>
              <w:rPr>
                <w:rFonts w:ascii="Arial" w:cs="Arial" w:eastAsia="Arial" w:hAnsi="Arial"/>
                <w:sz w:val="18"/>
                <w:szCs w:val="18"/>
                <w:color w:val="auto"/>
              </w:rPr>
              <w:t>Deferred debt costs</w:t>
            </w:r>
            <w:r>
              <w:rPr>
                <w:rFonts w:ascii="Arial" w:cs="Arial" w:eastAsia="Arial" w:hAnsi="Arial"/>
                <w:sz w:val="25"/>
                <w:szCs w:val="25"/>
                <w:color w:val="auto"/>
                <w:vertAlign w:val="superscript"/>
              </w:rPr>
              <w:t>(a)</w:t>
            </w: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66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Prepayments</w:t>
            </w:r>
            <w:r>
              <w:rPr>
                <w:rFonts w:ascii="Arial" w:cs="Arial" w:eastAsia="Arial" w:hAnsi="Arial"/>
                <w:sz w:val="25"/>
                <w:szCs w:val="25"/>
                <w:color w:val="auto"/>
                <w:vertAlign w:val="superscript"/>
              </w:rPr>
              <w:t>(b)</w:t>
            </w: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820" w:hanging="407"/>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Deferred debt costs relate to our ABL Facility.</w:t>
      </w:r>
    </w:p>
    <w:p>
      <w:pPr>
        <w:spacing w:after="0" w:line="95" w:lineRule="exact"/>
        <w:rPr>
          <w:rFonts w:ascii="Arial" w:cs="Arial" w:eastAsia="Arial" w:hAnsi="Arial"/>
          <w:sz w:val="14"/>
          <w:szCs w:val="14"/>
          <w:color w:val="auto"/>
        </w:rPr>
      </w:pPr>
    </w:p>
    <w:p>
      <w:pPr>
        <w:ind w:left="820" w:hanging="407"/>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Prepayments primarily includes prepaid costs for revenue equipment leases.</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no dividends were received due to the sale of JHJ on March 30, 2016. During the year ended December 31, 2015, we received dividends in the amount of $1.7 million from JHJ. As of December 31, 2015, the excess of our investment over our interest in JHJ’s equity was $4.5 million.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YRC Worldwide and certain of our operating subsidiaries sponsor qualified and nonqualified defined benefit pension plans for certain employees not covered by collective bargaining agreements (approximately 9,000 current, former and retired employees). Qualified and nonqualified pension benefits are based on years of service and the employees’ covered earnings. Employees covered by collective bargaining agreements participate in various multi-employer pension plans to which YRC Worldwide contributes, as discussed below. Regional Transportation does not offer a defined benefit pension plan and instead offers retirement benefits through either contributory 401(k) savings plans or profit sharing plans, as discussed below. The domestic YRC Worldwide defined benefit pension plans closed to new participants effective January 1, 2004 and the benefit accrual for active employees was frozen effective July 1, 2008. Our actuarial valuation measurement date for our pension plans is December 31.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3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Funded Status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the beginning and ending balances of the projected benefit obligation and the fair value of plan assets for the years ended December 31, 2016 and 2015, and the funded status at December 31, 2016 and 2015, is as follows: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2015</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Benefit obligation at beginning of year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1,202.7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1,355.2</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cost</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55.9</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57.2</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Actuarial (gain) loss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Expenses paid from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3.6</w:t>
            </w:r>
          </w:p>
        </w:tc>
      </w:tr>
      <w:tr>
        <w:trPr>
          <w:trHeight w:val="27"/>
        </w:trPr>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 obligation at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1,202.7</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Fair value of plan assets at prior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867.1</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899.3</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Actual return on plan assets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56.6</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Employer contributions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Expenses paid from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Fair value of plan assets at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867.1</w:t>
            </w:r>
          </w:p>
        </w:tc>
      </w:tr>
      <w:tr>
        <w:trPr>
          <w:trHeight w:val="257"/>
        </w:trPr>
        <w:tc>
          <w:tcPr>
            <w:tcW w:w="7520" w:type="dxa"/>
            <w:vAlign w:val="bottom"/>
          </w:tcPr>
          <w:p>
            <w:pPr>
              <w:ind w:left="260"/>
              <w:spacing w:after="0"/>
              <w:rPr>
                <w:sz w:val="20"/>
                <w:szCs w:val="20"/>
                <w:color w:val="auto"/>
              </w:rPr>
            </w:pPr>
            <w:r>
              <w:rPr>
                <w:rFonts w:ascii="Arial" w:cs="Arial" w:eastAsia="Arial" w:hAnsi="Arial"/>
                <w:sz w:val="18"/>
                <w:szCs w:val="18"/>
                <w:color w:val="auto"/>
              </w:rPr>
              <w:t>Funded status at year end</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w:t>
            </w:r>
          </w:p>
        </w:tc>
      </w:tr>
      <w:tr>
        <w:trPr>
          <w:trHeight w:val="20"/>
        </w:trPr>
        <w:tc>
          <w:tcPr>
            <w:tcW w:w="7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underfunded status of the plans of $354.9 million and $335.6 million at December 31, 2016 and 2015, respectively, is recognized in the accompanying consolidated balance sheets as shown in the table below. No plan assets are expected to be returned to the Company during the year ending December 31, 2017.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long-term strategy is to reduce the risk of our underfunded plans. In 2015, the Company amended its domestic pension plans and offered a one-time voluntary lump sum payment option in an effort to reduce its long-term pension obligations and ongoing annual pension expense. The lump sum pension settlement payments of $85.2 million, which are reflected in “Benefits paid” in the above table, were funded from existing pension plan assets. In connection with this transaction, the Company incurred a settlement charge of $28.7 million to salaries, wages and employee benefits expense as a result of the requirement to expense the unrecognized actuarial losses associated with the lump sum settlements. The charge had no effect on equity because the actuarial losses were already recognized in accumulated other comprehensive loss. Accordingly, the effect on retained earnings was offset by a corresponding reduction in accumulated other 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for pension benefits at December 31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w w:val="97"/>
              </w:rPr>
              <w:t>Amounts recognized in accumulated other comprehensive loss at December 31 consist of:</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8"/>
        </w:trPr>
        <w:tc>
          <w:tcPr>
            <w:tcW w:w="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406.0</w:t>
            </w:r>
          </w:p>
        </w:tc>
        <w:tc>
          <w:tcPr>
            <w:tcW w:w="20" w:type="dxa"/>
            <w:vAlign w:val="bottom"/>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30" w:right="239" w:bottom="1440" w:gutter="0" w:footer="0" w:header="0"/>
          <w:type w:val="continuous"/>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As shown above, included in accumulated other comprehensive loss at December 31, 2016, are unrecognized actuarial losses of $462.1 million ($424.1 million, net of tax). The actuarial loss included in accumulated other comprehensive income and expected to be recognized in net periodic cost in 2017 is $15.7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total accumulated benefit obligation for all plans was $1,233.2 million and $1,202.2 million at December 31, 2016 and 2015, respectively.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for pension plans with an accumulated benefit obligation (“ABO”) in excess of plan assets and plan assets that exceed ABO at December 31, 2016 and 2015 is as follows:</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-147320</wp:posOffset>
            </wp:positionV>
            <wp:extent cx="2649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Accumulated benefit obligation</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426720</wp:posOffset>
            </wp:positionV>
            <wp:extent cx="2675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Accumulated benefit obligation</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07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7"/>
              </w:rPr>
              <w:t>ABO Exceeds Assets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Assets Exceed ABO</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1,229.4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1,233.6</w:t>
            </w:r>
          </w:p>
        </w:tc>
        <w:tc>
          <w:tcPr>
            <w:tcW w:w="20" w:type="dxa"/>
            <w:vAlign w:val="bottom"/>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1,229.4</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1,233.2</w:t>
            </w:r>
          </w:p>
        </w:tc>
        <w:tc>
          <w:tcPr>
            <w:tcW w:w="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873.3</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878.7</w:t>
            </w:r>
          </w:p>
        </w:tc>
        <w:tc>
          <w:tcPr>
            <w:tcW w:w="20" w:type="dxa"/>
            <w:vAlign w:val="bottom"/>
          </w:tcPr>
          <w:p>
            <w:pPr>
              <w:spacing w:after="0"/>
              <w:rPr>
                <w:sz w:val="23"/>
                <w:szCs w:val="23"/>
                <w:color w:val="auto"/>
              </w:rPr>
            </w:pPr>
          </w:p>
        </w:tc>
      </w:tr>
      <w:tr>
        <w:trPr>
          <w:trHeight w:val="642"/>
        </w:trPr>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At December 31, 2015</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0"/>
        </w:trPr>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ABO Exceeds Assets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Assets Exceed ABO</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21"/>
                <w:szCs w:val="21"/>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1,198.3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1,202.7</w:t>
            </w:r>
          </w:p>
        </w:tc>
        <w:tc>
          <w:tcPr>
            <w:tcW w:w="20" w:type="dxa"/>
            <w:vAlign w:val="bottom"/>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1,198.3</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1,202.2</w:t>
            </w:r>
          </w:p>
        </w:tc>
        <w:tc>
          <w:tcPr>
            <w:tcW w:w="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861.4</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867.1</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-1242695</wp:posOffset>
            </wp:positionV>
            <wp:extent cx="56254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5465" cy="17145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-1594485</wp:posOffset>
            </wp:positionV>
            <wp:extent cx="562546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25465" cy="18034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-153670</wp:posOffset>
            </wp:positionV>
            <wp:extent cx="566864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8645" cy="17145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-505460</wp:posOffset>
            </wp:positionV>
            <wp:extent cx="566864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864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840"/>
          </w:cols>
          <w:pgMar w:left="240" w:top="53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actuarial assumptions used to determine benefit obligations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7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2015</w:t>
            </w:r>
          </w:p>
        </w:tc>
      </w:tr>
      <w:tr>
        <w:trPr>
          <w:trHeight w:val="243"/>
        </w:trPr>
        <w:tc>
          <w:tcPr>
            <w:tcW w:w="7740" w:type="dxa"/>
            <w:vAlign w:val="bottom"/>
            <w:shd w:val="clear" w:color="auto" w:fill="CCEEFF"/>
          </w:tcPr>
          <w:p>
            <w:pPr>
              <w:jc w:val="right"/>
              <w:ind w:right="6679"/>
              <w:spacing w:after="0"/>
              <w:rPr>
                <w:sz w:val="20"/>
                <w:szCs w:val="20"/>
                <w:color w:val="auto"/>
              </w:rPr>
            </w:pPr>
            <w:r>
              <w:rPr>
                <w:rFonts w:ascii="Arial" w:cs="Arial" w:eastAsia="Arial" w:hAnsi="Arial"/>
                <w:sz w:val="18"/>
                <w:szCs w:val="18"/>
                <w:color w:val="auto"/>
                <w:w w:val="90"/>
              </w:rPr>
              <w:t>Discount rate</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4.27%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7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determine net periodic benefit cost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jc w:val="right"/>
              <w:ind w:right="1414"/>
              <w:spacing w:after="0"/>
              <w:rPr>
                <w:sz w:val="20"/>
                <w:szCs w:val="20"/>
                <w:color w:val="auto"/>
              </w:rPr>
            </w:pPr>
            <w:r>
              <w:rPr>
                <w:rFonts w:ascii="Arial" w:cs="Arial" w:eastAsia="Arial" w:hAnsi="Arial"/>
                <w:sz w:val="14"/>
                <w:szCs w:val="14"/>
                <w:b w:val="1"/>
                <w:bCs w:val="1"/>
                <w:color w:val="auto"/>
              </w:rPr>
              <w:t>2016</w:t>
            </w:r>
          </w:p>
        </w:tc>
        <w:tc>
          <w:tcPr>
            <w:tcW w:w="2900" w:type="dxa"/>
            <w:vAlign w:val="bottom"/>
            <w:tcBorders>
              <w:bottom w:val="single" w:sz="8" w:color="auto"/>
            </w:tcBorders>
          </w:tcPr>
          <w:p>
            <w:pPr>
              <w:jc w:val="right"/>
              <w:ind w:right="1614"/>
              <w:spacing w:after="0"/>
              <w:rPr>
                <w:sz w:val="20"/>
                <w:szCs w:val="20"/>
                <w:color w:val="auto"/>
              </w:rPr>
            </w:pPr>
            <w:r>
              <w:rPr>
                <w:rFonts w:ascii="Arial" w:cs="Arial" w:eastAsia="Arial" w:hAnsi="Arial"/>
                <w:sz w:val="14"/>
                <w:szCs w:val="14"/>
                <w:b w:val="1"/>
                <w:bCs w:val="1"/>
                <w:color w:val="auto"/>
              </w:rPr>
              <w:t>2015</w:t>
            </w:r>
          </w:p>
        </w:tc>
        <w:tc>
          <w:tcPr>
            <w:tcW w:w="196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2014</w:t>
            </w: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2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4.81%</w:t>
            </w:r>
          </w:p>
        </w:tc>
        <w:tc>
          <w:tcPr>
            <w:tcW w:w="290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4.33%</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Expected rate of return on assets</w:t>
            </w:r>
          </w:p>
        </w:tc>
        <w:tc>
          <w:tcPr>
            <w:tcW w:w="3280" w:type="dxa"/>
            <w:vAlign w:val="bottom"/>
          </w:tcPr>
          <w:p>
            <w:pPr>
              <w:jc w:val="right"/>
              <w:ind w:right="274"/>
              <w:spacing w:after="0"/>
              <w:rPr>
                <w:sz w:val="20"/>
                <w:szCs w:val="20"/>
                <w:color w:val="auto"/>
              </w:rPr>
            </w:pPr>
            <w:r>
              <w:rPr>
                <w:rFonts w:ascii="Arial" w:cs="Arial" w:eastAsia="Arial" w:hAnsi="Arial"/>
                <w:sz w:val="18"/>
                <w:szCs w:val="18"/>
                <w:color w:val="auto"/>
              </w:rPr>
              <w:t>7.0%</w:t>
            </w:r>
          </w:p>
        </w:tc>
        <w:tc>
          <w:tcPr>
            <w:tcW w:w="2900" w:type="dxa"/>
            <w:vAlign w:val="bottom"/>
          </w:tcPr>
          <w:p>
            <w:pPr>
              <w:jc w:val="right"/>
              <w:ind w:right="434"/>
              <w:spacing w:after="0"/>
              <w:rPr>
                <w:sz w:val="20"/>
                <w:szCs w:val="20"/>
                <w:color w:val="auto"/>
              </w:rPr>
            </w:pPr>
            <w:r>
              <w:rPr>
                <w:rFonts w:ascii="Arial" w:cs="Arial" w:eastAsia="Arial" w:hAnsi="Arial"/>
                <w:sz w:val="18"/>
                <w:szCs w:val="18"/>
                <w:color w:val="auto"/>
              </w:rPr>
              <w:t>7.0%</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3220" w:type="dxa"/>
            <w:vAlign w:val="bottom"/>
          </w:tcPr>
          <w:p>
            <w:pPr>
              <w:spacing w:after="0"/>
              <w:rPr>
                <w:sz w:val="22"/>
                <w:szCs w:val="22"/>
                <w:color w:val="auto"/>
              </w:rPr>
            </w:pPr>
          </w:p>
        </w:tc>
        <w:tc>
          <w:tcPr>
            <w:tcW w:w="3280" w:type="dxa"/>
            <w:vAlign w:val="bottom"/>
          </w:tcPr>
          <w:p>
            <w:pPr>
              <w:jc w:val="right"/>
              <w:ind w:right="474"/>
              <w:spacing w:after="0"/>
              <w:rPr>
                <w:sz w:val="20"/>
                <w:szCs w:val="20"/>
                <w:color w:val="auto"/>
              </w:rPr>
            </w:pPr>
            <w:r>
              <w:rPr>
                <w:rFonts w:ascii="Arial" w:cs="Arial" w:eastAsia="Arial" w:hAnsi="Arial"/>
                <w:sz w:val="18"/>
                <w:szCs w:val="18"/>
                <w:color w:val="auto"/>
              </w:rPr>
              <w:t>RP-2014</w:t>
            </w:r>
          </w:p>
        </w:tc>
        <w:tc>
          <w:tcPr>
            <w:tcW w:w="2900" w:type="dxa"/>
            <w:vAlign w:val="bottom"/>
          </w:tcPr>
          <w:p>
            <w:pPr>
              <w:jc w:val="right"/>
              <w:ind w:right="614"/>
              <w:spacing w:after="0"/>
              <w:rPr>
                <w:sz w:val="20"/>
                <w:szCs w:val="20"/>
                <w:color w:val="auto"/>
              </w:rPr>
            </w:pPr>
            <w:r>
              <w:rPr>
                <w:rFonts w:ascii="Arial" w:cs="Arial" w:eastAsia="Arial" w:hAnsi="Arial"/>
                <w:sz w:val="18"/>
                <w:szCs w:val="18"/>
                <w:color w:val="auto"/>
              </w:rPr>
              <w:t>RP-2014</w:t>
            </w:r>
          </w:p>
        </w:tc>
        <w:tc>
          <w:tcPr>
            <w:tcW w:w="1960" w:type="dxa"/>
            <w:vAlign w:val="bottom"/>
          </w:tcPr>
          <w:p>
            <w:pPr>
              <w:jc w:val="right"/>
              <w:ind w:right="94"/>
              <w:spacing w:after="0"/>
              <w:rPr>
                <w:sz w:val="20"/>
                <w:szCs w:val="20"/>
                <w:color w:val="auto"/>
              </w:rPr>
            </w:pPr>
            <w:r>
              <w:rPr>
                <w:rFonts w:ascii="Arial" w:cs="Arial" w:eastAsia="Arial" w:hAnsi="Arial"/>
                <w:sz w:val="18"/>
                <w:szCs w:val="18"/>
                <w:color w:val="auto"/>
              </w:rPr>
              <w:t>RP-2000</w:t>
            </w:r>
          </w:p>
        </w:tc>
      </w:tr>
      <w:tr>
        <w:trPr>
          <w:trHeight w:val="242"/>
        </w:trPr>
        <w:tc>
          <w:tcPr>
            <w:tcW w:w="3220" w:type="dxa"/>
            <w:vAlign w:val="bottom"/>
          </w:tcPr>
          <w:p>
            <w:pPr>
              <w:ind w:left="20"/>
              <w:spacing w:after="0"/>
              <w:rPr>
                <w:sz w:val="20"/>
                <w:szCs w:val="20"/>
                <w:color w:val="auto"/>
              </w:rPr>
            </w:pPr>
            <w:r>
              <w:rPr>
                <w:rFonts w:ascii="Arial" w:cs="Arial" w:eastAsia="Arial" w:hAnsi="Arial"/>
                <w:sz w:val="18"/>
                <w:szCs w:val="18"/>
                <w:color w:val="auto"/>
              </w:rPr>
              <w:t>Mortality table</w:t>
            </w:r>
            <w:r>
              <w:rPr>
                <w:rFonts w:ascii="Arial" w:cs="Arial" w:eastAsia="Arial" w:hAnsi="Arial"/>
                <w:sz w:val="18"/>
                <w:szCs w:val="18"/>
                <w:color w:val="auto"/>
                <w:vertAlign w:val="superscript"/>
              </w:rPr>
              <w:t>(a)</w:t>
            </w:r>
          </w:p>
        </w:tc>
        <w:tc>
          <w:tcPr>
            <w:tcW w:w="3280" w:type="dxa"/>
            <w:vAlign w:val="bottom"/>
          </w:tcPr>
          <w:p>
            <w:pPr>
              <w:jc w:val="right"/>
              <w:ind w:right="434"/>
              <w:spacing w:after="0"/>
              <w:rPr>
                <w:sz w:val="20"/>
                <w:szCs w:val="20"/>
                <w:color w:val="auto"/>
              </w:rPr>
            </w:pPr>
            <w:r>
              <w:rPr>
                <w:rFonts w:ascii="Arial" w:cs="Arial" w:eastAsia="Arial" w:hAnsi="Arial"/>
                <w:sz w:val="18"/>
                <w:szCs w:val="18"/>
                <w:color w:val="auto"/>
              </w:rPr>
              <w:t>(MP-2016 Scale, Custom)</w:t>
            </w:r>
          </w:p>
        </w:tc>
        <w:tc>
          <w:tcPr>
            <w:tcW w:w="2900" w:type="dxa"/>
            <w:vAlign w:val="bottom"/>
          </w:tcPr>
          <w:p>
            <w:pPr>
              <w:jc w:val="right"/>
              <w:ind w:right="574"/>
              <w:spacing w:after="0"/>
              <w:rPr>
                <w:sz w:val="20"/>
                <w:szCs w:val="20"/>
                <w:color w:val="auto"/>
              </w:rPr>
            </w:pPr>
            <w:r>
              <w:rPr>
                <w:rFonts w:ascii="Arial" w:cs="Arial" w:eastAsia="Arial" w:hAnsi="Arial"/>
                <w:sz w:val="18"/>
                <w:szCs w:val="18"/>
                <w:color w:val="auto"/>
              </w:rPr>
              <w:t>(MP-2014 Scale, Custom)</w:t>
            </w:r>
          </w:p>
        </w:tc>
        <w:tc>
          <w:tcPr>
            <w:tcW w:w="1960" w:type="dxa"/>
            <w:vAlign w:val="bottom"/>
          </w:tcPr>
          <w:p>
            <w:pPr>
              <w:jc w:val="right"/>
              <w:ind w:right="94"/>
              <w:spacing w:after="0"/>
              <w:rPr>
                <w:sz w:val="20"/>
                <w:szCs w:val="20"/>
                <w:color w:val="auto"/>
              </w:rPr>
            </w:pPr>
            <w:r>
              <w:rPr>
                <w:rFonts w:ascii="Arial" w:cs="Arial" w:eastAsia="Arial" w:hAnsi="Arial"/>
                <w:sz w:val="18"/>
                <w:szCs w:val="18"/>
                <w:color w:val="auto"/>
              </w:rPr>
              <w:t>Projected to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722058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The 2016 and 2015 mortality tables were based on a custom mortality improvement scale to reflect expectations of underlying plan participants.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is used as the interest rate factor in the following year’s pension cost. We determine the discount rate by selecting a portfolio of high quality noncallable bonds such that the coupons and maturities exceed our expected benefit payments.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 factors such as inflation and interest rates. Although plan investments are subject to short-term market volatility, we believe they are well diversified and closely managed.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30"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auto"/>
        </w:rPr>
        <w:t>Our asset allocation as of December 31, 2016 and 2015, and targeted long-term asset allocation for the plans are as follows:</w:t>
      </w:r>
    </w:p>
    <w:p>
      <w:pPr>
        <w:spacing w:after="0" w:line="338"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3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19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Target</w:t>
            </w: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19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rPr>
              <w:t>38.0%</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940" w:type="dxa"/>
            <w:vAlign w:val="bottom"/>
          </w:tcPr>
          <w:p>
            <w:pPr>
              <w:jc w:val="right"/>
              <w:ind w:right="1234"/>
              <w:spacing w:after="0"/>
              <w:rPr>
                <w:sz w:val="20"/>
                <w:szCs w:val="20"/>
                <w:color w:val="auto"/>
              </w:rPr>
            </w:pPr>
            <w:r>
              <w:rPr>
                <w:rFonts w:ascii="Arial" w:cs="Arial" w:eastAsia="Arial" w:hAnsi="Arial"/>
                <w:sz w:val="18"/>
                <w:szCs w:val="18"/>
                <w:color w:val="auto"/>
              </w:rPr>
              <w:t>30.0%</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30.0%</w:t>
            </w: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1940" w:type="dxa"/>
            <w:vAlign w:val="bottom"/>
            <w:shd w:val="clear" w:color="auto" w:fill="CCEEFF"/>
          </w:tcPr>
          <w:p>
            <w:pPr>
              <w:jc w:val="right"/>
              <w:ind w:right="1234"/>
              <w:spacing w:after="0"/>
              <w:rPr>
                <w:sz w:val="20"/>
                <w:szCs w:val="20"/>
                <w:color w:val="auto"/>
              </w:rPr>
            </w:pPr>
            <w:r>
              <w:rPr>
                <w:rFonts w:ascii="Arial" w:cs="Arial" w:eastAsia="Arial" w:hAnsi="Arial"/>
                <w:sz w:val="18"/>
                <w:szCs w:val="18"/>
                <w:color w:val="auto"/>
              </w:rPr>
              <w:t>32.0%</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34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Based on various market factors, we selected an expected rate of return on assets of 7.0% effective for the 2016 and 2015 valuations. We will continue to review our expected long-term rate of return on an annual basis and revise appropriately. The pension trust holds no YRC Worldwide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Benefit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approximately $53.9 million to our single-employer pension plans in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benefit payments from our qualified and non-qualified defined benefit pension plans for each of the next five years and the total benefit payments for the following five years ended December 31 are as follows:</w:t>
      </w:r>
    </w:p>
    <w:p>
      <w:pPr>
        <w:spacing w:after="0" w:line="338"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2022-2026</w:t>
            </w: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benefit payments</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400.4</w:t>
            </w:r>
          </w:p>
        </w:tc>
      </w:tr>
      <w:tr>
        <w:trPr>
          <w:trHeight w:val="27"/>
        </w:trPr>
        <w:tc>
          <w:tcPr>
            <w:tcW w:w="2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our net periodic pension cost, other post-retirement costs and other amounts recognized in other comprehensive loss (income) for the years ended December 31, 2016, 2015 and 2014 were as follows:</w:t>
      </w:r>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net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Settlement loss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w w:val="90"/>
              </w:rPr>
              <w:t>Other changes in plan assets and benefit obligations recognized in other comprehensive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loss (income):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loss (gain) and other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Less amortization of prior losses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Pr>
          <w:p>
            <w:pPr>
              <w:ind w:left="280"/>
              <w:spacing w:after="0"/>
              <w:rPr>
                <w:sz w:val="20"/>
                <w:szCs w:val="20"/>
                <w:color w:val="auto"/>
              </w:rPr>
            </w:pPr>
            <w:r>
              <w:rPr>
                <w:rFonts w:ascii="Arial" w:cs="Arial" w:eastAsia="Arial" w:hAnsi="Arial"/>
                <w:sz w:val="18"/>
                <w:szCs w:val="18"/>
                <w:color w:val="auto"/>
              </w:rPr>
              <w:t>Total recognized in other comprehensive loss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113.5</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2015 and 2014, the income tax provision related to amounts in other comprehensive (income) loss was $12.2 million and $0.2 million, respectively. For the year ended December 31, 2016, the income tax provision was inconsequential.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pension assets are stated at fair value. Fair value is the price that would be received to sell an asset or paid to transfer a liability in an orderly transaction between market participants at the measurement date. The fair value of Level 1 assets are based on quoted market prices. The majority of the Level 1 assets presented in the table below include common stock of both U.S. and, to a lesser extent, international companies, and mutual funds, of which are actively traded and priced in the market. The fair value of Level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30" w:right="239" w:bottom="1440" w:gutter="0" w:footer="0" w:header="0"/>
        </w:sectPr>
      </w:pPr>
    </w:p>
    <w:bookmarkStart w:id="60" w:name="page61"/>
    <w:bookmarkEnd w:id="60"/>
    <w:p>
      <w:pPr>
        <w:jc w:val="both"/>
        <w:spacing w:after="0" w:line="289" w:lineRule="auto"/>
        <w:rPr>
          <w:sz w:val="20"/>
          <w:szCs w:val="20"/>
          <w:color w:val="auto"/>
        </w:rPr>
      </w:pPr>
      <w:r>
        <w:rPr>
          <w:rFonts w:ascii="Arial" w:cs="Arial" w:eastAsia="Arial" w:hAnsi="Arial"/>
          <w:sz w:val="16"/>
          <w:szCs w:val="16"/>
          <w:color w:val="auto"/>
        </w:rPr>
        <w:t>2 assets are based on other significant observable inputs, including quoted prices for similar securities. The Level 2 assets presented in the below table consist primarily of fixed income and absolute return funds where values are based on the NAV of the underlying investments held, as determined by the fund managers, or equity securities where values are based on the quoted prices of similar securities and observable market data. Level 3 assets are those where the fair value is determined based on unobservable inputs. The Level 3 assets presented in the table below consist of alternative investments where active market pricing is not readily available and, as such, we use NAV as an estimate of fair value. For the remaining Level 3 assets that do not use NAV to estimate fair value, which consists primarily of private equities, the assets are either priced at cost less cash distributions for recent asset purchases, third-party valuations or discounted cash flow methods. The methods and assumptions used by third-party pricing sources may include a variety of factors, such as recently executed transactions, existing contracts, economic conditions, industry or market developments, and overall credit ratings. These estimated fair values may differ significantly from the values that would have been used had a ready market for these investments existed and as such, differences could be material.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 In 2016, the Company transferred certain short-term interest bearing investments from level 1 to level 2 due to variability in how the underlying investments are priced, whether by an active market or a model. There were no other transfers among the fair value hierarchy levels for the years ended December 31, 2016 and 2015,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adopted ASU 2015-07 beginning January 1, 2016, which eliminates the requirement to categorize investments in the fair value hierarchy if their fair value is measured at net asset value per share (or its equivalent) using the practical expedient. The fair value tables below reflect the adoption of this standard.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detail by level, within the fair value hierarchy, the pension assets at fair value as of December 31, 2016 and December 31, 2015:</w:t>
      </w:r>
    </w:p>
    <w:p>
      <w:pPr>
        <w:spacing w:after="0" w:line="200" w:lineRule="exact"/>
        <w:rPr>
          <w:sz w:val="20"/>
          <w:szCs w:val="20"/>
          <w:color w:val="auto"/>
        </w:rPr>
      </w:pPr>
    </w:p>
    <w:p>
      <w:pPr>
        <w:spacing w:after="0" w:line="258"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Pension Assets at Fair Value as of December 31, 2016</w:t>
            </w:r>
          </w:p>
        </w:tc>
        <w:tc>
          <w:tcPr>
            <w:tcW w:w="1100" w:type="dxa"/>
            <w:vAlign w:val="bottom"/>
            <w:tcBorders>
              <w:bottom w:val="single" w:sz="8" w:color="auto"/>
            </w:tcBorders>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38.3</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Absolute return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bearing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39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5"/>
                <w:szCs w:val="25"/>
                <w:color w:val="auto"/>
                <w:vertAlign w:val="superscript"/>
              </w:rPr>
              <w:t>(a)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plan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gridSpan w:val="6"/>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Pension Assets at Fair Value as of December 31, 2015</w:t>
            </w:r>
          </w:p>
        </w:tc>
        <w:tc>
          <w:tcPr>
            <w:tcW w:w="1100" w:type="dxa"/>
            <w:vAlign w:val="bottom"/>
            <w:tcBorders>
              <w:bottom w:val="single" w:sz="8" w:color="auto"/>
            </w:tcBorders>
          </w:tcPr>
          <w:p>
            <w:pPr>
              <w:spacing w:after="0"/>
              <w:rPr>
                <w:sz w:val="24"/>
                <w:szCs w:val="24"/>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Government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Absolute return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bearing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Borders>
              <w:bottom w:val="single" w:sz="8" w:color="CCEEFF"/>
            </w:tcBorders>
          </w:tcPr>
          <w:p>
            <w:pPr>
              <w:spacing w:after="0"/>
              <w:rPr>
                <w:sz w:val="23"/>
                <w:szCs w:val="23"/>
                <w:color w:val="auto"/>
              </w:rPr>
            </w:pPr>
          </w:p>
        </w:tc>
        <w:tc>
          <w:tcPr>
            <w:tcW w:w="39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plan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r>
    </w:tbl>
    <w:p>
      <w:pPr>
        <w:ind w:left="820" w:hanging="164"/>
        <w:spacing w:after="0" w:line="227" w:lineRule="auto"/>
        <w:tabs>
          <w:tab w:leader="none" w:pos="820" w:val="left"/>
        </w:tabs>
        <w:numPr>
          <w:ilvl w:val="0"/>
          <w:numId w:val="45"/>
        </w:numPr>
        <w:rPr>
          <w:rFonts w:ascii="Arial" w:cs="Arial" w:eastAsia="Arial" w:hAnsi="Arial"/>
          <w:sz w:val="20"/>
          <w:szCs w:val="20"/>
          <w:color w:val="auto"/>
          <w:vertAlign w:val="superscript"/>
        </w:rPr>
      </w:pPr>
      <w:r>
        <w:rPr>
          <w:rFonts w:ascii="Arial" w:cs="Arial" w:eastAsia="Arial" w:hAnsi="Arial"/>
          <w:sz w:val="12"/>
          <w:szCs w:val="12"/>
          <w:color w:val="auto"/>
        </w:rPr>
        <w:t>Certain investments that are measured at fair value using the net asset value per share (or its equivalent) practical expedient have not been categorized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-128905</wp:posOffset>
            </wp:positionV>
            <wp:extent cx="37903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3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table below presents the activity of our assets measured at fair value on a recurring basis using significant unobservable inputs (Level 3):</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360" w:type="dxa"/>
            <w:vAlign w:val="bottom"/>
          </w:tcPr>
          <w:p>
            <w:pPr>
              <w:jc w:val="right"/>
              <w:ind w:right="553"/>
              <w:spacing w:after="0"/>
              <w:rPr>
                <w:sz w:val="20"/>
                <w:szCs w:val="20"/>
                <w:color w:val="auto"/>
              </w:rPr>
            </w:pPr>
            <w:r>
              <w:rPr>
                <w:rFonts w:ascii="Arial" w:cs="Arial" w:eastAsia="Arial" w:hAnsi="Arial"/>
                <w:sz w:val="14"/>
                <w:szCs w:val="14"/>
                <w:b w:val="1"/>
                <w:bCs w:val="1"/>
                <w:color w:val="auto"/>
              </w:rPr>
              <w:t>Private</w:t>
            </w:r>
          </w:p>
        </w:tc>
        <w:tc>
          <w:tcPr>
            <w:tcW w:w="240" w:type="dxa"/>
            <w:vAlign w:val="bottom"/>
          </w:tcPr>
          <w:p>
            <w:pPr>
              <w:spacing w:after="0"/>
              <w:rPr>
                <w:sz w:val="14"/>
                <w:szCs w:val="14"/>
                <w:color w:val="auto"/>
              </w:rPr>
            </w:pPr>
          </w:p>
        </w:tc>
        <w:tc>
          <w:tcPr>
            <w:tcW w:w="13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Fixed income</w:t>
            </w:r>
          </w:p>
        </w:tc>
        <w:tc>
          <w:tcPr>
            <w:tcW w:w="280" w:type="dxa"/>
            <w:vAlign w:val="bottom"/>
          </w:tcPr>
          <w:p>
            <w:pPr>
              <w:spacing w:after="0"/>
              <w:rPr>
                <w:sz w:val="14"/>
                <w:szCs w:val="14"/>
                <w:color w:val="auto"/>
              </w:rPr>
            </w:pP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 Level 3</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Equities</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Unrealized gain</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Unrealized gain</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2016:</w:t>
      </w: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8"/>
              </w:rPr>
              <w:t>Fair value estimated using Net Asset Value per Share</w:t>
            </w:r>
          </w:p>
        </w:tc>
        <w:tc>
          <w:tcPr>
            <w:tcW w:w="2180" w:type="dxa"/>
            <w:vAlign w:val="bottom"/>
            <w:tcBorders>
              <w:bottom w:val="single" w:sz="8" w:color="auto"/>
            </w:tcBorders>
          </w:tcPr>
          <w:p>
            <w:pPr>
              <w:spacing w:after="0"/>
              <w:rPr>
                <w:sz w:val="16"/>
                <w:szCs w:val="16"/>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Unfunded Commitments</w:t>
            </w: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Redemption Frequency</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Redemption Notice Period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1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tcPr>
          <w:p>
            <w:pPr>
              <w:ind w:left="2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186.2</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Equities</w:t>
            </w:r>
            <w:r>
              <w:rPr>
                <w:rFonts w:ascii="Arial" w:cs="Arial" w:eastAsia="Arial" w:hAnsi="Arial"/>
                <w:sz w:val="25"/>
                <w:szCs w:val="25"/>
                <w:color w:val="auto"/>
                <w:vertAlign w:val="superscript"/>
              </w:rPr>
              <w:t>(c)</w:t>
            </w:r>
          </w:p>
        </w:tc>
        <w:tc>
          <w:tcPr>
            <w:tcW w:w="4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Monthly</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days</w:t>
            </w:r>
          </w:p>
        </w:tc>
      </w:tr>
      <w:tr>
        <w:trPr>
          <w:trHeight w:val="270"/>
        </w:trPr>
        <w:tc>
          <w:tcPr>
            <w:tcW w:w="2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Absolute return</w:t>
            </w:r>
            <w:r>
              <w:rPr>
                <w:rFonts w:ascii="Arial" w:cs="Arial" w:eastAsia="Arial" w:hAnsi="Arial"/>
                <w:sz w:val="25"/>
                <w:szCs w:val="25"/>
                <w:color w:val="auto"/>
                <w:vertAlign w:val="superscript"/>
              </w:rPr>
              <w:t>(d)</w:t>
            </w: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123.8</w:t>
            </w:r>
          </w:p>
        </w:tc>
        <w:tc>
          <w:tcPr>
            <w:tcW w:w="18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Monthly, Quarterly</w:t>
            </w: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2-45 days</w:t>
            </w:r>
          </w:p>
        </w:tc>
      </w:tr>
      <w:tr>
        <w:trPr>
          <w:trHeight w:val="25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496.3</w:t>
            </w: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r>
    </w:tbl>
    <w:p>
      <w:pPr>
        <w:spacing w:after="0" w:line="8" w:lineRule="exact"/>
        <w:rPr>
          <w:sz w:val="20"/>
          <w:szCs w:val="20"/>
          <w:color w:val="auto"/>
        </w:rPr>
      </w:pPr>
    </w:p>
    <w:p>
      <w:pPr>
        <w:ind w:left="500" w:hanging="26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-414655</wp:posOffset>
            </wp:positionV>
            <wp:extent cx="1311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2015:</w:t>
      </w: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8"/>
              </w:rPr>
              <w:t>Fair value estimated using Net Asset Value per Share</w:t>
            </w:r>
          </w:p>
        </w:tc>
        <w:tc>
          <w:tcPr>
            <w:tcW w:w="2180" w:type="dxa"/>
            <w:vAlign w:val="bottom"/>
            <w:tcBorders>
              <w:bottom w:val="single" w:sz="8" w:color="auto"/>
            </w:tcBorders>
          </w:tcPr>
          <w:p>
            <w:pPr>
              <w:spacing w:after="0"/>
              <w:rPr>
                <w:sz w:val="16"/>
                <w:szCs w:val="16"/>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Unfunded Commitments</w:t>
            </w: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Redemption Frequency</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Redemption Notice Period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1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tcPr>
          <w:p>
            <w:pPr>
              <w:ind w:left="2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193.1</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w:t>
            </w: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Equities</w:t>
            </w:r>
            <w:r>
              <w:rPr>
                <w:rFonts w:ascii="Arial" w:cs="Arial" w:eastAsia="Arial" w:hAnsi="Arial"/>
                <w:sz w:val="25"/>
                <w:szCs w:val="25"/>
                <w:color w:val="auto"/>
                <w:vertAlign w:val="superscript"/>
              </w:rPr>
              <w:t>(c)</w:t>
            </w:r>
          </w:p>
        </w:tc>
        <w:tc>
          <w:tcPr>
            <w:tcW w:w="4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Monthly, Quarterly</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days</w:t>
            </w:r>
          </w:p>
        </w:tc>
      </w:tr>
      <w:tr>
        <w:trPr>
          <w:trHeight w:val="270"/>
        </w:trPr>
        <w:tc>
          <w:tcPr>
            <w:tcW w:w="2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Absolute return</w:t>
            </w:r>
            <w:r>
              <w:rPr>
                <w:rFonts w:ascii="Arial" w:cs="Arial" w:eastAsia="Arial" w:hAnsi="Arial"/>
                <w:sz w:val="25"/>
                <w:szCs w:val="25"/>
                <w:color w:val="auto"/>
                <w:vertAlign w:val="superscript"/>
              </w:rPr>
              <w:t>(d)</w:t>
            </w: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109.8</w:t>
            </w:r>
          </w:p>
        </w:tc>
        <w:tc>
          <w:tcPr>
            <w:tcW w:w="18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Monthly, Quarterly</w:t>
            </w: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2-60 days</w:t>
            </w:r>
          </w:p>
        </w:tc>
      </w:tr>
      <w:tr>
        <w:trPr>
          <w:trHeight w:val="25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497.4</w:t>
            </w: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r>
    </w:tbl>
    <w:p>
      <w:pPr>
        <w:spacing w:after="0" w:line="8" w:lineRule="exact"/>
        <w:rPr>
          <w:sz w:val="20"/>
          <w:szCs w:val="20"/>
          <w:color w:val="auto"/>
        </w:rPr>
      </w:pPr>
    </w:p>
    <w:p>
      <w:pPr>
        <w:ind w:left="500" w:hanging="262"/>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-414655</wp:posOffset>
            </wp:positionV>
            <wp:extent cx="1311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the investment strategy for private equities consists of direct investments or investments through limited partnerships with managers who purchase interests in non-public companies. The typical investment strategies of the fixed income and equity funds is based on fundamental and quantitative analysis and consists of long and hedged strategies. The general strategy of the absolute return funds consists of alternative investment techniques, including derivative instruments and other unconventional assets, to achieve an absolute return rate.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YRC Freight, Holland, Reddaway, and New Penn contribute to various separate multi-employer health, welfare and pension plans for employees that are covered by our collective bargaining agreements (approximately 78% of total Company employees). The collective bargaining agreements determine the amounts of these contributions. The health and welfare plans provide medical related benefits to active employees and retirees. The pension plans provide defined benefits to retired participants. We recognize as net pension cost within ‘Salaries, wages and employee benefits’ the contractually required contributions for the period and recognize as a liability any contributions due and unpaid at period end. We do not directly manage multi-employer plans. The trusts covering these plans are generally managed by trustees, half of whom the unions appoint and half of whom various contributing employers appoint.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expensed the following amounts related to these plans for the years ended December 31:</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and welfare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Pension</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90.3</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w:t>
            </w:r>
          </w:p>
        </w:tc>
        <w:tc>
          <w:tcPr>
            <w:tcW w:w="4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93.6</w:t>
            </w:r>
          </w:p>
        </w:tc>
      </w:tr>
      <w:tr>
        <w:trPr>
          <w:trHeight w:val="27"/>
        </w:trPr>
        <w:tc>
          <w:tcPr>
            <w:tcW w:w="6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509.8</w:t>
            </w:r>
          </w:p>
        </w:tc>
      </w:tr>
      <w:tr>
        <w:trPr>
          <w:trHeight w:val="20"/>
        </w:trPr>
        <w:tc>
          <w:tcPr>
            <w:tcW w:w="6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the third quarter of 2009, we deferred payment of certain of our contributions to multi-employer pension funds. These deferred payments have been recognized as an operating expense and the liability was recorded as deferred contribution obligations. Beginning in the third quarter of 2009 through May 2011, most of our collective bargaining agreements provided for a temporary cessation of pension contributions so no expense or liability was required to be recognized for that period. In accordance with modifications to our collective bargaining agreements, we agreed to resume making pension contributions effective June 1, 2011 at 25.0% of the contribution rate in effect as of July 1, 2009.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related to our participation in individually significant multi-employer pension plans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0" w:type="dxa"/>
            <w:vAlign w:val="bottom"/>
            <w:gridSpan w:val="2"/>
            <w:vMerge w:val="restart"/>
          </w:tcPr>
          <w:p>
            <w:pPr>
              <w:jc w:val="right"/>
              <w:ind w:right="294"/>
              <w:spacing w:after="0"/>
              <w:rPr>
                <w:sz w:val="20"/>
                <w:szCs w:val="20"/>
                <w:color w:val="auto"/>
              </w:rPr>
            </w:pPr>
            <w:r>
              <w:rPr>
                <w:rFonts w:ascii="Arial" w:cs="Arial" w:eastAsia="Arial" w:hAnsi="Arial"/>
                <w:sz w:val="14"/>
                <w:szCs w:val="14"/>
                <w:b w:val="1"/>
                <w:bCs w:val="1"/>
                <w:color w:val="auto"/>
                <w:w w:val="99"/>
              </w:rPr>
              <w:t>Pension Protection Zone Status</w:t>
            </w:r>
            <w:r>
              <w:rPr>
                <w:rFonts w:ascii="Arial" w:cs="Arial" w:eastAsia="Arial" w:hAnsi="Arial"/>
                <w:sz w:val="8"/>
                <w:szCs w:val="8"/>
                <w:b w:val="1"/>
                <w:bCs w:val="1"/>
                <w:color w:val="auto"/>
                <w:w w:val="99"/>
              </w:rPr>
              <w:t>(b)</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6"/>
              </w:rPr>
              <w:t>Funding Improvement</w:t>
            </w:r>
          </w:p>
        </w:tc>
        <w:tc>
          <w:tcPr>
            <w:tcW w:w="1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Expiration Date of</w:t>
            </w: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4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or</w:t>
            </w:r>
          </w:p>
        </w:tc>
        <w:tc>
          <w:tcPr>
            <w:tcW w:w="13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4"/>
              </w:rPr>
              <w:t>Employer Surcharge</w:t>
            </w:r>
          </w:p>
        </w:tc>
        <w:tc>
          <w:tcPr>
            <w:tcW w:w="14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5"/>
              </w:rPr>
              <w:t>Collective-Bargaining</w:t>
            </w:r>
          </w:p>
        </w:tc>
        <w:tc>
          <w:tcPr>
            <w:tcW w:w="0" w:type="dxa"/>
            <w:vAlign w:val="bottom"/>
          </w:tcPr>
          <w:p>
            <w:pPr>
              <w:spacing w:after="0"/>
              <w:rPr>
                <w:sz w:val="1"/>
                <w:szCs w:val="1"/>
                <w:color w:val="auto"/>
              </w:rPr>
            </w:pPr>
          </w:p>
        </w:tc>
      </w:tr>
      <w:tr>
        <w:trPr>
          <w:trHeight w:val="20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Pension Fund</w:t>
            </w:r>
            <w:r>
              <w:rPr>
                <w:rFonts w:ascii="Arial" w:cs="Arial" w:eastAsia="Arial" w:hAnsi="Arial"/>
                <w:sz w:val="8"/>
                <w:szCs w:val="8"/>
                <w:b w:val="1"/>
                <w:bCs w:val="1"/>
                <w:color w:val="auto"/>
              </w:rPr>
              <w:t>(a)</w:t>
            </w:r>
          </w:p>
        </w:tc>
        <w:tc>
          <w:tcPr>
            <w:tcW w:w="16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EIN Number</w:t>
            </w: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2016</w:t>
            </w: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Rehabilitation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Imposed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States, Southeast and</w:t>
            </w:r>
          </w:p>
        </w:tc>
        <w:tc>
          <w:tcPr>
            <w:tcW w:w="1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Critical and</w:t>
            </w: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Areas Pension Fund</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36-6044243</w:t>
            </w:r>
          </w:p>
        </w:tc>
        <w:tc>
          <w:tcPr>
            <w:tcW w:w="14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Declining</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w w:val="99"/>
              </w:rPr>
              <w:t>Teamsters National 401(k) Savings</w:t>
            </w: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40" w:type="dxa"/>
            <w:vAlign w:val="bottom"/>
          </w:tcPr>
          <w:p>
            <w:pPr>
              <w:ind w:left="20"/>
              <w:spacing w:after="0" w:line="257" w:lineRule="exact"/>
              <w:rPr>
                <w:sz w:val="20"/>
                <w:szCs w:val="20"/>
                <w:color w:val="auto"/>
              </w:rPr>
            </w:pPr>
            <w:r>
              <w:rPr>
                <w:rFonts w:ascii="Arial" w:cs="Arial" w:eastAsia="Arial" w:hAnsi="Arial"/>
                <w:sz w:val="18"/>
                <w:szCs w:val="18"/>
                <w:color w:val="auto"/>
              </w:rPr>
              <w:t>Plan</w:t>
            </w:r>
            <w:r>
              <w:rPr>
                <w:rFonts w:ascii="Arial" w:cs="Arial" w:eastAsia="Arial" w:hAnsi="Arial"/>
                <w:sz w:val="25"/>
                <w:szCs w:val="25"/>
                <w:color w:val="auto"/>
                <w:vertAlign w:val="superscript"/>
              </w:rPr>
              <w:t>(c)</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52-1967784</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N/A</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Road Carriers Local 707 Pension</w:t>
            </w:r>
          </w:p>
        </w:tc>
        <w:tc>
          <w:tcPr>
            <w:tcW w:w="1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Critical and</w:t>
            </w: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51-6106510</w:t>
            </w:r>
          </w:p>
        </w:tc>
        <w:tc>
          <w:tcPr>
            <w:tcW w:w="14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Declining</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w w:val="98"/>
              </w:rPr>
              <w:t>Teamsters Local 641 Pension Fund</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22-6220288</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Critical</w:t>
            </w:r>
          </w:p>
        </w:tc>
        <w:tc>
          <w:tcPr>
            <w:tcW w:w="1120" w:type="dxa"/>
            <w:vAlign w:val="bottom"/>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bl>
    <w:p>
      <w:pPr>
        <w:ind w:left="260" w:hanging="238"/>
        <w:spacing w:after="0" w:line="181" w:lineRule="auto"/>
        <w:tabs>
          <w:tab w:leader="none" w:pos="260" w:val="left"/>
        </w:tabs>
        <w:numPr>
          <w:ilvl w:val="0"/>
          <w:numId w:val="48"/>
        </w:numPr>
        <w:rPr>
          <w:rFonts w:ascii="Arial" w:cs="Arial" w:eastAsia="Arial" w:hAnsi="Arial"/>
          <w:sz w:val="25"/>
          <w:szCs w:val="25"/>
          <w:color w:val="auto"/>
          <w:vertAlign w:val="superscript"/>
        </w:rPr>
      </w:pPr>
      <w:r>
        <w:rPr>
          <w:rFonts w:ascii="Arial" w:cs="Arial" w:eastAsia="Arial" w:hAnsi="Arial"/>
          <w:sz w:val="14"/>
          <w:szCs w:val="14"/>
          <w:color w:val="auto"/>
        </w:rPr>
        <w:t>The determination of individually significant multi-employer plans is based on the relative contributions to the plans over the periods presented as well as other factors.</w:t>
      </w:r>
    </w:p>
    <w:p>
      <w:pPr>
        <w:spacing w:after="0" w:line="22" w:lineRule="exact"/>
        <w:rPr>
          <w:sz w:val="20"/>
          <w:szCs w:val="20"/>
          <w:color w:val="auto"/>
        </w:rPr>
      </w:pPr>
    </w:p>
    <w:p>
      <w:pPr>
        <w:jc w:val="both"/>
        <w:ind w:left="180" w:hanging="148"/>
        <w:spacing w:after="0" w:line="277" w:lineRule="auto"/>
        <w:rPr>
          <w:sz w:val="20"/>
          <w:szCs w:val="20"/>
          <w:color w:val="auto"/>
        </w:rPr>
      </w:pPr>
      <w:r>
        <w:rPr>
          <w:rFonts w:ascii="Arial" w:cs="Arial" w:eastAsia="Arial" w:hAnsi="Arial"/>
          <w:sz w:val="22"/>
          <w:szCs w:val="22"/>
          <w:color w:val="auto"/>
          <w:vertAlign w:val="superscript"/>
        </w:rPr>
        <w:t>(b)</w:t>
      </w:r>
      <w:r>
        <w:rPr>
          <w:rFonts w:ascii="Arial" w:cs="Arial" w:eastAsia="Arial" w:hAnsi="Arial"/>
          <w:sz w:val="13"/>
          <w:szCs w:val="13"/>
          <w:color w:val="auto"/>
        </w:rPr>
        <w:t>The Pension Protection Zone Status is based on information that the Company obtained from the plans’ Forms 5500. Unless otherwise noted, the most recent Pension Protection Act (PPA) zone status available for 2016 and 2015 is for the plan’s year-end during calendar years 2015 and 2014, respectively. Among other factors, plans in the critical or critical and declining zone are generally less than 65 percent funded, plans in the endangered zone are less than 80 percent funded, and plans in the green zone are at least 80 percent funded.</w:t>
      </w:r>
    </w:p>
    <w:p>
      <w:pPr>
        <w:spacing w:after="0" w:line="24" w:lineRule="exact"/>
        <w:rPr>
          <w:sz w:val="20"/>
          <w:szCs w:val="20"/>
          <w:color w:val="auto"/>
        </w:rPr>
      </w:pPr>
    </w:p>
    <w:p>
      <w:pPr>
        <w:ind w:left="180" w:hanging="158"/>
        <w:spacing w:after="0" w:line="292" w:lineRule="auto"/>
        <w:tabs>
          <w:tab w:leader="none" w:pos="180" w:val="left"/>
        </w:tabs>
        <w:numPr>
          <w:ilvl w:val="0"/>
          <w:numId w:val="49"/>
        </w:numPr>
        <w:rPr>
          <w:rFonts w:ascii="Arial" w:cs="Arial" w:eastAsia="Arial" w:hAnsi="Arial"/>
          <w:sz w:val="20"/>
          <w:szCs w:val="20"/>
          <w:color w:val="auto"/>
          <w:vertAlign w:val="superscript"/>
        </w:rPr>
      </w:pPr>
      <w:r>
        <w:rPr>
          <w:rFonts w:ascii="Arial" w:cs="Arial" w:eastAsia="Arial" w:hAnsi="Arial"/>
          <w:sz w:val="12"/>
          <w:szCs w:val="12"/>
          <w:color w:val="auto"/>
        </w:rPr>
        <w:t>The policies of the Western Conference of Teamsters Pension Trust precluded the Company from reentering the plan on June 1, 2011. The plan did not assess a withdrawal liability and has not done so since June 1, 2011. Contributions related to the employees previously covered by this plan are now being made to the Teamsters National 401(k) Plan.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Worldwide was listed in the Central States, Road Carriers Local 707 Pension Fund, Central Pennsylvania Teamsters Defined Benefit Plan and Teamsters Local 641 Pension Fund’s Forms 5500 as providing more than 5 percent of the total contributions for 2015 and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30" w:right="239" w:bottom="1440" w:gutter="0" w:footer="0" w:header="0"/>
        </w:sectPr>
      </w:pPr>
    </w:p>
    <w:bookmarkStart w:id="63" w:name="page64"/>
    <w:bookmarkEnd w:id="63"/>
    <w:p>
      <w:pPr>
        <w:jc w:val="both"/>
        <w:spacing w:after="0" w:line="308" w:lineRule="auto"/>
        <w:rPr>
          <w:sz w:val="20"/>
          <w:szCs w:val="20"/>
          <w:color w:val="auto"/>
        </w:rPr>
      </w:pPr>
      <w:r>
        <w:rPr>
          <w:rFonts w:ascii="Arial" w:cs="Arial" w:eastAsia="Arial" w:hAnsi="Arial"/>
          <w:sz w:val="17"/>
          <w:szCs w:val="17"/>
          <w:color w:val="auto"/>
        </w:rPr>
        <w:t>We contributed a total of $89.1 million, $89.4 million and $91.6 million to the multi-employer pension funds for the years ended December 31, 2016, 2015 and 2014. The following table provides the pension amounts contributed by fund for those funds that are considered to be individually significant:</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Central States, Southeast and Southwest Areas Pension Plan</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Teamsters National 401(k) Savings Plan</w:t>
            </w:r>
          </w:p>
        </w:tc>
        <w:tc>
          <w:tcPr>
            <w:tcW w:w="1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13.1</w:t>
            </w:r>
          </w:p>
        </w:tc>
      </w:tr>
      <w:tr>
        <w:trPr>
          <w:trHeight w:val="27"/>
        </w:trPr>
        <w:tc>
          <w:tcPr>
            <w:tcW w:w="5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Road Carriers Local 707 Pension Fund</w:t>
            </w:r>
          </w:p>
        </w:tc>
        <w:tc>
          <w:tcPr>
            <w:tcW w:w="1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Teamsters Local 641 Pension Fund</w:t>
            </w:r>
          </w:p>
        </w:tc>
        <w:tc>
          <w:tcPr>
            <w:tcW w:w="1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Pension Protection Act became law and modified both the Code as it applies to multi-employer pension plans and the Employment Retirement Income Security Act of 1974 (as amended, “ERISA”). The Code and ERISA (in each case, as so modified) and related regulations establish minimum funding requirements for multi-employer pension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MPRA became law which modified the ability to suspend accrued benefits of plans facing insolvency by adding a new zone status of Critical and Declining.</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any of our multi-employer pension plans fails to meet minimum funding requirements, meet a required funding improvement or rehabilitation plan that the Pension Protection Act may require for certain of our underfunded plans, obtain from the IRS certain changes to or a waiver of the requirements in how the applicable plan calculates its funding levels, or reduce pension benefits to a level where the requirements are met then we could be required to make additional contributions to the pension plan. If any of our multi-employer pension plans enters critical status or worse and our contributions are not sufficient to satisfy any rehabilitation plan schedule, the Pension Protection Act could require us to make additional surcharge contributions to the multi-employer pension plan in the amount of five to ten percent of the existing contributions required by our labor agreement for the remaining term of the labor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and 2015, the Central States, Southeast and Southwest Pension Plan and Road Carriers Local 707 Pension Fund filed an application under MPRA with the Department of Treasury requesting the approval of a benefit suspension plan, which was denied. In 2016 the New York State Teamsters Conference Pension and Retirement Fund filed an application which is pending approval. The plan will have to be evaluated and approved by the Department of Treasury in concert with Department of Labor and Pension Benefit Guaranty Corporation (“PBGC”) before being submitted to a vote of participants. If ultimately approved, the plan would require future employer contribution increases to the plan.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beginning in the third quarter of 2009 and continuing through May 2011 will give rise to these excise taxes as the underlying employer contributions were not required for that period.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requirement to materially increase contributions beyond our contractually agreed rate or the imposition of an excise tax on us could have a material adverse impact on the financial results and liquidity of YRC Worldwide.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sponsor the YRC Worldwide Inc. 401(k) Plan and the Reddaway Hourly 401(k) Plan, which are defined contribution plans primarily for employees that our collective bargaining agreements do not cover. The plans permit participants to make contributions to the plans and permit the employer of participants to make contributions on behalf of the participants. Additionally, the Reddaway Hourly 401(k) Plan allows for a non-elective employer contribution. Including non-elective employer contributions, total employer contributions were $7.2 million in 2016, $4.7 million in 2015 and $2.1 million in 2014. Our employees covered under collective bargaining agreements may also participate in union-sponsored 401(k) plans.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3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Performance Incentive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annual performance incentive awards and more frequent sales and operations incentive awards to certain non-union employees, which are based primarily on actual operating results achieved compared to targeted operating results or sales and operations targets and are paid in cash. Operating income in 2016, 2015 and 2014 included performance and sales incentive expense for non-union employees of $11.7 million, $13.2 million and $13.9 million, respectively. We generally pay annual performance incentive awards in the first quarter of the following year and sales performance incentive awards on a monthly basis.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provide short-term performance based cash compensation to key management personnel. During the years ended December 31, 2016, 2015 and 2014, compensation expense related to these awards was $2.1 million, $14.1 million and $2.9 million, respectively. Refer to the “Stock Compensation Plans” footnote for an overview of long-term performance based equity compensation, and related compensation expense, associated with such awards.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Additionally, operating income in 2015 included a profit sharing bonus for eligible union employees at the Regional Transportation segment of $5.5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such bonus was paid for the years ended December 31, 2016 or 2014.</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December 31, 2016 and December 31, 2015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2016 (in millions)</w:t>
            </w:r>
          </w:p>
        </w:tc>
        <w:tc>
          <w:tcPr>
            <w:tcW w:w="180" w:type="dxa"/>
            <w:vAlign w:val="bottom"/>
          </w:tcPr>
          <w:p>
            <w:pPr>
              <w:spacing w:after="0"/>
              <w:rPr>
                <w:sz w:val="14"/>
                <w:szCs w:val="14"/>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0"/>
              </w:rPr>
              <w:t>Discount</w:t>
            </w:r>
          </w:p>
        </w:tc>
        <w:tc>
          <w:tcPr>
            <w:tcW w:w="120" w:type="dxa"/>
            <w:vAlign w:val="bottom"/>
            <w:vMerge w:val="restart"/>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Debt Issuance</w:t>
            </w:r>
          </w:p>
        </w:tc>
        <w:tc>
          <w:tcPr>
            <w:tcW w:w="24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Stated</w:t>
            </w:r>
          </w:p>
        </w:tc>
        <w:tc>
          <w:tcPr>
            <w:tcW w:w="3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ind w:right="102"/>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73.2</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268.6</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9.0-18.2%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2015 (in millions)</w:t>
            </w:r>
          </w:p>
        </w:tc>
        <w:tc>
          <w:tcPr>
            <w:tcW w:w="180" w:type="dxa"/>
            <w:vAlign w:val="bottom"/>
          </w:tcPr>
          <w:p>
            <w:pPr>
              <w:spacing w:after="0"/>
              <w:rPr>
                <w:sz w:val="24"/>
                <w:szCs w:val="24"/>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Premium/</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Debt Issuance</w:t>
            </w:r>
          </w:p>
        </w:tc>
        <w:tc>
          <w:tcPr>
            <w:tcW w:w="24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Stated</w:t>
            </w:r>
          </w:p>
        </w:tc>
        <w:tc>
          <w:tcPr>
            <w:tcW w:w="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(Discount)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ABL Facility(a)</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ind w:right="102"/>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72.7</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276.3</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10.0-18.2%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1,081.9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40" w:hanging="332"/>
        <w:spacing w:after="0" w:line="273"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 of December 31, 2016 and 2015, respectively, the stated interest rate represented a variable interest rate of 1, 3 or 6-month LIBOR, with a floor of 1.0% plus a fixed margin ranging from 7.00% to 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-228600</wp:posOffset>
            </wp:positionV>
            <wp:extent cx="2735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we had two primary credit facilities that we utilized to support our liquidity needs: a $700 million Term Loan and a $450 million ABL Facility. The ABL Facility is used to support our outstanding letters of credit commitments. We have set forth a brief description of our two primary credit facilities and our other financing arrangements in place at December 31, 2016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$700 Million First Lien 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13, 2014, we entered into and borrowed in full a $700 million term loan credit agreement (the “Term Loan Agreement”), less a 1% discount, from a syndicate of banks and other financial institutions arranged by Credit Suisse Securities (USA) and Citizens Bank N.A. (formerly known as RBS Citizens, N.A.). No amounts under this Term Loan, once repaid, may be reborrowed. On September 25, 2014, the Company entered into Amendment No. 1 to its Term Loan Agreement, which amended the Term Loan to, among other things, adjust the maximum permitted total leverage ratio through December 31, 2016 and increase the applicable interest rate (subject to the exceptions discussed below) over the same period. On January 31, 2017, the Company entered into Amendment No. 3 to its Term Loan Agreement, which adjusted the maximum permitted total leverage ratio through December 31, 2018 and increased the applicable interest rate, among other things.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Term Loan requires quarterly principal payments, with remaining amounts outstanding due upon the maturity date of February 13, 2019. Borrowings under the Term Loan can be repaid in whole or in part at any time, without penalty (other than a 1% premium in connection with a repricing transaction within six months of the effective date of Amendment No. 3), subject to required notice periods and compliance with minimum prepayment amounts. As amended, the Term Loan allows for the election of interest at either the applicable LIBOR (subject to a floor of 1.00%), plus a margin of 7.50% or an alternative base rate (as defined in the Term Loan Agreement) plus a margin of 6.50%. The Term Loan provides for an uncommitted incremental facility of up to $250 million, which may be used subject to certain financial covenant requirements and satisfaction of other customary conditions.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is secured by a perfected first priority security interest in (subject to permitted liens) substantially all assets of the Company and certain domestic subsidiaries, other than (a) accounts receivable, cash, deposit accounts and other assets related to accounts receivable, which are subject to a second priority interest (subject to permitted liens), and (b) certain owned real property securing the obligations under the Second A&amp;R CDA (subject to permitted liens) (the “CDA Collateral”).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contains conditions, representations and warranties, events of default, and indemnification provisions that are customary for financings of this type, including, but not limited to, mandatory prepayment obligations, a maximum total leverage ratio covenant, limitations on incurrence of debt, investments, capital expenditures, liens on assets, certain sale and leaseback transactions, transactions with affiliates, mergers, consolidations, purchases and sales of assets, and restricted payments.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on January 31, 2017, that, among other things, restricts certain capital expenditures and requires us to maintain a maximum total leverage ratio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4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 Total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vMerge w:val="continue"/>
          </w:tcPr>
          <w:p>
            <w:pPr>
              <w:spacing w:after="0"/>
              <w:rPr>
                <w:sz w:val="16"/>
                <w:szCs w:val="16"/>
                <w:color w:val="auto"/>
              </w:rPr>
            </w:pPr>
          </w:p>
        </w:tc>
        <w:tc>
          <w:tcPr>
            <w:tcW w:w="4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Leverage Ratio    Four Consecutive Fiscal Quarters Ending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3.50 to 1.00   March 31, 2018</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2017</w:t>
            </w:r>
          </w:p>
        </w:tc>
        <w:tc>
          <w:tcPr>
            <w:tcW w:w="1200" w:type="dxa"/>
            <w:vAlign w:val="bottom"/>
          </w:tcPr>
          <w:p>
            <w:pPr>
              <w:ind w:left="220"/>
              <w:spacing w:after="0"/>
              <w:rPr>
                <w:sz w:val="20"/>
                <w:szCs w:val="20"/>
                <w:color w:val="auto"/>
              </w:rPr>
            </w:pPr>
            <w:r>
              <w:rPr>
                <w:rFonts w:ascii="Arial" w:cs="Arial" w:eastAsia="Arial" w:hAnsi="Arial"/>
                <w:sz w:val="18"/>
                <w:szCs w:val="18"/>
                <w:color w:val="auto"/>
              </w:rPr>
              <w:t>3.85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June 30, 2018</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3.85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30, 2018</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2017</w:t>
            </w:r>
          </w:p>
        </w:tc>
        <w:tc>
          <w:tcPr>
            <w:tcW w:w="1200" w:type="dxa"/>
            <w:vAlign w:val="bottom"/>
          </w:tcPr>
          <w:p>
            <w:pPr>
              <w:ind w:left="220"/>
              <w:spacing w:after="0"/>
              <w:rPr>
                <w:sz w:val="20"/>
                <w:szCs w:val="20"/>
                <w:color w:val="auto"/>
              </w:rPr>
            </w:pPr>
            <w:r>
              <w:rPr>
                <w:rFonts w:ascii="Arial" w:cs="Arial" w:eastAsia="Arial" w:hAnsi="Arial"/>
                <w:sz w:val="18"/>
                <w:szCs w:val="18"/>
                <w:color w:val="auto"/>
              </w:rPr>
              <w:t>3.75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3.50 to 1.00</w:t>
            </w:r>
          </w:p>
        </w:tc>
        <w:tc>
          <w:tcPr>
            <w:tcW w:w="2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union employees and gains or losses from permitted dispositions and discontinued operations. Consolidated Total Debt, as defined in our Term Loan Agreement,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the aggregate principal amount of indebtedness outstanding. Our total leverage ratio for the four quarters ending December 31, 2016 was 3.40 to 1.00.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13, 2014, we entered into our $450 million ABL Facility from a syndicate of banks arranged by Citizens Bank N.A. (formerly known as RBS Citizens, N.A.) (the “ABL Agent”), Merrill Lynch, Pierce, Fenner &amp; Smith and CIT Finance LLC. The ABL Facility terminates on February 13, 2019. YRC Worldwide and our subsidiaries, YRC Freight, Reddaway, Holland and New Penn are borrowers under the ABL Facility, and certain of the Company’s domestic subsidiaries are guarantors thereunder. The ABL Facility matures on February 13, 2019. On June 28, 2016, the Company entered into Amendment No. 2 to the ABL Facility, which extends the maturity from February 13, 2019 to June 28, 2021, so long as 90% of the Term Loan under the Term Loan Agreement is refinanced, replaced or extended with a maturity date of June 28, 2021 or later.</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Availability under the ABL Facility is derived by reducing the amount that may be advanced against eligible receivables plus eligible borrowing base cash by certain reserves imposed by the ABL Agent and our outstanding letters of credit and revolving loans. Eligible borrowing base cash is cash that is deposited from time to time into a segregated restricted account and is included in “Restricted amounts held in escrow” in the accompanying consolidated balance sheet. The ABL Facility provides for a $100 million uncommitted accordion to increase the revolving commitment in the future. For the years ended December 31, 2016 and 2015, we had $357.2 million and $362.0 million of outstanding letters of credit, respectively, and no outstanding loans.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option, borrowings under the ABL Facility bear interest at either: (i) the applicable LIBOR rate plus 1.75%, as amended, or (ii) the base rate (as defined in the ABL Facility) plus 0.75%, as amended.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Letter of credit fees equal to the applicable LIBOR margin in effect (1.75% as amended, formerly ranging from 2.00% to 2.50%) are charged quarterly in arrears on the average daily stated amount of all letters of credit outstanding during the quarter. Unused line fees are charged quarterly in arrears (such unused line fee percentage is equal to 0.375% per annum if the average revolver usage is less than 50% or 0.25% per annum if the average revolver usage is greater than 50%.)</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ABL Facility is secured by a perfected first priority security interest (subject to permitted liens) in accounts receivable, cash, deposit accounts and other assets related to accounts receivable of the Company and the other loan parties and an additional second priority security interest (subject to permitted liens) in substantially all remaining assets of the borrowers and the guarantors other than the CDA Collateral.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contains conditions, representations and warranties, events of default and indemnification provisions that are customary for financings of this type, including, but not limited to, a springing minimum fixed charge coverage ratio covenant, borrowing base reporting, limitations on incurrence of debt, investments, capital expenditures, liens on assets, certain sale and leaseback transactions, transactions with affiliates, mergers, consolidations, purchases and sales of assets, and restricted payments. Certain provisions relating to investments, restricted payments and capital expenditures are relaxed upon meeting specified payment conditions or debt repayment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Contribution Deferral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subsidiaries are parties to the Amended and Restated Contribution Deferral Agreement (the “A&amp;R CDA”), which was further amended and restated effective January 31, 2014 (the “Second A&amp;R CDA”), with certain multiemployer pension funds named therein (collectively, the “Funds”) pursuant to which we are permitted to continue to defer pension payments and deferred interest owed to such Funds as of July 22, 2011 (each, “Deferred Pension Payments” and “Deferred Interest”). There is no mandatory amortization prior to that time. The Deferred Pension Payments and Deferred Interest (each as defined in the A&amp;R CDA) bear interest at a rate as set forth in the Second A&amp;R CDA. The Second A&amp;R CDA, among other things, extended the maturity of deferred pension payments and deferred interest from March 31, 2015 to December 31, 2019. Under the Second A&amp;R CDA, the Funds maintained their first lien on existing first priority collateral.</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terms of the collective bargaining agreement with the IBT, the Company’s subsidiaries began making contributions to the Funds for the month beginning June 1, 2011 at the rate of 25% of the contribution rate in effect on July 1, 2009. However, legislative changes to current law or other satisfactory action or arrangements are required to enable certain of the Funds (based on their funded status) to accept contributions at a reduced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Second A&amp;R CDA are secured by a perfected first priority security interest in the CDA Collateral.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3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2014 Financing Transaction</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31, 2014, we issued 14,333,334 shares of our Common Stock and 583,334 shares of our Class A Preferred Stock pursuant to certain stock purchase agreements, dated as of December 22, 2013 (the “Stock Purchase Agreements”), for an aggregate $250.0 million in cash. We used the proceeds from these transactions to, among other things, (i) deposit with the trustee funds sufficient to repay our 6% Notes at their maturity on February 15, 2014 and (ii) repurchase approximately $90.9 million of our Series A Notes. In February 2014, the Company deposited approximately $89.6 million with the trustee to fund the redemption (including accrued interest), and thereby discharged the indenture governing the Series A Notes. The Company used the cash deposited with the trustee to redeem its Series A Notes on August 5, 2014.</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Also on January 31, 2014, certain holders of our Series B Notes exchanged their outstanding balances (including the make-whole premium and additional accrued interest through January 15, 2014) at a price of $15.00 per share, while certain other holders converted their Series B Notes to our common stock in accordance with their terms. We also amended the indenture governing our Series B Notes to eliminate substantially all of the restrictive covenants, certain events of default and other related provisions contained in the indenture and to release and discharge the liens on the collateral securing the Series B Notes.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January 31, 2014, certain of our subsidiaries, various pension funds party thereto, and Wilmington Trust Company, as agent for such pension funds, entered into the Second A&amp;R CDA, which, among other things (i) amended and restated the A&amp;R CDA, (ii) released the agent’s security interest in third priority collateral on the Collateral Release Date (as defined therein), (iii) limited the value of obligations secured by the collateral to the Secured Obligations (as defined therein) and (iv) extended the maturity of deferred pension payments and deferred interest from March 31, 2015 to December 31, 2019.</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13, 2014, we replaced our existing credit facilities with a new $450 million ABL Facility and a new $700 million Term Loan, as more fully described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We refer to transactions described above collectively as the “2014 Financing Transactions.” The table below summarizes the cash flow activity for the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Financing Transactions:</w:t>
      </w:r>
    </w:p>
    <w:p>
      <w:pPr>
        <w:spacing w:after="0" w:line="200" w:lineRule="exact"/>
        <w:rPr>
          <w:sz w:val="20"/>
          <w:szCs w:val="20"/>
          <w:color w:val="auto"/>
        </w:rPr>
      </w:pPr>
    </w:p>
    <w:p>
      <w:pPr>
        <w:spacing w:after="0" w:line="232"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4"/>
          <w:szCs w:val="14"/>
          <w:b w:val="1"/>
          <w:bCs w:val="1"/>
          <w:color w:val="auto"/>
        </w:rPr>
        <w:t>Cash Sources (in millions)</w:t>
      </w:r>
      <w:r>
        <w:rPr>
          <w:sz w:val="20"/>
          <w:szCs w:val="20"/>
          <w:color w:val="auto"/>
        </w:rPr>
        <w:tab/>
      </w:r>
      <w:r>
        <w:rPr>
          <w:rFonts w:ascii="Arial" w:cs="Arial" w:eastAsia="Arial" w:hAnsi="Arial"/>
          <w:sz w:val="12"/>
          <w:szCs w:val="12"/>
          <w:b w:val="1"/>
          <w:bCs w:val="1"/>
          <w:color w:val="auto"/>
        </w:rPr>
        <w:t>Cash Uses (in millions)</w:t>
      </w:r>
    </w:p>
    <w:p>
      <w:pPr>
        <w:sectPr>
          <w:pgSz w:w="11900" w:h="16838" w:orient="portrait"/>
          <w:cols w:equalWidth="0" w:num="1">
            <w:col w:w="11420"/>
          </w:cols>
          <w:pgMar w:left="240" w:top="747" w:right="239" w:bottom="1440" w:gutter="0" w:footer="0" w:header="0"/>
        </w:sectPr>
      </w:pP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4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Proceeds from sale of common stock</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w w:val="93"/>
              </w:rPr>
              <w:t>Cash proceeds from restricted amounts held in escrow -</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existing ABL facility</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6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4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-8255</wp:posOffset>
            </wp:positionV>
            <wp:extent cx="330200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00" cy="1803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sources</w:t>
            </w:r>
          </w:p>
        </w:tc>
        <w:tc>
          <w:tcPr>
            <w:tcW w:w="2460" w:type="dxa"/>
            <w:vAlign w:val="bottom"/>
          </w:tcPr>
          <w:p>
            <w:pPr>
              <w:jc w:val="right"/>
              <w:spacing w:after="0"/>
              <w:rPr>
                <w:sz w:val="20"/>
                <w:szCs w:val="20"/>
                <w:color w:val="auto"/>
              </w:rPr>
            </w:pPr>
            <w:r>
              <w:rPr>
                <w:rFonts w:ascii="Arial" w:cs="Arial" w:eastAsia="Arial" w:hAnsi="Arial"/>
                <w:sz w:val="18"/>
                <w:szCs w:val="18"/>
                <w:color w:val="auto"/>
              </w:rPr>
              <w:t>$   1,040.0</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Extinguish Prior ABL Facility (includes accrued interest)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w w:val="95"/>
              </w:rPr>
              <w:t>Extinguish Prior Term Loan (includes accrued interest)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299.7</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 6% Notes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w w:val="89"/>
              </w:rPr>
              <w:t>Repurchase Series A Notes (upon transaction closing and</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includes accrued interest)</w:t>
            </w: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Redeem Series A Notes (on August 5, 2014 and includes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Fees, Expenses and Original Issuance Discount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Restricted Cash to Balance Sheet</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to Balance Sheet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uses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27596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75965" cy="18034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640" w:space="200"/>
            <w:col w:w="5580"/>
          </w:cols>
          <w:pgMar w:left="240" w:top="747" w:right="239" w:bottom="1440" w:gutter="0" w:footer="0" w:header="0"/>
          <w:type w:val="continuous"/>
        </w:sectPr>
      </w:pPr>
    </w:p>
    <w:p>
      <w:pPr>
        <w:ind w:left="660" w:hanging="328"/>
        <w:spacing w:after="0"/>
        <w:tabs>
          <w:tab w:leader="none" w:pos="6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Under the terms of the ABL Facility, this amount was classified as “restricted amounts held in escrow” in the consolidated balance sheet at the closing date of the ABL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non-cash activity for the 2014 Financing Transactions:</w:t>
      </w:r>
    </w:p>
    <w:p>
      <w:pPr>
        <w:spacing w:after="0" w:line="200" w:lineRule="exact"/>
        <w:rPr>
          <w:sz w:val="20"/>
          <w:szCs w:val="20"/>
          <w:color w:val="auto"/>
        </w:rPr>
      </w:pPr>
    </w:p>
    <w:p>
      <w:pPr>
        <w:spacing w:after="0" w:line="246" w:lineRule="exact"/>
        <w:rPr>
          <w:sz w:val="20"/>
          <w:szCs w:val="20"/>
          <w:color w:val="auto"/>
        </w:rPr>
      </w:pPr>
    </w:p>
    <w:p>
      <w:pPr>
        <w:ind w:left="1660"/>
        <w:spacing w:after="0"/>
        <w:tabs>
          <w:tab w:leader="none" w:pos="5980" w:val="left"/>
        </w:tabs>
        <w:rPr>
          <w:sz w:val="20"/>
          <w:szCs w:val="20"/>
          <w:color w:val="auto"/>
        </w:rPr>
      </w:pPr>
      <w:r>
        <w:rPr>
          <w:rFonts w:ascii="Arial" w:cs="Arial" w:eastAsia="Arial" w:hAnsi="Arial"/>
          <w:sz w:val="14"/>
          <w:szCs w:val="14"/>
          <w:b w:val="1"/>
          <w:bCs w:val="1"/>
          <w:color w:val="auto"/>
        </w:rPr>
        <w:t>Non-Cash Sources (in millions)</w:t>
      </w:r>
      <w:r>
        <w:rPr>
          <w:sz w:val="20"/>
          <w:szCs w:val="20"/>
          <w:color w:val="auto"/>
        </w:rPr>
        <w:tab/>
      </w:r>
      <w:r>
        <w:rPr>
          <w:rFonts w:ascii="Arial" w:cs="Arial" w:eastAsia="Arial" w:hAnsi="Arial"/>
          <w:sz w:val="12"/>
          <w:szCs w:val="12"/>
          <w:b w:val="1"/>
          <w:bCs w:val="1"/>
          <w:color w:val="auto"/>
        </w:rPr>
        <w:t>Non-Cash Uses (in millions)</w:t>
      </w:r>
    </w:p>
    <w:p>
      <w:pPr>
        <w:sectPr>
          <w:pgSz w:w="11900" w:h="16838" w:orient="portrait"/>
          <w:cols w:equalWidth="0" w:num="1">
            <w:col w:w="11420"/>
          </w:cols>
          <w:pgMar w:left="240" w:top="747" w:right="239" w:bottom="1440" w:gutter="0" w:footer="0" w:header="0"/>
          <w:type w:val="continuous"/>
        </w:sectPr>
      </w:pPr>
    </w:p>
    <w:p>
      <w:pPr>
        <w:spacing w:after="0" w:line="25"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Exchange/conversion of Series B Notes to</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62"/>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sources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4"/>
              </w:rPr>
              <w:t>Exchange/conversion of Series B Notes to</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86"/>
        </w:trPr>
        <w:tc>
          <w:tcPr>
            <w:tcW w:w="32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uses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174.8</w:t>
            </w:r>
          </w:p>
        </w:tc>
      </w:tr>
    </w:tbl>
    <w:p>
      <w:pPr>
        <w:spacing w:after="0" w:line="200" w:lineRule="exact"/>
        <w:rPr>
          <w:sz w:val="20"/>
          <w:szCs w:val="20"/>
          <w:color w:val="auto"/>
        </w:rPr>
      </w:pPr>
    </w:p>
    <w:p>
      <w:pPr>
        <w:sectPr>
          <w:pgSz w:w="11900" w:h="16838" w:orient="portrait"/>
          <w:cols w:equalWidth="0" w:num="2">
            <w:col w:w="5780" w:space="180"/>
            <w:col w:w="5460"/>
          </w:cols>
          <w:pgMar w:left="240" w:top="747" w:right="239" w:bottom="1440" w:gutter="0" w:footer="0" w:header="0"/>
          <w:type w:val="continuous"/>
        </w:sectPr>
      </w:pPr>
    </w:p>
    <w:p>
      <w:pPr>
        <w:spacing w:after="0" w:line="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accounted for the A&amp;R CDA maturity extension as a debt modification and the remaining transactions as extinguishment of debt and issuance of new debt. We recorded a gain on extinguishment of debt of $11.2 million associated with this transaction during the year ended December 31, 2014, $16.3 million of which related to the acceleration of net premiums on our old debt, partially offset by $5.1 million of additional expense related to the fair value of the incremental shares provided to those Series B Note holders who exchanged their outstanding balances at a price of $15.00 per share. We recorded, in “interest expense” on the statements of consolidated comprehensive income (loss), $8.0 million of make-whole interest related to the Series B Notes exchanged during the year ended December 31, 2014. We paid $43.8 million of fees associated with these transactions of which $26.7 million was recorded as unamortized deferred debt costs in “other assets” in the consolidated balance sheet and will be recognized as interest expense over the term of the Term Loan and ABL Facility and $17.1 million offset the equity proceeds of our stock purchase agreements.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2014, the Company held a special meeting of stockholders at which our stockholders approved amending our Certificate of Incorporation to increase the number of authorized shares of Common Stock to 95.0 million shares and to allow an investor involved in the 2014 Financing Transactions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7"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Series B Convertible Senior Secured Notes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22, 2011, we issued $100.0 million in aggregate principal of our Series B Notes that bore interest at a stated rate of 10.0% per year and matured on March 31, 2015. Interest was payable on a semiannual basis in arrears only in-kind through the issuance of additional Series B Notes.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25, 2015, we entered into an exchange agreement with certain holders of our Series B Notes to exchange their outstanding principal and accrued interest balances totaling $17.9 million at conversion price of $18.00 per share for an aggregate 994,689 shares of Common Stock. During the year ended December 31, 2015, we recorded $0.6 million of additional expense related to the fair value of the incremental shares provide to those holders who exchanged their outstanding balances. At maturity on March 31, 2015, we repaid the holders of the remaining outstanding Series B Notes approximately $0.3 million of cash.</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the “2014 Financing Transaction</w:t>
      </w:r>
      <w:r>
        <w:rPr>
          <w:rFonts w:ascii="Arial" w:cs="Arial" w:eastAsia="Arial" w:hAnsi="Arial"/>
          <w:sz w:val="18"/>
          <w:szCs w:val="18"/>
          <w:i w:val="1"/>
          <w:iCs w:val="1"/>
          <w:color w:val="auto"/>
        </w:rPr>
        <w:t>”</w:t>
      </w:r>
      <w:r>
        <w:rPr>
          <w:rFonts w:ascii="Arial" w:cs="Arial" w:eastAsia="Arial" w:hAnsi="Arial"/>
          <w:sz w:val="18"/>
          <w:szCs w:val="18"/>
          <w:color w:val="auto"/>
        </w:rPr>
        <w:t xml:space="preserve"> section, on January 31, 2014, certain holders of our Series B Notes exchanged their outstanding balances as part of an exchange agreement. Not including the exchanges made as part of our 2014 Financing Transactions, during the year ended December 31, 2014, $1.2 million of aggregate principal amount of Series B Notes converted into 75,900 shares of our common stock. Upon conversion, we recorded $0.4 million of additional interest expense representing the $0.2 million make whole premium and $0.2 million of accelerated amortization of the discount on Series B Notes converted.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December 31, 2016 was as follows:</w:t>
      </w:r>
    </w:p>
    <w:p>
      <w:pPr>
        <w:spacing w:after="0" w:line="177"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ABL Facility</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Second A&amp;R</w:t>
            </w:r>
          </w:p>
        </w:tc>
        <w:tc>
          <w:tcPr>
            <w:tcW w:w="14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Lease Financing</w:t>
            </w:r>
          </w:p>
        </w:tc>
        <w:tc>
          <w:tcPr>
            <w:tcW w:w="300" w:type="dxa"/>
            <w:vAlign w:val="bottom"/>
          </w:tcPr>
          <w:p>
            <w:pPr>
              <w:spacing w:after="0"/>
              <w:rPr>
                <w:sz w:val="14"/>
                <w:szCs w:val="1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CDA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Obligations</w:t>
            </w:r>
            <w:r>
              <w:rPr>
                <w:rFonts w:ascii="Arial" w:cs="Arial" w:eastAsia="Arial" w:hAnsi="Arial"/>
                <w:sz w:val="8"/>
                <w:szCs w:val="8"/>
                <w:b w:val="1"/>
                <w:bCs w:val="1"/>
                <w:color w:val="auto"/>
              </w:rPr>
              <w:t>(a)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0" w:right="20" w:hanging="324"/>
        <w:spacing w:after="0" w:line="273" w:lineRule="auto"/>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Lease financing obligations subsequent to 2021 of $234.0 million represent principal cash obligations of $11.2 million and the estimated net book value of the underlying assets at the expiration of their associated lease agreements of $222.8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Secured and Unsecured A&amp;R CDA</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102.1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Term Loan and Secured and Unsecured A&amp;R CDA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1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sources of liquidity are cash and cash equivalents, available borrowings under our ABL Facility and any prospective net cash flow from operations. As of December 31, 2016, our availability under our ABL Facility was $89.0 million, which is derived by reducing the amount that may be advanced against eligible receivables plus eligible borrowing base cash by certain reserves imposed by the ABL Agent and our $357.2 million of outstanding letters of credit. Of the $89.0 million in availability, we do not expect to access more than $44.4 million (“Managed Accessibility”) based on our springing fixed charge coverage ratio (as set forth in our ABL Facility). Our cash and cash equivalents and Managed Accessibility was $181.1 million as of December 31, 2016.</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2015, our availability under our ABL Facility was $79.7 million. Of the $79.7 million in availability, Managed Accessibility was $35.5 million. Our cash and cash equivalents and Managed Accessibility was $209.3 million as of December 31, 2015.</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equipment leases and funding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years ended December 31, 2016 and 2015 were $100.6 million and $108.0 million, respectively. These amounts were principally used to fund the purchase of used tractors and trailers, refurbish engines for our revenue fleet, purchase in-cab safety technology and for capitalized costs to improve our technology infrastructure.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2016, we entered into new operating lease commitments for revenue equipment totaling $126.4 million, with such payments to be made over the average lease term of 5 years. As of December 31, 2016, our operating lease obligations for 2017 are $107.4 million and our total operating lease obligations through 2030 total $334.7 million and are expected to increase as we lease additional revenue equipment in future years.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Stock Compensation Plans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reserved 5.0 million shares for issuance to key management personnel and directors under the 2011 amended and restated long-term incentive and equity award plan. As of December 31, 2016, 2.1 million shares remain available for future issuance under this plan. The plan permits the issuance of restricted stock and stock units, as well as options, stock appreciation rights, and performance stock and performance stock unit awards. Awards under the plan can be satisfied in cash or shares at the discretion of the Board of Directors. According to the plan provisions, the stock units provide the holders the right to receive one share of our Common Stock upon vesting (and distribution) of one stock unit. The plan requires the exercise price of any option granted to equal the closing market price of our Common Stock on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2010, we formalized the Second Union Employee Option Plan that provided for a grant of up to 31,000 options, including the effect of the reverse stock split, to purchase our Common Stock at an exercise price equal to $3,600.00 per share, of which all have been granted. As a part of the union wage reduction, we agreed to award a certain equity interest to all effected union employees. These options vested immediately, will expire 10 years from the grant date, and were exercisable upon shareholder approval, which was received on June 29, 2010, at our annual shareholder meeting. There has been no activity in these stock options and these options had no intrinsic value as of December 31, 2016, 2015, and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the Company granted performance stock unit awards to employees under its 2015 long-term incentive plan. The awards provide a target number of stock units that vest equally over three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 summary of performance-based unvested stock unit activity is as follows:</w:t>
      </w: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 units in thousands)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Units (in thousands)</w:t>
            </w: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 Average Grant-Date</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2014</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427</w:t>
            </w:r>
          </w:p>
        </w:tc>
        <w:tc>
          <w:tcPr>
            <w:tcW w:w="40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Unvested at December 31, 2015</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w:t>
            </w:r>
          </w:p>
        </w:tc>
        <w:tc>
          <w:tcPr>
            <w:tcW w:w="4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2016</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7"/>
        </w:trPr>
        <w:tc>
          <w:tcPr>
            <w:tcW w:w="76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expenses the grant date fair value of the awards earned in the performance period over the respective service periods. The intrinsic value of unvested shares as of December 31, 2016 was $3.5 million. For the years ended December 31, 2016 and 2015, the Company recognized compensation expense of $2.3 million and $3.9 million, respectively. Unrecognized compensation expense related to performance based awards of $1.1 million is expected to be recognized over a weighted-average period of 0.5 years.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nonvested shares is determined based on the closing trading price of our shares on the grant date. The fair value of shares vested and distributed during the year ended December 31, 2016 was $2.5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2016, the Company granted performance-based stock unit awards to employees that were to be settled in cash upon the achievement of specified performance criteria for 2016. No awards were earned as the 2016 performance criteria were not achieved.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our unvested restricted stock and stock unit awards are presented in the following table:</w:t>
      </w:r>
    </w:p>
    <w:p>
      <w:pPr>
        <w:spacing w:after="0" w:line="379" w:lineRule="exact"/>
        <w:rPr>
          <w:sz w:val="20"/>
          <w:szCs w:val="20"/>
          <w:color w:val="auto"/>
        </w:rPr>
      </w:pPr>
    </w:p>
    <w:p>
      <w:pPr>
        <w:ind w:left="7160"/>
        <w:spacing w:after="0"/>
        <w:tabs>
          <w:tab w:leader="none" w:pos="9640" w:val="left"/>
        </w:tabs>
        <w:rPr>
          <w:sz w:val="20"/>
          <w:szCs w:val="20"/>
          <w:color w:val="auto"/>
        </w:rPr>
      </w:pPr>
      <w:r>
        <w:rPr>
          <w:rFonts w:ascii="Arial" w:cs="Arial" w:eastAsia="Arial" w:hAnsi="Arial"/>
          <w:sz w:val="14"/>
          <w:szCs w:val="14"/>
          <w:b w:val="1"/>
          <w:bCs w:val="1"/>
          <w:color w:val="auto"/>
        </w:rPr>
        <w:t>Shares/units</w:t>
      </w:r>
      <w:r>
        <w:rPr>
          <w:sz w:val="20"/>
          <w:szCs w:val="20"/>
          <w:color w:val="auto"/>
        </w:rPr>
        <w:tab/>
      </w:r>
      <w:r>
        <w:rPr>
          <w:rFonts w:ascii="Arial" w:cs="Arial" w:eastAsia="Arial" w:hAnsi="Arial"/>
          <w:sz w:val="14"/>
          <w:szCs w:val="14"/>
          <w:b w:val="1"/>
          <w:bCs w:val="1"/>
          <w:color w:val="auto"/>
        </w:rPr>
        <w:t>Weighted Average</w:t>
      </w:r>
    </w:p>
    <w:p>
      <w:pPr>
        <w:spacing w:after="0" w:line="4" w:lineRule="exact"/>
        <w:rPr>
          <w:sz w:val="20"/>
          <w:szCs w:val="20"/>
          <w:color w:val="auto"/>
        </w:rPr>
      </w:pPr>
    </w:p>
    <w:p>
      <w:pPr>
        <w:ind w:left="7120"/>
        <w:spacing w:after="0"/>
        <w:tabs>
          <w:tab w:leader="none" w:pos="950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3"/>
          <w:szCs w:val="13"/>
          <w:b w:val="1"/>
          <w:bCs w:val="1"/>
          <w:color w:val="auto"/>
        </w:rPr>
        <w:t>Grant-Date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2014</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2015</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2016</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(564)</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15.38</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12.86</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17.29</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(835)</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14.34</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(269)</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12.90</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(53)</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-1937385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-1594485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-1242695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-899795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-548005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-205105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30"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directors have deferred receipt of the Common Stock underlying some or all of the restricted stock units they have been awarded until each such director ceases to serve on the Board or, under certain circumstances, upon a change of control. Thus, while some of these restricted stock units have vested, the directors have not yet received the underlying Common Stock. For the years ended December 31, 2016, 2015, and 2014, the total number of restricted stock units that are vested but for which the underlying Common Stock has not been distributed was 410,000, 275,000, and 221,000, respectively; these shares are shown as unvested in the above table.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30" w:right="239" w:bottom="1440" w:gutter="0" w:footer="0" w:header="0"/>
          <w:type w:val="continuous"/>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t>The intrinsic value of unvested shares as of December 31, 2016 was $15.6 million. The Company records expense on a straight-line basis over the vesting term. For the years ended December 31, 2016, 2015 and 2014, the Company recorded compensation expense for restricted stock awards of $5.0 million, $4.8 million, and $14.4 million, respectively. Unrecognized compensation expense related to restricted stock awards of $5.4 million at December 31, 2016 is expected to be recognized over a weighted-average period of 0.9 years.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provisions for the restricted stock and stock unit awards and the related number of shares granted during the year ended December 31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3"/>
              </w:rPr>
              <w:t>Shares/units (in thousands)</w:t>
            </w:r>
          </w:p>
        </w:tc>
        <w:tc>
          <w:tcPr>
            <w:tcW w:w="1400" w:type="dxa"/>
            <w:vAlign w:val="bottom"/>
            <w:tcBorders>
              <w:bottom w:val="single" w:sz="8" w:color="auto"/>
            </w:tcBorders>
          </w:tcPr>
          <w:p>
            <w:pPr>
              <w:spacing w:after="0"/>
              <w:rPr>
                <w:sz w:val="16"/>
                <w:szCs w:val="16"/>
                <w:color w:val="auto"/>
              </w:rPr>
            </w:pPr>
          </w:p>
        </w:tc>
      </w:tr>
      <w:tr>
        <w:trPr>
          <w:trHeight w:val="210"/>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Vesting Terms</w:t>
            </w:r>
          </w:p>
        </w:tc>
        <w:tc>
          <w:tcPr>
            <w:tcW w:w="17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218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2015</w:t>
            </w:r>
          </w:p>
        </w:tc>
        <w:tc>
          <w:tcPr>
            <w:tcW w:w="14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immediately and 50% on the 1 year anniversary of the grant date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25% per year for four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4</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6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immediately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18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69</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2"/>
              </w:rPr>
              <w:t>20% on February 28, 2015, 60% on July 31, 2015 and 20% on February 28, 2016</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459</w:t>
            </w:r>
          </w:p>
        </w:tc>
      </w:tr>
      <w:tr>
        <w:trPr>
          <w:trHeight w:val="27"/>
        </w:trPr>
        <w:tc>
          <w:tcPr>
            <w:tcW w:w="6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33.3% per year for three years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18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269</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restricted stock and stock units granted</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rPr>
              <w:t>342</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1,046</w:t>
            </w:r>
          </w:p>
        </w:tc>
      </w:tr>
      <w:tr>
        <w:trPr>
          <w:trHeight w:val="20"/>
        </w:trPr>
        <w:tc>
          <w:tcPr>
            <w:tcW w:w="60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nonvested shares is determined based on the closing trading price of our shares on the grant date. The fair value of shares vested and distributed during the years ended December 31, 2016, 2015 and 2014 was $3.5 million, $9.5 million, and $7.2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awards under our stock compensation plans provide dividend participation features and are considered participating securities in our earnings per share calculation.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Income Taxes</w:t>
      </w:r>
    </w:p>
    <w:p>
      <w:pPr>
        <w:spacing w:after="0" w:line="3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method to reflect income taxes on our financial statements, pursuant to ASC 740.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it is more likely than not that such assets, losses, or credits will not be realized. We have not recognized deferred taxes relative to foreign subsidiaries’ earnings that are deemed to be permanently reinvested. Any related taxes associated with such earnings are not 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3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Deferred tax liabilities (assets) were comprised of the following at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debt redemption</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38.5</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341.6</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Claims and insurance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Sale/Leaseback transaction</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461.7</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470.5</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deferred tax liability of $3.1 million and $3.5 million as of December 31, 2016 and 2015, respectively, is included as separate line items in the accompanying balance sheets. Current income tax receivable was $9.1 million and $2.3 million as of December 31, 2016 and 2015, respectively, and is included in “Prepaid expenses and other” in the accompanying balance sheets.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2016, the Company has remaining federal net operating loss carryforwards of approximately $741.5 million. Deemed ownership changes that occurred in July 2011, in July 2013 and in January 2014 imposed annual and cumulative limits under the Code on the utilization of these carryforwards. These limits are not expected to inhibit the Company’s ability to utilize these losses over their carry forward periods. These carryforwards expire between 2028 and 2036 if not used. As of December 31, 2016, the Company has foreign tax credit and other credit carryforwards of approximately $7.8 million. Other than $0.9 million of minimum tax credit, these credit carryforwards will likely not be utilized and will expire between 2017 and 2018 if not used.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and 2015, a valuation allowance of $461.7 million and $470.5 million has been established for deferred tax assets because, based on available sources of future taxable income, it is more likely than not that those assets will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income taxes at the federal statutory rate and the consolidated effective tax rate follows:</w:t>
      </w:r>
    </w:p>
    <w:p>
      <w:pPr>
        <w:spacing w:after="0" w:line="379" w:lineRule="exact"/>
        <w:rPr>
          <w:sz w:val="20"/>
          <w:szCs w:val="20"/>
          <w:color w:val="auto"/>
        </w:rPr>
      </w:pPr>
    </w:p>
    <w:p>
      <w:pPr>
        <w:ind w:left="6580"/>
        <w:spacing w:after="0"/>
        <w:tabs>
          <w:tab w:leader="none" w:pos="8460" w:val="left"/>
          <w:tab w:leader="none" w:pos="103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Federal statutory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income taxes,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tax rate differential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Permanent differences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Benefit from intraperiod tax allocation under ASC 740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unrecognized tax benefits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settlement of litigation &amp; audits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net (primarily prior year return to provision)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jc w:val="right"/>
              <w:ind w:right="490"/>
              <w:spacing w:after="0"/>
              <w:rPr>
                <w:sz w:val="20"/>
                <w:szCs w:val="20"/>
                <w:color w:val="auto"/>
              </w:rPr>
            </w:pPr>
            <w:r>
              <w:rPr>
                <w:rFonts w:ascii="Arial" w:cs="Arial" w:eastAsia="Arial" w:hAnsi="Arial"/>
                <w:sz w:val="18"/>
                <w:szCs w:val="18"/>
                <w:color w:val="auto"/>
              </w:rPr>
              <w:t>35.0 %</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35.0 %</w:t>
            </w:r>
          </w:p>
        </w:tc>
        <w:tc>
          <w:tcPr>
            <w:tcW w:w="12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2540" w:type="dxa"/>
            <w:vAlign w:val="bottom"/>
          </w:tcPr>
          <w:p>
            <w:pPr>
              <w:jc w:val="right"/>
              <w:ind w:right="490"/>
              <w:spacing w:after="0"/>
              <w:rPr>
                <w:sz w:val="20"/>
                <w:szCs w:val="20"/>
                <w:color w:val="auto"/>
              </w:rPr>
            </w:pPr>
            <w:r>
              <w:rPr>
                <w:rFonts w:ascii="Arial" w:cs="Arial" w:eastAsia="Arial" w:hAnsi="Arial"/>
                <w:sz w:val="18"/>
                <w:szCs w:val="18"/>
                <w:color w:val="auto"/>
              </w:rPr>
              <w:t>2.9 %</w:t>
            </w: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(50.0)%</w:t>
            </w: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2540" w:type="dxa"/>
            <w:vAlign w:val="bottom"/>
          </w:tcPr>
          <w:p>
            <w:pPr>
              <w:jc w:val="right"/>
              <w:ind w:right="470"/>
              <w:spacing w:after="0"/>
              <w:rPr>
                <w:sz w:val="20"/>
                <w:szCs w:val="20"/>
                <w:color w:val="auto"/>
              </w:rPr>
            </w:pPr>
            <w:r>
              <w:rPr>
                <w:rFonts w:ascii="Arial" w:cs="Arial" w:eastAsia="Arial" w:hAnsi="Arial"/>
                <w:sz w:val="18"/>
                <w:szCs w:val="18"/>
                <w:color w:val="auto"/>
              </w:rPr>
              <w:t>(3.3)%</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43.2 %</w:t>
            </w:r>
          </w:p>
        </w:tc>
        <w:tc>
          <w:tcPr>
            <w:tcW w:w="12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2540" w:type="dxa"/>
            <w:vAlign w:val="bottom"/>
          </w:tcPr>
          <w:p>
            <w:pPr>
              <w:jc w:val="right"/>
              <w:ind w:right="490"/>
              <w:spacing w:after="0"/>
              <w:rPr>
                <w:sz w:val="20"/>
                <w:szCs w:val="20"/>
                <w:color w:val="auto"/>
              </w:rPr>
            </w:pPr>
            <w:r>
              <w:rPr>
                <w:rFonts w:ascii="Arial" w:cs="Arial" w:eastAsia="Arial" w:hAnsi="Arial"/>
                <w:sz w:val="18"/>
                <w:szCs w:val="18"/>
                <w:color w:val="auto"/>
              </w:rPr>
              <w:t>6.9 %</w:t>
            </w: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(88.6)%</w:t>
            </w: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2540" w:type="dxa"/>
            <w:vAlign w:val="bottom"/>
          </w:tcPr>
          <w:p>
            <w:pPr>
              <w:jc w:val="right"/>
              <w:ind w:right="470"/>
              <w:spacing w:after="0"/>
              <w:rPr>
                <w:sz w:val="20"/>
                <w:szCs w:val="20"/>
                <w:color w:val="auto"/>
              </w:rPr>
            </w:pPr>
            <w:r>
              <w:rPr>
                <w:rFonts w:ascii="Arial" w:cs="Arial" w:eastAsia="Arial" w:hAnsi="Arial"/>
                <w:sz w:val="18"/>
                <w:szCs w:val="18"/>
                <w:color w:val="auto"/>
              </w:rPr>
              <w:t>(13.0)%</w:t>
            </w: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(243.2)%</w:t>
            </w: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0"/>
        </w:trPr>
        <w:tc>
          <w:tcPr>
            <w:tcW w:w="2540" w:type="dxa"/>
            <w:vAlign w:val="bottom"/>
          </w:tcPr>
          <w:p>
            <w:pPr>
              <w:jc w:val="right"/>
              <w:ind w:right="490"/>
              <w:spacing w:after="0"/>
              <w:rPr>
                <w:sz w:val="20"/>
                <w:szCs w:val="20"/>
                <w:color w:val="auto"/>
              </w:rPr>
            </w:pPr>
            <w:r>
              <w:rPr>
                <w:rFonts w:ascii="Arial" w:cs="Arial" w:eastAsia="Arial" w:hAnsi="Arial"/>
                <w:sz w:val="18"/>
                <w:szCs w:val="18"/>
                <w:color w:val="auto"/>
              </w:rPr>
              <w:t>— %</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265.9 %</w:t>
            </w: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540" w:type="dxa"/>
            <w:vAlign w:val="bottom"/>
          </w:tcPr>
          <w:p>
            <w:pPr>
              <w:jc w:val="right"/>
              <w:ind w:right="470"/>
              <w:spacing w:after="0"/>
              <w:rPr>
                <w:sz w:val="20"/>
                <w:szCs w:val="20"/>
                <w:color w:val="auto"/>
              </w:rPr>
            </w:pPr>
            <w:r>
              <w:rPr>
                <w:rFonts w:ascii="Arial" w:cs="Arial" w:eastAsia="Arial" w:hAnsi="Arial"/>
                <w:sz w:val="18"/>
                <w:szCs w:val="18"/>
                <w:color w:val="auto"/>
              </w:rPr>
              <w:t>(10.2)%</w:t>
            </w: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(11.4)%</w:t>
            </w:r>
          </w:p>
        </w:tc>
        <w:tc>
          <w:tcPr>
            <w:tcW w:w="1280" w:type="dxa"/>
            <w:vAlign w:val="bottom"/>
          </w:tcPr>
          <w:p>
            <w:pPr>
              <w:jc w:val="right"/>
              <w:spacing w:after="0"/>
              <w:rPr>
                <w:sz w:val="20"/>
                <w:szCs w:val="20"/>
                <w:color w:val="auto"/>
              </w:rPr>
            </w:pPr>
            <w:r>
              <w:rPr>
                <w:rFonts w:ascii="Arial" w:cs="Arial" w:eastAsia="Arial" w:hAnsi="Arial"/>
                <w:sz w:val="18"/>
                <w:szCs w:val="18"/>
                <w:color w:val="auto"/>
              </w:rPr>
              <w:t>17.8 %</w:t>
            </w:r>
          </w:p>
        </w:tc>
      </w:tr>
      <w:tr>
        <w:trPr>
          <w:trHeight w:val="270"/>
        </w:trPr>
        <w:tc>
          <w:tcPr>
            <w:tcW w:w="2540" w:type="dxa"/>
            <w:vAlign w:val="bottom"/>
          </w:tcPr>
          <w:p>
            <w:pPr>
              <w:jc w:val="right"/>
              <w:ind w:right="490"/>
              <w:spacing w:after="0"/>
              <w:rPr>
                <w:sz w:val="20"/>
                <w:szCs w:val="20"/>
                <w:color w:val="auto"/>
              </w:rPr>
            </w:pPr>
            <w:r>
              <w:rPr>
                <w:rFonts w:ascii="Arial" w:cs="Arial" w:eastAsia="Arial" w:hAnsi="Arial"/>
                <w:sz w:val="18"/>
                <w:szCs w:val="18"/>
                <w:color w:val="auto"/>
              </w:rPr>
              <w:t>— %</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54.5 %</w:t>
            </w:r>
          </w:p>
        </w:tc>
        <w:tc>
          <w:tcPr>
            <w:tcW w:w="12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0"/>
        </w:trPr>
        <w:tc>
          <w:tcPr>
            <w:tcW w:w="2540" w:type="dxa"/>
            <w:vAlign w:val="bottom"/>
          </w:tcPr>
          <w:p>
            <w:pPr>
              <w:jc w:val="right"/>
              <w:ind w:right="470"/>
              <w:spacing w:after="0"/>
              <w:rPr>
                <w:sz w:val="20"/>
                <w:szCs w:val="20"/>
                <w:color w:val="auto"/>
              </w:rPr>
            </w:pPr>
            <w:r>
              <w:rPr>
                <w:rFonts w:ascii="Arial" w:cs="Arial" w:eastAsia="Arial" w:hAnsi="Arial"/>
                <w:sz w:val="18"/>
                <w:szCs w:val="18"/>
                <w:color w:val="auto"/>
              </w:rPr>
              <w:t>(5.7)%</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110.5 %</w:t>
            </w:r>
          </w:p>
        </w:tc>
        <w:tc>
          <w:tcPr>
            <w:tcW w:w="128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2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jc w:val="right"/>
              <w:ind w:right="490"/>
              <w:spacing w:after="0"/>
              <w:rPr>
                <w:sz w:val="20"/>
                <w:szCs w:val="20"/>
                <w:color w:val="auto"/>
              </w:rPr>
            </w:pPr>
            <w:r>
              <w:rPr>
                <w:rFonts w:ascii="Arial" w:cs="Arial" w:eastAsia="Arial" w:hAnsi="Arial"/>
                <w:sz w:val="18"/>
                <w:szCs w:val="18"/>
                <w:color w:val="auto"/>
              </w:rPr>
              <w:t>12.6 %</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115.9 %</w:t>
            </w:r>
          </w:p>
        </w:tc>
        <w:tc>
          <w:tcPr>
            <w:tcW w:w="1280" w:type="dxa"/>
            <w:vAlign w:val="bottom"/>
          </w:tcPr>
          <w:p>
            <w:pPr>
              <w:jc w:val="right"/>
              <w:spacing w:after="0"/>
              <w:rPr>
                <w:sz w:val="20"/>
                <w:szCs w:val="20"/>
                <w:color w:val="auto"/>
              </w:rPr>
            </w:pPr>
            <w:r>
              <w:rPr>
                <w:rFonts w:ascii="Arial" w:cs="Arial" w:eastAsia="Arial" w:hAnsi="Arial"/>
                <w:sz w:val="18"/>
                <w:szCs w:val="18"/>
                <w:color w:val="auto"/>
              </w:rPr>
              <w:t>19.2 %</w:t>
            </w:r>
          </w:p>
        </w:tc>
      </w:tr>
      <w:tr>
        <w:trPr>
          <w:trHeight w:val="27"/>
        </w:trPr>
        <w:tc>
          <w:tcPr>
            <w:tcW w:w="2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-1405890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-1062990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-719455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53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530"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The income tax provision (benefit) consisted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income tax provision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64"/>
        </w:trPr>
        <w:tc>
          <w:tcPr>
            <w:tcW w:w="59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on the income (loss)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r>
      <w:tr>
        <w:trPr>
          <w:trHeight w:val="20"/>
        </w:trPr>
        <w:tc>
          <w:tcPr>
            <w:tcW w:w="5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YRC Worldwide applies the intraperiod tax allocation rules of ASC 740 to allocate income taxes among continuing operations, discontinued operations, extraordinary items, other comprehensive income (loss), and additional paid-in capital when our situation meets the criteria as prescribed in the rule. During 2015, the Company recognized $11.7 million of deferred benefit in the statement of consolidated operations and an equal and offsetting deferred tax expense in other comprehensive income included in the statement of consolidated comprehensive loss due to the application of the exception within the intraperiod tax allocation rules. There was no deferred benefit recognized in 2016 or 2014, as the exception did not apply. This allocation has no effect on total tax provision or total valuation allowance.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total amount of unrecognized tax benefits for the years ended December 31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positions taken during the current period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Lapse of applicable statute of limitations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Settlements with taxing authorities</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45.3</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30.6</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2016 and 2015, there are $10.9 million and $7.6 million of benefits that, if recognized, would affect the effective tax rate. We accrued interest of $0.6 million and $2.0 million for the years ended December 31, 2016 and 2015 and reversed $1.5 million and $3.3 million of previously accrued interest on uncertain tax positions during the years ended December 31, 2016 and 2015 for a net reduction of $0.9 million and $1.3 million for 2016 and 2015. The reversal related primarily to settlements and</w:t>
      </w:r>
    </w:p>
    <w:p>
      <w:pPr>
        <w:sectPr>
          <w:pgSz w:w="11900" w:h="16838" w:orient="portrait"/>
          <w:cols w:equalWidth="0" w:num="1">
            <w:col w:w="11420"/>
          </w:cols>
          <w:pgMar w:left="240" w:top="53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30" w:right="239" w:bottom="1440" w:gutter="0" w:footer="0" w:header="0"/>
          <w:type w:val="continuous"/>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other favorable resolution of prior uncertain positions. The total amount of interest accrued for uncertain tax positions is $2.2 million and $3.1 million as of December 31, 2016 and 2015. During the year ended December 31, 2016, we paid inconsequential amounts of tax and interest to settle foreign audits of tax years 2006 through 2011 for certain of our subsidiaries, and we reduced our previously recorded liability for unrecognized tax benefits accordingly. We have not accrued any penalties relative to uncertain tax positions. We have elected to treat interest and penalties on uncertain tax positions as interest expense and other operating expenses,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the existing unrecognized tax benefits may decrease over the next twelve months by as much as $0.9 million as a result of developments in examinations and/or litigation, or from the expiration of statutes of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 years that remain subject to examination for our major tax jurisdictions as of December 31, 2016: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Statute remains open</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2005-2015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Tax years currently under examination/exam completed</w:t>
            </w:r>
          </w:p>
        </w:tc>
        <w:tc>
          <w:tcPr>
            <w:tcW w:w="4100" w:type="dxa"/>
            <w:vAlign w:val="bottom"/>
          </w:tcPr>
          <w:p>
            <w:pPr>
              <w:jc w:val="right"/>
              <w:spacing w:after="0"/>
              <w:rPr>
                <w:sz w:val="20"/>
                <w:szCs w:val="20"/>
                <w:color w:val="auto"/>
              </w:rPr>
            </w:pPr>
            <w:r>
              <w:rPr>
                <w:rFonts w:ascii="Arial" w:cs="Arial" w:eastAsia="Arial" w:hAnsi="Arial"/>
                <w:sz w:val="18"/>
                <w:szCs w:val="18"/>
                <w:color w:val="auto"/>
              </w:rPr>
              <w:t>2005-2013</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years not examined</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2014-2016</w:t>
            </w:r>
          </w:p>
        </w:tc>
      </w:tr>
      <w:tr>
        <w:trPr>
          <w:trHeight w:val="27"/>
        </w:trPr>
        <w:tc>
          <w:tcPr>
            <w:tcW w:w="73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Business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reportable operating segments on a basis consistent with that used internally for evaluating segment performance and allocating resources to segments. We evaluate performance primarily on operating income.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charge management fees and other corporate services to our segments based upon usage or on an overhead allocation basis. Corporate and other operating losses represent operating expenses of YRC Worldwide, the parent company, including compensation and benefits and professional services for all periods presented. Corporate identifiable assets primarily refer to cash, cash equivalents, restricted cash and deferred debt issuance costs and our investment in JHJ until March 2016. Intersegment revenue relates to transportation services between our segments.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foreign sources totaled $101.0 million, $116.5 million, and $137.5 million for the years ended December 31, 2016, 2015, and 2014, respectively, and is mainly derived from Canada and, to a lesser extent, Mexico. Long-lived assets located in foreign countries totaled $5.2 million, $6.5 million and $8.7 million at December 31, 2016, 2015, and 2014,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3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YRC Freight</w:t>
            </w:r>
          </w:p>
        </w:tc>
        <w:tc>
          <w:tcPr>
            <w:tcW w:w="260" w:type="dxa"/>
            <w:vAlign w:val="bottom"/>
          </w:tcPr>
          <w:p>
            <w:pPr>
              <w:spacing w:after="0"/>
              <w:rPr>
                <w:sz w:val="14"/>
                <w:szCs w:val="14"/>
                <w:color w:val="auto"/>
              </w:rPr>
            </w:pPr>
          </w:p>
        </w:tc>
        <w:tc>
          <w:tcPr>
            <w:tcW w:w="1320" w:type="dxa"/>
            <w:vAlign w:val="bottom"/>
          </w:tcPr>
          <w:p>
            <w:pPr>
              <w:jc w:val="right"/>
              <w:ind w:right="412"/>
              <w:spacing w:after="0"/>
              <w:rPr>
                <w:sz w:val="20"/>
                <w:szCs w:val="20"/>
                <w:color w:val="auto"/>
              </w:rPr>
            </w:pPr>
            <w:r>
              <w:rPr>
                <w:rFonts w:ascii="Arial" w:cs="Arial" w:eastAsia="Arial" w:hAnsi="Arial"/>
                <w:sz w:val="14"/>
                <w:szCs w:val="14"/>
                <w:b w:val="1"/>
                <w:bCs w:val="1"/>
                <w:color w:val="auto"/>
              </w:rPr>
              <w:t>Regional</w:t>
            </w: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Corporate/Eliminations</w:t>
            </w:r>
          </w:p>
        </w:tc>
        <w:tc>
          <w:tcPr>
            <w:tcW w:w="280" w:type="dxa"/>
            <w:vAlign w:val="bottom"/>
          </w:tcPr>
          <w:p>
            <w:pPr>
              <w:spacing w:after="0"/>
              <w:rPr>
                <w:sz w:val="14"/>
                <w:szCs w:val="14"/>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Transportation</w:t>
            </w:r>
          </w:p>
        </w:tc>
        <w:tc>
          <w:tcPr>
            <w:tcW w:w="16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2,958.9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1,739.3</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4,697.5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81.3</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1,208.7</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642.9</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90.3</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69.5</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2015</w:t>
            </w: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3,055.7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1,776.9</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85.4</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Identifiable assets</w:t>
            </w:r>
            <w:r>
              <w:rPr>
                <w:rFonts w:ascii="Arial" w:cs="Arial" w:eastAsia="Arial" w:hAnsi="Arial"/>
                <w:sz w:val="25"/>
                <w:szCs w:val="25"/>
                <w:color w:val="auto"/>
                <w:vertAlign w:val="superscript"/>
              </w:rPr>
              <w:t>(a)</w:t>
            </w:r>
          </w:p>
        </w:tc>
        <w:tc>
          <w:tcPr>
            <w:tcW w:w="8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1,351.5</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652.9</w:t>
            </w: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70.7</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3,237.4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1,831.4</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5,068.8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66.1</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line="270" w:lineRule="exact"/>
              <w:rPr>
                <w:sz w:val="20"/>
                <w:szCs w:val="20"/>
                <w:color w:val="auto"/>
              </w:rPr>
            </w:pPr>
            <w:r>
              <w:rPr>
                <w:rFonts w:ascii="Arial" w:cs="Arial" w:eastAsia="Arial" w:hAnsi="Arial"/>
                <w:sz w:val="18"/>
                <w:szCs w:val="18"/>
                <w:color w:val="auto"/>
              </w:rPr>
              <w:t>Identifiable assets</w:t>
            </w:r>
            <w:r>
              <w:rPr>
                <w:rFonts w:ascii="Arial" w:cs="Arial" w:eastAsia="Arial" w:hAnsi="Arial"/>
                <w:sz w:val="25"/>
                <w:szCs w:val="25"/>
                <w:color w:val="auto"/>
                <w:vertAlign w:val="superscript"/>
              </w:rPr>
              <w:t>(a)</w:t>
            </w:r>
          </w:p>
        </w:tc>
        <w:tc>
          <w:tcPr>
            <w:tcW w:w="88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1,462.1</w:t>
            </w:r>
          </w:p>
        </w:tc>
        <w:tc>
          <w:tcPr>
            <w:tcW w:w="26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685.7</w:t>
            </w:r>
          </w:p>
        </w:tc>
        <w:tc>
          <w:tcPr>
            <w:tcW w:w="6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28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1,965.1</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65.8</w:t>
            </w:r>
          </w:p>
        </w:tc>
        <w:tc>
          <w:tcPr>
            <w:tcW w:w="6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Due to the adoption of ASU 2015-03, </w:t>
      </w:r>
      <w:r>
        <w:rPr>
          <w:rFonts w:ascii="Arial" w:cs="Arial" w:eastAsia="Arial" w:hAnsi="Arial"/>
          <w:sz w:val="13"/>
          <w:szCs w:val="13"/>
          <w:i w:val="1"/>
          <w:iCs w:val="1"/>
          <w:color w:val="auto"/>
        </w:rPr>
        <w:t>Interest - Imputation of Interest</w:t>
      </w:r>
      <w:r>
        <w:rPr>
          <w:rFonts w:ascii="Arial" w:cs="Arial" w:eastAsia="Arial" w:hAnsi="Arial"/>
          <w:sz w:val="13"/>
          <w:szCs w:val="13"/>
          <w:color w:val="auto"/>
        </w:rPr>
        <w:t>, “Identifiable assets” were updated for respective years to reflect the reclassification of unamortized debt issuance costs.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Shareholders’ Deficit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the “Debt and Financing” footnote, on January 31, 2014, we issued 14,333,334 shares of our Common Stock and 583,334 of our Convertible Preferred Stock pursuant to the Stock Purchase Agreements, for an aggregate $250.0 million in cash. On March 14, 2014, the Company held a special meeting of stockholders at which our stockholders approved amending our Certificate of Incorporation to increase the number of authorized shares of Common Stock to 95.0 million and to allow an investor involved in the 2014 Financing Transactions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comprehensive income (loss).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the Company designated one of its authorized shares of preferred stock as its Series A Voting Preferred Stock. The Series A Voting Preferred Stock has a $1 liquidation value and entitles the holder to elect two directors to the Company’s Board of Directors. The one share of Series A Voting Preferred Stock was issued to the IBT on July 22, 2011 in connection with the financial restructuring. The Series A Voting Preferred Stock was recorded at its liquidation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3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The following reflects the activity in the shares of our preferred and common stock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w w:val="97"/>
              </w:rPr>
              <w:t>Preferred Shares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9"/>
              </w:rPr>
              <w:t>Common Shares</w:t>
            </w:r>
          </w:p>
        </w:tc>
        <w:tc>
          <w:tcPr>
            <w:tcW w:w="660" w:type="dxa"/>
            <w:vAlign w:val="bottom"/>
          </w:tcPr>
          <w:p>
            <w:pPr>
              <w:spacing w:after="0"/>
              <w:rPr>
                <w:sz w:val="16"/>
                <w:szCs w:val="16"/>
                <w:color w:val="auto"/>
              </w:rPr>
            </w:pPr>
          </w:p>
        </w:tc>
      </w:tr>
      <w:tr>
        <w:trPr>
          <w:trHeight w:val="276"/>
        </w:trPr>
        <w:tc>
          <w:tcPr>
            <w:tcW w:w="6020" w:type="dxa"/>
            <w:vAlign w:val="bottom"/>
            <w:tcBorders>
              <w:bottom w:val="single" w:sz="8" w:color="auto"/>
            </w:tcBorders>
            <w:gridSpan w:val="2"/>
          </w:tcPr>
          <w:p>
            <w:pPr>
              <w:ind w:left="5740"/>
              <w:spacing w:after="0"/>
              <w:rPr>
                <w:sz w:val="20"/>
                <w:szCs w:val="20"/>
                <w:color w:val="auto"/>
              </w:rPr>
            </w:pPr>
            <w:r>
              <w:rPr>
                <w:rFonts w:ascii="Arial" w:cs="Arial" w:eastAsia="Arial" w:hAnsi="Arial"/>
                <w:sz w:val="14"/>
                <w:szCs w:val="14"/>
                <w:b w:val="1"/>
                <w:bCs w:val="1"/>
                <w:color w:val="auto"/>
                <w:w w:val="83"/>
              </w:rPr>
              <w:t>2016</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32,141</w:t>
            </w: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30,667</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10,173</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Issuance of Common Shares</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14,333</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Convertible Preferred Shares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Conversion of Preferred Shares to Common Shares</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2,333</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equity in exchange for debt</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995</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3,471</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Issuance of equity awards, net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332</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479</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357</w:t>
            </w:r>
          </w:p>
        </w:tc>
      </w:tr>
      <w:tr>
        <w:trPr>
          <w:trHeight w:val="27"/>
        </w:trPr>
        <w:tc>
          <w:tcPr>
            <w:tcW w:w="5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32,141</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30,667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Term Loan agreement in place as of December 31, 2016, restricts the ability of YRC Worldwide to declare dividends on its outstanding capital stock.</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Earnings (Loss) Per Share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earnings (loss) available to common shareholders by our weighted-average shares outstanding at the end of the period. The calculation for diluted earnings per share adjusts the weighted average shares outstanding for our dilutive unvested shares and stock units using the treasury stock method and for our convertible notes using the if-converted method. Our calculations for basic and dilutive earnings (loss) per share for the years ended December 31, 2016, 2015, and 2014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 except per share data, shares and stock units in thousands)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dilutive net income (loss) available to common shareholders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324"/>
        </w:trPr>
        <w:tc>
          <w:tcPr>
            <w:tcW w:w="6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28,592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Unvested shares and stock units</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Series B Notes</w:t>
            </w:r>
          </w:p>
        </w:tc>
        <w:tc>
          <w:tcPr>
            <w:tcW w:w="3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weighted average shares outstanding</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28,592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Basic earnings (loss) per share</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63"/>
        </w:trPr>
        <w:tc>
          <w:tcPr>
            <w:tcW w:w="6700" w:type="dxa"/>
            <w:vAlign w:val="bottom"/>
          </w:tcPr>
          <w:p>
            <w:pPr>
              <w:ind w:left="20"/>
              <w:spacing w:after="0" w:line="263"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5"/>
                <w:szCs w:val="25"/>
                <w:color w:val="auto"/>
                <w:vertAlign w:val="superscript"/>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r>
    </w:tbl>
    <w:p>
      <w:pPr>
        <w:ind w:left="220" w:hanging="131"/>
        <w:spacing w:after="0"/>
        <w:tabs>
          <w:tab w:leader="none" w:pos="220" w:val="left"/>
        </w:tabs>
        <w:numPr>
          <w:ilvl w:val="0"/>
          <w:numId w:val="54"/>
        </w:numPr>
        <w:rPr>
          <w:rFonts w:ascii="Arial" w:cs="Arial" w:eastAsia="Arial" w:hAnsi="Arial"/>
          <w:sz w:val="9"/>
          <w:szCs w:val="9"/>
          <w:color w:val="auto"/>
        </w:rPr>
      </w:pPr>
      <w:r>
        <w:rPr>
          <w:rFonts w:ascii="Arial" w:cs="Arial" w:eastAsia="Arial" w:hAnsi="Arial"/>
          <w:sz w:val="14"/>
          <w:szCs w:val="14"/>
          <w:color w:val="auto"/>
        </w:rPr>
        <w:t>Earnings (loss) per share is based on unrounded figures and not the rounded figures presented.</w:t>
      </w:r>
    </w:p>
    <w:p>
      <w:pPr>
        <w:spacing w:after="0" w:line="1" w:lineRule="exact"/>
        <w:rPr>
          <w:rFonts w:ascii="Arial" w:cs="Arial" w:eastAsia="Arial" w:hAnsi="Arial"/>
          <w:sz w:val="9"/>
          <w:szCs w:val="9"/>
          <w:color w:val="auto"/>
        </w:rPr>
      </w:pPr>
    </w:p>
    <w:p>
      <w:pPr>
        <w:ind w:left="220" w:hanging="131"/>
        <w:spacing w:after="0"/>
        <w:tabs>
          <w:tab w:leader="none" w:pos="220" w:val="left"/>
        </w:tabs>
        <w:numPr>
          <w:ilvl w:val="0"/>
          <w:numId w:val="54"/>
        </w:numPr>
        <w:rPr>
          <w:rFonts w:ascii="Arial" w:cs="Arial" w:eastAsia="Arial" w:hAnsi="Arial"/>
          <w:sz w:val="9"/>
          <w:szCs w:val="9"/>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year ended December 31, 2014, there are no dilutive securities for these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anti-dilutive securities for the years ended December 31 are as follows:</w:t>
      </w:r>
    </w:p>
    <w:p>
      <w:pPr>
        <w:spacing w:after="0" w:line="379"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and stock units in thousands)</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1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r>
      <w:tr>
        <w:trPr>
          <w:trHeight w:val="270"/>
        </w:trPr>
        <w:tc>
          <w:tcPr>
            <w:tcW w:w="4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Anti-dilutive unvested shares, options, and stock units</w:t>
            </w:r>
            <w:r>
              <w:rPr>
                <w:rFonts w:ascii="Arial" w:cs="Arial" w:eastAsia="Arial" w:hAnsi="Arial"/>
                <w:sz w:val="25"/>
                <w:szCs w:val="25"/>
                <w:color w:val="auto"/>
                <w:vertAlign w:val="superscript"/>
              </w:rPr>
              <w:t>(a)</w:t>
            </w:r>
          </w:p>
        </w:tc>
        <w:tc>
          <w:tcPr>
            <w:tcW w:w="1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rPr>
              <w:t>196</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Anti-dilutive Series B Notes</w:t>
            </w:r>
          </w:p>
        </w:tc>
        <w:tc>
          <w:tcPr>
            <w:tcW w:w="1120" w:type="dxa"/>
            <w:vAlign w:val="bottom"/>
          </w:tcPr>
          <w:p>
            <w:pPr>
              <w:spacing w:after="0"/>
              <w:rPr>
                <w:sz w:val="21"/>
                <w:szCs w:val="21"/>
                <w:color w:val="auto"/>
              </w:rPr>
            </w:pPr>
          </w:p>
        </w:tc>
        <w:tc>
          <w:tcPr>
            <w:tcW w:w="144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982</w:t>
            </w:r>
          </w:p>
        </w:tc>
      </w:tr>
    </w:tbl>
    <w:p>
      <w:pPr>
        <w:spacing w:after="0" w:line="89" w:lineRule="exact"/>
        <w:rPr>
          <w:sz w:val="20"/>
          <w:szCs w:val="20"/>
          <w:color w:val="auto"/>
        </w:rPr>
      </w:pPr>
    </w:p>
    <w:p>
      <w:pPr>
        <w:ind w:left="140" w:hanging="132"/>
        <w:spacing w:after="0"/>
        <w:tabs>
          <w:tab w:leader="none" w:pos="140" w:val="left"/>
        </w:tabs>
        <w:numPr>
          <w:ilvl w:val="0"/>
          <w:numId w:val="55"/>
        </w:numPr>
        <w:rPr>
          <w:rFonts w:ascii="Arial" w:cs="Arial" w:eastAsia="Arial" w:hAnsi="Arial"/>
          <w:sz w:val="9"/>
          <w:szCs w:val="9"/>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30" w:right="23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12.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 rental expenses under noncancelable operating lease agreements for certain buildings and operating equipment. Rental expense is charged to “Operating expense and supplies” or “Purchased transportation” on the accompanying statements of operations. Rental expense was $140.8 million, $119.3 million and $98.7 million for the years ended December 31, 2016,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we were committed under noncancelable lease agreements requiring minimum annual rentals payable as follows:</w:t>
      </w:r>
    </w:p>
    <w:p>
      <w:pPr>
        <w:spacing w:after="0" w:line="163"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annual rentals</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19.1</w:t>
            </w:r>
          </w:p>
        </w:tc>
      </w:tr>
      <w:tr>
        <w:trPr>
          <w:trHeight w:val="27"/>
        </w:trPr>
        <w:tc>
          <w:tcPr>
            <w:tcW w:w="2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in the ordinary course of business that leases will be renewed or replaced as they expire. The leases provide for fixed and escalating rentals and contingent escalating rentals based on the Consumer Price Index not to exceed certain specified amounts. We record rent expense for our operating leases on a straight-line basis over the base term of the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we have $6.5 million committed for capital expenditures to be completed during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Labor Law Change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 We believe the possible loss or range of loss is inconsequential to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Matters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Incidental to the Company's business in the ordinary course, our equipment is involved in motor vehicle accidents and experiences damage, mechanical failures and cargo issues. From time to time, these matters result in the discharge of hazardous materials into the environment. The Company is sometimes responsible for the clean-up and remediation costs associated with these discharges, depending on local regulations and who is determined to be at fault. For the years ended December 31, 2016, 2015, and 2014, the Company spent approximately $9.1 million, $8.1 million, and $8.0 million, respectively, to comply with applicable laws regulating the discharge of materials into the environment, which included such clean-up and remediation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22" w:right="239" w:bottom="1440" w:gutter="0" w:footer="0" w:header="0"/>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13. Related Party Transactions</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2016, the Company had approximately $5.1 million in revenues related to transportation services and $3.3 million in purchased transportation expense for transportation management and logistics services with Logistics Planning Services (“LPS”). As of December 31, 2016, the related party receivable and payable, respectively, are inconsequential to the financial statements. We continue to do business with LPS in 2017. LPS is a wholly-owned subsidiary of Hall Enterprises, Inc. (“HEI”). Justin Hall, our Chief Commercial Officer since June 1, 2016, serves as a director of, and owns 14.5% of the equity in, HEI. Mr. Hall’s family owns the remaining equity in HEI and Mr. Hall’s father serves as the chairman of the board of HEI. Mr. Hall served as the president of LPS until May 2016, when he resigned as a condition of accepting employment at the Company. Mr. Hall does not set pricing, negotiate transactions, or otherwise control the Company’s business relationship with LPS.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20, 2013, we entered into an Advisory Agreement with MAEVA Group, LLC (“MAEVA”), a company owned and controlled by Harry J. Wilson and of which Mr. Wilson is Chairman and CEO. Mr. Wilson served until March 2, 2014 as a director of the Company appointed by the IBT pursuant to its rights as a holder of the Series A Voting Preferred Stock and was not an independent director of the Company. Under the Advisory Agreement, MAEVA provided advisory, analytical, consulting and other services to us in connection with one or more potential transactions and/or other strategic initiatives.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MAEVA a $5.5 million completion fee in January 2014 in connection with the completion of the 2014 Financing Transactions. Additionally in February 2014, we paid MAEVA an incremental fee of $3.5 million in recognition of its critical role and performance in designing and leading a series of highly complicated, challenging and interdependent transactions that were critical to the Company’s 2014 Financing Transactions. The term of the Advisory Agreement was extended for the first two months of 2014 in connection with the implementation of the 2014 Financing Transactions. Our entry into the Advisory Agreement and the fees paid to MAEVA in connection with the 2014 Financing Transactions were approved by the independent members of the Board.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Subsequent Events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31, 2017, the Company entered into Amendment No. 3 to its Term Loan Agreement, which adjusted the maximum permitted total leverage ratio through December 31, 2018 and increased the applicable interest rate, among other things, as referenced in the “Debt and Financing” footnote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2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YRC Worldwide Inc. and subsidiaries (the Company) as of December 31, 2016 and 2015, and the related statements of consolidated operations, comprehensive income (loss), shareholders’ deficit, and cash flows for each of the years in the three-year period ended December 31,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YRC Worldwide Inc. and subsidiaries as of December 31, 2016 and 2015, and the results of their operations and their cash flows for each of the years in the three-year period ended December 31, 2016,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YRC Worldwide Inc.’s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and our report dated February 17, 2017 expressed an unqualified opinion on the effectiveness of the Company’s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3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YRC Worldwide Inc.’s internal control over financial reporting as of December 31, 2016,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Committee of Sponsoring Organizations of the Treadway Commission (COSO). YRC Worldwide Inc.’s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of the December 31, 2016 annual report on Form 10-K. Our responsibility is to express an opinion on YRC Worldwide Inc.’s internal control over financial reporting based on our audit.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YRC Worldwide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YRC Worldwide Inc. and subsidiaries as of December 31, 2016 and 2015, and the related statements of consolidated operations, comprehensive income (loss), shareholders’ deficit, and cash flows for each of the years in the three-year period ended December 31, 2016, and our report dated February 17, 2017 expressed an unqualified opinion on those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4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December 31, 2016 and has concluded that our disclosure controls and procedures were effective as of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establishing and maintaining effective internal control over our financial reporting, which is designed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Our management assessed the effectiveness of our system of internal control over financial reporting as of December 31, 2016 based on the framework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using those criteria, our management concluded that, as of December 31, 2016, our system of internal control over financial reporting was effective.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the independent registered public accounting firm that audited our December 31, 2016 consolidated financial statements, has issued an audit report on our system of internal control over financial reporting. The KPMG LLP audit report is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October 1, 2016, we completed the implementation of certain modules as part of a new comprehensive enterprise resource planning (ERP) system across most of our operating companies, including general ledger and accounts payable. We continue to work on the implementation of additional ERP modules, including human resources and payroll, in a phased approach, expected to be completed by the end of fiscal 2017. The system implementation was designed, in part, to enhance the overall system of internal control over financial reporting through further automation and improved business processes. Although the processes that constitute our internal control over financial reporting have been affected by the implementation, the Company performed pre-and post-implementation procedures as part of its assessment of the effectiveness of internal control over financial reporting.</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Accordingly, we do not believe that the implementation of the ERP system has had or will have a material adverse effect on our internal controls over financial reporting. Aside from this, there were no additional changes in our internal controls over financial reporting that occurred during the year ended December 31, 2016 that have materially affected, or are reasonably likely to materially affect, our internal controls over financial reporting.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3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General Instruction G to Form 10-K, the information required by this item, other than information regarding (i) our executive officers, which is incorporated by reference to Part I of this Form 10-K under the heading “Executive Officers of the Registrant,” and (ii) our code of ethics, which is described below and titled the “Code of Business Conduct,” is included under the captions “Directors to be Elected by our Stockholders,” “Directors Selected by the Holder of our Series A Preferred Stock,” “Stockholder Proposals and Director Nomination for 2018 Annual Meeting,” “Structure and Functioning of the Board Audit &amp; Ethics Committee,” and “Section 16(a) Beneficial Ownership Reporting Compliance” in our Proxy Statement related to the 2017 Annual Meeting of Stockholders and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that applies to all of our directors, officers and employees, including our chief executive officer, chief financial officer and chief accounting officer. It is available under “Board Committee Charters and Code of Business Conduct” on our website located at www.yrcw.com. We intend to disclose any amendments or waivers to our Code of Business Conduct by posting such information on our website located at www.yrcw.com, other than technical, administrative or non-substantive amendments, and any waivers, including implicit waivers, from any provision of our Code of Business Conduct that applies to our principal executive officer, principal financial officer, principal accounting officer or controller, which information will be disclosed via SEC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the information required by this item is included under the captions “Compensation Committee Interlocks and Insider Participation,” “Director Compensation,” “Compensation Discussion and Analysis,” “Compensation Committee Report” and “Executive Compensation” in our Proxy Statement related to the 2017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“Security Ownership of Management and Directors,” “Security Ownership of Certain Beneficial Owners” and “Equity Compensation Plan Information” in our Proxy Statement related to the 2017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“Structure and Functioning of the Board” and “Certain Relationships and Related Transactions” in our Proxy Statement related to the 2017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 “Audit and Audit-Related Fees” in our Proxy Statement related to the 2017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26" w:right="2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included under Item 8 -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jc w:val="both"/>
        <w:ind w:left="880" w:hanging="863"/>
        <w:spacing w:after="0" w:line="258" w:lineRule="auto"/>
        <w:tabs>
          <w:tab w:leader="none" w:pos="8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Amended and Restated Certificate of Incorporation of the Company (incorporated by reference to Exhibit 3.1 to Current Report on Form 8-K, filed on September 16, 2011,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Certificate of Amendment to the Certificate of Incorporation of the Company reducing the number of authorized shares (incorporated by reference to Exhibit 3.1 to Current Report on Form 8-K, filed on December 1, 2011,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Certificate of Elimination of Series B Convertible Preferred Stock (incorporated by reference to Exhibit 3.2 to Current Report on Form 8-K, filed on December 1, 2011,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Certificate of Designations of Series A Voting Preferred Stock (incorporated by reference to Exhibit 3.1 to Current Report on Form 8-K, filed on July 25, 2011,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Certificate of Designations, Preferences, Powers and Rights of Series B Convertible Preferred Stock (incorporated by reference to Exhibit 3.2 to Current Report on Form 8-K, filed on July 25, 2011, File No. 000-12255).</w:t>
      </w:r>
    </w:p>
    <w:p>
      <w:pPr>
        <w:spacing w:after="0" w:line="1" w:lineRule="exact"/>
        <w:rPr>
          <w:sz w:val="20"/>
          <w:szCs w:val="20"/>
          <w:color w:val="auto"/>
        </w:rPr>
      </w:pPr>
    </w:p>
    <w:p>
      <w:pPr>
        <w:ind w:left="900" w:right="680" w:hanging="890"/>
        <w:spacing w:after="0" w:line="265" w:lineRule="auto"/>
        <w:tabs>
          <w:tab w:leader="none" w:pos="8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Certificate of Amendment of the Certificate of Incorporation of the Company amending the number of authorized shares of capital stock (incorporated by reference to Exhibit 3.1 to Current Report on Form 8-K, filed on March 17, 2014, File No. 000-12255).</w:t>
      </w:r>
    </w:p>
    <w:p>
      <w:pPr>
        <w:jc w:val="both"/>
        <w:ind w:left="880" w:hanging="863"/>
        <w:spacing w:after="0" w:line="261"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adopted as of September 16, 2011 (incorporated by reference to Exhibit 3.2 to Current Report on Form 8-K, filed on September 16, 2011, File No. 000-12255).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(10) Material Contracts</w:t>
      </w:r>
    </w:p>
    <w:p>
      <w:pPr>
        <w:spacing w:after="0" w:line="225" w:lineRule="exact"/>
        <w:rPr>
          <w:sz w:val="20"/>
          <w:szCs w:val="20"/>
          <w:color w:val="auto"/>
        </w:rPr>
      </w:pPr>
    </w:p>
    <w:p>
      <w:pPr>
        <w:jc w:val="both"/>
        <w:ind w:left="880" w:hanging="863"/>
        <w:spacing w:after="0" w:line="256"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National Master Freight Agreement, effective April 1, 2008, among the International Brotherhood of Teamsters, YRC Inc. (formerly, Yellow Transportation, Inc. and Roadway Express, Inc.), USF Holland Inc. and New Penn Motor Express, Inc. (incorporated by reference to Exhibit 10.1 to Current Report on Form 8-K, filed on February 11, 2008, File No. 000-12255).</w:t>
      </w: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Amended and Restated Memorandum of Understanding on the Job Security Plan, dated July 9, 2009, among the International Brotherhood of Teamsters, YRC Inc., USF Holland Inc. and New Penn Motor Express, Inc. (incorporated by reference to Exhibit 10.1 to Current Report on Form 8-K, filed on July 14, 2009, File No. 000-12255).</w:t>
      </w:r>
    </w:p>
    <w:p>
      <w:pPr>
        <w:spacing w:after="0" w:line="1" w:lineRule="exact"/>
        <w:rPr>
          <w:sz w:val="20"/>
          <w:szCs w:val="20"/>
          <w:color w:val="auto"/>
        </w:rPr>
      </w:pPr>
    </w:p>
    <w:p>
      <w:pPr>
        <w:jc w:val="both"/>
        <w:ind w:left="880" w:hanging="863"/>
        <w:spacing w:after="0" w:line="265"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Agreement for the Restructuring of the YRC Worldwide Inc. Operating Companies and related Term Sheet/Proposal (the “Restructuring Plan”), dated September 24, 2010, among the International Brotherhood of Teamsters, YRC Inc., USF Holland Inc. and New Penn Motor Express, Inc. (incorporated by reference to Exhibit 10.1 to Current Report on Form 8-K, filed on September 29,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Certification and Amendment (dated December 31, 2010) and Certification and Second Amendment (dated February 28, 2011) to the Restructuring Plan Term Sheet (incorporated by reference to Exhibit 10.3.4 to Annual Report on Form 10-K for the year ended December 31, 2010, filed on March 14, 2011,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Extension of the Agreement for the Restructuring of the YRC Worldwide Inc. Operating Companies, dated February 7, 2014, by and among YRC Inc. (d/b/a YRC Freight), USF Holland Inc., New Penn Motor Express, Inc., USF Reddaway Inc. and the Teamsters National Freight Industry Negotiating Committee of the International Brotherhood of Teamsters (incorporated by reference to Exhibit 10.1 to Current Report on Form 8-K, filed on February 10, 2014, File No. 000-12255).</w:t>
      </w:r>
    </w:p>
    <w:p>
      <w:pPr>
        <w:spacing w:after="0" w:line="2" w:lineRule="exact"/>
        <w:rPr>
          <w:sz w:val="20"/>
          <w:szCs w:val="20"/>
          <w:color w:val="auto"/>
        </w:rPr>
      </w:pPr>
    </w:p>
    <w:p>
      <w:pPr>
        <w:jc w:val="both"/>
        <w:ind w:left="880" w:hanging="863"/>
        <w:spacing w:after="0" w:line="261" w:lineRule="auto"/>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Amended and Restated Contribution Deferral Agreement, dated as of July 22, 2011, among YRC Inc., USF Holland Inc., New Penn Motor Express, Inc. and USF Reddaway Inc., collectively as primary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51" w:right="239" w:bottom="1440" w:gutter="0" w:footer="0" w:header="0"/>
        </w:sectPr>
      </w:pPr>
    </w:p>
    <w:bookmarkStart w:id="85" w:name="page86"/>
    <w:bookmarkEnd w:id="85"/>
    <w:p>
      <w:pPr>
        <w:jc w:val="both"/>
        <w:ind w:left="880"/>
        <w:spacing w:after="0" w:line="287" w:lineRule="auto"/>
        <w:rPr>
          <w:sz w:val="20"/>
          <w:szCs w:val="20"/>
          <w:color w:val="auto"/>
        </w:rPr>
      </w:pPr>
      <w:r>
        <w:rPr>
          <w:rFonts w:ascii="Arial" w:cs="Arial" w:eastAsia="Arial" w:hAnsi="Arial"/>
          <w:sz w:val="18"/>
          <w:szCs w:val="18"/>
          <w:color w:val="auto"/>
        </w:rPr>
        <w:t>obligors, the Trustees for the Central States, Southeast and Southwest Areas Pension Fund, the Wilmington Trust Company, as agent, and the other funds party thereto (incorporated by reference to Exhibit 10.6 to Quarterly Report on Form 10-Q for the quarter ended June 30, 2011, filed on August 8, 2011, File No. 000-12255).</w:t>
      </w:r>
    </w:p>
    <w:p>
      <w:pPr>
        <w:spacing w:after="0" w:line="1" w:lineRule="exact"/>
        <w:rPr>
          <w:sz w:val="20"/>
          <w:szCs w:val="20"/>
          <w:color w:val="auto"/>
        </w:rPr>
      </w:pPr>
    </w:p>
    <w:p>
      <w:pPr>
        <w:jc w:val="both"/>
        <w:ind w:left="880" w:hanging="863"/>
        <w:spacing w:after="0" w:line="286" w:lineRule="auto"/>
        <w:tabs>
          <w:tab w:leader="none" w:pos="8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Consent and First Amendment to the Amended and Restated Contribution Deferral Agreement, dated as of October 17, 2011,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10.8.2 to Annual Report on Form 10-K for the year ended December 31, 2011, filed February 28, 2012,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Second Amended and Restated Contribution Deferral Agreement, dated as of January 31, 2014,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10.1 to the Current Report on Form 8-K, filed on January 31,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Letter Agreement, dated as of January 29, 2014 and effective as of January 31, 2014, among Central States, Southeast and Southwest Areas Pension Fund, YRC, Inc., USF Holland Inc., New Penn Motor Express, Inc., USF Reddaway Inc., as primary obligors, YRC Worldwide Inc., as primary guarantor, and certain additional guarantors (incorporated by reference to Exhibit 10.2 to Current Report on Form 8-K, filed on January 31,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Credit Agreement, dated as of February 13, 2014, by and among the Company, as borrower, the subsidiaries of the borrower party thereto from time to time, the lenders from time to time party thereto, and Credit Suisse AG, Cayman Islands Branch, as administrative agent and collateral agent for the lenders (incorporated by reference to Exhibit 10.10 to the Annual Report on Form 10-K for the year ended December 31, 2013, filed on March 10,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No. 1 to Credit Agreement dated as of September 25, 2014, by and among the Company, as borrower, the subsidiaries of the borrower party thereto from time to time, the lenders from time to time party thereto, and Credit Suisse AG, Cayman Islands Branch, as administrative agent and collateral agent for the lenders (incorporated by reference to Exhibit 10.1 to Current Report on Form 8-K, filed on September 25,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Amendment No. 2 to Credit Agreement, dated September 23, 2015, by and among the Company, the lenders party thereto and Credit Suisse AG, Cayman Islands Branch, as administrative agent (incorporated by reference to Exhibit 10.1 to Current Report on Form 8-K, filed on September 25, 2015,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Amendment No. 3 to Credit Agreement, dated January 31, 2017, by and among the Company, the lenders party thereto and Credit Suisse AG, Cayman Islands Branch, as administrative agent (incorporated by reference to Exhibit 10.1 to Current Report on Form 8-K, filed on January 31, 2017,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Loan and Security Agreement, dated as of February 13, 2014, among the Company, as administrative borrower, the other borrowers named therein, the guarantors named therein, certain financial institutions, as lenders, and RBS Citizens Business Capital a division of RBS Asset Finance, Inc., a subsidiary of RBS Citizens, N.A., as agent, and RBS Citizens, N.A., Merrill Lynch, Pierce, Fenner &amp; Smith and CIT Finance LLC, as joint lead arrangers and joint bookrunners (incorporated by reference to Exhibit 10.11 to Annual Report on Form 10-K for the year ended December 31, 2013,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Amendment No. 1 to Loan and Security Agreement, by and among the Company, certain of the Company’s subsidiaries party thereto, the lenders party thereto and RBS Citizens Business Capital, as agent (incorporated by reference to Exhibit 10.2 to Current Report on Form 8-K, filed on September 25, 2015, File No. 000-12255) .</w:t>
      </w:r>
    </w:p>
    <w:p>
      <w:pPr>
        <w:spacing w:after="0" w:line="1" w:lineRule="exact"/>
        <w:rPr>
          <w:sz w:val="20"/>
          <w:szCs w:val="20"/>
          <w:color w:val="auto"/>
        </w:rPr>
      </w:pPr>
    </w:p>
    <w:p>
      <w:pPr>
        <w:jc w:val="both"/>
        <w:ind w:left="900" w:right="100" w:hanging="890"/>
        <w:spacing w:after="0" w:line="255" w:lineRule="auto"/>
        <w:tabs>
          <w:tab w:leader="none" w:pos="8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Amendment No. 2 to Loan and Security Agreement by and among the Company, certain of the Company’s subsidiaries party thereto, the lenders party thereto and Citizens Business Capital as agent (incorporated by reference to Exhibit 10.1 to Current Report on Form 8-K, filed on June 30, 2016, File No. 000-12255).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(10) Management Contracts, Compensatory Plans and Arrangements</w:t>
      </w:r>
    </w:p>
    <w:p>
      <w:pPr>
        <w:spacing w:after="0" w:line="225" w:lineRule="exact"/>
        <w:rPr>
          <w:sz w:val="20"/>
          <w:szCs w:val="20"/>
          <w:color w:val="auto"/>
        </w:rPr>
      </w:pPr>
    </w:p>
    <w:p>
      <w:pPr>
        <w:ind w:left="880" w:hanging="863"/>
        <w:spacing w:after="0" w:line="277" w:lineRule="auto"/>
        <w:tabs>
          <w:tab w:leader="none" w:pos="86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YRC Worldwide Inc. Director Compensation Plan, effective December 13, 2013 (incorporated by reference to Exhibit 10.12.3 to the Annual Report on Form 10-K for the year ended December 31, 2013, filed on March 10, 2014, File No. 000-12255).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57" w:right="239" w:bottom="1440" w:gutter="0" w:footer="0" w:header="0"/>
        </w:sectPr>
      </w:pPr>
    </w:p>
    <w:bookmarkStart w:id="86" w:name="page87"/>
    <w:bookmarkEnd w:id="86"/>
    <w:p>
      <w:pPr>
        <w:ind w:left="880" w:hanging="863"/>
        <w:spacing w:after="0" w:line="274" w:lineRule="auto"/>
        <w:tabs>
          <w:tab w:leader="none" w:pos="8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7"/>
          <w:szCs w:val="17"/>
          <w:color w:val="auto"/>
        </w:rPr>
        <w:t>Form of Director Share Unit Agreement for Non-Employee Director under 2013 Director Compensation Plan (incorporated by reference to Exhibit 10.13.4 to the Annual Report on Form 10-K for the year ended December 31, 2013, filed on March 10, 2014, File No. 000-12255).</w:t>
      </w:r>
    </w:p>
    <w:p>
      <w:pPr>
        <w:spacing w:after="0"/>
        <w:tabs>
          <w:tab w:leader="none" w:pos="86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YRC Worldwide Inc. Director Compensation Plan, effective May 6, 2015 (incorporated by reference to Exhibit 10.1 to Quarterly Report on Form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10-Q for the quarter ended June 30, 2015, filed on July 30, 2015, File No. 000-12255).</w:t>
      </w:r>
    </w:p>
    <w:p>
      <w:pPr>
        <w:spacing w:after="0" w:line="9" w:lineRule="exact"/>
        <w:rPr>
          <w:sz w:val="20"/>
          <w:szCs w:val="20"/>
          <w:color w:val="auto"/>
        </w:rPr>
      </w:pPr>
    </w:p>
    <w:p>
      <w:pPr>
        <w:ind w:left="880" w:hanging="863"/>
        <w:spacing w:after="0" w:line="281" w:lineRule="auto"/>
        <w:tabs>
          <w:tab w:leader="none" w:pos="86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6"/>
          <w:szCs w:val="16"/>
          <w:color w:val="auto"/>
        </w:rPr>
        <w:t>Form of Director Restricted Stock Unit Agreement for Non-Employee Director under 2015 Director Compensation Plan (incorporated by reference to Exhibit 10.2 to Quarterly Report on Form 10-Q for the quarter ended June 30, 2015, filed on July 30, 2015,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Indemnification Agreement between the Company and each of its directors and executive officers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10.5 to Current Report on Form 8-K, filed on March 15, 2007, File No. 000-12255).</w:t>
      </w:r>
    </w:p>
    <w:p>
      <w:pPr>
        <w:spacing w:after="0" w:line="9" w:lineRule="exact"/>
        <w:rPr>
          <w:sz w:val="20"/>
          <w:szCs w:val="20"/>
          <w:color w:val="auto"/>
        </w:rPr>
      </w:pPr>
    </w:p>
    <w:p>
      <w:pPr>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YRC Worldwide Inc. 2011 Incentive and Equity Award Plan (incorporated by reference to Exhibit 99.1 to Registration Statement on Form S-8, filed on November 30, 2011, File No. 333-178223).</w:t>
      </w:r>
    </w:p>
    <w:p>
      <w:pPr>
        <w:spacing w:after="0" w:line="1" w:lineRule="exact"/>
        <w:rPr>
          <w:sz w:val="20"/>
          <w:szCs w:val="20"/>
          <w:color w:val="auto"/>
        </w:rPr>
      </w:pPr>
    </w:p>
    <w:p>
      <w:pPr>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8"/>
          <w:szCs w:val="18"/>
          <w:color w:val="auto"/>
        </w:rPr>
        <w:t>YRC Worldwide Inc. Amended and Restated 2011 Incentive and Equity Award Plan (incorporated by reference to Exhibit 10.7 to Quarterly Report on Form 10-Q for the quarter ended March 31, 2014, filed on May 1, 2014,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7"/>
          <w:szCs w:val="17"/>
          <w:color w:val="auto"/>
        </w:rPr>
        <w:t>Form of Restricted Stock Agreement under YRC Worldwide Inc. 2011 Incentive and Equity Award Plan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10.29 to Annual Report on Form 10-K for the year ended December 31, 2011, filed on February 28, 2012, File No. 000-12255).</w:t>
      </w:r>
    </w:p>
    <w:p>
      <w:pPr>
        <w:spacing w:after="0" w:line="9" w:lineRule="exact"/>
        <w:rPr>
          <w:sz w:val="20"/>
          <w:szCs w:val="20"/>
          <w:color w:val="auto"/>
        </w:rPr>
      </w:pPr>
    </w:p>
    <w:p>
      <w:pPr>
        <w:ind w:left="900" w:right="100" w:hanging="890"/>
        <w:spacing w:after="0" w:line="250" w:lineRule="auto"/>
        <w:tabs>
          <w:tab w:leader="none" w:pos="88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8"/>
          <w:szCs w:val="18"/>
          <w:color w:val="auto"/>
        </w:rPr>
        <w:t>Form of Cash-Settled Performance Stock Unit Agreement under the YRC Amended and Restated 2011 Incentive and Equity Award Plan (incorporated by reference to Exhibit 10.1 to Quarterly Report on Form 10-Q for the quarter ended March 31, 2016, filed on April 28, 2016,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YRC Worldwide Inc. Supplemental Executive Pension Plan, effective January 1, 2005 (incorporated by reference to Exhibit 10.1 to Current Report on Form 8-K, filed on July 25, 2006,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6"/>
          <w:szCs w:val="16"/>
          <w:color w:val="auto"/>
        </w:rPr>
        <w:t>Amendment to YRC Worldwide Inc. Supplemental Executive Pension Plan (incorporated by reference to Exhibit 10.3 to Current Report on Form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8-K, filed on July 8, 2008, File No. 000-12255).</w:t>
      </w:r>
    </w:p>
    <w:p>
      <w:pPr>
        <w:spacing w:after="0" w:line="9"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Second Amendment to YRC Worldwide Inc. Supplemental Executive Pension Plan (incorporated by reference to Exhibit 10.30.3 to Annual Report on Form 10-K for the year ended December 31, 2011, filed February 28, 2012,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8"/>
          <w:szCs w:val="18"/>
          <w:color w:val="auto"/>
        </w:rPr>
        <w:t>Yellow Corporation Pension Plan, as amended and restated as of January 1, 2004 (incorporated by reference to Exhibit 10.27 to Annual Report on Form 10-K for the year ended December 31, 2003, filed on March 15, 2004, File No. 000-12255).</w:t>
      </w:r>
    </w:p>
    <w:p>
      <w:pPr>
        <w:spacing w:after="0" w:line="1" w:lineRule="exact"/>
        <w:rPr>
          <w:sz w:val="20"/>
          <w:szCs w:val="20"/>
          <w:color w:val="auto"/>
        </w:rPr>
      </w:pPr>
    </w:p>
    <w:p>
      <w:pPr>
        <w:jc w:val="both"/>
        <w:ind w:left="880" w:right="20" w:hanging="863"/>
        <w:spacing w:after="0" w:line="265" w:lineRule="auto"/>
        <w:tabs>
          <w:tab w:leader="none" w:pos="860" w:val="left"/>
        </w:tabs>
        <w:rPr>
          <w:sz w:val="20"/>
          <w:szCs w:val="20"/>
          <w:color w:val="auto"/>
        </w:rPr>
      </w:pPr>
      <w:r>
        <w:rPr>
          <w:rFonts w:ascii="Arial" w:cs="Arial" w:eastAsia="Arial" w:hAnsi="Arial"/>
          <w:sz w:val="18"/>
          <w:szCs w:val="18"/>
          <w:color w:val="auto"/>
        </w:rPr>
        <w:t>10.10.2</w:t>
      </w:r>
      <w:r>
        <w:rPr>
          <w:sz w:val="20"/>
          <w:szCs w:val="20"/>
          <w:color w:val="auto"/>
        </w:rPr>
        <w:tab/>
      </w:r>
      <w:r>
        <w:rPr>
          <w:rFonts w:ascii="Arial" w:cs="Arial" w:eastAsia="Arial" w:hAnsi="Arial"/>
          <w:sz w:val="17"/>
          <w:szCs w:val="17"/>
          <w:color w:val="auto"/>
        </w:rPr>
        <w:t>Amendment No. 1 to Yellow Corporation Pension Plan, as amended and restated as of January 1, 2004 (incorporated by reference to Exhibit 10.2 to Quarterly Report on Form 10-Q for the quarter ended September 30, 2005, filed on November 9, 2005, File No. 000-12255).</w:t>
      </w:r>
    </w:p>
    <w:p>
      <w:pPr>
        <w:spacing w:after="0"/>
        <w:tabs>
          <w:tab w:leader="none" w:pos="86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6"/>
          <w:szCs w:val="16"/>
          <w:color w:val="auto"/>
        </w:rPr>
        <w:t>Amendment No. 2 to Yellow Corporation Pension Plan, as amended and restated as of January 1, 2004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10.28.3 to Annual Report on Form 10-K for the year ended December 31, 2010, filed on March 14, 2011, File No. 000-12255).</w:t>
      </w:r>
    </w:p>
    <w:p>
      <w:pPr>
        <w:spacing w:after="0" w:line="9"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10.10.4</w:t>
      </w:r>
      <w:r>
        <w:rPr>
          <w:sz w:val="20"/>
          <w:szCs w:val="20"/>
          <w:color w:val="auto"/>
        </w:rPr>
        <w:tab/>
      </w:r>
      <w:r>
        <w:rPr>
          <w:rFonts w:ascii="Arial" w:cs="Arial" w:eastAsia="Arial" w:hAnsi="Arial"/>
          <w:sz w:val="18"/>
          <w:szCs w:val="18"/>
          <w:color w:val="auto"/>
        </w:rPr>
        <w:t>Amendment No. 3 to Yellow Corporation Pension Plan, as amended and restated as of January 1, 2004 (incorporated by reference to Exhibit 10.2 to Current Report on Form 8-K, filed on July 8, 2008,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10.10.5</w:t>
      </w:r>
      <w:r>
        <w:rPr>
          <w:sz w:val="20"/>
          <w:szCs w:val="20"/>
          <w:color w:val="auto"/>
        </w:rPr>
        <w:tab/>
      </w:r>
      <w:r>
        <w:rPr>
          <w:rFonts w:ascii="Arial" w:cs="Arial" w:eastAsia="Arial" w:hAnsi="Arial"/>
          <w:sz w:val="16"/>
          <w:szCs w:val="16"/>
          <w:color w:val="auto"/>
        </w:rPr>
        <w:t>Amendment No. 4 to Yellow Corporation Pension Plan, as amended and restated as of January 1, 2004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10.22.5 to Annual Report on Form 10-K for the year ended December 31, 2008, filed on March 2, 2009, File No. 000-12255).</w:t>
      </w:r>
    </w:p>
    <w:p>
      <w:pPr>
        <w:spacing w:after="0" w:line="9"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10.10.6</w:t>
      </w:r>
      <w:r>
        <w:rPr>
          <w:sz w:val="20"/>
          <w:szCs w:val="20"/>
          <w:color w:val="auto"/>
        </w:rPr>
        <w:tab/>
      </w:r>
      <w:r>
        <w:rPr>
          <w:rFonts w:ascii="Arial" w:cs="Arial" w:eastAsia="Arial" w:hAnsi="Arial"/>
          <w:sz w:val="18"/>
          <w:szCs w:val="18"/>
          <w:color w:val="auto"/>
        </w:rPr>
        <w:t>Amendment No. 5 and Amendment No. 6 to Yellow Corporation Pension Plan, as amended and restated as of January 1, 2004 (incorporated by reference to Exhibit 10.28.6 to Annual Report on Form 10-K for the year ended December 31, 2009, filed on March 16, 2010,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10.10.7</w:t>
      </w:r>
      <w:r>
        <w:rPr>
          <w:sz w:val="20"/>
          <w:szCs w:val="20"/>
          <w:color w:val="auto"/>
        </w:rPr>
        <w:tab/>
      </w:r>
      <w:r>
        <w:rPr>
          <w:rFonts w:ascii="Arial" w:cs="Arial" w:eastAsia="Arial" w:hAnsi="Arial"/>
          <w:sz w:val="18"/>
          <w:szCs w:val="18"/>
          <w:color w:val="auto"/>
        </w:rPr>
        <w:t>Amendment No. 7 to Yellow Corporation Pension Plan, as amended and restated as of January 1, 2004 (incorporated by reference to Exhibit 10.7 to Quarterly Report on Form 10-Q for the quarter ended June 30, 2010, filed on August 9,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YRC Worldwide Inc. Non-Union Employee Option Plan (incorporated by reference to Exhibit 10.3 to Current Report on Form 8-K, filed on January 6, 2009,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YRC Worldwide Inc. Union Employee Option Plan (incorporated by reference to Exhibit 10.25 to Annual Report on Form 10-K for the year ended December 31, 2008, filed on March 2, 2009,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YRC Worldwide Inc. Second Union Employee Option Plan (incorporated by reference to Exhibit 10.1 to Current Report on Form 8-K, filed on March 5, 2010, File No. 000-12255).</w:t>
      </w:r>
    </w:p>
    <w:p>
      <w:pPr>
        <w:spacing w:after="0" w:line="1" w:lineRule="exact"/>
        <w:rPr>
          <w:sz w:val="20"/>
          <w:szCs w:val="20"/>
          <w:color w:val="auto"/>
        </w:rPr>
      </w:pPr>
    </w:p>
    <w:p>
      <w:pPr>
        <w:jc w:val="both"/>
        <w:ind w:left="880" w:hanging="863"/>
        <w:spacing w:after="0" w:line="261"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YRC Worldwide Inc. Cash Performance and Restricted Stock Award Agreement (incorporated by reference to Exhibit 10.1 to Current Report on Form 8-K, filed on April 3, 2009, File No. 000-12255).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30"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10.14.1</w:t>
            </w: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Form of YRC Worldwide Inc. Restricted Stock Agreement (incorporated by reference to Exhibit 10.1 to Current Report on Form 8-K, filed on</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March 13,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10.14.2</w:t>
            </w:r>
          </w:p>
        </w:tc>
        <w:tc>
          <w:tcPr>
            <w:tcW w:w="10600" w:type="dxa"/>
            <w:vAlign w:val="bottom"/>
          </w:tcPr>
          <w:p>
            <w:pPr>
              <w:ind w:left="60"/>
              <w:spacing w:after="0"/>
              <w:rPr>
                <w:sz w:val="20"/>
                <w:szCs w:val="20"/>
                <w:color w:val="auto"/>
              </w:rPr>
            </w:pPr>
            <w:r>
              <w:rPr>
                <w:rFonts w:ascii="Arial" w:cs="Arial" w:eastAsia="Arial" w:hAnsi="Arial"/>
                <w:sz w:val="18"/>
                <w:szCs w:val="18"/>
                <w:color w:val="auto"/>
                <w:w w:val="95"/>
              </w:rPr>
              <w:t>Form of YRC Worldwide Inc. Performance Stock Unit Agreement (incorporated by reference to Exhibit 10.2 to Current Report on Form 8-K,</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filed on March 13,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10.15.1</w:t>
            </w:r>
          </w:p>
        </w:tc>
        <w:tc>
          <w:tcPr>
            <w:tcW w:w="10600" w:type="dxa"/>
            <w:vAlign w:val="bottom"/>
          </w:tcPr>
          <w:p>
            <w:pPr>
              <w:ind w:left="60"/>
              <w:spacing w:after="0"/>
              <w:rPr>
                <w:sz w:val="20"/>
                <w:szCs w:val="20"/>
                <w:color w:val="auto"/>
              </w:rPr>
            </w:pPr>
            <w:r>
              <w:rPr>
                <w:rFonts w:ascii="Arial" w:cs="Arial" w:eastAsia="Arial" w:hAnsi="Arial"/>
                <w:sz w:val="18"/>
                <w:szCs w:val="18"/>
                <w:color w:val="auto"/>
                <w:w w:val="93"/>
              </w:rPr>
              <w:t>Employment Agreement, dated as of July 22, 2011, between the Company and James L. Welch (incorporated by reference to Exhibit 10.16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Quarterly Report on Form 10-Q for the quarter ended June 30, 2011, filed on August 8, 2011,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10.15.2</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Amendment to Employment Agreement, dated as of October 30, 2012, between the Company and James L. Welch (incorporated by reference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5"/>
              </w:rPr>
              <w:t>Exhibit 10.1 to Quarterly Report on Form 10-Q for the quarter ended September 30, 2012, filed on November 2, 2012,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10.15.3</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Employment Agreement Cancellation Agreement, dated as of December 30, 2014, between the Company and James L. Welch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reference to Exhibit 10.1 to 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10.16.1</w:t>
            </w:r>
          </w:p>
        </w:tc>
        <w:tc>
          <w:tcPr>
            <w:tcW w:w="10600" w:type="dxa"/>
            <w:vAlign w:val="bottom"/>
          </w:tcPr>
          <w:p>
            <w:pPr>
              <w:ind w:left="60"/>
              <w:spacing w:after="0"/>
              <w:rPr>
                <w:sz w:val="20"/>
                <w:szCs w:val="20"/>
                <w:color w:val="auto"/>
              </w:rPr>
            </w:pPr>
            <w:r>
              <w:rPr>
                <w:rFonts w:ascii="Arial" w:cs="Arial" w:eastAsia="Arial" w:hAnsi="Arial"/>
                <w:sz w:val="18"/>
                <w:szCs w:val="18"/>
                <w:color w:val="auto"/>
                <w:w w:val="90"/>
              </w:rPr>
              <w:t>Employment Agreement, dated as of November 3, 2011, between the Company and Jamie G. Pierson (incorporated by reference to Exhibit 10.46</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to Annual Report on Form 10-K for the year ended December 31, 2011, filed on February 28, 2012,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10.16.2</w:t>
            </w:r>
          </w:p>
        </w:tc>
        <w:tc>
          <w:tcPr>
            <w:tcW w:w="10600" w:type="dxa"/>
            <w:vAlign w:val="bottom"/>
          </w:tcPr>
          <w:p>
            <w:pPr>
              <w:ind w:left="60"/>
              <w:spacing w:after="0"/>
              <w:rPr>
                <w:sz w:val="20"/>
                <w:szCs w:val="20"/>
                <w:color w:val="auto"/>
              </w:rPr>
            </w:pPr>
            <w:r>
              <w:rPr>
                <w:rFonts w:ascii="Arial" w:cs="Arial" w:eastAsia="Arial" w:hAnsi="Arial"/>
                <w:sz w:val="18"/>
                <w:szCs w:val="18"/>
                <w:color w:val="auto"/>
                <w:w w:val="90"/>
              </w:rPr>
              <w:t>Amendment to Employment Agreement, dated as of October 30, 2012, between the Company and Jamie G. Pierson (incorporated by reference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5"/>
              </w:rPr>
              <w:t>Exhibit 10.2 to Quarterly Report on Form 10-Q for the quarter ended September 30, 2012, filed on November 2, 2012,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10.16.3</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Employment Agreement Cancellation Agreement, dated as of December 30, 2014, between the Company and Jamie G. Pierson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reference to Exhibit 10.2 to 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60"/>
              <w:spacing w:after="0"/>
              <w:rPr>
                <w:sz w:val="20"/>
                <w:szCs w:val="20"/>
                <w:color w:val="auto"/>
              </w:rPr>
            </w:pPr>
            <w:r>
              <w:rPr>
                <w:rFonts w:ascii="Arial" w:cs="Arial" w:eastAsia="Arial" w:hAnsi="Arial"/>
                <w:sz w:val="18"/>
                <w:szCs w:val="18"/>
                <w:color w:val="auto"/>
                <w:w w:val="92"/>
              </w:rPr>
              <w:t>Escrow Agreement, dated as of November 3, 2011, among the Company, Jamie G. Pierson and BOKF, N.A., as escrow agent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reference to Exhibit 10.47 to Annual Report on Form 10-K for the year ended December 31, 2011, filed on February 28, 2012, File No. 000-</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Severance Agreement, dated as of December 30, 2014, between the Company and James L. Welch (incorporated by reference to Exhibit 10.3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60"/>
              <w:spacing w:after="0"/>
              <w:rPr>
                <w:sz w:val="20"/>
                <w:szCs w:val="20"/>
                <w:color w:val="auto"/>
              </w:rPr>
            </w:pPr>
            <w:r>
              <w:rPr>
                <w:rFonts w:ascii="Arial" w:cs="Arial" w:eastAsia="Arial" w:hAnsi="Arial"/>
                <w:sz w:val="18"/>
                <w:szCs w:val="18"/>
                <w:color w:val="auto"/>
                <w:w w:val="90"/>
              </w:rPr>
              <w:t>Severance Agreement, dated as of December 30, 2014, between the Company and Jamie G. Pierson (incorporated by reference to Exhibit 10.4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80"/>
              <w:spacing w:after="0"/>
              <w:rPr>
                <w:sz w:val="20"/>
                <w:szCs w:val="20"/>
                <w:color w:val="auto"/>
              </w:rPr>
            </w:pPr>
            <w:r>
              <w:rPr>
                <w:rFonts w:ascii="Arial" w:cs="Arial" w:eastAsia="Arial" w:hAnsi="Arial"/>
                <w:sz w:val="18"/>
                <w:szCs w:val="18"/>
                <w:color w:val="auto"/>
                <w:w w:val="92"/>
              </w:rPr>
              <w:t>General Release and Post-Employment Consulting Agreement, dated as of December 30, 2016, between the Company and Jamie G. Pierson</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to Current Report on Form 8-K, filed on January 4, 2017,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tcPr>
          <w:p>
            <w:pPr>
              <w:ind w:left="60"/>
              <w:spacing w:after="0"/>
              <w:rPr>
                <w:sz w:val="20"/>
                <w:szCs w:val="20"/>
                <w:color w:val="auto"/>
              </w:rPr>
            </w:pPr>
            <w:r>
              <w:rPr>
                <w:rFonts w:ascii="Arial" w:cs="Arial" w:eastAsia="Arial" w:hAnsi="Arial"/>
                <w:sz w:val="18"/>
                <w:szCs w:val="18"/>
                <w:color w:val="auto"/>
              </w:rPr>
              <w:t>Subsidiaries of the Company.</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tcPr>
          <w:p>
            <w:pPr>
              <w:ind w:left="6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Certification of James L. Welch pursuant to Exchange Act Rules 13a-14 and 15d-14, as adopted pursuant to Section 302 of the Sarbanes-Oxley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60"/>
              <w:spacing w:after="0"/>
              <w:rPr>
                <w:sz w:val="20"/>
                <w:szCs w:val="20"/>
                <w:color w:val="auto"/>
              </w:rPr>
            </w:pPr>
            <w:r>
              <w:rPr>
                <w:rFonts w:ascii="Arial" w:cs="Arial" w:eastAsia="Arial" w:hAnsi="Arial"/>
                <w:sz w:val="18"/>
                <w:szCs w:val="18"/>
                <w:color w:val="auto"/>
                <w:w w:val="93"/>
              </w:rPr>
              <w:t>Certification of Stephanie D. Fisher pursuant to Exchange Act Rules 13a-14 and 15d-14, as adopted pursuant to Section 302 of the Sarbanes-</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Certification of James L. Welch pursuant to 18 U.S.C. Section 1350, as adopted pursuant to Section 906 of the Sarbanes-Oxley Act of 2002.</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Certification of Stephanie D. Fisher pursuant to 18 U.S.C. Section 1350, as adopted pursuant to Section 906 of 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9"/>
              </w:rPr>
              <w:t>101.SCH*</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documents filed herewith.</w:t>
      </w:r>
    </w:p>
    <w:p>
      <w:pPr>
        <w:spacing w:after="0" w:line="9" w:lineRule="exact"/>
        <w:rPr>
          <w:sz w:val="20"/>
          <w:szCs w:val="20"/>
          <w:color w:val="auto"/>
        </w:rPr>
      </w:pPr>
    </w:p>
    <w:p>
      <w:pPr>
        <w:ind w:left="5620" w:right="2120" w:hanging="5612"/>
        <w:spacing w:after="0" w:line="793" w:lineRule="auto"/>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portions of this exhibit have been filed separately with the SEC pursuant to a request for confidential treatment. 88</w:t>
      </w:r>
    </w:p>
    <w:p>
      <w:pPr>
        <w:sectPr>
          <w:pgSz w:w="11900" w:h="16838" w:orient="portrait"/>
          <w:cols w:equalWidth="0" w:num="1">
            <w:col w:w="11420"/>
          </w:cols>
          <w:pgMar w:left="240" w:top="53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YRC Worldwide Inc.</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17, 2017</w:t>
      </w:r>
      <w:r>
        <w:rPr>
          <w:sz w:val="20"/>
          <w:szCs w:val="20"/>
          <w:color w:val="auto"/>
        </w:rPr>
        <w:tab/>
      </w:r>
      <w:r>
        <w:rPr>
          <w:rFonts w:ascii="Arial" w:cs="Arial" w:eastAsia="Arial" w:hAnsi="Arial"/>
          <w:sz w:val="16"/>
          <w:szCs w:val="16"/>
          <w:u w:val="single" w:color="auto"/>
          <w:color w:val="auto"/>
        </w:rPr>
        <w:t>By: /s/ 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people by these presents, that each person whose signature appears below constitutes and appoints James L. Welch his or her true and lawful attorney-in-fact and agent, with full power of substitution and resubstitution, for him or her and in his or her name, place and stead, in any and all capacities, to sign any amendments to this annual report on Form 10-K, and to file the same, with all exhibits thereto,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confirming all that said attorney-in-fact and agent, or his substitute, may lawfully do or cause to be done by virtue hereof.</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30" w:right="239" w:bottom="1440" w:gutter="0" w:footer="0" w:header="0"/>
        </w:sectPr>
      </w:pPr>
    </w:p>
    <w:bookmarkStart w:id="89" w:name="page90"/>
    <w:bookmarkEnd w:id="89"/>
    <w:tbl>
      <w:tblPr>
        <w:tblLayout w:type="fixed"/>
        <w:tblInd w:w="100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James L. Welch</w:t>
            </w:r>
          </w:p>
        </w:tc>
        <w:tc>
          <w:tcPr>
            <w:tcW w:w="420" w:type="dxa"/>
            <w:vAlign w:val="bottom"/>
            <w:gridSpan w:val="10"/>
          </w:tcPr>
          <w:p>
            <w:pPr>
              <w:spacing w:after="0"/>
              <w:rPr>
                <w:sz w:val="17"/>
                <w:szCs w:val="17"/>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James L. Welch</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6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/s/ Stephanie D. Fisher</w:t>
            </w:r>
          </w:p>
        </w:tc>
        <w:tc>
          <w:tcPr>
            <w:tcW w:w="100" w:type="dxa"/>
            <w:vAlign w:val="bottom"/>
            <w:gridSpan w:val="4"/>
          </w:tcPr>
          <w:p>
            <w:pPr>
              <w:spacing w:after="0"/>
              <w:rPr>
                <w:sz w:val="24"/>
                <w:szCs w:val="24"/>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Acting Chief Financial Officer and</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Stephanie D. Fisher</w:t>
            </w:r>
          </w:p>
        </w:tc>
        <w:tc>
          <w:tcPr>
            <w:tcW w:w="4460" w:type="dxa"/>
            <w:vAlign w:val="bottom"/>
          </w:tcPr>
          <w:p>
            <w:pPr>
              <w:ind w:left="1080"/>
              <w:spacing w:after="0"/>
              <w:rPr>
                <w:sz w:val="20"/>
                <w:szCs w:val="20"/>
                <w:color w:val="auto"/>
              </w:rPr>
            </w:pPr>
            <w:r>
              <w:rPr>
                <w:rFonts w:ascii="Arial" w:cs="Arial" w:eastAsia="Arial" w:hAnsi="Arial"/>
                <w:sz w:val="18"/>
                <w:szCs w:val="18"/>
                <w:color w:val="auto"/>
              </w:rPr>
              <w:t>Vice President and Controller</w:t>
            </w:r>
          </w:p>
        </w:tc>
        <w:tc>
          <w:tcPr>
            <w:tcW w:w="2180" w:type="dxa"/>
            <w:vAlign w:val="bottom"/>
          </w:tcPr>
          <w:p>
            <w:pPr>
              <w:spacing w:after="0"/>
              <w:rPr>
                <w:sz w:val="24"/>
                <w:szCs w:val="24"/>
                <w:color w:val="auto"/>
              </w:rPr>
            </w:pPr>
          </w:p>
        </w:tc>
      </w:tr>
      <w:tr>
        <w:trPr>
          <w:trHeight w:val="473"/>
        </w:trPr>
        <w:tc>
          <w:tcPr>
            <w:tcW w:w="1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0"/>
              </w:rPr>
              <w:t>/s/ Raymond J. Bromark</w:t>
            </w:r>
          </w:p>
        </w:tc>
        <w:tc>
          <w:tcPr>
            <w:tcW w:w="20" w:type="dxa"/>
            <w:vAlign w:val="bottom"/>
          </w:tcPr>
          <w:p>
            <w:pPr>
              <w:spacing w:after="0"/>
              <w:rPr>
                <w:sz w:val="24"/>
                <w:szCs w:val="24"/>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Raymond J. Bromark</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Douglas A. Carty</w:t>
            </w:r>
          </w:p>
        </w:tc>
        <w:tc>
          <w:tcPr>
            <w:tcW w:w="300" w:type="dxa"/>
            <w:vAlign w:val="bottom"/>
            <w:gridSpan w:val="8"/>
          </w:tcPr>
          <w:p>
            <w:pPr>
              <w:spacing w:after="0"/>
              <w:rPr>
                <w:sz w:val="24"/>
                <w:szCs w:val="24"/>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Douglas A. Carty</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7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/s/ William R. Davidson</w:t>
            </w:r>
          </w:p>
        </w:tc>
        <w:tc>
          <w:tcPr>
            <w:tcW w:w="40" w:type="dxa"/>
            <w:vAlign w:val="bottom"/>
            <w:gridSpan w:val="2"/>
          </w:tcPr>
          <w:p>
            <w:pPr>
              <w:spacing w:after="0"/>
              <w:rPr>
                <w:sz w:val="24"/>
                <w:szCs w:val="24"/>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William R. Davidson</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780" w:type="dxa"/>
            <w:vAlign w:val="bottom"/>
            <w:gridSpan w:val="11"/>
          </w:tcPr>
          <w:p>
            <w:pPr>
              <w:spacing w:after="0"/>
              <w:rPr>
                <w:sz w:val="20"/>
                <w:szCs w:val="20"/>
                <w:color w:val="auto"/>
              </w:rPr>
            </w:pPr>
            <w:r>
              <w:rPr>
                <w:rFonts w:ascii="Arial" w:cs="Arial" w:eastAsia="Arial" w:hAnsi="Arial"/>
                <w:sz w:val="18"/>
                <w:szCs w:val="18"/>
                <w:color w:val="auto"/>
              </w:rPr>
              <w:t>/s/ Matthew Doheny</w:t>
            </w: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Doheny</w:t>
            </w:r>
          </w:p>
        </w:tc>
        <w:tc>
          <w:tcPr>
            <w:tcW w:w="320" w:type="dxa"/>
            <w:vAlign w:val="bottom"/>
            <w:gridSpan w:val="9"/>
          </w:tcPr>
          <w:p>
            <w:pPr>
              <w:spacing w:after="0"/>
              <w:rPr>
                <w:sz w:val="24"/>
                <w:szCs w:val="24"/>
                <w:color w:val="auto"/>
              </w:rPr>
            </w:pP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 Robert L. Friedman</w:t>
            </w:r>
          </w:p>
        </w:tc>
        <w:tc>
          <w:tcPr>
            <w:tcW w:w="120" w:type="dxa"/>
            <w:vAlign w:val="bottom"/>
            <w:gridSpan w:val="5"/>
          </w:tcPr>
          <w:p>
            <w:pPr>
              <w:spacing w:after="0"/>
              <w:rPr>
                <w:sz w:val="24"/>
                <w:szCs w:val="24"/>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Robert L. Friedman</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780" w:type="dxa"/>
            <w:vAlign w:val="bottom"/>
            <w:gridSpan w:val="11"/>
          </w:tcPr>
          <w:p>
            <w:pPr>
              <w:spacing w:after="0"/>
              <w:rPr>
                <w:sz w:val="20"/>
                <w:szCs w:val="20"/>
                <w:color w:val="auto"/>
              </w:rPr>
            </w:pPr>
            <w:r>
              <w:rPr>
                <w:rFonts w:ascii="Arial" w:cs="Arial" w:eastAsia="Arial" w:hAnsi="Arial"/>
                <w:sz w:val="18"/>
                <w:szCs w:val="18"/>
                <w:color w:val="auto"/>
              </w:rPr>
              <w:t>/s/ James E. Hoffman</w:t>
            </w: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James E. Hoffman</w:t>
            </w:r>
          </w:p>
        </w:tc>
        <w:tc>
          <w:tcPr>
            <w:tcW w:w="240" w:type="dxa"/>
            <w:vAlign w:val="bottom"/>
            <w:gridSpan w:val="7"/>
          </w:tcPr>
          <w:p>
            <w:pPr>
              <w:spacing w:after="0"/>
              <w:rPr>
                <w:sz w:val="24"/>
                <w:szCs w:val="24"/>
                <w:color w:val="auto"/>
              </w:rPr>
            </w:pP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7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0"/>
              </w:rPr>
              <w:t>/s/ Michael J. Kneeland</w:t>
            </w:r>
          </w:p>
        </w:tc>
        <w:tc>
          <w:tcPr>
            <w:tcW w:w="80" w:type="dxa"/>
            <w:vAlign w:val="bottom"/>
            <w:gridSpan w:val="3"/>
          </w:tcPr>
          <w:p>
            <w:pPr>
              <w:spacing w:after="0"/>
              <w:rPr>
                <w:sz w:val="24"/>
                <w:szCs w:val="24"/>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Michael J. Kneeland</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7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/s/ Patricia M. Nazemetz</w:t>
            </w: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Patricia M. Nazemetz</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7"/>
              </w:rPr>
              <w:t>/s/ James F. Winestock</w:t>
            </w:r>
          </w:p>
        </w:tc>
        <w:tc>
          <w:tcPr>
            <w:tcW w:w="140" w:type="dxa"/>
            <w:vAlign w:val="bottom"/>
            <w:gridSpan w:val="6"/>
          </w:tcPr>
          <w:p>
            <w:pPr>
              <w:spacing w:after="0"/>
              <w:rPr>
                <w:sz w:val="24"/>
                <w:szCs w:val="24"/>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860"/>
              <w:spacing w:after="0"/>
              <w:rPr>
                <w:sz w:val="20"/>
                <w:szCs w:val="20"/>
                <w:color w:val="auto"/>
              </w:rPr>
            </w:pPr>
            <w:r>
              <w:rPr>
                <w:rFonts w:ascii="Arial" w:cs="Arial" w:eastAsia="Arial" w:hAnsi="Arial"/>
                <w:sz w:val="18"/>
                <w:szCs w:val="18"/>
                <w:color w:val="auto"/>
                <w:w w:val="88"/>
              </w:rPr>
              <w:t>February 17, 2017</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James F. Winestock</w:t>
            </w:r>
          </w:p>
        </w:tc>
        <w:tc>
          <w:tcPr>
            <w:tcW w:w="4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70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1640"/>
              <w:spacing w:after="0"/>
              <w:rPr>
                <w:sz w:val="20"/>
                <w:szCs w:val="20"/>
                <w:color w:val="auto"/>
              </w:rPr>
            </w:pPr>
            <w:r>
              <w:rPr>
                <w:rFonts w:ascii="Arial" w:cs="Arial" w:eastAsia="Arial" w:hAnsi="Arial"/>
                <w:sz w:val="18"/>
                <w:szCs w:val="18"/>
                <w:color w:val="auto"/>
              </w:rPr>
              <w:t>90</w:t>
            </w:r>
          </w:p>
        </w:tc>
        <w:tc>
          <w:tcPr>
            <w:tcW w:w="2180" w:type="dxa"/>
            <w:vAlign w:val="bottom"/>
          </w:tcPr>
          <w:p>
            <w:pPr>
              <w:spacing w:after="0"/>
              <w:rPr>
                <w:sz w:val="24"/>
                <w:szCs w:val="24"/>
                <w:color w:val="auto"/>
              </w:rPr>
            </w:pPr>
          </w:p>
        </w:tc>
      </w:tr>
    </w:tbl>
    <w:p>
      <w:pPr>
        <w:sectPr>
          <w:pgSz w:w="11900" w:h="16838" w:orient="portrait"/>
          <w:cols w:equalWidth="0" w:num="1">
            <w:col w:w="9420"/>
          </w:cols>
          <w:pgMar w:left="1440" w:top="797" w:right="10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4900" w:type="dxa"/>
            <w:vAlign w:val="bottom"/>
            <w:vMerge w:val="restart"/>
          </w:tcPr>
          <w:p>
            <w:pPr>
              <w:ind w:left="80"/>
              <w:spacing w:after="0"/>
              <w:rPr>
                <w:sz w:val="20"/>
                <w:szCs w:val="20"/>
                <w:color w:val="auto"/>
              </w:rPr>
            </w:pPr>
            <w:r>
              <w:rPr>
                <w:rFonts w:ascii="Arial" w:cs="Arial" w:eastAsia="Arial" w:hAnsi="Arial"/>
                <w:sz w:val="18"/>
                <w:szCs w:val="18"/>
                <w:color w:val="auto"/>
              </w:rPr>
              <w:t>Subsidiaries of YRC Worldwide Inc.</w:t>
            </w:r>
          </w:p>
        </w:tc>
        <w:tc>
          <w:tcPr>
            <w:tcW w:w="2220" w:type="dxa"/>
            <w:vAlign w:val="bottom"/>
          </w:tcPr>
          <w:p>
            <w:pPr>
              <w:ind w:left="108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At December 31, 2016</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Percentage</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34"/>
        </w:trPr>
        <w:tc>
          <w:tcPr>
            <w:tcW w:w="4300" w:type="dxa"/>
            <w:vAlign w:val="bottom"/>
          </w:tcPr>
          <w:p>
            <w:pPr>
              <w:ind w:left="366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Ownership</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1105481 Ontario,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Express Lane Service,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New Penn Motor Express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OPK Insurance Co. Ltd.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Roadway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Roadway Next Day Corporation</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Delaware LLC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Reimer Express Lines Ltd.</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300" w:type="dxa"/>
            <w:vAlign w:val="bottom"/>
          </w:tcPr>
          <w:p>
            <w:pPr>
              <w:ind w:left="720"/>
              <w:spacing w:after="0"/>
              <w:rPr>
                <w:sz w:val="20"/>
                <w:szCs w:val="20"/>
                <w:color w:val="auto"/>
              </w:rPr>
            </w:pPr>
            <w:r>
              <w:rPr>
                <w:rFonts w:ascii="Arial" w:cs="Arial" w:eastAsia="Arial" w:hAnsi="Arial"/>
                <w:sz w:val="18"/>
                <w:szCs w:val="18"/>
                <w:color w:val="auto"/>
              </w:rPr>
              <w:t>YRC Transportation, S.A.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25"/>
                <w:szCs w:val="25"/>
                <w:color w:val="auto"/>
                <w:vertAlign w:val="superscript"/>
              </w:rPr>
              <w:t>1</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118"/>
        </w:trPr>
        <w:tc>
          <w:tcPr>
            <w:tcW w:w="4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International,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w w:val="91"/>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2</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3</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Roadway Reverse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2</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rPr>
              <w:t>Roadway Express, S.A. de C.V.</w:t>
            </w:r>
          </w:p>
        </w:tc>
        <w:tc>
          <w:tcPr>
            <w:tcW w:w="4900" w:type="dxa"/>
            <w:vAlign w:val="bottom"/>
          </w:tcPr>
          <w:p>
            <w:pPr>
              <w:ind w:left="3500"/>
              <w:spacing w:after="0" w:line="270" w:lineRule="exact"/>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3</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YRC Transportation,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58.9% </w:t>
            </w:r>
            <w:r>
              <w:rPr>
                <w:rFonts w:ascii="Arial" w:cs="Arial" w:eastAsia="Arial" w:hAnsi="Arial"/>
                <w:sz w:val="25"/>
                <w:szCs w:val="25"/>
                <w:color w:val="auto"/>
                <w:vertAlign w:val="superscript"/>
              </w:rPr>
              <w:t>1</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920"/>
              <w:spacing w:after="0"/>
              <w:rPr>
                <w:sz w:val="20"/>
                <w:szCs w:val="20"/>
                <w:color w:val="auto"/>
              </w:rPr>
            </w:pPr>
            <w:r>
              <w:rPr>
                <w:rFonts w:ascii="Arial" w:cs="Arial" w:eastAsia="Arial" w:hAnsi="Arial"/>
                <w:sz w:val="18"/>
                <w:szCs w:val="18"/>
                <w:color w:val="auto"/>
              </w:rPr>
              <w:t>YRC Services S. de R.L.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USF Holland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Holland International Sales Corporation</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Association Solutions,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International Investments,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YRC Logistics Asia Limited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PT Meridian IQ Indonesia International</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w w:val="98"/>
              </w:rPr>
              <w:t>YRC (Shanghai) Management Consulting Co., Ltd.</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Mortgages,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Regional Transportation,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Bestway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Dugan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Glen Moore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Reddaway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RedStar LLC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YRC Logistics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YRC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Enterprise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YRCW Receivables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 w:hanging="72"/>
        <w:spacing w:after="0"/>
        <w:tabs>
          <w:tab w:leader="none" w:pos="80" w:val="left"/>
        </w:tabs>
        <w:numPr>
          <w:ilvl w:val="0"/>
          <w:numId w:val="57"/>
        </w:numPr>
        <w:rPr>
          <w:rFonts w:ascii="Arial" w:cs="Arial" w:eastAsia="Arial" w:hAnsi="Arial"/>
          <w:sz w:val="18"/>
          <w:szCs w:val="18"/>
          <w:color w:val="auto"/>
          <w:vertAlign w:val="superscript"/>
        </w:rPr>
      </w:pPr>
      <w:r>
        <w:rPr>
          <w:rFonts w:ascii="Arial" w:cs="Arial" w:eastAsia="Arial" w:hAnsi="Arial"/>
          <w:sz w:val="18"/>
          <w:szCs w:val="18"/>
          <w:color w:val="auto"/>
        </w:rPr>
        <w:t>YRC Transportation, S.A. de C.V. is owned 58.9% by YRC Inc. and 41.1% by Reimer Express Lines Ltd.</w:t>
      </w:r>
    </w:p>
    <w:p>
      <w:pPr>
        <w:spacing w:after="0" w:line="35" w:lineRule="exact"/>
        <w:rPr>
          <w:sz w:val="20"/>
          <w:szCs w:val="20"/>
          <w:color w:val="auto"/>
        </w:rPr>
      </w:pPr>
    </w:p>
    <w:p>
      <w:pPr>
        <w:ind w:left="80" w:hanging="72"/>
        <w:spacing w:after="0"/>
        <w:tabs>
          <w:tab w:leader="none" w:pos="80" w:val="left"/>
        </w:tabs>
        <w:numPr>
          <w:ilvl w:val="0"/>
          <w:numId w:val="58"/>
        </w:numPr>
        <w:rPr>
          <w:rFonts w:ascii="Arial" w:cs="Arial" w:eastAsia="Arial" w:hAnsi="Arial"/>
          <w:sz w:val="18"/>
          <w:szCs w:val="18"/>
          <w:color w:val="auto"/>
          <w:vertAlign w:val="superscript"/>
        </w:rPr>
      </w:pPr>
      <w:r>
        <w:rPr>
          <w:rFonts w:ascii="Arial" w:cs="Arial" w:eastAsia="Arial" w:hAnsi="Arial"/>
          <w:sz w:val="18"/>
          <w:szCs w:val="18"/>
          <w:color w:val="auto"/>
        </w:rPr>
        <w:t>Transcontinental Lease, S. de R.L. de C.V. is owned 99.99% by YRC Inc. and .01% by Roadway Express International, Inc.</w:t>
      </w:r>
    </w:p>
    <w:p>
      <w:pPr>
        <w:spacing w:after="0" w:line="22"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3</w:t>
      </w:r>
      <w:r>
        <w:rPr>
          <w:rFonts w:ascii="Arial" w:cs="Arial" w:eastAsia="Arial" w:hAnsi="Arial"/>
          <w:sz w:val="18"/>
          <w:szCs w:val="18"/>
          <w:color w:val="auto"/>
        </w:rPr>
        <w:t xml:space="preserve"> Roadway Express, S.A. de C.V. is owned 99.99% by YRC Inc. and .01% by Transcontinental Lease, S. de R.L. de C.V.</w:t>
      </w:r>
    </w:p>
    <w:p>
      <w:pPr>
        <w:sectPr>
          <w:pgSz w:w="11900" w:h="16838" w:orient="portrait"/>
          <w:cols w:equalWidth="0" w:num="1">
            <w:col w:w="11420"/>
          </w:cols>
          <w:pgMar w:left="240" w:top="580" w:right="239" w:bottom="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(Nos. 333-215142 and 333-193752) on Form S-3, and (Nos. 333-121370, 333-121470, 333-124847, 333-139691, 333-144958, 333-150941, 333-159354, 333-167931, 333-168401, and 333-178223) on Form S-8 of YRC Worldwide Inc. of our reports dated February 17, 2017, with respect to the consolidated balance sheets of YRC Worldwide Inc. and subsidiaries as of December 31, 2016 and 2015, and the related statements of consolidated operations, comprehensive income (loss), shareholders’ deficit, and cash flows for each of the years in the three-year period ended December 31, 2016, and the effectiveness of internal control over financial reporting as of December 31, 2016, which reports appear in the December 31, 2016 annual report on Form 10-K of YRC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17, 2017</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Stephanie D. Fisher, certify that:</w:t>
      </w:r>
    </w:p>
    <w:p>
      <w:pPr>
        <w:spacing w:after="0" w:line="90"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17, 2017</w:t>
      </w:r>
      <w:r>
        <w:rPr>
          <w:sz w:val="20"/>
          <w:szCs w:val="20"/>
          <w:color w:val="auto"/>
        </w:rPr>
        <w:tab/>
      </w:r>
      <w:r>
        <w:rPr>
          <w:rFonts w:ascii="Arial" w:cs="Arial" w:eastAsia="Arial" w:hAnsi="Arial"/>
          <w:sz w:val="16"/>
          <w:szCs w:val="16"/>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Stephanie D. Fisher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Acting Chief Financial Officer and Vice President and Controller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2016,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17, 2017</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2016, as filed with the Securities and Exchange Commission on the date hereof (the “Report”), I, Stephanie D. Fisher, Acting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17, 2017</w:t>
      </w:r>
      <w:r>
        <w:rPr>
          <w:sz w:val="20"/>
          <w:szCs w:val="20"/>
          <w:color w:val="auto"/>
        </w:rPr>
        <w:tab/>
      </w:r>
      <w:r>
        <w:rPr>
          <w:rFonts w:ascii="Arial" w:cs="Arial" w:eastAsia="Arial" w:hAnsi="Arial"/>
          <w:sz w:val="16"/>
          <w:szCs w:val="16"/>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Stephanie D. Fisher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Acting Chief Financial Officer and Vice President and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1"/>
    </w:lvl>
    <w:lvl w:ilvl="1">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3"/>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bullet"/>
      <w:start w:val="1"/>
    </w:lvl>
  </w:abstractNum>
  <w:abstractNum w:abstractNumId="57">
    <w:nsid w:val="741226BB"/>
    <w:multiLevelType w:val="hybridMultilevel"/>
    <w:lvl w:ilvl="0">
      <w:lvlJc w:val="left"/>
      <w:lvlText w:val="2"/>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2019-12-29T08:14:24Z</dcterms:created>
  <dcterms:modified xsi:type="dcterms:W3CDTF">2019-12-29T08:14:24Z</dcterms:modified>
</cp:coreProperties>
</file>