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0" w:after="0"/>
        <w:jc w:val="left"/>
        <w:rPr/>
      </w:pPr>
      <w:bookmarkStart w:id="0" w:name="yell-20230419.htm"/>
      <w:bookmarkStart w:id="1" w:name="ksyell20230419"/>
      <w:bookmarkEnd w:id="0"/>
      <w:bookmarkEnd w:id="1"/>
      <w:r>
        <w:rPr/>
        <w:t> </w:t>
      </w:r>
    </w:p>
    <w:p>
      <w:pPr>
        <w:pStyle w:val="TextBody"/>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spacing w:before="0" w:after="0"/>
        <w:jc w:val="left"/>
        <w:rPr/>
      </w:pPr>
      <w:r>
        <w:rPr/>
        <w:t> </w:t>
      </w:r>
    </w:p>
    <w:p>
      <w:pPr>
        <w:pStyle w:val="TextBody"/>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spacing w:before="0" w:after="0"/>
        <w:jc w:val="left"/>
        <w:rPr/>
      </w:pPr>
      <w:r>
        <w:rPr/>
        <w:t> </w:t>
      </w:r>
    </w:p>
    <w:p>
      <w:pPr>
        <w:pStyle w:val="TextBody"/>
        <w:spacing w:before="180" w:after="0"/>
        <w:jc w:val="center"/>
        <w:rPr>
          <w:rFonts w:ascii="Times New Roman;serif" w:hAnsi="Times New Roman;serif"/>
          <w:b/>
          <w:sz w:val="24"/>
        </w:rPr>
      </w:pPr>
      <w:r>
        <w:rPr>
          <w:rFonts w:ascii="Times New Roman;serif" w:hAnsi="Times New Roman;serif"/>
          <w:b/>
          <w:sz w:val="24"/>
        </w:rPr>
        <w:t>CURRENT REPORT</w:t>
      </w:r>
    </w:p>
    <w:p>
      <w:pPr>
        <w:pStyle w:val="TextBody"/>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474" w:type="dxa"/>
        <w:jc w:val="left"/>
        <w:tblInd w:w="0" w:type="dxa"/>
        <w:tblCellMar>
          <w:top w:w="28" w:type="dxa"/>
          <w:left w:w="28" w:type="dxa"/>
          <w:bottom w:w="28" w:type="dxa"/>
          <w:right w:w="28" w:type="dxa"/>
        </w:tblCellMar>
      </w:tblPr>
      <w:tblGrid>
        <w:gridCol w:w="5474"/>
      </w:tblGrid>
      <w:tr>
        <w:trPr/>
        <w:tc>
          <w:tcPr>
            <w:tcW w:w="5474" w:type="dxa"/>
            <w:tcBorders/>
            <w:shd w:fill="auto" w:val="clear"/>
            <w:vAlign w:val="center"/>
          </w:tcPr>
          <w:p>
            <w:pPr>
              <w:pStyle w:val="TableContents"/>
              <w:spacing w:before="0" w:after="283"/>
              <w:rPr>
                <w:sz w:val="4"/>
                <w:szCs w:val="4"/>
              </w:rPr>
            </w:pPr>
            <w:r>
              <w:rPr>
                <w:sz w:val="4"/>
                <w:szCs w:val="4"/>
              </w:rPr>
            </w:r>
          </w:p>
        </w:tc>
      </w:tr>
      <w:tr>
        <w:trPr/>
        <w:tc>
          <w:tcPr>
            <w:tcW w:w="5474" w:type="dxa"/>
            <w:tcBorders/>
            <w:shd w:fill="auto" w:val="clear"/>
            <w:tcMar>
              <w:top w:w="0" w:type="dxa"/>
              <w:left w:w="0" w:type="dxa"/>
              <w:bottom w:w="0" w:type="dxa"/>
              <w:right w:w="0" w:type="dxa"/>
            </w:tcMar>
            <w:vAlign w:val="center"/>
          </w:tcPr>
          <w:p>
            <w:pPr>
              <w:pStyle w:val="TableContents"/>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April 19, 2023</w:t>
            </w:r>
          </w:p>
        </w:tc>
      </w:tr>
    </w:tbl>
    <w:p>
      <w:pPr>
        <w:pStyle w:val="TextBody"/>
        <w:pBdr>
          <w:bottom w:val="single" w:sz="6" w:space="1" w:color="000000"/>
        </w:pBdr>
        <w:spacing w:before="100" w:after="0"/>
        <w:jc w:val="left"/>
        <w:rPr/>
      </w:pPr>
      <w:r>
        <w:rPr/>
        <w:t> </w:t>
      </w:r>
    </w:p>
    <w:p>
      <w:pPr>
        <w:pStyle w:val="TextBody"/>
        <w:spacing w:before="0" w:after="0"/>
        <w:jc w:val="left"/>
        <w:rPr/>
      </w:pPr>
      <w:r>
        <w:rPr/>
        <w:t> </w:t>
      </w:r>
    </w:p>
    <w:p>
      <w:pPr>
        <w:pStyle w:val="TextBody"/>
        <w:spacing w:before="100" w:after="0"/>
        <w:jc w:val="center"/>
        <w:rPr>
          <w:rFonts w:ascii="Times New Roman;serif" w:hAnsi="Times New Roman;serif"/>
          <w:b/>
          <w:sz w:val="48"/>
        </w:rPr>
      </w:pPr>
      <w:r>
        <w:rPr>
          <w:rFonts w:ascii="Times New Roman;serif" w:hAnsi="Times New Roman;serif"/>
          <w:b/>
          <w:sz w:val="48"/>
        </w:rPr>
        <w:t>Yellow Corporation</w:t>
      </w:r>
    </w:p>
    <w:p>
      <w:pPr>
        <w:pStyle w:val="TextBody"/>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spacing w:before="180" w:after="0"/>
        <w:jc w:val="left"/>
        <w:rPr/>
      </w:pPr>
      <w:r>
        <w:rPr/>
        <w:t> </w:t>
      </w:r>
    </w:p>
    <w:p>
      <w:pPr>
        <w:pStyle w:val="TextBody"/>
        <w:spacing w:before="0" w:after="0"/>
        <w:jc w:val="left"/>
        <w:rPr/>
      </w:pPr>
      <w:r>
        <w:rPr/>
        <w:t> </w:t>
      </w:r>
    </w:p>
    <w:tbl>
      <w:tblPr>
        <w:tblW w:w="6107" w:type="dxa"/>
        <w:jc w:val="left"/>
        <w:tblInd w:w="0" w:type="dxa"/>
        <w:tblCellMar>
          <w:top w:w="28" w:type="dxa"/>
          <w:left w:w="28" w:type="dxa"/>
          <w:bottom w:w="28" w:type="dxa"/>
          <w:right w:w="28" w:type="dxa"/>
        </w:tblCellMar>
      </w:tblPr>
      <w:tblGrid>
        <w:gridCol w:w="1034"/>
        <w:gridCol w:w="943"/>
        <w:gridCol w:w="948"/>
        <w:gridCol w:w="1846"/>
        <w:gridCol w:w="1336"/>
      </w:tblGrid>
      <w:tr>
        <w:trPr/>
        <w:tc>
          <w:tcPr>
            <w:tcW w:w="1034"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0-12255</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48-0948788</w:t>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1034"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43"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94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501 Commerce Street, Suite 1120</w:t>
            </w:r>
          </w:p>
        </w:tc>
        <w:tc>
          <w:tcPr>
            <w:tcW w:w="3182" w:type="dxa"/>
            <w:gridSpan w:val="2"/>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Nashville, Tennessee</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37203</w:t>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spacing w:before="0" w:after="0"/>
        <w:jc w:val="left"/>
        <w:rPr/>
      </w:pPr>
      <w:r>
        <w:rPr/>
        <w:t> </w:t>
      </w:r>
    </w:p>
    <w:tbl>
      <w:tblPr>
        <w:tblW w:w="6119" w:type="dxa"/>
        <w:jc w:val="left"/>
        <w:tblInd w:w="0" w:type="dxa"/>
        <w:tblCellMar>
          <w:top w:w="28" w:type="dxa"/>
          <w:left w:w="28" w:type="dxa"/>
          <w:bottom w:w="28" w:type="dxa"/>
          <w:right w:w="28" w:type="dxa"/>
        </w:tblCellMar>
      </w:tblPr>
      <w:tblGrid>
        <w:gridCol w:w="6119"/>
      </w:tblGrid>
      <w:tr>
        <w:trPr/>
        <w:tc>
          <w:tcPr>
            <w:tcW w:w="6119" w:type="dxa"/>
            <w:tcBorders/>
            <w:shd w:fill="auto" w:val="clear"/>
            <w:vAlign w:val="center"/>
          </w:tcPr>
          <w:p>
            <w:pPr>
              <w:pStyle w:val="TableContents"/>
              <w:spacing w:before="0" w:after="283"/>
              <w:rPr>
                <w:sz w:val="4"/>
                <w:szCs w:val="4"/>
              </w:rPr>
            </w:pPr>
            <w:r>
              <w:rPr>
                <w:sz w:val="4"/>
                <w:szCs w:val="4"/>
              </w:rPr>
            </w:r>
          </w:p>
        </w:tc>
      </w:tr>
      <w:tr>
        <w:trPr/>
        <w:tc>
          <w:tcPr>
            <w:tcW w:w="6119" w:type="dxa"/>
            <w:tcBorders/>
            <w:shd w:fill="auto" w:val="clear"/>
            <w:tcMar>
              <w:top w:w="0" w:type="dxa"/>
              <w:left w:w="0" w:type="dxa"/>
              <w:bottom w:w="0" w:type="dxa"/>
              <w:right w:w="0" w:type="dxa"/>
            </w:tcMar>
            <w:vAlign w:val="center"/>
          </w:tcPr>
          <w:p>
            <w:pPr>
              <w:pStyle w:val="TableContents"/>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val="false"/>
                <w:sz w:val="20"/>
              </w:rPr>
              <w:t>(</w:t>
            </w:r>
            <w:r>
              <w:rPr>
                <w:rFonts w:ascii="Times New Roman;serif" w:hAnsi="Times New Roman;serif"/>
                <w:b/>
                <w:sz w:val="20"/>
              </w:rPr>
              <w:t>913)</w:t>
            </w:r>
            <w:r>
              <w:rPr>
                <w:rFonts w:ascii="Times New Roman" w:hAnsi="Times New Roman"/>
                <w:sz w:val="20"/>
              </w:rPr>
              <w:t xml:space="preserve"> </w:t>
            </w:r>
            <w:r>
              <w:rPr>
                <w:rFonts w:ascii="Times New Roman;serif" w:hAnsi="Times New Roman;serif"/>
                <w:b/>
                <w:sz w:val="20"/>
              </w:rPr>
              <w:t>696-6100</w:t>
            </w:r>
          </w:p>
        </w:tc>
      </w:tr>
    </w:tbl>
    <w:p>
      <w:pPr>
        <w:pStyle w:val="TextBody"/>
        <w:spacing w:before="0" w:after="0"/>
        <w:jc w:val="left"/>
        <w:rPr/>
      </w:pPr>
      <w:r>
        <w:rPr/>
        <w:t> </w:t>
      </w:r>
    </w:p>
    <w:tbl>
      <w:tblPr>
        <w:tblW w:w="206" w:type="dxa"/>
        <w:jc w:val="left"/>
        <w:tblInd w:w="0" w:type="dxa"/>
        <w:tblCellMar>
          <w:top w:w="28" w:type="dxa"/>
          <w:left w:w="28" w:type="dxa"/>
          <w:bottom w:w="28" w:type="dxa"/>
          <w:right w:w="28" w:type="dxa"/>
        </w:tblCellMar>
      </w:tblPr>
      <w:tblGrid>
        <w:gridCol w:w="206"/>
      </w:tblGrid>
      <w:tr>
        <w:trPr/>
        <w:tc>
          <w:tcPr>
            <w:tcW w:w="206" w:type="dxa"/>
            <w:tcBorders/>
            <w:shd w:fill="auto" w:val="clear"/>
            <w:vAlign w:val="center"/>
          </w:tcPr>
          <w:p>
            <w:pPr>
              <w:pStyle w:val="TableContents"/>
              <w:spacing w:before="0" w:after="283"/>
              <w:rPr>
                <w:sz w:val="4"/>
                <w:szCs w:val="4"/>
              </w:rPr>
            </w:pPr>
            <w:r>
              <w:rPr>
                <w:sz w:val="4"/>
                <w:szCs w:val="4"/>
              </w:rPr>
            </w:r>
          </w:p>
        </w:tc>
      </w:tr>
      <w:tr>
        <w:trPr/>
        <w:tc>
          <w:tcPr>
            <w:tcW w:w="2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bl>
    <w:p>
      <w:pPr>
        <w:pStyle w:val="TextBody"/>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spacing w:before="187" w:after="0"/>
        <w:jc w:val="left"/>
        <w:rPr/>
      </w:pPr>
      <w:r>
        <w:rPr/>
        <w:t> </w:t>
      </w:r>
    </w:p>
    <w:p>
      <w:pPr>
        <w:pStyle w:val="TextBody"/>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8560" w:type="dxa"/>
        <w:jc w:val="left"/>
        <w:tblInd w:w="0" w:type="dxa"/>
        <w:tblCellMar>
          <w:top w:w="28" w:type="dxa"/>
          <w:left w:w="28" w:type="dxa"/>
          <w:bottom w:w="28" w:type="dxa"/>
          <w:right w:w="28" w:type="dxa"/>
        </w:tblCellMar>
      </w:tblPr>
      <w:tblGrid>
        <w:gridCol w:w="3496"/>
        <w:gridCol w:w="146"/>
        <w:gridCol w:w="946"/>
        <w:gridCol w:w="146"/>
        <w:gridCol w:w="3826"/>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26" w:type="dxa"/>
            <w:tcBorders/>
            <w:shd w:fill="auto" w:val="clear"/>
            <w:vAlign w:val="center"/>
          </w:tcPr>
          <w:p>
            <w:pPr>
              <w:pStyle w:val="TableContents"/>
              <w:spacing w:before="0" w:after="283"/>
              <w:rPr>
                <w:sz w:val="4"/>
                <w:szCs w:val="4"/>
              </w:rPr>
            </w:pPr>
            <w:r>
              <w:rPr>
                <w:sz w:val="4"/>
                <w:szCs w:val="4"/>
              </w:rPr>
            </w:r>
          </w:p>
        </w:tc>
      </w:tr>
      <w:tr>
        <w:trPr/>
        <w:tc>
          <w:tcPr>
            <w:tcW w:w="34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2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34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$0.01 par value per share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YELL</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Stock Market LLC</w:t>
            </w:r>
          </w:p>
        </w:tc>
      </w:tr>
    </w:tbl>
    <w:p>
      <w:pPr>
        <w:pStyle w:val="TextBody"/>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HorizontalLine"/>
        <w:rPr/>
      </w:pPr>
      <w:r>
        <w:rPr/>
      </w:r>
    </w:p>
    <w:p>
      <w:pPr>
        <w:pStyle w:val="TextBody"/>
        <w:spacing w:before="0" w:after="0"/>
        <w:jc w:val="left"/>
        <w:rPr>
          <w:rFonts w:ascii="Times New Roman;serif" w:hAnsi="Times New Roman;serif"/>
          <w:b/>
          <w:sz w:val="20"/>
        </w:rPr>
      </w:pPr>
      <w:r>
        <w:rPr>
          <w:rFonts w:ascii="Times New Roman;serif" w:hAnsi="Times New Roman;serif"/>
          <w:b/>
          <w:sz w:val="20"/>
        </w:rPr>
        <w:t>Item 5.02 Departure of Directors or Certain Officers; Election of Directors; Appointment of Certain Officers; Compensatory Arrangements of Certain Officers</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New Board Member Appointment</w:t>
      </w:r>
    </w:p>
    <w:p>
      <w:pPr>
        <w:pStyle w:val="TextBody"/>
        <w:spacing w:before="0" w:after="0"/>
        <w:jc w:val="both"/>
        <w:rPr>
          <w:rFonts w:ascii="Times New Roman" w:hAnsi="Times New Roman"/>
          <w:sz w:val="20"/>
        </w:rPr>
      </w:pPr>
      <w:r>
        <w:rPr>
          <w:rFonts w:ascii="Times New Roman;serif" w:hAnsi="Times New Roman;serif"/>
          <w:b w:val="false"/>
          <w:sz w:val="20"/>
        </w:rPr>
        <w:t>On April 19, 2023, the Board of Directors (the “Board”) of Yellow Corporation (the “Company”) approved the appointment of David H. Webber as a director. Pursuant to its director appointment rights as the holder of the Company’s Series A Voting Preferred Stock, par value $1.00 per share, the International Brotherhood of Teamsters selected David H. Webber to serve on the Board. To accommodate the appointment of Mr. Webber, the Board approved increasing the Board size from ten to eleven directors.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There are no transactions between Mr. Webber and the Company that would be reportable under Item 404(a) of Regulation S-K.</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The Company and Mr. Webber will enter into the Company’s standard form of indemnification agreement for directors and officers, a copy of which was previously filed as Exhibit 10.5 to the Company’s Current Report on Form 8-K filed on March 15, 2007, and is incorporated herein by reference.</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Mr. Webber will receive the same cash and equity compensation as the other non-employee directors serving on the Board pursuant to the Company’s Fifth Amended and Restated Director Compensation Plan (the “Plan”), as amended, which has been filed as Exhibit 10.10.1 to the Company’s Annual Report on Form 10-K for the year ended December 31, 2022, and incorporated herein by reference. Pursuant to the Plan, Mr. Webber will receive an annual cash retainer of $160,000, paid quarterly. In addition, he will be entitled to receive an annual grant of restricted stock units equal to $100,000 divided by the 30-day average closing price of our common stock on the grant date (the "Annual RSU Grant"). Mr. Webber will first receive an Annual RSU Grant for the 2023-2024 Board term.</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At the time of this filing, Mr. Webber has yet to be named to any board committee.</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Item 9.01 Financial Statements and Exhibits.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 Exhibits</w:t>
      </w:r>
    </w:p>
    <w:p>
      <w:pPr>
        <w:pStyle w:val="TextBody"/>
        <w:spacing w:before="0" w:after="0"/>
        <w:jc w:val="left"/>
        <w:rPr/>
      </w:pPr>
      <w:r>
        <w:rPr/>
        <w:t> </w:t>
      </w:r>
    </w:p>
    <w:tbl>
      <w:tblPr>
        <w:tblW w:w="8027" w:type="dxa"/>
        <w:jc w:val="left"/>
        <w:tblInd w:w="0" w:type="dxa"/>
        <w:tblCellMar>
          <w:top w:w="28" w:type="dxa"/>
          <w:left w:w="28" w:type="dxa"/>
          <w:bottom w:w="28" w:type="dxa"/>
          <w:right w:w="28" w:type="dxa"/>
        </w:tblCellMar>
      </w:tblPr>
      <w:tblGrid>
        <w:gridCol w:w="1426"/>
        <w:gridCol w:w="6601"/>
      </w:tblGrid>
      <w:tr>
        <w:trPr/>
        <w:tc>
          <w:tcPr>
            <w:tcW w:w="1426" w:type="dxa"/>
            <w:tcBorders/>
            <w:shd w:fill="auto" w:val="clear"/>
            <w:vAlign w:val="center"/>
          </w:tcPr>
          <w:p>
            <w:pPr>
              <w:pStyle w:val="TableContents"/>
              <w:spacing w:before="0" w:after="283"/>
              <w:rPr>
                <w:sz w:val="4"/>
                <w:szCs w:val="4"/>
              </w:rPr>
            </w:pPr>
            <w:r>
              <w:rPr>
                <w:sz w:val="4"/>
                <w:szCs w:val="4"/>
              </w:rPr>
            </w:r>
          </w:p>
        </w:tc>
        <w:tc>
          <w:tcPr>
            <w:tcW w:w="6601" w:type="dxa"/>
            <w:tcBorders/>
            <w:shd w:fill="auto" w:val="clear"/>
            <w:vAlign w:val="center"/>
          </w:tcPr>
          <w:p>
            <w:pPr>
              <w:pStyle w:val="TableContents"/>
              <w:spacing w:before="0" w:after="283"/>
              <w:rPr>
                <w:sz w:val="4"/>
                <w:szCs w:val="4"/>
              </w:rPr>
            </w:pPr>
            <w:r>
              <w:rPr>
                <w:sz w:val="4"/>
                <w:szCs w:val="4"/>
              </w:rPr>
            </w:r>
          </w:p>
        </w:tc>
      </w:tr>
      <w:tr>
        <w:trPr/>
        <w:tc>
          <w:tcPr>
            <w:tcW w:w="1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Number</w:t>
            </w:r>
          </w:p>
        </w:tc>
        <w:tc>
          <w:tcPr>
            <w:tcW w:w="6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Description</w:t>
            </w:r>
          </w:p>
        </w:tc>
      </w:tr>
      <w:tr>
        <w:trPr/>
        <w:tc>
          <w:tcPr>
            <w:tcW w:w="14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6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yell-ex99_1.htm">
              <w:r>
                <w:rPr>
                  <w:rStyle w:val="InternetLink"/>
                  <w:rFonts w:ascii="Times New Roman;serif" w:hAnsi="Times New Roman;serif"/>
                  <w:b w:val="false"/>
                  <w:sz w:val="20"/>
                  <w:u w:val="single"/>
                </w:rPr>
                <w:t>Press Release dated April 25, 2023</w:t>
              </w:r>
            </w:hyperlink>
          </w:p>
        </w:tc>
      </w:tr>
      <w:tr>
        <w:trPr/>
        <w:tc>
          <w:tcPr>
            <w:tcW w:w="14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66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187"/>
        <w:jc w:val="center"/>
        <w:rPr>
          <w:rFonts w:ascii="Times New Roman;serif" w:hAnsi="Times New Roman;serif"/>
          <w:b/>
          <w:sz w:val="20"/>
        </w:rPr>
      </w:pPr>
      <w:r>
        <w:rPr>
          <w:rFonts w:ascii="Times New Roman;serif" w:hAnsi="Times New Roman;serif"/>
          <w:b/>
          <w:sz w:val="20"/>
        </w:rPr>
        <w:t>SIGNATURES</w:t>
      </w:r>
    </w:p>
    <w:p>
      <w:pPr>
        <w:pStyle w:val="TextBody"/>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tbl>
      <w:tblPr>
        <w:tblW w:w="7069" w:type="dxa"/>
        <w:jc w:val="left"/>
        <w:tblInd w:w="0" w:type="dxa"/>
        <w:tblCellMar>
          <w:top w:w="28" w:type="dxa"/>
          <w:left w:w="28" w:type="dxa"/>
          <w:bottom w:w="28" w:type="dxa"/>
          <w:right w:w="28" w:type="dxa"/>
        </w:tblCellMar>
      </w:tblPr>
      <w:tblGrid>
        <w:gridCol w:w="556"/>
        <w:gridCol w:w="1291"/>
        <w:gridCol w:w="451"/>
        <w:gridCol w:w="4771"/>
      </w:tblGrid>
      <w:tr>
        <w:trPr/>
        <w:tc>
          <w:tcPr>
            <w:tcW w:w="55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77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771" w:type="dxa"/>
            <w:tcBorders/>
            <w:shd w:fill="auto" w:val="clear"/>
            <w:tcMar>
              <w:top w:w="0" w:type="dxa"/>
              <w:left w:w="0" w:type="dxa"/>
              <w:bottom w:w="0" w:type="dxa"/>
              <w:right w:w="0" w:type="dxa"/>
            </w:tcMar>
            <w:vAlign w:val="center"/>
          </w:tcPr>
          <w:p>
            <w:pPr>
              <w:pStyle w:val="TableContents"/>
              <w:spacing w:before="86" w:after="86"/>
              <w:ind w:left="0" w:right="0" w:hanging="0"/>
              <w:jc w:val="left"/>
              <w:rPr>
                <w:rFonts w:ascii="Times New Roman;serif" w:hAnsi="Times New Roman;serif"/>
                <w:b w:val="false"/>
                <w:sz w:val="20"/>
              </w:rPr>
            </w:pPr>
            <w:r>
              <w:rPr>
                <w:rFonts w:ascii="Times New Roman;serif" w:hAnsi="Times New Roman;serif"/>
                <w:b w:val="false"/>
                <w:sz w:val="20"/>
              </w:rPr>
              <w:t>YELLOW CORPORATION</w:t>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7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56"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91"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April 25, 2023</w:t>
            </w:r>
          </w:p>
        </w:tc>
        <w:tc>
          <w:tcPr>
            <w:tcW w:w="451"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4771" w:type="dxa"/>
            <w:tcBorders>
              <w:bottom w:val="single" w:sz="2" w:space="0" w:color="000000"/>
            </w:tcBorders>
            <w:shd w:fill="auto" w:val="clear"/>
            <w:tcMar>
              <w:top w:w="0" w:type="dxa"/>
              <w:left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/s/ Leah K. Dawson</w:t>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771" w:type="dxa"/>
            <w:tcBorders/>
            <w:shd w:fill="auto" w:val="clear"/>
            <w:tcMar>
              <w:top w:w="0" w:type="dxa"/>
              <w:left w:w="0" w:type="dxa"/>
              <w:bottom w:w="0" w:type="dxa"/>
              <w:right w:w="0" w:type="dxa"/>
            </w:tcMar>
            <w:vAlign w:val="center"/>
          </w:tcPr>
          <w:p>
            <w:pPr>
              <w:pStyle w:val="TableContents"/>
              <w:spacing w:before="14" w:after="187"/>
              <w:ind w:left="0" w:right="0" w:hanging="0"/>
              <w:jc w:val="left"/>
              <w:rPr>
                <w:rFonts w:ascii="Times New Roman;serif" w:hAnsi="Times New Roman;serif"/>
                <w:b w:val="false"/>
                <w:sz w:val="20"/>
              </w:rPr>
            </w:pPr>
            <w:r>
              <w:rPr>
                <w:rFonts w:ascii="Times New Roman;serif" w:hAnsi="Times New Roman;serif"/>
                <w:b w:val="false"/>
                <w:sz w:val="20"/>
              </w:rPr>
              <w:t>Leah K. Dawson</w:t>
              <w:br/>
              <w:t>Executive Vice President, General Counsel and Secretary</w:t>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771" w:type="dxa"/>
            <w:tcBorders/>
            <w:shd w:fill="auto" w:val="clear"/>
            <w:tcMar>
              <w:top w:w="0" w:type="dxa"/>
              <w:left w:w="0" w:type="dxa"/>
              <w:bottom w:w="0" w:type="dxa"/>
              <w:right w:w="0" w:type="dxa"/>
            </w:tcMar>
            <w:vAlign w:val="center"/>
          </w:tcPr>
          <w:p>
            <w:pPr>
              <w:pStyle w:val="TableContents"/>
              <w:spacing w:before="14" w:after="187"/>
              <w:ind w:left="0" w:right="0" w:hanging="0"/>
              <w:jc w:val="left"/>
              <w:rPr/>
            </w:pPr>
            <w:r>
              <w:rPr/>
              <w:t> </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2" w:name="yell-ex99_1.htm"/>
      <w:bookmarkStart w:id="3" w:name="ksyellex99_1"/>
      <w:bookmarkEnd w:id="2"/>
      <w:bookmarkEnd w:id="3"/>
      <w:r>
        <w:rPr>
          <w:rFonts w:ascii="Times New Roman;serif" w:hAnsi="Times New Roman;serif"/>
          <w:b/>
          <w:sz w:val="20"/>
        </w:rPr>
        <w:t>Exhibit 99.1</w:t>
      </w:r>
    </w:p>
    <w:p>
      <w:pPr>
        <w:pStyle w:val="TextBody"/>
        <w:spacing w:before="0" w:after="0"/>
        <w:jc w:val="center"/>
        <w:rPr/>
      </w:pPr>
      <w:r>
        <w:rPr/>
        <w:drawing>
          <wp:inline distT="0" distB="0" distL="0" distR="0">
            <wp:extent cx="2333625"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3625" cy="1219200"/>
                    </a:xfrm>
                    <a:prstGeom prst="rect">
                      <a:avLst/>
                    </a:prstGeom>
                  </pic:spPr>
                </pic:pic>
              </a:graphicData>
            </a:graphic>
          </wp:inline>
        </w:drawing>
      </w:r>
      <w:r>
        <w:rPr/>
        <w:t> </w:t>
      </w:r>
    </w:p>
    <w:p>
      <w:pPr>
        <w:pStyle w:val="TextBody"/>
        <w:spacing w:before="0" w:after="0"/>
        <w:jc w:val="left"/>
        <w:rPr>
          <w:rFonts w:ascii="Times New Roman;serif" w:hAnsi="Times New Roman;serif"/>
          <w:b/>
          <w:sz w:val="44"/>
        </w:rPr>
      </w:pPr>
      <w:r>
        <w:rPr>
          <w:rFonts w:ascii="Times New Roman;serif" w:hAnsi="Times New Roman;serif"/>
          <w:b/>
          <w:sz w:val="44"/>
        </w:rPr>
        <w:t>Yellow Corporation Names New Board Member</w:t>
      </w:r>
    </w:p>
    <w:p>
      <w:pPr>
        <w:pStyle w:val="TextBody"/>
        <w:spacing w:before="0" w:after="0"/>
        <w:jc w:val="left"/>
        <w:rPr/>
      </w:pPr>
      <w:r>
        <w:rPr/>
        <w:t> </w:t>
      </w:r>
    </w:p>
    <w:p>
      <w:pPr>
        <w:pStyle w:val="TextBody"/>
        <w:spacing w:before="0" w:after="0"/>
        <w:jc w:val="left"/>
        <w:rPr>
          <w:rFonts w:ascii="Times New Roman;serif" w:hAnsi="Times New Roman;serif"/>
          <w:b/>
          <w:i/>
          <w:sz w:val="24"/>
        </w:rPr>
      </w:pPr>
      <w:r>
        <w:rPr>
          <w:rFonts w:ascii="Times New Roman;serif" w:hAnsi="Times New Roman;serif"/>
          <w:b/>
          <w:i/>
          <w:sz w:val="24"/>
        </w:rPr>
        <w:t>David Webber Adds Significant Governance and Shareholder Interest Experience</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NASHVILLE. Tenn., April 25, 2023 -- Yellow Corporation (NASDAQ: YELL) has appointed David H. Webber to its Board of Directors, effective April 20, 2023.</w:t>
      </w:r>
      <w:r>
        <w:rPr>
          <w:rFonts w:ascii="Times New Roman" w:hAnsi="Times New Roman"/>
          <w:sz w:val="20"/>
        </w:rPr>
        <w:t xml:space="preserve"> </w:t>
      </w:r>
    </w:p>
    <w:p>
      <w:pPr>
        <w:pStyle w:val="TextBody"/>
        <w:spacing w:before="150" w:after="150"/>
        <w:jc w:val="both"/>
        <w:rPr>
          <w:rFonts w:ascii="Times New Roman" w:hAnsi="Times New Roman"/>
          <w:sz w:val="20"/>
        </w:rPr>
      </w:pPr>
      <w:r>
        <w:rPr>
          <w:rFonts w:ascii="Times New Roman;serif" w:hAnsi="Times New Roman;serif"/>
          <w:b w:val="false"/>
          <w:sz w:val="20"/>
        </w:rPr>
        <w:t xml:space="preserve">Webber is a Professor of Law at Boston University and a highly respected academic with numerous scholarly articles published in the Harvard Business Law Review and the University of Chicago Business Law Review, among others. Webber is also the author of the critically acclaimed book, </w:t>
      </w:r>
      <w:r>
        <w:rPr>
          <w:rFonts w:ascii="Times New Roman;serif" w:hAnsi="Times New Roman;serif"/>
          <w:b w:val="false"/>
          <w:i/>
          <w:sz w:val="20"/>
        </w:rPr>
        <w:t>The Rise of the Working-Class Shareholder: Labor’s Last Best Weapon</w:t>
      </w:r>
      <w:r>
        <w:rPr>
          <w:rFonts w:ascii="Times New Roman;serif" w:hAnsi="Times New Roman;serif"/>
          <w:b w:val="false"/>
          <w:sz w:val="20"/>
        </w:rPr>
        <w:t>, published by Harvard University Press. Webber is a nationally recognized expert in pensions as well as shareholder activism and litigation. He was selected by the International Brotherhood of Teamsters to join the Board of Directors pursuant to its director appointment rights as the holder of Yellow’s Series A Voting Preferred Stock.</w:t>
      </w:r>
    </w:p>
    <w:p>
      <w:pPr>
        <w:pStyle w:val="TextBody"/>
        <w:spacing w:before="150" w:after="150"/>
        <w:jc w:val="both"/>
        <w:rPr/>
      </w:pPr>
      <w:r>
        <w:rPr/>
        <w:t>“</w:t>
      </w:r>
      <w:r>
        <w:rPr>
          <w:rFonts w:ascii="Times New Roman;serif" w:hAnsi="Times New Roman;serif"/>
          <w:b w:val="false"/>
          <w:sz w:val="20"/>
        </w:rPr>
        <w:t>We are pleased to welcome David to the board,” said Matt Doheny, chairman of Yellow’s Board of Directors. “We look forward to his perspectives from a labor standpoint and we will benefit from his insights as we continue our company-wide modernization to become One Yellow.”</w:t>
      </w:r>
    </w:p>
    <w:p>
      <w:pPr>
        <w:pStyle w:val="TextBody"/>
        <w:spacing w:before="150" w:after="150"/>
        <w:jc w:val="both"/>
        <w:rPr>
          <w:rFonts w:ascii="Times New Roman;serif" w:hAnsi="Times New Roman;serif"/>
          <w:b w:val="false"/>
          <w:sz w:val="20"/>
        </w:rPr>
      </w:pPr>
      <w:r>
        <w:rPr>
          <w:rFonts w:ascii="Times New Roman;serif" w:hAnsi="Times New Roman;serif"/>
          <w:b w:val="false"/>
          <w:sz w:val="20"/>
        </w:rPr>
        <w:t>Webber is a graduate of Columbia University and NYU Law School, where he was an editor of the law review.</w:t>
      </w:r>
    </w:p>
    <w:p>
      <w:pPr>
        <w:pStyle w:val="TextBody"/>
        <w:spacing w:before="0" w:after="0"/>
        <w:jc w:val="left"/>
        <w:rPr>
          <w:rFonts w:ascii="Times New Roman" w:hAnsi="Times New Roman"/>
          <w:sz w:val="20"/>
        </w:rPr>
      </w:pPr>
      <w:r>
        <w:rPr>
          <w:rFonts w:ascii="Times New Roman;serif" w:hAnsi="Times New Roman;serif"/>
          <w:b/>
          <w:sz w:val="20"/>
        </w:rPr>
        <w:t>About Yellow Corporation</w:t>
      </w:r>
      <w:r>
        <w:rPr>
          <w:rFonts w:ascii="Times New Roman;serif" w:hAnsi="Times New Roman;serif"/>
          <w:b w:val="false"/>
          <w:sz w:val="20"/>
        </w:rPr>
        <w:br/>
      </w:r>
      <w:r>
        <w:rPr>
          <w:rFonts w:ascii="Times New Roman" w:hAnsi="Times New Roman"/>
          <w:sz w:val="20"/>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Yellow operates one of the largest, most comprehensive logistics and less-than-truckload (LTL) networks in North America, providing customers with regional, national, and international shipping services throughout. Backed by a team of nearly 30,000 transportation professionals, Yellow’s flexible supply chain solutions and best-in-class expertise ensure the safe, timely delivery of industrial, commercial, and retail goods for customers of all sizes. Yellow’s principal office is in Nashville, Tenn., and is the holding company for a portfolio of LTL brands including Holland, New Penn, Reddaway and YRC Freight, as well as the logistics company Yellow Logistics.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To learn more about Yellow and our services, visit myyellow.com.</w:t>
      </w:r>
      <w:r>
        <w:rPr>
          <w:rFonts w:ascii="Times New Roman" w:hAnsi="Times New Roman"/>
          <w:sz w:val="20"/>
        </w:rPr>
        <w:t xml:space="preserve"> </w:t>
      </w:r>
    </w:p>
    <w:tbl>
      <w:tblPr>
        <w:tblW w:w="4217" w:type="dxa"/>
        <w:jc w:val="left"/>
        <w:tblInd w:w="0" w:type="dxa"/>
        <w:tblCellMar>
          <w:top w:w="28" w:type="dxa"/>
          <w:left w:w="28" w:type="dxa"/>
          <w:bottom w:w="28" w:type="dxa"/>
          <w:right w:w="28" w:type="dxa"/>
        </w:tblCellMar>
      </w:tblPr>
      <w:tblGrid>
        <w:gridCol w:w="1531"/>
        <w:gridCol w:w="2686"/>
      </w:tblGrid>
      <w:tr>
        <w:trPr/>
        <w:tc>
          <w:tcPr>
            <w:tcW w:w="1531" w:type="dxa"/>
            <w:tcBorders/>
            <w:shd w:fill="auto" w:val="clear"/>
            <w:vAlign w:val="center"/>
          </w:tcPr>
          <w:p>
            <w:pPr>
              <w:pStyle w:val="TableContents"/>
              <w:spacing w:before="0" w:after="283"/>
              <w:rPr>
                <w:sz w:val="4"/>
                <w:szCs w:val="4"/>
              </w:rPr>
            </w:pPr>
            <w:r>
              <w:rPr>
                <w:sz w:val="4"/>
                <w:szCs w:val="4"/>
              </w:rPr>
            </w:r>
          </w:p>
        </w:tc>
        <w:tc>
          <w:tcPr>
            <w:tcW w:w="2686" w:type="dxa"/>
            <w:tcBorders/>
            <w:shd w:fill="auto" w:val="clear"/>
            <w:vAlign w:val="center"/>
          </w:tcPr>
          <w:p>
            <w:pPr>
              <w:pStyle w:val="TableContents"/>
              <w:spacing w:before="0" w:after="283"/>
              <w:rPr>
                <w:sz w:val="4"/>
                <w:szCs w:val="4"/>
              </w:rPr>
            </w:pPr>
            <w:r>
              <w:rPr>
                <w:sz w:val="4"/>
                <w:szCs w:val="4"/>
              </w:rPr>
            </w:r>
          </w:p>
        </w:tc>
      </w:tr>
      <w:tr>
        <w:trPr/>
        <w:tc>
          <w:tcPr>
            <w:tcW w:w="1531"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Media Contacts:</w:t>
            </w:r>
          </w:p>
        </w:tc>
        <w:tc>
          <w:tcPr>
            <w:tcW w:w="2686"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Mike Kelley</w:t>
            </w:r>
          </w:p>
        </w:tc>
      </w:tr>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913-696-6121</w:t>
            </w:r>
          </w:p>
        </w:tc>
      </w:tr>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mike.kelley@myyellow.com</w:t>
            </w:r>
          </w:p>
        </w:tc>
      </w:tr>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2686" w:type="dxa"/>
            <w:tcBorders/>
            <w:shd w:fill="auto" w:val="clear"/>
            <w:vAlign w:val="center"/>
          </w:tcPr>
          <w:p>
            <w:pPr>
              <w:pStyle w:val="TableContents"/>
              <w:spacing w:before="0" w:after="283"/>
              <w:ind w:left="0" w:right="0" w:hanging="0"/>
              <w:rPr>
                <w:sz w:val="4"/>
                <w:szCs w:val="4"/>
              </w:rPr>
            </w:pPr>
            <w:r>
              <w:rPr>
                <w:sz w:val="4"/>
                <w:szCs w:val="4"/>
              </w:rPr>
            </w:r>
          </w:p>
        </w:tc>
      </w:tr>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Heather Nauert</w:t>
            </w:r>
          </w:p>
        </w:tc>
      </w:tr>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heather.nauert@myyellow.com</w:t>
            </w:r>
          </w:p>
        </w:tc>
      </w:tr>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2686" w:type="dxa"/>
            <w:tcBorders/>
            <w:shd w:fill="auto" w:val="clear"/>
            <w:vAlign w:val="center"/>
          </w:tcPr>
          <w:p>
            <w:pPr>
              <w:pStyle w:val="TableContents"/>
              <w:spacing w:before="0" w:after="283"/>
              <w:ind w:left="0" w:right="0" w:hanging="0"/>
              <w:rPr>
                <w:sz w:val="4"/>
                <w:szCs w:val="4"/>
              </w:rPr>
            </w:pPr>
            <w:r>
              <w:rPr>
                <w:sz w:val="4"/>
                <w:szCs w:val="4"/>
              </w:rPr>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Investor Contact:</w:t>
            </w:r>
          </w:p>
        </w:tc>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Tony Carreño</w:t>
            </w:r>
          </w:p>
        </w:tc>
      </w:tr>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913-696-6108</w:t>
            </w:r>
          </w:p>
        </w:tc>
      </w:tr>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investor@myyellow.com</w:t>
            </w:r>
          </w:p>
        </w:tc>
      </w:tr>
    </w:tbl>
    <w:p>
      <w:pPr>
        <w:pStyle w:val="TextBody"/>
        <w:spacing w:before="0" w:after="160"/>
        <w:jc w:val="left"/>
        <w:rPr/>
      </w:pPr>
      <w:r>
        <w:rPr/>
        <w:t> </w:t>
      </w:r>
    </w:p>
    <w:p>
      <w:pPr>
        <w:pStyle w:val="TextBody"/>
        <w:spacing w:before="0" w:after="0"/>
        <w:jc w:val="left"/>
        <w:rPr/>
      </w:pPr>
      <w:r>
        <w:rPr/>
        <w:t> </w:t>
      </w:r>
    </w:p>
    <w:p>
      <w:pPr>
        <w:pStyle w:val="HorizontalLine"/>
        <w:rPr/>
      </w:pPr>
      <w:r>
        <w:rPr/>
      </w:r>
    </w:p>
    <w:p>
      <w:pPr>
        <w:pStyle w:val="TextBody"/>
        <w:spacing w:before="0" w:after="16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1031</Words>
  <CharactersWithSpaces>6741</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