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1"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2016</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48" w:lineRule="exact"/>
        <w:rPr>
          <w:sz w:val="24"/>
          <w:szCs w:val="24"/>
          <w:color w:val="auto"/>
        </w:rPr>
      </w:pPr>
    </w:p>
    <w:p>
      <w:pPr>
        <w:ind w:left="380" w:hanging="354"/>
        <w:spacing w:after="0"/>
        <w:tabs>
          <w:tab w:leader="none" w:pos="38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22" w:right="239" w:bottom="1440" w:gutter="0" w:footer="0" w:header="0"/>
        </w:sectPr>
      </w:pPr>
    </w:p>
    <w:p>
      <w:pPr>
        <w:spacing w:after="0" w:line="117" w:lineRule="exact"/>
        <w:rPr>
          <w:sz w:val="24"/>
          <w:szCs w:val="24"/>
          <w:color w:val="auto"/>
        </w:rPr>
      </w:pPr>
    </w:p>
    <w:p>
      <w:pPr>
        <w:ind w:left="370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15" w:lineRule="exact"/>
        <w:rPr>
          <w:sz w:val="24"/>
          <w:szCs w:val="24"/>
          <w:color w:val="auto"/>
        </w:rPr>
      </w:pPr>
    </w:p>
    <w:p>
      <w:pPr>
        <w:sectPr>
          <w:pgSz w:w="11900" w:h="16838" w:orient="portrait"/>
          <w:cols w:equalWidth="0" w:num="2">
            <w:col w:w="6020" w:space="720"/>
            <w:col w:w="4680"/>
          </w:cols>
          <w:pgMar w:left="240" w:top="222"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0-12255</w:t>
      </w:r>
    </w:p>
    <w:p>
      <w:pPr>
        <w:sectPr>
          <w:pgSz w:w="11900" w:h="16838" w:orient="portrait"/>
          <w:cols w:equalWidth="0" w:num="1">
            <w:col w:w="11420"/>
          </w:cols>
          <w:pgMar w:left="240" w:top="222"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260" w:type="dxa"/>
        <w:tblCellMar>
          <w:top w:w="0" w:type="dxa"/>
          <w:left w:w="0" w:type="dxa"/>
          <w:bottom w:w="0" w:type="dxa"/>
          <w:right w:w="0" w:type="dxa"/>
        </w:tblCellMar>
      </w:tblPr>
      <w:tr>
        <w:trPr>
          <w:trHeight w:val="217"/>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91"/>
              </w:rPr>
              <w:t>Delaware</w:t>
            </w:r>
          </w:p>
        </w:tc>
        <w:tc>
          <w:tcPr>
            <w:tcW w:w="1460" w:type="dxa"/>
            <w:vAlign w:val="bottom"/>
          </w:tcPr>
          <w:p>
            <w:pPr>
              <w:jc w:val="right"/>
              <w:ind w:right="46"/>
              <w:spacing w:after="0"/>
              <w:rPr>
                <w:sz w:val="20"/>
                <w:szCs w:val="20"/>
                <w:color w:val="auto"/>
              </w:rPr>
            </w:pPr>
            <w:r>
              <w:rPr>
                <w:rFonts w:ascii="Arial" w:cs="Arial" w:eastAsia="Arial" w:hAnsi="Arial"/>
                <w:sz w:val="17"/>
                <w:szCs w:val="17"/>
                <w:b w:val="1"/>
                <w:bCs w:val="1"/>
                <w:color w:val="auto"/>
              </w:rPr>
              <w:t>48-0948788</w:t>
            </w:r>
          </w:p>
        </w:tc>
      </w:tr>
      <w:tr>
        <w:trPr>
          <w:trHeight w:val="204"/>
        </w:trPr>
        <w:tc>
          <w:tcPr>
            <w:tcW w:w="6360" w:type="dxa"/>
            <w:vAlign w:val="bottom"/>
          </w:tcPr>
          <w:p>
            <w:pPr>
              <w:jc w:val="center"/>
              <w:ind w:right="3205"/>
              <w:spacing w:after="0"/>
              <w:rPr>
                <w:sz w:val="20"/>
                <w:szCs w:val="20"/>
                <w:color w:val="auto"/>
              </w:rPr>
            </w:pPr>
            <w:r>
              <w:rPr>
                <w:rFonts w:ascii="Arial" w:cs="Arial" w:eastAsia="Arial" w:hAnsi="Arial"/>
                <w:sz w:val="13"/>
                <w:szCs w:val="13"/>
                <w:b w:val="1"/>
                <w:bCs w:val="1"/>
                <w:color w:val="auto"/>
                <w:w w:val="94"/>
              </w:rPr>
              <w:t>(State or other jurisdiction of</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8"/>
              </w:rPr>
              <w:t>(I.R.S. Employer</w:t>
            </w:r>
          </w:p>
        </w:tc>
      </w:tr>
      <w:tr>
        <w:trPr>
          <w:trHeight w:val="252"/>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3"/>
              </w:rPr>
              <w:t>incorporation or organization)</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Identification No.)</w:t>
            </w:r>
          </w:p>
        </w:tc>
      </w:tr>
      <w:tr>
        <w:trPr>
          <w:trHeight w:val="413"/>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1460" w:type="dxa"/>
            <w:vAlign w:val="bottom"/>
          </w:tcPr>
          <w:p>
            <w:pPr>
              <w:jc w:val="right"/>
              <w:ind w:right="246"/>
              <w:spacing w:after="0"/>
              <w:rPr>
                <w:sz w:val="20"/>
                <w:szCs w:val="20"/>
                <w:color w:val="auto"/>
              </w:rPr>
            </w:pPr>
            <w:r>
              <w:rPr>
                <w:rFonts w:ascii="Arial" w:cs="Arial" w:eastAsia="Arial" w:hAnsi="Arial"/>
                <w:sz w:val="17"/>
                <w:szCs w:val="17"/>
                <w:b w:val="1"/>
                <w:bCs w:val="1"/>
                <w:color w:val="auto"/>
              </w:rPr>
              <w:t>66211</w:t>
            </w:r>
          </w:p>
        </w:tc>
      </w:tr>
      <w:tr>
        <w:trPr>
          <w:trHeight w:val="20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(Zip Code)</w:t>
            </w:r>
          </w:p>
        </w:tc>
      </w:tr>
      <w:tr>
        <w:trPr>
          <w:trHeight w:val="254"/>
        </w:trPr>
        <w:tc>
          <w:tcPr>
            <w:tcW w:w="6360" w:type="dxa"/>
            <w:vAlign w:val="bottom"/>
          </w:tcPr>
          <w:p>
            <w:pPr>
              <w:jc w:val="center"/>
              <w:ind w:left="2485"/>
              <w:spacing w:after="0"/>
              <w:rPr>
                <w:sz w:val="20"/>
                <w:szCs w:val="20"/>
                <w:color w:val="auto"/>
              </w:rPr>
            </w:pPr>
            <w:r>
              <w:rPr>
                <w:rFonts w:ascii="Arial" w:cs="Arial" w:eastAsia="Arial" w:hAnsi="Arial"/>
                <w:sz w:val="17"/>
                <w:szCs w:val="17"/>
                <w:b w:val="1"/>
                <w:bCs w:val="1"/>
                <w:color w:val="auto"/>
                <w:w w:val="89"/>
              </w:rPr>
              <w:t>(913) 696-6100</w:t>
            </w:r>
          </w:p>
        </w:tc>
        <w:tc>
          <w:tcPr>
            <w:tcW w:w="1460" w:type="dxa"/>
            <w:vAlign w:val="bottom"/>
          </w:tcPr>
          <w:p>
            <w:pPr>
              <w:spacing w:after="0"/>
              <w:rPr>
                <w:sz w:val="22"/>
                <w:szCs w:val="22"/>
                <w:color w:val="auto"/>
              </w:rPr>
            </w:pPr>
          </w:p>
        </w:tc>
      </w:tr>
      <w:tr>
        <w:trPr>
          <w:trHeight w:val="174"/>
        </w:trPr>
        <w:tc>
          <w:tcPr>
            <w:tcW w:w="6360" w:type="dxa"/>
            <w:vAlign w:val="bottom"/>
          </w:tcPr>
          <w:p>
            <w:pPr>
              <w:jc w:val="center"/>
              <w:ind w:left="2465"/>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1460" w:type="dxa"/>
            <w:vAlign w:val="bottom"/>
          </w:tcPr>
          <w:p>
            <w:pPr>
              <w:spacing w:after="0"/>
              <w:rPr>
                <w:sz w:val="15"/>
                <w:szCs w:val="15"/>
                <w:color w:val="auto"/>
              </w:rPr>
            </w:pPr>
          </w:p>
        </w:tc>
      </w:tr>
      <w:tr>
        <w:trPr>
          <w:trHeight w:val="268"/>
        </w:trPr>
        <w:tc>
          <w:tcPr>
            <w:tcW w:w="6360" w:type="dxa"/>
            <w:vAlign w:val="bottom"/>
          </w:tcPr>
          <w:p>
            <w:pPr>
              <w:jc w:val="center"/>
              <w:ind w:left="2465"/>
              <w:spacing w:after="0"/>
              <w:rPr>
                <w:sz w:val="20"/>
                <w:szCs w:val="20"/>
                <w:color w:val="auto"/>
              </w:rPr>
            </w:pPr>
            <w:r>
              <w:rPr>
                <w:rFonts w:ascii="Arial" w:cs="Arial" w:eastAsia="Arial" w:hAnsi="Arial"/>
                <w:sz w:val="17"/>
                <w:szCs w:val="17"/>
                <w:b w:val="1"/>
                <w:bCs w:val="1"/>
                <w:color w:val="auto"/>
                <w:w w:val="89"/>
              </w:rPr>
              <w:t>None</w:t>
            </w:r>
          </w:p>
        </w:tc>
        <w:tc>
          <w:tcPr>
            <w:tcW w:w="1460" w:type="dxa"/>
            <w:vAlign w:val="bottom"/>
          </w:tcPr>
          <w:p>
            <w:pPr>
              <w:spacing w:after="0"/>
              <w:rPr>
                <w:sz w:val="23"/>
                <w:szCs w:val="23"/>
                <w:color w:val="auto"/>
              </w:rPr>
            </w:pPr>
          </w:p>
        </w:tc>
      </w:tr>
    </w:tbl>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284480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22"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22" w:lineRule="exact"/>
        <w:rPr>
          <w:sz w:val="24"/>
          <w:szCs w:val="24"/>
          <w:color w:val="auto"/>
        </w:rPr>
      </w:pPr>
    </w:p>
    <w:p>
      <w:pPr>
        <w:jc w:val="both"/>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64"/>
        </w:trPr>
        <w:tc>
          <w:tcPr>
            <w:tcW w:w="236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980" w:type="dxa"/>
            <w:vAlign w:val="bottom"/>
          </w:tcPr>
          <w:p>
            <w:pPr>
              <w:ind w:left="860"/>
              <w:spacing w:after="0"/>
              <w:rPr>
                <w:sz w:val="20"/>
                <w:szCs w:val="20"/>
                <w:color w:val="auto"/>
              </w:rPr>
            </w:pPr>
            <w:r>
              <w:rPr>
                <w:rFonts w:ascii="Arial" w:cs="Arial" w:eastAsia="Arial" w:hAnsi="Arial"/>
                <w:sz w:val="17"/>
                <w:szCs w:val="17"/>
                <w:color w:val="auto"/>
              </w:rPr>
              <w:t>o</w:t>
            </w:r>
          </w:p>
        </w:tc>
        <w:tc>
          <w:tcPr>
            <w:tcW w:w="3860" w:type="dxa"/>
            <w:vAlign w:val="bottom"/>
          </w:tcPr>
          <w:p>
            <w:pPr>
              <w:spacing w:after="0"/>
              <w:rPr>
                <w:sz w:val="22"/>
                <w:szCs w:val="22"/>
                <w:color w:val="auto"/>
              </w:rPr>
            </w:pPr>
          </w:p>
        </w:tc>
        <w:tc>
          <w:tcPr>
            <w:tcW w:w="3220" w:type="dxa"/>
            <w:vAlign w:val="bottom"/>
            <w:vMerge w:val="restart"/>
          </w:tcPr>
          <w:p>
            <w:pPr>
              <w:ind w:left="70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6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83"/>
        </w:trPr>
        <w:tc>
          <w:tcPr>
            <w:tcW w:w="23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2360" w:type="dxa"/>
            <w:vAlign w:val="bottom"/>
          </w:tcPr>
          <w:p>
            <w:pPr>
              <w:spacing w:after="0"/>
              <w:rPr>
                <w:sz w:val="20"/>
                <w:szCs w:val="20"/>
                <w:color w:val="auto"/>
              </w:rPr>
            </w:pPr>
            <w:r>
              <w:rPr>
                <w:rFonts w:ascii="Arial" w:cs="Arial" w:eastAsia="Arial" w:hAnsi="Arial"/>
                <w:sz w:val="17"/>
                <w:szCs w:val="17"/>
                <w:color w:val="auto"/>
              </w:rPr>
              <w:t>Non-accelerated filer</w:t>
            </w:r>
          </w:p>
        </w:tc>
        <w:tc>
          <w:tcPr>
            <w:tcW w:w="980" w:type="dxa"/>
            <w:vAlign w:val="bottom"/>
          </w:tcPr>
          <w:p>
            <w:pPr>
              <w:ind w:left="860"/>
              <w:spacing w:after="0"/>
              <w:rPr>
                <w:sz w:val="20"/>
                <w:szCs w:val="20"/>
                <w:color w:val="auto"/>
              </w:rPr>
            </w:pPr>
            <w:r>
              <w:rPr>
                <w:rFonts w:ascii="Arial" w:cs="Arial" w:eastAsia="Arial" w:hAnsi="Arial"/>
                <w:sz w:val="17"/>
                <w:szCs w:val="17"/>
                <w:color w:val="auto"/>
              </w:rPr>
              <w:t>o</w:t>
            </w:r>
          </w:p>
        </w:tc>
        <w:tc>
          <w:tcPr>
            <w:tcW w:w="3860" w:type="dxa"/>
            <w:vAlign w:val="bottom"/>
          </w:tcPr>
          <w:p>
            <w:pPr>
              <w:ind w:left="40"/>
              <w:spacing w:after="0"/>
              <w:rPr>
                <w:sz w:val="20"/>
                <w:szCs w:val="20"/>
                <w:color w:val="auto"/>
              </w:rPr>
            </w:pPr>
            <w:r>
              <w:rPr>
                <w:rFonts w:ascii="Arial" w:cs="Arial" w:eastAsia="Arial" w:hAnsi="Arial"/>
                <w:sz w:val="17"/>
                <w:szCs w:val="17"/>
                <w:color w:val="auto"/>
              </w:rPr>
              <w:t>(Do not check if a smaller reporting company)</w:t>
            </w:r>
          </w:p>
        </w:tc>
        <w:tc>
          <w:tcPr>
            <w:tcW w:w="322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bl>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4" w:lineRule="exact"/>
        <w:rPr>
          <w:sz w:val="24"/>
          <w:szCs w:val="24"/>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09" w:lineRule="exact"/>
        <w:rPr>
          <w:sz w:val="24"/>
          <w:szCs w:val="24"/>
          <w:color w:val="auto"/>
        </w:rPr>
      </w:pPr>
    </w:p>
    <w:tbl>
      <w:tblPr>
        <w:tblLayout w:type="fixed"/>
        <w:tblInd w:w="138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2"/>
              </w:rPr>
              <w:t>Class</w:t>
            </w:r>
          </w:p>
        </w:tc>
        <w:tc>
          <w:tcPr>
            <w:tcW w:w="3000" w:type="dxa"/>
            <w:vAlign w:val="bottom"/>
          </w:tcPr>
          <w:p>
            <w:pPr>
              <w:spacing w:after="0"/>
              <w:rPr>
                <w:sz w:val="12"/>
                <w:szCs w:val="12"/>
                <w:color w:val="auto"/>
              </w:rPr>
            </w:pPr>
          </w:p>
        </w:tc>
        <w:tc>
          <w:tcPr>
            <w:tcW w:w="3480" w:type="dxa"/>
            <w:vAlign w:val="bottom"/>
            <w:gridSpan w:val="2"/>
          </w:tcPr>
          <w:p>
            <w:pPr>
              <w:jc w:val="center"/>
              <w:ind w:left="1673"/>
              <w:spacing w:after="0"/>
              <w:rPr>
                <w:sz w:val="20"/>
                <w:szCs w:val="20"/>
                <w:color w:val="auto"/>
              </w:rPr>
            </w:pPr>
            <w:r>
              <w:rPr>
                <w:rFonts w:ascii="Arial" w:cs="Arial" w:eastAsia="Arial" w:hAnsi="Arial"/>
                <w:sz w:val="13"/>
                <w:szCs w:val="13"/>
                <w:color w:val="auto"/>
                <w:w w:val="92"/>
              </w:rPr>
              <w:t>Outstanding at October 21, 2016</w:t>
            </w:r>
          </w:p>
        </w:tc>
      </w:tr>
      <w:tr>
        <w:trPr>
          <w:trHeight w:val="20"/>
        </w:trPr>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244"/>
        </w:trPr>
        <w:tc>
          <w:tcPr>
            <w:tcW w:w="4560" w:type="dxa"/>
            <w:vAlign w:val="bottom"/>
            <w:gridSpan w:val="3"/>
          </w:tcPr>
          <w:p>
            <w:pPr>
              <w:jc w:val="center"/>
              <w:ind w:right="1740"/>
              <w:spacing w:after="0"/>
              <w:rPr>
                <w:sz w:val="20"/>
                <w:szCs w:val="20"/>
                <w:color w:val="auto"/>
              </w:rPr>
            </w:pPr>
            <w:r>
              <w:rPr>
                <w:rFonts w:ascii="Arial" w:cs="Arial" w:eastAsia="Arial" w:hAnsi="Arial"/>
                <w:sz w:val="17"/>
                <w:szCs w:val="17"/>
                <w:color w:val="auto"/>
                <w:w w:val="88"/>
              </w:rPr>
              <w:t>Common Stock, $0.01 par value per share</w:t>
            </w:r>
          </w:p>
        </w:tc>
        <w:tc>
          <w:tcPr>
            <w:tcW w:w="17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6"/>
              </w:rPr>
              <w:t>33,274,012 shares</w:t>
            </w:r>
          </w:p>
        </w:tc>
      </w:tr>
    </w:tbl>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9"/>
          </w:tcPr>
          <w:p>
            <w:pPr>
              <w:jc w:val="center"/>
              <w:ind w:right="3820"/>
              <w:spacing w:after="0" w:line="176" w:lineRule="exact"/>
              <w:rPr>
                <w:rFonts w:ascii="Arial" w:cs="Arial" w:eastAsia="Arial" w:hAnsi="Arial"/>
                <w:sz w:val="17"/>
                <w:szCs w:val="17"/>
                <w:color w:val="0000FF"/>
                <w:w w:val="96"/>
              </w:rPr>
            </w:pPr>
            <w:hyperlink w:anchor="page3">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6"/>
          </w:tcPr>
          <w:p>
            <w:pPr>
              <w:spacing w:after="0"/>
              <w:rPr>
                <w:rFonts w:ascii="Arial" w:cs="Arial" w:eastAsia="Arial" w:hAnsi="Arial"/>
                <w:sz w:val="17"/>
                <w:szCs w:val="17"/>
                <w:color w:val="0000FF"/>
                <w:w w:val="86"/>
              </w:rPr>
            </w:pPr>
            <w:hyperlink w:anchor="page3">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7"/>
          </w:tcPr>
          <w:p>
            <w:pPr>
              <w:spacing w:after="0"/>
              <w:rPr>
                <w:sz w:val="21"/>
                <w:szCs w:val="21"/>
                <w:color w:val="auto"/>
              </w:rPr>
            </w:pPr>
          </w:p>
        </w:tc>
        <w:tc>
          <w:tcPr>
            <w:tcW w:w="382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gridSpan w:val="11"/>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Consolidated Balance Sheets - September 30, 2016 and December 31, 2015</w:t>
              </w:r>
            </w:hyperlink>
          </w:p>
        </w:tc>
        <w:tc>
          <w:tcPr>
            <w:tcW w:w="5060" w:type="dxa"/>
            <w:vAlign w:val="bottom"/>
            <w:gridSpan w:val="6"/>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gridSpan w:val="16"/>
          </w:tcPr>
          <w:p>
            <w:pPr>
              <w:spacing w:after="0"/>
              <w:rPr>
                <w:rFonts w:ascii="Arial" w:cs="Arial" w:eastAsia="Arial" w:hAnsi="Arial"/>
                <w:sz w:val="17"/>
                <w:szCs w:val="17"/>
                <w:color w:val="0000EE"/>
                <w:w w:val="88"/>
              </w:rPr>
            </w:pPr>
            <w:hyperlink w:anchor="page4">
              <w:r>
                <w:rPr>
                  <w:rFonts w:ascii="Arial" w:cs="Arial" w:eastAsia="Arial" w:hAnsi="Arial"/>
                  <w:sz w:val="17"/>
                  <w:szCs w:val="17"/>
                  <w:color w:val="0000EE"/>
                  <w:w w:val="88"/>
                </w:rPr>
                <w:t>Statements of Consolidated Comprehensive Income - Three and Nine Months Ended September 30, 2016 and 2015</w:t>
              </w:r>
            </w:hyperlink>
          </w:p>
        </w:tc>
        <w:tc>
          <w:tcPr>
            <w:tcW w:w="240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14"/>
          </w:tcPr>
          <w:p>
            <w:pPr>
              <w:spacing w:after="0"/>
              <w:rPr>
                <w:rFonts w:ascii="Arial" w:cs="Arial" w:eastAsia="Arial" w:hAnsi="Arial"/>
                <w:sz w:val="17"/>
                <w:szCs w:val="17"/>
                <w:color w:val="0000EE"/>
                <w:w w:val="87"/>
              </w:rPr>
            </w:pPr>
            <w:hyperlink w:anchor="page4">
              <w:r>
                <w:rPr>
                  <w:rFonts w:ascii="Arial" w:cs="Arial" w:eastAsia="Arial" w:hAnsi="Arial"/>
                  <w:sz w:val="17"/>
                  <w:szCs w:val="17"/>
                  <w:color w:val="0000EE"/>
                  <w:w w:val="87"/>
                </w:rPr>
                <w:t>Statements of Consolidated Cash Flows - Nine Months Ended September 30, 2016 and 2015</w:t>
              </w:r>
            </w:hyperlink>
          </w:p>
        </w:tc>
        <w:tc>
          <w:tcPr>
            <w:tcW w:w="1560" w:type="dxa"/>
            <w:vAlign w:val="bottom"/>
            <w:gridSpan w:val="2"/>
          </w:tcPr>
          <w:p>
            <w:pPr>
              <w:spacing w:after="0"/>
              <w:rPr>
                <w:sz w:val="20"/>
                <w:szCs w:val="20"/>
                <w:color w:val="auto"/>
              </w:rPr>
            </w:pPr>
          </w:p>
        </w:tc>
        <w:tc>
          <w:tcPr>
            <w:tcW w:w="240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6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40" w:type="dxa"/>
            <w:vAlign w:val="bottom"/>
            <w:gridSpan w:val="13"/>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Statement of Consolidated Shareholders’ Deficit - Nine Months Ended September 30, 2016</w:t>
              </w:r>
            </w:hyperlink>
          </w:p>
        </w:tc>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7"/>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Consolidated Financial Statements</w:t>
              </w:r>
            </w:hyperlink>
          </w:p>
        </w:tc>
        <w:tc>
          <w:tcPr>
            <w:tcW w:w="3200" w:type="dxa"/>
            <w:vAlign w:val="bottom"/>
            <w:gridSpan w:val="6"/>
          </w:tcPr>
          <w:p>
            <w:pPr>
              <w:spacing w:after="0"/>
              <w:rPr>
                <w:sz w:val="20"/>
                <w:szCs w:val="20"/>
                <w:color w:val="auto"/>
              </w:rPr>
            </w:pPr>
          </w:p>
        </w:tc>
        <w:tc>
          <w:tcPr>
            <w:tcW w:w="400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020" w:type="dxa"/>
            <w:vAlign w:val="bottom"/>
            <w:gridSpan w:val="13"/>
          </w:tcPr>
          <w:p>
            <w:pPr>
              <w:spacing w:after="0"/>
              <w:rPr>
                <w:rFonts w:ascii="Arial" w:cs="Arial" w:eastAsia="Arial" w:hAnsi="Arial"/>
                <w:sz w:val="17"/>
                <w:szCs w:val="17"/>
                <w:color w:val="0000FF"/>
                <w:w w:val="89"/>
              </w:rPr>
            </w:pPr>
            <w:hyperlink w:anchor="page14">
              <w:r>
                <w:rPr>
                  <w:rFonts w:ascii="Arial" w:cs="Arial" w:eastAsia="Arial" w:hAnsi="Arial"/>
                  <w:sz w:val="17"/>
                  <w:szCs w:val="17"/>
                  <w:color w:val="0000FF"/>
                  <w:w w:val="89"/>
                </w:rPr>
                <w:t>Management’s Discussion and Analysis of Financial Condition and Results of Operations</w:t>
              </w:r>
            </w:hyperlink>
          </w:p>
        </w:tc>
        <w:tc>
          <w:tcPr>
            <w:tcW w:w="434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14">
              <w:r>
                <w:rPr>
                  <w:rFonts w:ascii="Arial" w:cs="Arial" w:eastAsia="Arial" w:hAnsi="Arial"/>
                  <w:sz w:val="17"/>
                  <w:szCs w:val="17"/>
                  <w:color w:val="0000FF"/>
                </w:rPr>
                <w:t>14</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6020" w:type="dxa"/>
            <w:vAlign w:val="bottom"/>
            <w:gridSpan w:val="13"/>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Quantitative and Qualitative Disclosures About Market Risk</w:t>
              </w:r>
            </w:hyperlink>
          </w:p>
        </w:tc>
        <w:tc>
          <w:tcPr>
            <w:tcW w:w="380" w:type="dxa"/>
            <w:vAlign w:val="bottom"/>
            <w:gridSpan w:val="2"/>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6400" w:type="dxa"/>
            <w:vAlign w:val="bottom"/>
            <w:gridSpan w:val="15"/>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Controls and Procedures</w:t>
              </w:r>
            </w:hyperlink>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8"/>
          </w:tcPr>
          <w:p>
            <w:pPr>
              <w:jc w:val="center"/>
              <w:ind w:right="3960"/>
              <w:spacing w:after="0"/>
              <w:rPr>
                <w:rFonts w:ascii="Arial" w:cs="Arial" w:eastAsia="Arial" w:hAnsi="Arial"/>
                <w:sz w:val="17"/>
                <w:szCs w:val="17"/>
                <w:color w:val="0000FF"/>
                <w:w w:val="94"/>
              </w:rPr>
            </w:pPr>
            <w:hyperlink w:anchor="page30">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240" w:type="dxa"/>
            <w:vAlign w:val="bottom"/>
            <w:gridSpan w:val="5"/>
          </w:tcPr>
          <w:p>
            <w:pPr>
              <w:spacing w:after="0"/>
              <w:rPr>
                <w:rFonts w:ascii="Arial" w:cs="Arial" w:eastAsia="Arial" w:hAnsi="Arial"/>
                <w:sz w:val="17"/>
                <w:szCs w:val="17"/>
                <w:color w:val="0000FF"/>
                <w:w w:val="86"/>
              </w:rPr>
            </w:pPr>
            <w:hyperlink w:anchor="page30">
              <w:r>
                <w:rPr>
                  <w:rFonts w:ascii="Arial" w:cs="Arial" w:eastAsia="Arial" w:hAnsi="Arial"/>
                  <w:sz w:val="17"/>
                  <w:szCs w:val="17"/>
                  <w:color w:val="0000FF"/>
                  <w:w w:val="86"/>
                </w:rPr>
                <w:t>Legal Proceedings</w:t>
              </w:r>
            </w:hyperlink>
          </w:p>
        </w:tc>
        <w:tc>
          <w:tcPr>
            <w:tcW w:w="2680" w:type="dxa"/>
            <w:vAlign w:val="bottom"/>
            <w:gridSpan w:val="5"/>
          </w:tcPr>
          <w:p>
            <w:pPr>
              <w:spacing w:after="0"/>
              <w:rPr>
                <w:sz w:val="20"/>
                <w:szCs w:val="20"/>
                <w:color w:val="auto"/>
              </w:rPr>
            </w:pPr>
          </w:p>
        </w:tc>
        <w:tc>
          <w:tcPr>
            <w:tcW w:w="2480" w:type="dxa"/>
            <w:vAlign w:val="bottom"/>
            <w:tcBorders>
              <w:top w:val="single" w:sz="8" w:color="0000FF"/>
            </w:tcBorders>
            <w:gridSpan w:val="5"/>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2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1A</w:t>
            </w:r>
          </w:p>
        </w:tc>
        <w:tc>
          <w:tcPr>
            <w:tcW w:w="840" w:type="dxa"/>
            <w:vAlign w:val="bottom"/>
            <w:gridSpan w:val="4"/>
          </w:tcPr>
          <w:p>
            <w:pPr>
              <w:spacing w:after="0"/>
              <w:rPr>
                <w:rFonts w:ascii="Arial" w:cs="Arial" w:eastAsia="Arial" w:hAnsi="Arial"/>
                <w:sz w:val="17"/>
                <w:szCs w:val="17"/>
                <w:color w:val="0000FF"/>
                <w:w w:val="86"/>
              </w:rPr>
            </w:pPr>
            <w:hyperlink w:anchor="page30">
              <w:r>
                <w:rPr>
                  <w:rFonts w:ascii="Arial" w:cs="Arial" w:eastAsia="Arial" w:hAnsi="Arial"/>
                  <w:sz w:val="17"/>
                  <w:szCs w:val="17"/>
                  <w:color w:val="0000FF"/>
                  <w:w w:val="86"/>
                </w:rPr>
                <w:t>Risk Factors</w:t>
              </w:r>
            </w:hyperlink>
          </w:p>
        </w:tc>
        <w:tc>
          <w:tcPr>
            <w:tcW w:w="400" w:type="dxa"/>
            <w:vAlign w:val="bottom"/>
          </w:tcPr>
          <w:p>
            <w:pPr>
              <w:spacing w:after="0"/>
              <w:rPr>
                <w:sz w:val="20"/>
                <w:szCs w:val="20"/>
                <w:color w:val="auto"/>
              </w:rPr>
            </w:pPr>
          </w:p>
        </w:tc>
        <w:tc>
          <w:tcPr>
            <w:tcW w:w="9120" w:type="dxa"/>
            <w:vAlign w:val="bottom"/>
            <w:gridSpan w:val="1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5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6</w:t>
            </w:r>
          </w:p>
        </w:tc>
        <w:tc>
          <w:tcPr>
            <w:tcW w:w="560" w:type="dxa"/>
            <w:vAlign w:val="bottom"/>
            <w:gridSpan w:val="2"/>
          </w:tcPr>
          <w:p>
            <w:pPr>
              <w:spacing w:after="0"/>
              <w:rPr>
                <w:rFonts w:ascii="Arial" w:cs="Arial" w:eastAsia="Arial" w:hAnsi="Arial"/>
                <w:sz w:val="17"/>
                <w:szCs w:val="17"/>
                <w:color w:val="0000FF"/>
                <w:w w:val="90"/>
              </w:rPr>
            </w:pPr>
            <w:hyperlink w:anchor="page30">
              <w:r>
                <w:rPr>
                  <w:rFonts w:ascii="Arial" w:cs="Arial" w:eastAsia="Arial" w:hAnsi="Arial"/>
                  <w:sz w:val="17"/>
                  <w:szCs w:val="17"/>
                  <w:color w:val="0000FF"/>
                  <w:w w:val="90"/>
                </w:rPr>
                <w:t>Exhibits</w:t>
              </w:r>
            </w:hyperlink>
          </w:p>
        </w:tc>
        <w:tc>
          <w:tcPr>
            <w:tcW w:w="280" w:type="dxa"/>
            <w:vAlign w:val="bottom"/>
            <w:gridSpan w:val="2"/>
          </w:tcPr>
          <w:p>
            <w:pPr>
              <w:spacing w:after="0"/>
              <w:rPr>
                <w:sz w:val="20"/>
                <w:szCs w:val="20"/>
                <w:color w:val="auto"/>
              </w:rPr>
            </w:pPr>
          </w:p>
        </w:tc>
        <w:tc>
          <w:tcPr>
            <w:tcW w:w="9520" w:type="dxa"/>
            <w:vAlign w:val="bottom"/>
            <w:gridSpan w:val="1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6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48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7"/>
                <w:szCs w:val="17"/>
                <w:color w:val="0000FF"/>
                <w:w w:val="83"/>
              </w:rPr>
            </w:pPr>
            <w:hyperlink w:anchor="page31">
              <w:r>
                <w:rPr>
                  <w:rFonts w:ascii="Arial" w:cs="Arial" w:eastAsia="Arial" w:hAnsi="Arial"/>
                  <w:sz w:val="17"/>
                  <w:szCs w:val="17"/>
                  <w:color w:val="0000FF"/>
                  <w:w w:val="83"/>
                </w:rPr>
                <w:t>Signatures</w:t>
              </w:r>
            </w:hyperlink>
          </w:p>
        </w:tc>
        <w:tc>
          <w:tcPr>
            <w:tcW w:w="96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r>
      <w:tr>
        <w:trPr>
          <w:trHeight w:val="652"/>
        </w:trPr>
        <w:tc>
          <w:tcPr>
            <w:tcW w:w="480" w:type="dxa"/>
            <w:vAlign w:val="bottom"/>
          </w:tcPr>
          <w:p>
            <w:pPr>
              <w:spacing w:after="0"/>
              <w:rPr>
                <w:sz w:val="24"/>
                <w:szCs w:val="24"/>
                <w:color w:val="auto"/>
              </w:rPr>
            </w:pPr>
          </w:p>
        </w:tc>
        <w:tc>
          <w:tcPr>
            <w:tcW w:w="700" w:type="dxa"/>
            <w:vAlign w:val="bottom"/>
            <w:tcBorders>
              <w:top w:val="single" w:sz="8" w:color="0000FF"/>
            </w:tcBorders>
            <w:gridSpan w:val="3"/>
          </w:tcPr>
          <w:p>
            <w:pPr>
              <w:spacing w:after="0"/>
              <w:rPr>
                <w:sz w:val="24"/>
                <w:szCs w:val="24"/>
                <w:color w:val="auto"/>
              </w:rPr>
            </w:pPr>
          </w:p>
        </w:tc>
        <w:tc>
          <w:tcPr>
            <w:tcW w:w="4600" w:type="dxa"/>
            <w:vAlign w:val="bottom"/>
            <w:gridSpan w:val="9"/>
          </w:tcPr>
          <w:p>
            <w:pPr>
              <w:jc w:val="right"/>
              <w:ind w:right="40"/>
              <w:spacing w:after="0"/>
              <w:rPr>
                <w:sz w:val="20"/>
                <w:szCs w:val="20"/>
                <w:color w:val="auto"/>
              </w:rPr>
            </w:pPr>
            <w:r>
              <w:rPr>
                <w:rFonts w:ascii="Arial" w:cs="Arial" w:eastAsia="Arial" w:hAnsi="Arial"/>
                <w:sz w:val="17"/>
                <w:szCs w:val="17"/>
                <w:color w:val="auto"/>
              </w:rPr>
              <w:t>2</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3"/>
                <w:szCs w:val="13"/>
                <w:color w:val="auto"/>
                <w:w w:val="91"/>
              </w:rPr>
              <w:t>September 30,</w:t>
            </w:r>
          </w:p>
        </w:tc>
        <w:tc>
          <w:tcPr>
            <w:tcW w:w="220" w:type="dxa"/>
            <w:vAlign w:val="bottom"/>
          </w:tcPr>
          <w:p>
            <w:pPr>
              <w:spacing w:after="0"/>
              <w:rPr>
                <w:sz w:val="13"/>
                <w:szCs w:val="13"/>
                <w:color w:val="auto"/>
              </w:rPr>
            </w:pPr>
          </w:p>
        </w:tc>
        <w:tc>
          <w:tcPr>
            <w:tcW w:w="1240" w:type="dxa"/>
            <w:vAlign w:val="bottom"/>
          </w:tcPr>
          <w:p>
            <w:pPr>
              <w:jc w:val="right"/>
              <w:ind w:right="27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color w:val="auto"/>
                <w:w w:val="89"/>
              </w:rPr>
              <w:t>2016</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2015</w:t>
            </w:r>
          </w:p>
        </w:tc>
        <w:tc>
          <w:tcPr>
            <w:tcW w:w="0" w:type="dxa"/>
            <w:vAlign w:val="bottom"/>
          </w:tcPr>
          <w:p>
            <w:pPr>
              <w:spacing w:after="0"/>
              <w:rPr>
                <w:sz w:val="1"/>
                <w:szCs w:val="1"/>
                <w:color w:val="auto"/>
              </w:rPr>
            </w:pPr>
          </w:p>
        </w:tc>
      </w:tr>
      <w:tr>
        <w:trPr>
          <w:trHeight w:val="232"/>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173.8</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Restricted amounts held in escrow</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43.0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477.8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427.4</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Prepaid expenses and other</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75.3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734.4</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Cost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2,815.7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2,822.8</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Less – accumulated depreciation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(1,927.9)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(1,885.5)</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937.3</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30.7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amounts held in escrow</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Deferred income taxes, net</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1,870.6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1,879.4</w:t>
            </w:r>
          </w:p>
        </w:tc>
        <w:tc>
          <w:tcPr>
            <w:tcW w:w="0" w:type="dxa"/>
            <w:vAlign w:val="bottom"/>
          </w:tcPr>
          <w:p>
            <w:pPr>
              <w:spacing w:after="0"/>
              <w:rPr>
                <w:sz w:val="1"/>
                <w:szCs w:val="1"/>
                <w:color w:val="auto"/>
              </w:rPr>
            </w:pPr>
          </w:p>
        </w:tc>
      </w:tr>
      <w:tr>
        <w:trPr>
          <w:trHeight w:val="66"/>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340" w:type="dxa"/>
            <w:vAlign w:val="bottom"/>
            <w:tcBorders>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7"/>
                <w:szCs w:val="17"/>
                <w:b w:val="1"/>
                <w:bCs w:val="1"/>
                <w:color w:val="auto"/>
              </w:rPr>
              <w:t>Liabilities and Shareholders’ Deficit</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Wages, vacations and employee benefits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203.6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195.1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Claims and insurance accruals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accrued taxes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current and accrued liabilities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582.4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573.5</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Long-term debt, less current portion</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1,023.9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1,046.5</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Pension and postretirement</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311.4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339.9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Claims and 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291.3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295.2</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Commitments and contingencies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 Deficit: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Preferred stock, $1 par value per share</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Common stock, $0.01 par value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Capital surplus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2,317.9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2,312.6</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(2,239.3)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(360.3)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Treasury stock, at cost (410 shares)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shareholders’ deficit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(342.2)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(379.4)</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Shareholders’ Deficit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1,870.6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1,879.4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Revenue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Expenses: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3320"/>
        <w:spacing w:after="0"/>
        <w:rPr>
          <w:sz w:val="20"/>
          <w:szCs w:val="20"/>
          <w:color w:val="auto"/>
        </w:rPr>
      </w:pPr>
      <w:r>
        <w:rPr>
          <w:rFonts w:ascii="Arial" w:cs="Arial" w:eastAsia="Arial" w:hAnsi="Arial"/>
          <w:sz w:val="15"/>
          <w:szCs w:val="15"/>
          <w:color w:val="auto"/>
        </w:rPr>
        <w:t>STATEMENTS OF CONSOLIDATED COMPREHENSIVE INCOME</w:t>
      </w:r>
    </w:p>
    <w:p>
      <w:pPr>
        <w:spacing w:after="0" w:line="41" w:lineRule="exact"/>
        <w:rPr>
          <w:sz w:val="20"/>
          <w:szCs w:val="20"/>
          <w:color w:val="auto"/>
        </w:rPr>
      </w:pPr>
    </w:p>
    <w:p>
      <w:pPr>
        <w:jc w:val="center"/>
        <w:ind w:right="3320"/>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3320"/>
        <w:spacing w:after="0"/>
        <w:rPr>
          <w:sz w:val="20"/>
          <w:szCs w:val="20"/>
          <w:color w:val="auto"/>
        </w:rPr>
      </w:pPr>
      <w:r>
        <w:rPr>
          <w:rFonts w:ascii="Arial" w:cs="Arial" w:eastAsia="Arial" w:hAnsi="Arial"/>
          <w:sz w:val="17"/>
          <w:szCs w:val="17"/>
          <w:color w:val="auto"/>
        </w:rPr>
        <w:t>For the Three and Nine Months Ended September 30</w:t>
      </w:r>
    </w:p>
    <w:p>
      <w:pPr>
        <w:spacing w:after="0" w:line="6" w:lineRule="exact"/>
        <w:rPr>
          <w:sz w:val="20"/>
          <w:szCs w:val="20"/>
          <w:color w:val="auto"/>
        </w:rPr>
      </w:pPr>
    </w:p>
    <w:p>
      <w:pPr>
        <w:jc w:val="center"/>
        <w:ind w:right="3320"/>
        <w:spacing w:after="0"/>
        <w:rPr>
          <w:sz w:val="20"/>
          <w:szCs w:val="20"/>
          <w:color w:val="auto"/>
        </w:rPr>
      </w:pPr>
      <w:r>
        <w:rPr>
          <w:rFonts w:ascii="Arial" w:cs="Arial" w:eastAsia="Arial" w:hAnsi="Arial"/>
          <w:sz w:val="16"/>
          <w:szCs w:val="16"/>
          <w:color w:val="auto"/>
        </w:rPr>
        <w:t>(Amounts in millions except per share data, shares in thousands)</w:t>
      </w:r>
    </w:p>
    <w:p>
      <w:pPr>
        <w:spacing w:after="0" w:line="17" w:lineRule="exact"/>
        <w:rPr>
          <w:sz w:val="20"/>
          <w:szCs w:val="20"/>
          <w:color w:val="auto"/>
        </w:rPr>
      </w:pPr>
    </w:p>
    <w:p>
      <w:pPr>
        <w:jc w:val="center"/>
        <w:ind w:right="3320"/>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1820" w:type="dxa"/>
        <w:tblCellMar>
          <w:top w:w="0" w:type="dxa"/>
          <w:left w:w="0" w:type="dxa"/>
          <w:bottom w:w="0" w:type="dxa"/>
          <w:right w:w="0" w:type="dxa"/>
        </w:tblCellMar>
      </w:tblPr>
      <w:tr>
        <w:trPr>
          <w:trHeight w:val="177"/>
        </w:trPr>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Three Months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color w:val="auto"/>
              </w:rPr>
              <w:t>Nine Months</w:t>
            </w:r>
          </w:p>
        </w:tc>
        <w:tc>
          <w:tcPr>
            <w:tcW w:w="1000" w:type="dxa"/>
            <w:vAlign w:val="bottom"/>
            <w:tcBorders>
              <w:bottom w:val="single" w:sz="8" w:color="auto"/>
            </w:tcBorders>
          </w:tcPr>
          <w:p>
            <w:pPr>
              <w:spacing w:after="0"/>
              <w:rPr>
                <w:sz w:val="15"/>
                <w:szCs w:val="15"/>
                <w:color w:val="auto"/>
              </w:rPr>
            </w:pPr>
          </w:p>
        </w:tc>
      </w:tr>
      <w:tr>
        <w:trPr>
          <w:trHeight w:val="244"/>
        </w:trPr>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7"/>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color w:val="auto"/>
              </w:rPr>
              <w:t>2015</w:t>
            </w:r>
          </w:p>
        </w:tc>
      </w:tr>
      <w:tr>
        <w:trPr>
          <w:trHeight w:val="224"/>
        </w:trPr>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7"/>
              <w:spacing w:after="0"/>
              <w:rPr>
                <w:sz w:val="20"/>
                <w:szCs w:val="20"/>
                <w:color w:val="auto"/>
              </w:rPr>
            </w:pPr>
            <w:r>
              <w:rPr>
                <w:rFonts w:ascii="Arial" w:cs="Arial" w:eastAsia="Arial" w:hAnsi="Arial"/>
                <w:sz w:val="17"/>
                <w:szCs w:val="17"/>
                <w:color w:val="auto"/>
              </w:rPr>
              <w:t>1,221.3</w:t>
            </w:r>
          </w:p>
        </w:tc>
        <w:tc>
          <w:tcPr>
            <w:tcW w:w="12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45"/>
              <w:spacing w:after="0"/>
              <w:rPr>
                <w:sz w:val="20"/>
                <w:szCs w:val="20"/>
                <w:color w:val="auto"/>
              </w:rPr>
            </w:pPr>
            <w:r>
              <w:rPr>
                <w:rFonts w:ascii="Arial" w:cs="Arial" w:eastAsia="Arial" w:hAnsi="Arial"/>
                <w:sz w:val="17"/>
                <w:szCs w:val="17"/>
                <w:color w:val="auto"/>
              </w:rPr>
              <w:t>1,244.9</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7"/>
              <w:spacing w:after="0"/>
              <w:rPr>
                <w:sz w:val="20"/>
                <w:szCs w:val="20"/>
                <w:color w:val="auto"/>
              </w:rPr>
            </w:pPr>
            <w:r>
              <w:rPr>
                <w:rFonts w:ascii="Arial" w:cs="Arial" w:eastAsia="Arial" w:hAnsi="Arial"/>
                <w:sz w:val="17"/>
                <w:szCs w:val="17"/>
                <w:color w:val="auto"/>
              </w:rPr>
              <w:t>3,549.2</w:t>
            </w:r>
          </w:p>
        </w:tc>
        <w:tc>
          <w:tcPr>
            <w:tcW w:w="12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25"/>
              <w:spacing w:after="0"/>
              <w:rPr>
                <w:sz w:val="20"/>
                <w:szCs w:val="20"/>
                <w:color w:val="auto"/>
              </w:rPr>
            </w:pPr>
            <w:r>
              <w:rPr>
                <w:rFonts w:ascii="Arial" w:cs="Arial" w:eastAsia="Arial" w:hAnsi="Arial"/>
                <w:sz w:val="17"/>
                <w:szCs w:val="17"/>
                <w:color w:val="auto"/>
              </w:rPr>
              <w:t>3,689.7</w:t>
            </w:r>
          </w:p>
        </w:tc>
      </w:tr>
      <w:tr>
        <w:trPr>
          <w:trHeight w:val="26"/>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-175260</wp:posOffset>
            </wp:positionV>
            <wp:extent cx="7256145" cy="167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145" cy="16764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2600" w:space="720"/>
            <w:col w:w="810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52"/>
        </w:trPr>
        <w:tc>
          <w:tcPr>
            <w:tcW w:w="5140" w:type="dxa"/>
            <w:vAlign w:val="bottom"/>
            <w:shd w:val="clear" w:color="auto" w:fill="BFE4FF"/>
          </w:tcPr>
          <w:p>
            <w:pPr>
              <w:ind w:left="360"/>
              <w:spacing w:after="0"/>
              <w:rPr>
                <w:sz w:val="20"/>
                <w:szCs w:val="20"/>
                <w:color w:val="auto"/>
              </w:rPr>
            </w:pPr>
            <w:r>
              <w:rPr>
                <w:rFonts w:ascii="Arial" w:cs="Arial" w:eastAsia="Arial" w:hAnsi="Arial"/>
                <w:sz w:val="17"/>
                <w:szCs w:val="17"/>
                <w:color w:val="auto"/>
              </w:rPr>
              <w:t>Salaries, wages and employee benefits</w:t>
            </w:r>
          </w:p>
        </w:tc>
        <w:tc>
          <w:tcPr>
            <w:tcW w:w="500" w:type="dxa"/>
            <w:vAlign w:val="bottom"/>
            <w:shd w:val="clear" w:color="auto" w:fill="BFE4FF"/>
          </w:tcPr>
          <w:p>
            <w:pPr>
              <w:spacing w:after="0"/>
              <w:rPr>
                <w:sz w:val="21"/>
                <w:szCs w:val="21"/>
                <w:color w:val="auto"/>
              </w:rPr>
            </w:pPr>
          </w:p>
        </w:tc>
        <w:tc>
          <w:tcPr>
            <w:tcW w:w="102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715.8</w:t>
            </w:r>
          </w:p>
        </w:tc>
        <w:tc>
          <w:tcPr>
            <w:tcW w:w="120" w:type="dxa"/>
            <w:vAlign w:val="bottom"/>
            <w:shd w:val="clear" w:color="auto" w:fill="BFE4FF"/>
          </w:tcPr>
          <w:p>
            <w:pPr>
              <w:spacing w:after="0"/>
              <w:rPr>
                <w:sz w:val="21"/>
                <w:szCs w:val="21"/>
                <w:color w:val="auto"/>
              </w:rPr>
            </w:pPr>
          </w:p>
        </w:tc>
        <w:tc>
          <w:tcPr>
            <w:tcW w:w="48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725.8</w:t>
            </w:r>
          </w:p>
        </w:tc>
        <w:tc>
          <w:tcPr>
            <w:tcW w:w="100" w:type="dxa"/>
            <w:vAlign w:val="bottom"/>
            <w:shd w:val="clear" w:color="auto" w:fill="BFE4FF"/>
          </w:tcPr>
          <w:p>
            <w:pPr>
              <w:spacing w:after="0"/>
              <w:rPr>
                <w:sz w:val="21"/>
                <w:szCs w:val="21"/>
                <w:color w:val="auto"/>
              </w:rPr>
            </w:pPr>
          </w:p>
        </w:tc>
        <w:tc>
          <w:tcPr>
            <w:tcW w:w="50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2,132.6</w:t>
            </w:r>
          </w:p>
        </w:tc>
        <w:tc>
          <w:tcPr>
            <w:tcW w:w="120" w:type="dxa"/>
            <w:vAlign w:val="bottom"/>
            <w:shd w:val="clear" w:color="auto" w:fill="BFE4FF"/>
          </w:tcPr>
          <w:p>
            <w:pPr>
              <w:spacing w:after="0"/>
              <w:rPr>
                <w:sz w:val="21"/>
                <w:szCs w:val="21"/>
                <w:color w:val="auto"/>
              </w:rPr>
            </w:pPr>
          </w:p>
        </w:tc>
        <w:tc>
          <w:tcPr>
            <w:tcW w:w="48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6"/>
              <w:spacing w:after="0"/>
              <w:rPr>
                <w:sz w:val="20"/>
                <w:szCs w:val="20"/>
                <w:color w:val="auto"/>
              </w:rPr>
            </w:pPr>
            <w:r>
              <w:rPr>
                <w:rFonts w:ascii="Arial" w:cs="Arial" w:eastAsia="Arial" w:hAnsi="Arial"/>
                <w:sz w:val="17"/>
                <w:szCs w:val="17"/>
                <w:color w:val="auto"/>
              </w:rPr>
              <w:t>2,148.6</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Operating expenses and supplies</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206.9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217.1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595.7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678.1</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Purchased transportation</w:t>
            </w:r>
          </w:p>
        </w:tc>
        <w:tc>
          <w:tcPr>
            <w:tcW w:w="50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156.8</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149.6</w:t>
            </w:r>
          </w:p>
        </w:tc>
        <w:tc>
          <w:tcPr>
            <w:tcW w:w="10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409.0</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431.0</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40.3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119.5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123.6</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Other operating expenses</w:t>
            </w:r>
          </w:p>
        </w:tc>
        <w:tc>
          <w:tcPr>
            <w:tcW w:w="50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62.5</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63.1</w:t>
            </w:r>
          </w:p>
        </w:tc>
        <w:tc>
          <w:tcPr>
            <w:tcW w:w="10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194.2</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198.6</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1.5</w:t>
            </w:r>
          </w:p>
        </w:tc>
      </w:tr>
      <w:tr>
        <w:trPr>
          <w:trHeight w:val="26"/>
        </w:trPr>
        <w:tc>
          <w:tcPr>
            <w:tcW w:w="514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BFE4FF"/>
            </w:tcBorders>
            <w:shd w:val="clear" w:color="auto" w:fill="BFE4FF"/>
          </w:tcPr>
          <w:p>
            <w:pPr>
              <w:ind w:left="66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1,182.5</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1,197.2</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3,439.8</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3,581.4</w:t>
            </w:r>
          </w:p>
        </w:tc>
      </w:tr>
      <w:tr>
        <w:trPr>
          <w:trHeight w:val="219"/>
        </w:trPr>
        <w:tc>
          <w:tcPr>
            <w:tcW w:w="5140" w:type="dxa"/>
            <w:vAlign w:val="bottom"/>
          </w:tcPr>
          <w:p>
            <w:pPr>
              <w:ind w:left="1060"/>
              <w:spacing w:after="0"/>
              <w:rPr>
                <w:sz w:val="20"/>
                <w:szCs w:val="20"/>
                <w:color w:val="auto"/>
              </w:rPr>
            </w:pPr>
            <w:r>
              <w:rPr>
                <w:rFonts w:ascii="Arial" w:cs="Arial" w:eastAsia="Arial" w:hAnsi="Arial"/>
                <w:sz w:val="17"/>
                <w:szCs w:val="17"/>
                <w:b w:val="1"/>
                <w:bCs w:val="1"/>
                <w:color w:val="auto"/>
              </w:rPr>
              <w:t>Operating Income</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38.8</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47.7</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109.4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108.3</w:t>
            </w:r>
          </w:p>
        </w:tc>
      </w:tr>
      <w:tr>
        <w:trPr>
          <w:trHeight w:val="26"/>
        </w:trPr>
        <w:tc>
          <w:tcPr>
            <w:tcW w:w="514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500" w:type="dxa"/>
            <w:vAlign w:val="bottom"/>
            <w:tcBorders>
              <w:bottom w:val="single" w:sz="8" w:color="BFE4FF"/>
            </w:tcBorders>
            <w:shd w:val="clear" w:color="auto" w:fill="BFE4FF"/>
          </w:tcPr>
          <w:p>
            <w:pPr>
              <w:spacing w:after="0"/>
              <w:rPr>
                <w:sz w:val="19"/>
                <w:szCs w:val="19"/>
                <w:color w:val="auto"/>
              </w:rPr>
            </w:pPr>
          </w:p>
        </w:tc>
        <w:tc>
          <w:tcPr>
            <w:tcW w:w="102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50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spacing w:after="0"/>
              <w:rPr>
                <w:sz w:val="19"/>
                <w:szCs w:val="19"/>
                <w:color w:val="auto"/>
              </w:rPr>
            </w:pP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77.9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81.2</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Loss on extinguishment of debt</w:t>
            </w:r>
          </w:p>
        </w:tc>
        <w:tc>
          <w:tcPr>
            <w:tcW w:w="50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BFE4FF"/>
            </w:tcBorders>
            <w:shd w:val="clear" w:color="auto" w:fill="BFE4FF"/>
          </w:tcPr>
          <w:p>
            <w:pPr>
              <w:spacing w:after="0"/>
              <w:rPr>
                <w:sz w:val="20"/>
                <w:szCs w:val="20"/>
                <w:color w:val="auto"/>
              </w:rPr>
            </w:pP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BFE4FF"/>
            </w:tcBorders>
            <w:shd w:val="clear" w:color="auto" w:fill="BFE4FF"/>
          </w:tcPr>
          <w:p>
            <w:pPr>
              <w:spacing w:after="0"/>
              <w:rPr>
                <w:sz w:val="20"/>
                <w:szCs w:val="20"/>
                <w:color w:val="auto"/>
              </w:rPr>
            </w:pPr>
          </w:p>
        </w:tc>
        <w:tc>
          <w:tcPr>
            <w:tcW w:w="110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0.6</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Other, net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6"/>
        </w:trPr>
        <w:tc>
          <w:tcPr>
            <w:tcW w:w="514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BFE4FF"/>
            </w:tcBorders>
            <w:shd w:val="clear" w:color="auto" w:fill="BFE4FF"/>
          </w:tcPr>
          <w:p>
            <w:pPr>
              <w:ind w:left="660"/>
              <w:spacing w:after="0"/>
              <w:rPr>
                <w:sz w:val="20"/>
                <w:szCs w:val="20"/>
                <w:color w:val="auto"/>
              </w:rPr>
            </w:pPr>
            <w:r>
              <w:rPr>
                <w:rFonts w:ascii="Arial" w:cs="Arial" w:eastAsia="Arial" w:hAnsi="Arial"/>
                <w:sz w:val="17"/>
                <w:szCs w:val="17"/>
                <w:color w:val="auto"/>
              </w:rPr>
              <w:t>Nonoperating expenses, net</w:t>
            </w:r>
          </w:p>
        </w:tc>
        <w:tc>
          <w:tcPr>
            <w:tcW w:w="5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24.4</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21.2</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77.0</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73.7</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32.4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34.6</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Income tax expense</w:t>
            </w:r>
          </w:p>
        </w:tc>
        <w:tc>
          <w:tcPr>
            <w:tcW w:w="5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10.4</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29.0</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24.2</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5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2.9</w:t>
            </w:r>
          </w:p>
        </w:tc>
      </w:tr>
      <w:tr>
        <w:trPr>
          <w:trHeight w:val="219"/>
        </w:trPr>
        <w:tc>
          <w:tcPr>
            <w:tcW w:w="5140" w:type="dxa"/>
            <w:vAlign w:val="bottom"/>
          </w:tcPr>
          <w:p>
            <w:pPr>
              <w:ind w:left="360"/>
              <w:spacing w:after="0"/>
              <w:rPr>
                <w:sz w:val="20"/>
                <w:szCs w:val="20"/>
                <w:color w:val="auto"/>
              </w:rPr>
            </w:pPr>
            <w:r>
              <w:rPr>
                <w:rFonts w:ascii="Arial" w:cs="Arial" w:eastAsia="Arial" w:hAnsi="Arial"/>
                <w:sz w:val="17"/>
                <w:szCs w:val="17"/>
                <w:b w:val="1"/>
                <w:bCs w:val="1"/>
                <w:color w:val="auto"/>
                <w:w w:val="99"/>
              </w:rPr>
              <w:t>Comprehensive Income Attributable to YRC Worldwide Inc.</w:t>
            </w: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27.1</w:t>
            </w:r>
          </w:p>
        </w:tc>
      </w:tr>
      <w:tr>
        <w:trPr>
          <w:trHeight w:val="66"/>
        </w:trPr>
        <w:tc>
          <w:tcPr>
            <w:tcW w:w="5140" w:type="dxa"/>
            <w:vAlign w:val="bottom"/>
            <w:tcBorders>
              <w:bottom w:val="single" w:sz="8" w:color="BFE4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80"/>
        </w:trPr>
        <w:tc>
          <w:tcPr>
            <w:tcW w:w="5140" w:type="dxa"/>
            <w:vAlign w:val="bottom"/>
            <w:shd w:val="clear" w:color="auto" w:fill="BFE4FF"/>
          </w:tcPr>
          <w:p>
            <w:pPr>
              <w:spacing w:after="0"/>
              <w:rPr>
                <w:sz w:val="24"/>
                <w:szCs w:val="24"/>
                <w:color w:val="auto"/>
              </w:rPr>
            </w:pPr>
          </w:p>
        </w:tc>
        <w:tc>
          <w:tcPr>
            <w:tcW w:w="500" w:type="dxa"/>
            <w:vAlign w:val="bottom"/>
            <w:shd w:val="clear" w:color="auto" w:fill="BFE4FF"/>
          </w:tcPr>
          <w:p>
            <w:pPr>
              <w:spacing w:after="0"/>
              <w:rPr>
                <w:sz w:val="24"/>
                <w:szCs w:val="24"/>
                <w:color w:val="auto"/>
              </w:rPr>
            </w:pPr>
          </w:p>
        </w:tc>
        <w:tc>
          <w:tcPr>
            <w:tcW w:w="10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50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32,466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32,065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32,398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31,602</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50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33,194</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32,621</w:t>
            </w:r>
          </w:p>
        </w:tc>
        <w:tc>
          <w:tcPr>
            <w:tcW w:w="10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32,915</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32,569</w:t>
            </w:r>
          </w:p>
        </w:tc>
      </w:tr>
      <w:tr>
        <w:trPr>
          <w:trHeight w:val="277"/>
        </w:trPr>
        <w:tc>
          <w:tcPr>
            <w:tcW w:w="5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2"/>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Income Per Share – Basic</w:t>
            </w:r>
          </w:p>
        </w:tc>
        <w:tc>
          <w:tcPr>
            <w:tcW w:w="500" w:type="dxa"/>
            <w:vAlign w:val="bottom"/>
            <w:tcBorders>
              <w:bottom w:val="single" w:sz="8" w:color="BFE4FF"/>
            </w:tcBorders>
            <w:shd w:val="clear" w:color="auto" w:fill="BFE4FF"/>
          </w:tcPr>
          <w:p>
            <w:pPr>
              <w:jc w:val="right"/>
              <w:ind w:right="29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0.43</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0.62</w:t>
            </w:r>
          </w:p>
        </w:tc>
        <w:tc>
          <w:tcPr>
            <w:tcW w:w="10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jc w:val="right"/>
              <w:ind w:right="29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0.89</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0.76</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Income Per Share – Diluted</w:t>
            </w: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0.42</w:t>
            </w:r>
          </w:p>
        </w:tc>
        <w:tc>
          <w:tcPr>
            <w:tcW w:w="12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0.88</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0.74</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Nine Months Ended September 30</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2016</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2015</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29.0</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24.2</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Noncash items included in net income:</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w w:val="98"/>
              </w:rPr>
              <w:t>119.5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123.6</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Noncash equity-based compensation and employee benefits expense</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18.5</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1.5</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disposal of equity method investment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noncash items, net</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0.7</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receivable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(29.4)</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10.0</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assets</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(50.3)</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provided by operating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86.0</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91.5</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(71.8)</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15.7</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Restricted escrow receipts</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w w:val="98"/>
              </w:rPr>
              <w:t>112.1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41.9</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Restricted escrow deposits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Proceeds from disposal of equity method investment, net</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net</w:t>
            </w: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44.9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(38.8)</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Repayments of long-term debt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Debt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102.6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39.6</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Beginning of Period</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w w:val="98"/>
              </w:rPr>
              <w:t>173.8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171.1</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End of Period</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210.7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Interest paid</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(68.5)</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(79.3)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tax payments, net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Debt redeemed for equity consideration</w:t>
            </w:r>
          </w:p>
        </w:tc>
        <w:tc>
          <w:tcPr>
            <w:tcW w:w="9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17.9</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940" w:type="dxa"/>
            <w:vAlign w:val="bottom"/>
          </w:tcPr>
          <w:p>
            <w:pPr>
              <w:jc w:val="center"/>
              <w:ind w:left="1416"/>
              <w:spacing w:after="0"/>
              <w:rPr>
                <w:sz w:val="20"/>
                <w:szCs w:val="20"/>
                <w:color w:val="auto"/>
              </w:rPr>
            </w:pPr>
            <w:r>
              <w:rPr>
                <w:rFonts w:ascii="Arial" w:cs="Arial" w:eastAsia="Arial" w:hAnsi="Arial"/>
                <w:sz w:val="17"/>
                <w:szCs w:val="17"/>
                <w:color w:val="auto"/>
                <w:w w:val="94"/>
              </w:rPr>
              <w:t>STATEMENT OF CONSOLIDATED SHAREHOLDERS’ DEFICIT</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1"/>
              </w:rPr>
              <w:t>YRC Worldwide Inc. and Subsidiaries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88"/>
              </w:rPr>
              <w:t>For the Nine Months Ended September 30, 2016</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5"/>
              </w:rPr>
              <w:t>(Amounts in millions)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2"/>
              </w:rPr>
              <w:t>(Unaudited)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2"/>
        </w:trPr>
        <w:tc>
          <w:tcPr>
            <w:tcW w:w="9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Preferred Stock:</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Stock:</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Capital Surplus: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2,312.6</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5.3</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2,317.9</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Deficit: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(2,239.3)</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29.0</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(2,210.3)</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(360.3)</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Reclassification of net pension actuarial losses to net income, net of tax</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w:t>
            </w:r>
          </w:p>
        </w:tc>
      </w:tr>
      <w:tr>
        <w:trPr>
          <w:trHeight w:val="226"/>
        </w:trPr>
        <w:tc>
          <w:tcPr>
            <w:tcW w:w="9940" w:type="dxa"/>
            <w:vAlign w:val="bottom"/>
          </w:tcPr>
          <w:p>
            <w:pPr>
              <w:ind w:left="260"/>
              <w:spacing w:after="0"/>
              <w:rPr>
                <w:sz w:val="20"/>
                <w:szCs w:val="20"/>
                <w:color w:val="auto"/>
              </w:rPr>
            </w:pPr>
            <w:r>
              <w:rPr>
                <w:rFonts w:ascii="Arial" w:cs="Arial" w:eastAsia="Arial" w:hAnsi="Arial"/>
                <w:sz w:val="17"/>
                <w:szCs w:val="17"/>
                <w:color w:val="auto"/>
              </w:rPr>
              <w:t>Foreign currency translation adjustments</w:t>
            </w:r>
          </w:p>
        </w:tc>
        <w:tc>
          <w:tcPr>
            <w:tcW w:w="46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3.0</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Reclassification of foreign currency translation gains to net income</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(357.4)</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(92.7)</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Deficit</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(342.2)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YRC Worldwide Inc. (also referred to as “YRC Worldwide,” the “Company,” “we,” “us” or “our”) is a holding company that, through wholly owned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47" w:lineRule="exact"/>
        <w:rPr>
          <w:sz w:val="20"/>
          <w:szCs w:val="20"/>
          <w:color w:val="auto"/>
        </w:rPr>
      </w:pPr>
    </w:p>
    <w:p>
      <w:pPr>
        <w:jc w:val="both"/>
        <w:ind w:left="600" w:hanging="297"/>
        <w:spacing w:after="0" w:line="27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Inc. (“YRC Freight”), a U.S. LTL subsidiary, and Reimer Express (“YRC Reimer”), a subsidiary located in Canada that specializes in shipments into, across and out of Canada. In addition to the United States and Canada, YRC Freight also serves parts of Mexico, Puerto Rico and Guam.</w:t>
      </w:r>
    </w:p>
    <w:p>
      <w:pPr>
        <w:spacing w:after="0" w:line="163" w:lineRule="exact"/>
        <w:rPr>
          <w:rFonts w:ascii="Arial" w:cs="Arial" w:eastAsia="Arial" w:hAnsi="Arial"/>
          <w:sz w:val="16"/>
          <w:szCs w:val="16"/>
          <w:color w:val="auto"/>
        </w:rPr>
      </w:pPr>
    </w:p>
    <w:p>
      <w:pPr>
        <w:jc w:val="both"/>
        <w:ind w:left="600" w:hanging="297"/>
        <w:spacing w:after="0" w:line="254"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Mexico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2016, approximately 78% of our labor force is subject to collective bargaining agreements, which predominantly expire in March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Principles of Consolidation</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 Our investment in our Chinese joint venture, a non-majority owned affiliate, was sold in March 2016 and was accounted for on the equity method.</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September 30, 2016: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6"/>
          </w:tcPr>
          <w:p>
            <w:pPr>
              <w:jc w:val="center"/>
              <w:ind w:left="967"/>
              <w:spacing w:after="0"/>
              <w:rPr>
                <w:sz w:val="20"/>
                <w:szCs w:val="20"/>
                <w:color w:val="auto"/>
              </w:rPr>
            </w:pPr>
            <w:r>
              <w:rPr>
                <w:rFonts w:ascii="Arial" w:cs="Arial" w:eastAsia="Arial" w:hAnsi="Arial"/>
                <w:sz w:val="13"/>
                <w:szCs w:val="13"/>
                <w:b w:val="1"/>
                <w:bCs w:val="1"/>
                <w:color w:val="auto"/>
                <w:w w:val="95"/>
              </w:rPr>
              <w:t>Fair Value Measurement Hierarchy</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Quoted prices</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3"/>
              </w:rPr>
              <w:t>Significant</w:t>
            </w:r>
          </w:p>
        </w:tc>
        <w:tc>
          <w:tcPr>
            <w:tcW w:w="260" w:type="dxa"/>
            <w:vAlign w:val="bottom"/>
          </w:tcPr>
          <w:p>
            <w:pPr>
              <w:spacing w:after="0"/>
              <w:rPr>
                <w:sz w:val="12"/>
                <w:szCs w:val="12"/>
                <w:color w:val="auto"/>
              </w:rPr>
            </w:pPr>
          </w:p>
        </w:tc>
        <w:tc>
          <w:tcPr>
            <w:tcW w:w="120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3"/>
              </w:rPr>
              <w:t>Significant</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 Carrying</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1200" w:type="dxa"/>
            <w:vAlign w:val="bottom"/>
          </w:tcPr>
          <w:p>
            <w:pPr>
              <w:jc w:val="center"/>
              <w:ind w:right="187"/>
              <w:spacing w:after="0" w:line="139" w:lineRule="exact"/>
              <w:rPr>
                <w:sz w:val="20"/>
                <w:szCs w:val="20"/>
                <w:color w:val="auto"/>
              </w:rPr>
            </w:pPr>
            <w:r>
              <w:rPr>
                <w:rFonts w:ascii="Arial" w:cs="Arial" w:eastAsia="Arial" w:hAnsi="Arial"/>
                <w:sz w:val="13"/>
                <w:szCs w:val="13"/>
                <w:b w:val="1"/>
                <w:bCs w:val="1"/>
                <w:color w:val="auto"/>
                <w:w w:val="92"/>
              </w:rPr>
              <w:t>unobservable</w:t>
            </w:r>
          </w:p>
        </w:tc>
        <w:tc>
          <w:tcPr>
            <w:tcW w:w="0" w:type="dxa"/>
            <w:vAlign w:val="bottom"/>
          </w:tcPr>
          <w:p>
            <w:pPr>
              <w:spacing w:after="0"/>
              <w:rPr>
                <w:sz w:val="1"/>
                <w:szCs w:val="1"/>
                <w:color w:val="auto"/>
              </w:rPr>
            </w:pPr>
          </w:p>
        </w:tc>
      </w:tr>
      <w:tr>
        <w:trPr>
          <w:trHeight w:val="138"/>
        </w:trPr>
        <w:tc>
          <w:tcPr>
            <w:tcW w:w="5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3"/>
              </w:rPr>
              <w:t>in active market</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0"/>
              </w:rPr>
              <w:t>observable</w:t>
            </w:r>
          </w:p>
        </w:tc>
        <w:tc>
          <w:tcPr>
            <w:tcW w:w="260" w:type="dxa"/>
            <w:vAlign w:val="bottom"/>
          </w:tcPr>
          <w:p>
            <w:pPr>
              <w:spacing w:after="0"/>
              <w:rPr>
                <w:sz w:val="12"/>
                <w:szCs w:val="12"/>
                <w:color w:val="auto"/>
              </w:rPr>
            </w:pPr>
          </w:p>
        </w:tc>
        <w:tc>
          <w:tcPr>
            <w:tcW w:w="1200" w:type="dxa"/>
            <w:vAlign w:val="bottom"/>
          </w:tcPr>
          <w:p>
            <w:pPr>
              <w:jc w:val="center"/>
              <w:ind w:right="167"/>
              <w:spacing w:after="0" w:line="139"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79"/>
        </w:trPr>
        <w:tc>
          <w:tcPr>
            <w:tcW w:w="51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8"/>
              </w:rPr>
              <w:t>(Level 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4"/>
              </w:rPr>
              <w:t>inputs (Level 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amounts held in escrow-current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7"/>
                <w:szCs w:val="17"/>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140" w:type="dxa"/>
            <w:vAlign w:val="bottom"/>
          </w:tcPr>
          <w:p>
            <w:pPr>
              <w:ind w:left="360"/>
              <w:spacing w:after="0"/>
              <w:rPr>
                <w:sz w:val="20"/>
                <w:szCs w:val="20"/>
                <w:color w:val="auto"/>
              </w:rPr>
            </w:pPr>
            <w:r>
              <w:rPr>
                <w:rFonts w:ascii="Arial" w:cs="Arial" w:eastAsia="Arial" w:hAnsi="Arial"/>
                <w:sz w:val="17"/>
                <w:szCs w:val="17"/>
                <w:color w:val="auto"/>
              </w:rPr>
              <w:t>Total assets at fair value</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rPr>
              <w:t>43.0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47"/>
              <w:spacing w:after="0"/>
              <w:rPr>
                <w:sz w:val="20"/>
                <w:szCs w:val="20"/>
                <w:color w:val="auto"/>
              </w:rPr>
            </w:pPr>
            <w:r>
              <w:rPr>
                <w:rFonts w:ascii="Arial" w:cs="Arial" w:eastAsia="Arial" w:hAnsi="Arial"/>
                <w:sz w:val="17"/>
                <w:szCs w:val="17"/>
                <w:color w:val="auto"/>
              </w:rPr>
              <w:t>43.0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 their fair value due to the short-term nature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Method Investment</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October 23, 2015, the Company entered into a sale and purchase agreement to sell its fifty percent equity interest in its Chinese joint venture, JHJ International Transportation Co., Ltd. (“JHJ”), for a purchase price of $16.3 million, which subsequently closed on March 30, 2016. At closing, we received proceeds of $16.3 million and paid transaction fees of $1.7 million. As of March 30, 2016, the carrying value of the investment was $22.7 million with an offsetting cumulative foreign translation adjustment of $10.4 million, resulting in a net gain on the transaction of $2.3 million. The gain on the transaction is included in “Nonoperating expenses - Other, net” in the accompanying statement of consolidated comprehensive income for the nine months ended September 30,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 Out of Accumulated Other Comprehensive Loss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three and nine months ended September 30, 2016, we reclassified the amortization of our net pension loss totaling $3.5 million and $10.3 million, respectively, net of tax, from accumulated other comprehensive loss to net income. For the three and nine months ended September 30, 2015, we reclassified the amortization of our net pension loss totaling $4.0 million and $12.0 million respectively, net of tax, from accumulated other comprehensive loss to net income. This reclassification is a component of net periodic pension cost and is discussed in the “Employee Benefits” footnote.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 Issued Accounting Standards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252525"/>
        </w:rPr>
        <w:t xml:space="preserve">In March 2016, the </w:t>
      </w:r>
      <w:r>
        <w:rPr>
          <w:rFonts w:ascii="Arial" w:cs="Arial" w:eastAsia="Arial" w:hAnsi="Arial"/>
          <w:sz w:val="17"/>
          <w:szCs w:val="17"/>
          <w:color w:val="000000"/>
        </w:rPr>
        <w:t>Financial Accounting Standards Board (“FASB”)</w:t>
      </w:r>
      <w:r>
        <w:rPr>
          <w:rFonts w:ascii="Arial" w:cs="Arial" w:eastAsia="Arial" w:hAnsi="Arial"/>
          <w:sz w:val="17"/>
          <w:szCs w:val="17"/>
          <w:color w:val="252525"/>
        </w:rPr>
        <w:t xml:space="preserve"> issued </w:t>
      </w:r>
      <w:r>
        <w:rPr>
          <w:rFonts w:ascii="Arial" w:cs="Arial" w:eastAsia="Arial" w:hAnsi="Arial"/>
          <w:sz w:val="17"/>
          <w:szCs w:val="17"/>
          <w:color w:val="000000"/>
        </w:rPr>
        <w:t>Accounting Standards Update (“ASU”)</w:t>
      </w:r>
      <w:r>
        <w:rPr>
          <w:rFonts w:ascii="Arial" w:cs="Arial" w:eastAsia="Arial" w:hAnsi="Arial"/>
          <w:sz w:val="17"/>
          <w:szCs w:val="17"/>
          <w:color w:val="252525"/>
        </w:rPr>
        <w:t xml:space="preserve"> 2016-09, </w:t>
      </w:r>
      <w:r>
        <w:rPr>
          <w:rFonts w:ascii="Arial" w:cs="Arial" w:eastAsia="Arial" w:hAnsi="Arial"/>
          <w:sz w:val="17"/>
          <w:szCs w:val="17"/>
          <w:i w:val="1"/>
          <w:iCs w:val="1"/>
          <w:color w:val="252525"/>
        </w:rPr>
        <w:t>Improvements to Employee Share-Based</w:t>
      </w:r>
      <w:r>
        <w:rPr>
          <w:rFonts w:ascii="Arial" w:cs="Arial" w:eastAsia="Arial" w:hAnsi="Arial"/>
          <w:sz w:val="17"/>
          <w:szCs w:val="17"/>
          <w:color w:val="252525"/>
        </w:rPr>
        <w:t xml:space="preserve"> </w:t>
      </w:r>
      <w:r>
        <w:rPr>
          <w:rFonts w:ascii="Arial" w:cs="Arial" w:eastAsia="Arial" w:hAnsi="Arial"/>
          <w:sz w:val="17"/>
          <w:szCs w:val="17"/>
          <w:i w:val="1"/>
          <w:iCs w:val="1"/>
          <w:color w:val="252525"/>
        </w:rPr>
        <w:t>Payment Accounting</w:t>
      </w:r>
      <w:r>
        <w:rPr>
          <w:rFonts w:ascii="Arial" w:cs="Arial" w:eastAsia="Arial" w:hAnsi="Arial"/>
          <w:sz w:val="17"/>
          <w:szCs w:val="17"/>
          <w:color w:val="252525"/>
        </w:rPr>
        <w:t>, which simplifies several aspects of the accounting for employee share-based payment transactions including the accounting for income taxes,</w:t>
      </w:r>
      <w:r>
        <w:rPr>
          <w:rFonts w:ascii="Arial" w:cs="Arial" w:eastAsia="Arial" w:hAnsi="Arial"/>
          <w:sz w:val="17"/>
          <w:szCs w:val="17"/>
          <w:i w:val="1"/>
          <w:iCs w:val="1"/>
          <w:color w:val="252525"/>
        </w:rPr>
        <w:t xml:space="preserve"> </w:t>
      </w:r>
      <w:r>
        <w:rPr>
          <w:rFonts w:ascii="Arial" w:cs="Arial" w:eastAsia="Arial" w:hAnsi="Arial"/>
          <w:sz w:val="17"/>
          <w:szCs w:val="17"/>
          <w:color w:val="252525"/>
        </w:rPr>
        <w:t>statutory tax withholding requirements, and classification of related amounts within the statement of cash flows. The new standard will become effective for the Company beginning with the first quarter of 2017, with early adoption permitted. The Company is currently evaluating the impacts the adoption of this accounting guidance will have on the consolidated financial statements.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most leases, including operating leases, on-balance sheet via a right-of-use asset, and lease liability. Lessees are permitted to make an accounting policy election to not recognize an asset or liability for leases with a term of 12 months or fewer. Additional qualitative and quantitative disclosures will be required. The new standard will be effective for the Company for its annual reporting period beginning January 1, 2019, including interim periods within that reporting period. Early application is permitted. The ASU requires a modified retrospective transition, which means the Company will be required to apply the new guidance at the beginning of the earliest period presented in the financial statements; however, companies may elect to apply certain practical expedients on transition. The Company is currently evaluating the impacts of this new standard to its consolidated balance sheets, results of operations and related disclosures.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In August 2015, the FASB issued ASU 2015-14, </w:t>
      </w:r>
      <w:r>
        <w:rPr>
          <w:rFonts w:ascii="Arial" w:cs="Arial" w:eastAsia="Arial" w:hAnsi="Arial"/>
          <w:sz w:val="16"/>
          <w:szCs w:val="16"/>
          <w:i w:val="1"/>
          <w:iCs w:val="1"/>
          <w:color w:val="auto"/>
        </w:rPr>
        <w:t>Revenue from Contracts with Customers, Deferral of the Effective date</w:t>
      </w:r>
      <w:r>
        <w:rPr>
          <w:rFonts w:ascii="Arial" w:cs="Arial" w:eastAsia="Arial" w:hAnsi="Arial"/>
          <w:sz w:val="16"/>
          <w:szCs w:val="16"/>
          <w:color w:val="auto"/>
        </w:rPr>
        <w:t xml:space="preserve">, which defers the effective date of ASU 2014-9,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new standard will supersede much of the previous requirements in ASU-605,</w:t>
      </w:r>
      <w:r>
        <w:rPr>
          <w:rFonts w:ascii="Arial" w:cs="Arial" w:eastAsia="Arial" w:hAnsi="Arial"/>
          <w:sz w:val="16"/>
          <w:szCs w:val="16"/>
          <w:i w:val="1"/>
          <w:iCs w:val="1"/>
          <w:color w:val="auto"/>
        </w:rPr>
        <w:t xml:space="preserve"> Revenue Recognition </w:t>
      </w:r>
      <w:r>
        <w:rPr>
          <w:rFonts w:ascii="Arial" w:cs="Arial" w:eastAsia="Arial" w:hAnsi="Arial"/>
          <w:sz w:val="16"/>
          <w:szCs w:val="16"/>
          <w:color w:val="auto"/>
        </w:rPr>
        <w:t>and most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guidance and introduces a five-step model to determine when and how revenue is recognized. The premise of the new model is that an entity recognizes revenue to depict the transfer of promised goods or services to customers in an amount that reflects the consideration to which the entity expects to be entitled in exchange for those goods or services. The new standard will be effective for the Company for its annual reporting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period beginning January 1, 2018, including interim periods within that reporting period. Early application is permitted for annual periods beginning January 1, 2017. Entities are allowed to transition to the new standard by either recasting prior periods or recognizing the cumulative effect. The Company continues to assess the method of application and impact, if any, on our consolidated balance sheets, results of operations and related disclosures.</w:t>
      </w:r>
    </w:p>
    <w:p>
      <w:pPr>
        <w:spacing w:after="0" w:line="15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In April 2015, the FASB issued ASU 2015-03, </w:t>
      </w:r>
      <w:r>
        <w:rPr>
          <w:rFonts w:ascii="Arial" w:cs="Arial" w:eastAsia="Arial" w:hAnsi="Arial"/>
          <w:sz w:val="15"/>
          <w:szCs w:val="15"/>
          <w:i w:val="1"/>
          <w:iCs w:val="1"/>
          <w:color w:val="auto"/>
        </w:rPr>
        <w:t>Interest - Imputation of Interest</w:t>
      </w:r>
      <w:r>
        <w:rPr>
          <w:rFonts w:ascii="Arial" w:cs="Arial" w:eastAsia="Arial" w:hAnsi="Arial"/>
          <w:sz w:val="15"/>
          <w:szCs w:val="15"/>
          <w:color w:val="auto"/>
        </w:rPr>
        <w:t>, which required debt issue costs related to a recognized debt liability be presented in the balance sheet as a direct deduction from the carrying amount of that debt liability, consistent with the accounting treatment for debt discounts. The Company adopted the standard as of January 1, 2016 and applied it retrospectively. The December 31, 2015 consolidated balance sheet was adjusted to reflect the reclassification of $15.2 million in debt issuance costs from “Other assets” to “Long-term debt, less current portion.” There was no other impact as a result of the adoption of this standard.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September 30, 2016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September 30, 2016 (in millions)</w:t>
            </w:r>
          </w:p>
        </w:tc>
        <w:tc>
          <w:tcPr>
            <w:tcW w:w="180" w:type="dxa"/>
            <w:vAlign w:val="bottom"/>
          </w:tcPr>
          <w:p>
            <w:pPr>
              <w:spacing w:after="0"/>
              <w:rPr>
                <w:sz w:val="13"/>
                <w:szCs w:val="13"/>
                <w:color w:val="auto"/>
              </w:rPr>
            </w:pPr>
          </w:p>
        </w:tc>
        <w:tc>
          <w:tcPr>
            <w:tcW w:w="940" w:type="dxa"/>
            <w:vAlign w:val="bottom"/>
            <w:vMerge w:val="restart"/>
          </w:tcPr>
          <w:p>
            <w:pPr>
              <w:jc w:val="right"/>
              <w:ind w:right="198"/>
              <w:spacing w:after="0"/>
              <w:rPr>
                <w:sz w:val="20"/>
                <w:szCs w:val="20"/>
                <w:color w:val="auto"/>
              </w:rPr>
            </w:pPr>
            <w:r>
              <w:rPr>
                <w:rFonts w:ascii="Arial" w:cs="Arial" w:eastAsia="Arial" w:hAnsi="Arial"/>
                <w:sz w:val="13"/>
                <w:szCs w:val="13"/>
                <w:b w:val="1"/>
                <w:bCs w:val="1"/>
                <w:color w:val="auto"/>
              </w:rPr>
              <w:t>Par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Discount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Debt Issuance</w:t>
            </w:r>
          </w:p>
        </w:tc>
        <w:tc>
          <w:tcPr>
            <w:tcW w:w="240" w:type="dxa"/>
            <w:vAlign w:val="bottom"/>
          </w:tcPr>
          <w:p>
            <w:pPr>
              <w:spacing w:after="0"/>
              <w:rPr>
                <w:sz w:val="13"/>
                <w:szCs w:val="13"/>
                <w:color w:val="auto"/>
              </w:rPr>
            </w:pPr>
          </w:p>
        </w:tc>
        <w:tc>
          <w:tcPr>
            <w:tcW w:w="880" w:type="dxa"/>
            <w:vAlign w:val="bottom"/>
          </w:tcPr>
          <w:p>
            <w:pPr>
              <w:jc w:val="right"/>
              <w:ind w:right="339"/>
              <w:spacing w:after="0"/>
              <w:rPr>
                <w:sz w:val="20"/>
                <w:szCs w:val="20"/>
                <w:color w:val="auto"/>
              </w:rPr>
            </w:pPr>
            <w:r>
              <w:rPr>
                <w:rFonts w:ascii="Arial" w:cs="Arial" w:eastAsia="Arial" w:hAnsi="Arial"/>
                <w:sz w:val="13"/>
                <w:szCs w:val="13"/>
                <w:b w:val="1"/>
                <w:bCs w:val="1"/>
                <w:color w:val="auto"/>
              </w:rPr>
              <w:t>Book</w:t>
            </w:r>
          </w:p>
        </w:tc>
        <w:tc>
          <w:tcPr>
            <w:tcW w:w="120" w:type="dxa"/>
            <w:vAlign w:val="bottom"/>
          </w:tcPr>
          <w:p>
            <w:pPr>
              <w:spacing w:after="0"/>
              <w:rPr>
                <w:sz w:val="13"/>
                <w:szCs w:val="13"/>
                <w:color w:val="auto"/>
              </w:rPr>
            </w:pPr>
          </w:p>
        </w:tc>
        <w:tc>
          <w:tcPr>
            <w:tcW w:w="1540" w:type="dxa"/>
            <w:vAlign w:val="bottom"/>
            <w:gridSpan w:val="2"/>
          </w:tcPr>
          <w:p>
            <w:pPr>
              <w:ind w:left="420"/>
              <w:spacing w:after="0"/>
              <w:rPr>
                <w:sz w:val="20"/>
                <w:szCs w:val="20"/>
                <w:color w:val="auto"/>
              </w:rPr>
            </w:pPr>
            <w:r>
              <w:rPr>
                <w:rFonts w:ascii="Arial" w:cs="Arial" w:eastAsia="Arial" w:hAnsi="Arial"/>
                <w:sz w:val="13"/>
                <w:szCs w:val="13"/>
                <w:b w:val="1"/>
                <w:bCs w:val="1"/>
                <w:color w:val="auto"/>
              </w:rPr>
              <w:t>Stated</w:t>
            </w:r>
          </w:p>
        </w:tc>
        <w:tc>
          <w:tcPr>
            <w:tcW w:w="1180" w:type="dxa"/>
            <w:vAlign w:val="bottom"/>
          </w:tcPr>
          <w:p>
            <w:pPr>
              <w:jc w:val="right"/>
              <w:ind w:right="1"/>
              <w:spacing w:after="0"/>
              <w:rPr>
                <w:sz w:val="20"/>
                <w:szCs w:val="20"/>
                <w:color w:val="auto"/>
              </w:rPr>
            </w:pPr>
            <w:r>
              <w:rPr>
                <w:rFonts w:ascii="Arial" w:cs="Arial" w:eastAsia="Arial" w:hAnsi="Arial"/>
                <w:sz w:val="13"/>
                <w:szCs w:val="13"/>
                <w:b w:val="1"/>
                <w:bCs w:val="1"/>
                <w:color w:val="auto"/>
                <w:w w:val="98"/>
              </w:rPr>
              <w:t>Average Effective</w:t>
            </w:r>
          </w:p>
        </w:tc>
        <w:tc>
          <w:tcPr>
            <w:tcW w:w="0" w:type="dxa"/>
            <w:vAlign w:val="bottom"/>
          </w:tcPr>
          <w:p>
            <w:pPr>
              <w:spacing w:after="0"/>
              <w:rPr>
                <w:sz w:val="1"/>
                <w:szCs w:val="1"/>
                <w:color w:val="auto"/>
              </w:rPr>
            </w:pPr>
          </w:p>
        </w:tc>
      </w:tr>
      <w:tr>
        <w:trPr>
          <w:trHeight w:val="179"/>
        </w:trPr>
        <w:tc>
          <w:tcPr>
            <w:tcW w:w="3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Costs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Interest Rate</w:t>
            </w:r>
          </w:p>
        </w:tc>
        <w:tc>
          <w:tcPr>
            <w:tcW w:w="3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4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680.8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667.9</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720"/>
              <w:spacing w:after="0" w:line="250" w:lineRule="exact"/>
              <w:rPr>
                <w:sz w:val="20"/>
                <w:szCs w:val="20"/>
                <w:color w:val="auto"/>
              </w:rPr>
            </w:pPr>
            <w:r>
              <w:rPr>
                <w:rFonts w:ascii="Arial" w:cs="Arial" w:eastAsia="Arial" w:hAnsi="Arial"/>
                <w:sz w:val="17"/>
                <w:szCs w:val="17"/>
                <w:color w:val="auto"/>
              </w:rPr>
              <w:t xml:space="preserve">8.00% </w:t>
            </w:r>
            <w:r>
              <w:rPr>
                <w:rFonts w:ascii="Arial" w:cs="Arial" w:eastAsia="Arial" w:hAnsi="Arial"/>
                <w:sz w:val="23"/>
                <w:szCs w:val="23"/>
                <w:color w:val="auto"/>
                <w:vertAlign w:val="superscript"/>
              </w:rPr>
              <w:t>(a)</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1180" w:type="dxa"/>
            <w:vAlign w:val="bottom"/>
          </w:tcPr>
          <w:p>
            <w:pPr>
              <w:jc w:val="right"/>
              <w:ind w:right="81"/>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28.8</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3.3-18.3%</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73.2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72.8</w:t>
            </w:r>
          </w:p>
        </w:tc>
        <w:tc>
          <w:tcPr>
            <w:tcW w:w="1320" w:type="dxa"/>
            <w:vAlign w:val="bottom"/>
            <w:gridSpan w:val="2"/>
          </w:tcPr>
          <w:p>
            <w:pPr>
              <w:jc w:val="right"/>
              <w:ind w:right="105"/>
              <w:spacing w:after="0"/>
              <w:rPr>
                <w:sz w:val="20"/>
                <w:szCs w:val="20"/>
                <w:color w:val="auto"/>
              </w:rPr>
            </w:pPr>
            <w:r>
              <w:rPr>
                <w:rFonts w:ascii="Arial" w:cs="Arial" w:eastAsia="Arial" w:hAnsi="Arial"/>
                <w:sz w:val="17"/>
                <w:szCs w:val="17"/>
                <w:color w:val="auto"/>
              </w:rPr>
              <w:t>3.3-18.3%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271.0</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9.0-18.2%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1,055.4</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1,040.5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1,023.9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20" w:hanging="119"/>
        <w:spacing w:after="0"/>
        <w:tabs>
          <w:tab w:leader="none" w:pos="120" w:val="left"/>
        </w:tabs>
        <w:numPr>
          <w:ilvl w:val="0"/>
          <w:numId w:val="4"/>
        </w:numPr>
        <w:rPr>
          <w:rFonts w:ascii="Arial" w:cs="Arial" w:eastAsia="Arial" w:hAnsi="Arial"/>
          <w:sz w:val="8"/>
          <w:szCs w:val="8"/>
          <w:color w:val="auto"/>
        </w:rPr>
      </w:pPr>
      <w:r>
        <w:rPr>
          <w:rFonts w:ascii="Arial" w:cs="Arial" w:eastAsia="Arial" w:hAnsi="Arial"/>
          <w:sz w:val="13"/>
          <w:szCs w:val="13"/>
          <w:color w:val="auto"/>
        </w:rPr>
        <w:t>Variable interest rate of 1, 3 or 6-month LIBOR, with a floor of 1.0% plus a fixed margin of 7.0%.</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Facility Amendment</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On June 28, 2016, the Company entered into Amendment No. 2 to the asset based loan facility (the “ABL Facility”), which amended several key terms, to include: (1) a 50 bps reduction in interest spread from LIBOR plus 2.25%, to LIBOR plus 1.75%, (2) the option to extend maturity from February 13, 2019 to June 28, 2021, subject to the refinancing, replacement or extension beyond June 28, 2021 of the credit agreement (the “Term Loan Agreement”) governing our term loan facility (the “Term Loan”), and (3) increased flexibility to manage and optimize the amount of cash included in the borrowing base by (i) providing the Company more flexibility as to the timing of testing the eligible borrowing base cash and (ii) reducing the availability limits under our ABL Facility to 10% of the collateral line cap from 15%.</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Facility Availability</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net cash flow from operations. As of September 30, 2016, we had cash and cash equivalents of $276.4 million and the borrowing base and maximum availability on our ABL Facility were $412.6 million and $55.0 million, respectively. The maximum availability is calculated in accordance with the terms of the ABL Facility and is derived by reducing the borrowing base by our $357.6 million of outstanding letters of credit. While our ABL Agreement permits us to access maximum availability subject to certain financial covenant restrictions (which restrictions did not limit our availability as of September 30, 2016), the maximum amount we expect to access on our ABL Facility at any time is maximum availability less the lower of 10% of the borrowing base ($41.3 million at September 30, 2016) or 10% of the facility size ($45.0 million at September 30, 2016). Thus, of the $55.0 million in maximum availability, we expected to access no more than $13.7 million as of September 30, 2016 (“Managed Accessibility”). As a result, we had cash and cash equivalents and Managed Accessibility of $290.1 million as of September 30,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Term Loan Agreement governing our Term Loan has certain financial covenants, as amended in September 2014, that, among other things, restricts certain capital expenditures and requires us to not exceed a maximum total leverage ratio (defined as Consolidated Total Debt divided by Consolidated Adjusted EBITDA, each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total maximum leverage ratio covenants are as follows:</w:t>
      </w:r>
    </w:p>
    <w:p>
      <w:pPr>
        <w:spacing w:after="0" w:line="13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7"/>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160" w:type="dxa"/>
            <w:vAlign w:val="bottom"/>
          </w:tcPr>
          <w:p>
            <w:pPr>
              <w:spacing w:after="0"/>
              <w:rPr>
                <w:sz w:val="13"/>
                <w:szCs w:val="13"/>
                <w:color w:val="auto"/>
              </w:rPr>
            </w:pPr>
          </w:p>
        </w:tc>
        <w:tc>
          <w:tcPr>
            <w:tcW w:w="258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6"/>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Leverage Ratio</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2016</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3.75 to 1.00</w:t>
            </w:r>
          </w:p>
        </w:tc>
        <w:tc>
          <w:tcPr>
            <w:tcW w:w="160" w:type="dxa"/>
            <w:vAlign w:val="bottom"/>
          </w:tcPr>
          <w:p>
            <w:pPr>
              <w:spacing w:after="0"/>
              <w:rPr>
                <w:sz w:val="19"/>
                <w:szCs w:val="19"/>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December 31, 2016</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7"/>
                <w:szCs w:val="17"/>
                <w:color w:val="auto"/>
              </w:rPr>
              <w:t>September 30, 2017</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March 31, 2017</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December 31, 2017 and thereafter</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6"/>
        </w:trPr>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International Brotherhood of Teamsters (“IBT”) employees and the gains or losses from permitted dispositions and discontinued operations. Consolidated Total Debt, as defined in our Term Loan Agreement, is the aggregate principal amount of indebtedness outstanding. Our total leverage ratio for the four consecutive fiscal quarters ending September 30, 2016 was 3.45 to 1.00.</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To maintain compliance with the maximum total leverage ratio over the tenor of the Term Loan and satisfy our liquidity needs, we would have to achieve operating results that reflect significant improvement over our third quarter 2016 results. Means for improving our profitability may include ongoing successful implementation and realization of pricing, productivity and efficiency initiatives, as well as increased volume, some of which are outside of our control.</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Although we are currently in compliance with the maximum total leverage ratio covenant under our Term Loan Agreement, the covenant levels tighten in the coming quarters. Our internal forecasts currently indicate that, absent one or more specific actions as described below, we could fail to comply with this covenant in one or more quarters over the next 12 months. As a result, we may decide to pay down a sufficient amount of the Term Loan to comply with the covenant. We currently believe that the results of our operations will be sufficient to allow us to make such payments and fund our operations for the next twelve months. However, we may also be required to pursue certain actions, including but not limited to reducing capital expenditures, curtailing actions relating to our planned revenue growth and/or seeking other cost reductions. Some of those actions might adversely affect our operations and financial performance over the long-term.</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Alternatively, we may seek an amendment to the Term Loan that would modify the covenant or pursue some other corporate finance transaction that would reduce our total leverage so that we would remain in compliance. There can be no assurance that we will be successful in obtaining such relief.</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3"/>
                <w:szCs w:val="13"/>
                <w:b w:val="1"/>
                <w:bCs w:val="1"/>
                <w:color w:val="auto"/>
              </w:rPr>
              <w:t>September 30, 2016</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3"/>
                <w:szCs w:val="13"/>
                <w:b w:val="1"/>
                <w:bCs w:val="1"/>
                <w:color w:val="auto"/>
              </w:rPr>
              <w:t>December 31, 2015</w:t>
            </w:r>
          </w:p>
        </w:tc>
      </w:tr>
      <w:tr>
        <w:trPr>
          <w:trHeight w:val="244"/>
        </w:trPr>
        <w:tc>
          <w:tcPr>
            <w:tcW w:w="514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280" w:type="dxa"/>
            <w:vAlign w:val="bottom"/>
          </w:tcPr>
          <w:p>
            <w:pPr>
              <w:spacing w:after="0"/>
              <w:rPr>
                <w:sz w:val="21"/>
                <w:szCs w:val="21"/>
                <w:color w:val="auto"/>
              </w:rPr>
            </w:pPr>
          </w:p>
        </w:tc>
        <w:tc>
          <w:tcPr>
            <w:tcW w:w="1180" w:type="dxa"/>
            <w:vAlign w:val="bottom"/>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667.9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669.0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594.6</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271.0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268.3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276.3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282.9</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102.1</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1,040.5</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1,022.2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1,062.4</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979.6</w:t>
            </w:r>
          </w:p>
        </w:tc>
      </w:tr>
      <w:tr>
        <w:trPr>
          <w:trHeight w:val="26"/>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fair values of the Term Loan and the Secured and Unsecured Second Amended and Restated Contribution Deferral Agreement (the “Second A&amp;R CDA”)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September 30, 2016, our operating lease payment obligations through 2030 totaled $323.8 million and are expected to increase as we lease additional revenue equipment. Additionally, for the nine months ended September 30, 2016, we entered into new operating leases for revenue equipment totaling $95.2 million in future lease payments, payable over an average lease term of five years.</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capital expenditures for the nine months ended September 30, 2016 and 2015 were $75.4 million and $71.8 million, respectively. These amounts were principally used to pay capitalized costs for technology infrastructure, to refurbish engines for our revenue fleet, and to fund the purchase of used tractors and trailers.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costs for the three and nine months ended September 30:</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w:t>
            </w:r>
          </w:p>
        </w:tc>
        <w:tc>
          <w:tcPr>
            <w:tcW w:w="680" w:type="dxa"/>
            <w:vAlign w:val="bottom"/>
            <w:tcBorders>
              <w:bottom w:val="single" w:sz="8" w:color="auto"/>
            </w:tcBorders>
          </w:tcPr>
          <w:p>
            <w:pPr>
              <w:spacing w:after="0"/>
              <w:rPr>
                <w:sz w:val="15"/>
                <w:szCs w:val="15"/>
                <w:color w:val="auto"/>
              </w:rPr>
            </w:pPr>
          </w:p>
        </w:tc>
      </w:tr>
      <w:tr>
        <w:trPr>
          <w:trHeight w:val="244"/>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96"/>
              </w:rPr>
              <w:t>2015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w w:val="96"/>
              </w:rPr>
              <w:t>2015</w:t>
            </w:r>
          </w:p>
        </w:tc>
      </w:tr>
      <w:tr>
        <w:trPr>
          <w:trHeight w:val="22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3.6</w:t>
            </w:r>
          </w:p>
        </w:tc>
      </w:tr>
      <w:tr>
        <w:trPr>
          <w:trHeight w:val="226"/>
        </w:trPr>
        <w:tc>
          <w:tcPr>
            <w:tcW w:w="60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6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42.9</w:t>
            </w:r>
          </w:p>
        </w:tc>
      </w:tr>
      <w:tr>
        <w:trPr>
          <w:trHeight w:val="26"/>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26"/>
        </w:trPr>
        <w:tc>
          <w:tcPr>
            <w:tcW w:w="6080" w:type="dxa"/>
            <w:vAlign w:val="bottom"/>
          </w:tcPr>
          <w:p>
            <w:pPr>
              <w:ind w:left="20"/>
              <w:spacing w:after="0"/>
              <w:rPr>
                <w:sz w:val="20"/>
                <w:szCs w:val="20"/>
                <w:color w:val="auto"/>
              </w:rPr>
            </w:pPr>
            <w:r>
              <w:rPr>
                <w:rFonts w:ascii="Arial" w:cs="Arial" w:eastAsia="Arial" w:hAnsi="Arial"/>
                <w:sz w:val="17"/>
                <w:szCs w:val="17"/>
                <w:color w:val="auto"/>
              </w:rPr>
              <w:t>Amortization of net pension loss</w:t>
            </w:r>
          </w:p>
        </w:tc>
        <w:tc>
          <w:tcPr>
            <w:tcW w:w="26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12.0</w:t>
            </w:r>
          </w:p>
        </w:tc>
      </w:tr>
      <w:tr>
        <w:trPr>
          <w:trHeight w:val="26"/>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periodic pension cost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$45.4 million to our Company-sponsored pension plans in 2016 of which we have contributed $33.1 million through September 30, 2016.</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Incentive Awards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granted performance stock units in February 2016 that, to the extent earned based on company performance, will be settled in cash as the stock units vest equally over the next three years, with the first vesting occurring in February 2017. The awards are liability classified and remeasured to fair value at each reporting date until settlement.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effective tax rate for the three and nine months ended September 30, 2016 was 3.5% and 10.5%, compared to 25.3% and 30.1% for the three and nine months ended September 30, 2015. The significant items impacting the 2016 rate include a provision for federal alternative minimum tax, a refund from a prior year amended return, a net state and foreign tax provision, certain permanent items, and a change in the valuation allowance established for the net deferred tax asset balance projected for December 31, 2016. The significant items impacting the 2015 rate include a net state and foreign tax provision, certain permanent items, and a change in the valuation allowance established for the net deferred tax asset balance that had been projected for December 31, 2015.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2016 and December 31, 2015, substantially all of our net deferred tax assets were subject to a valuation allowance.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Deficit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reflects the activity in the shares of our common stock for the nine months ended September 30,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(shares in thousands)</w:t>
            </w:r>
          </w:p>
        </w:tc>
        <w:tc>
          <w:tcPr>
            <w:tcW w:w="148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2016</w:t>
            </w:r>
          </w:p>
        </w:tc>
      </w:tr>
      <w:tr>
        <w:trPr>
          <w:trHeight w:val="22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32,141</w:t>
            </w:r>
          </w:p>
        </w:tc>
      </w:tr>
      <w:tr>
        <w:trPr>
          <w:trHeight w:val="226"/>
        </w:trPr>
        <w:tc>
          <w:tcPr>
            <w:tcW w:w="9940" w:type="dxa"/>
            <w:vAlign w:val="bottom"/>
          </w:tcPr>
          <w:p>
            <w:pPr>
              <w:ind w:left="20"/>
              <w:spacing w:after="0"/>
              <w:rPr>
                <w:sz w:val="20"/>
                <w:szCs w:val="20"/>
                <w:color w:val="auto"/>
              </w:rPr>
            </w:pPr>
            <w:r>
              <w:rPr>
                <w:rFonts w:ascii="Arial" w:cs="Arial" w:eastAsia="Arial" w:hAnsi="Arial"/>
                <w:sz w:val="17"/>
                <w:szCs w:val="17"/>
                <w:color w:val="auto"/>
              </w:rPr>
              <w:t>Issuance of equity awards</w:t>
            </w:r>
          </w:p>
        </w:tc>
        <w:tc>
          <w:tcPr>
            <w:tcW w:w="1480" w:type="dxa"/>
            <w:vAlign w:val="bottom"/>
          </w:tcPr>
          <w:p>
            <w:pPr>
              <w:jc w:val="right"/>
              <w:ind w:right="20"/>
              <w:spacing w:after="0"/>
              <w:rPr>
                <w:sz w:val="20"/>
                <w:szCs w:val="20"/>
                <w:color w:val="auto"/>
              </w:rPr>
            </w:pPr>
            <w:r>
              <w:rPr>
                <w:rFonts w:ascii="Arial" w:cs="Arial" w:eastAsia="Arial" w:hAnsi="Arial"/>
                <w:sz w:val="17"/>
                <w:szCs w:val="17"/>
                <w:color w:val="auto"/>
              </w:rPr>
              <w:t>330</w:t>
            </w:r>
          </w:p>
        </w:tc>
      </w:tr>
      <w:tr>
        <w:trPr>
          <w:trHeight w:val="26"/>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32,471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calculate basic earnings per share by dividing our net earnings by our weighted-average shares outstanding at the end of the period. The calculation for diluted earnings per share adjusts the weighted average shares outstanding for our dilutive unvested shares and stock units using the treasury stock method and for our convertible notes using the if-converted method. Our calculations for basic and dilutive earnings per share for the three and nine months ended September 30, 2016 and 2015 are as follows:</w:t>
      </w:r>
    </w:p>
    <w:p>
      <w:pPr>
        <w:spacing w:after="0" w:line="385" w:lineRule="exact"/>
        <w:rPr>
          <w:sz w:val="20"/>
          <w:szCs w:val="20"/>
          <w:color w:val="auto"/>
        </w:rPr>
      </w:pPr>
    </w:p>
    <w:tbl>
      <w:tblPr>
        <w:tblLayout w:type="fixed"/>
        <w:tblInd w:w="1740" w:type="dxa"/>
        <w:tblCellMar>
          <w:top w:w="0" w:type="dxa"/>
          <w:left w:w="0" w:type="dxa"/>
          <w:bottom w:w="0" w:type="dxa"/>
          <w:right w:w="0" w:type="dxa"/>
        </w:tblCellMar>
      </w:tblPr>
      <w:tr>
        <w:trPr>
          <w:trHeight w:val="179"/>
        </w:trPr>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w:t>
            </w:r>
          </w:p>
        </w:tc>
        <w:tc>
          <w:tcPr>
            <w:tcW w:w="180" w:type="dxa"/>
            <w:vAlign w:val="bottom"/>
          </w:tcPr>
          <w:p>
            <w:pPr>
              <w:spacing w:after="0"/>
              <w:rPr>
                <w:sz w:val="15"/>
                <w:szCs w:val="15"/>
                <w:color w:val="auto"/>
              </w:rPr>
            </w:pPr>
          </w:p>
        </w:tc>
        <w:tc>
          <w:tcPr>
            <w:tcW w:w="1520" w:type="dxa"/>
            <w:vAlign w:val="bottom"/>
            <w:gridSpan w:val="4"/>
          </w:tcPr>
          <w:p>
            <w:pPr>
              <w:jc w:val="right"/>
              <w:ind w:right="398"/>
              <w:spacing w:after="0"/>
              <w:rPr>
                <w:sz w:val="20"/>
                <w:szCs w:val="20"/>
                <w:color w:val="auto"/>
              </w:rPr>
            </w:pPr>
            <w:r>
              <w:rPr>
                <w:rFonts w:ascii="Arial" w:cs="Arial" w:eastAsia="Arial" w:hAnsi="Arial"/>
                <w:sz w:val="13"/>
                <w:szCs w:val="13"/>
                <w:b w:val="1"/>
                <w:bCs w:val="1"/>
                <w:color w:val="auto"/>
              </w:rPr>
              <w:t>Nine Months</w:t>
            </w:r>
          </w:p>
        </w:tc>
      </w:tr>
      <w:tr>
        <w:trPr>
          <w:trHeight w:val="244"/>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8"/>
              </w:rPr>
              <w:t>(dollars in millions, except per share data, shares and stock units in thousands)</w:t>
            </w: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2015</w:t>
            </w:r>
          </w:p>
        </w:tc>
      </w:tr>
      <w:tr>
        <w:trPr>
          <w:trHeight w:val="229"/>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2"/>
              </w:rPr>
              <w:t>Basic and dilutive net income available to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302"/>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2"/>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32,065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31,602</w:t>
            </w:r>
          </w:p>
        </w:tc>
      </w:tr>
      <w:tr>
        <w:trPr>
          <w:trHeight w:val="226"/>
        </w:trPr>
        <w:tc>
          <w:tcPr>
            <w:tcW w:w="450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6"/>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2"/>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Unvested shares and stock units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646</w:t>
            </w:r>
          </w:p>
        </w:tc>
      </w:tr>
      <w:tr>
        <w:trPr>
          <w:trHeight w:val="226"/>
        </w:trPr>
        <w:tc>
          <w:tcPr>
            <w:tcW w:w="4500" w:type="dxa"/>
            <w:vAlign w:val="bottom"/>
          </w:tcPr>
          <w:p>
            <w:pPr>
              <w:ind w:left="160"/>
              <w:spacing w:after="0"/>
              <w:rPr>
                <w:sz w:val="20"/>
                <w:szCs w:val="20"/>
                <w:color w:val="auto"/>
              </w:rPr>
            </w:pPr>
            <w:r>
              <w:rPr>
                <w:rFonts w:ascii="Arial" w:cs="Arial" w:eastAsia="Arial" w:hAnsi="Arial"/>
                <w:sz w:val="17"/>
                <w:szCs w:val="17"/>
                <w:color w:val="auto"/>
              </w:rPr>
              <w:t>Series B Notes</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321</w:t>
            </w:r>
          </w:p>
        </w:tc>
      </w:tr>
      <w:tr>
        <w:trPr>
          <w:trHeight w:val="26"/>
        </w:trPr>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9"/>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Dilutive 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32,621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32,569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80"/>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2"/>
        </w:trPr>
        <w:tc>
          <w:tcPr>
            <w:tcW w:w="450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Basic earnings per share</w:t>
            </w:r>
            <w:r>
              <w:rPr>
                <w:rFonts w:ascii="Arial" w:cs="Arial" w:eastAsia="Arial" w:hAnsi="Arial"/>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0.76</w:t>
            </w:r>
          </w:p>
        </w:tc>
      </w:tr>
      <w:tr>
        <w:trPr>
          <w:trHeight w:val="245"/>
        </w:trPr>
        <w:tc>
          <w:tcPr>
            <w:tcW w:w="4500" w:type="dxa"/>
            <w:vAlign w:val="bottom"/>
          </w:tcPr>
          <w:p>
            <w:pPr>
              <w:ind w:left="20"/>
              <w:spacing w:after="0" w:line="245" w:lineRule="exact"/>
              <w:rPr>
                <w:sz w:val="20"/>
                <w:szCs w:val="20"/>
                <w:color w:val="auto"/>
              </w:rPr>
            </w:pPr>
            <w:r>
              <w:rPr>
                <w:rFonts w:ascii="Arial" w:cs="Arial" w:eastAsia="Arial" w:hAnsi="Arial"/>
                <w:sz w:val="17"/>
                <w:szCs w:val="17"/>
                <w:color w:val="auto"/>
              </w:rPr>
              <w:t>Diluted earnings per share</w:t>
            </w:r>
            <w:r>
              <w:rPr>
                <w:rFonts w:ascii="Arial" w:cs="Arial" w:eastAsia="Arial" w:hAnsi="Arial"/>
                <w:sz w:val="23"/>
                <w:szCs w:val="23"/>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0.74</w:t>
            </w:r>
          </w:p>
        </w:tc>
      </w:tr>
    </w:tbl>
    <w:p>
      <w:pPr>
        <w:ind w:left="300"/>
        <w:spacing w:after="0"/>
        <w:rPr>
          <w:sz w:val="20"/>
          <w:szCs w:val="20"/>
          <w:color w:val="auto"/>
        </w:rPr>
      </w:pPr>
      <w:r>
        <w:rPr>
          <w:rFonts w:ascii="Arial" w:cs="Arial" w:eastAsia="Arial" w:hAnsi="Arial"/>
          <w:sz w:val="8"/>
          <w:szCs w:val="8"/>
          <w:color w:val="auto"/>
        </w:rPr>
        <w:t xml:space="preserve">(a) </w:t>
      </w:r>
      <w:r>
        <w:rPr>
          <w:rFonts w:ascii="Arial" w:cs="Arial" w:eastAsia="Arial" w:hAnsi="Arial"/>
          <w:sz w:val="13"/>
          <w:szCs w:val="13"/>
          <w:color w:val="auto"/>
        </w:rPr>
        <w:t>Earnings per share is based on unrounded figures and not the rounded figures presented.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2016 and 2015, our anti-dilutive unvested shares, options, and stock units were approximately 213,000 and 264,000,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charge management fees and other corporate service fees to our reporting segments based on the benefits received or an overhead allocation basis. Corporate and other operating losses represent residual operating expenses of the holding company. Corporate identifiable assets primarily consist of cash and cash equivalents. Intersegment revenue primarily relates to transportation services between our segments.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1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YRC Freight</w:t>
            </w:r>
          </w:p>
        </w:tc>
        <w:tc>
          <w:tcPr>
            <w:tcW w:w="18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Corporate/</w:t>
            </w:r>
          </w:p>
        </w:tc>
        <w:tc>
          <w:tcPr>
            <w:tcW w:w="220" w:type="dxa"/>
            <w:vAlign w:val="bottom"/>
          </w:tcPr>
          <w:p>
            <w:pPr>
              <w:spacing w:after="0"/>
              <w:rPr>
                <w:sz w:val="13"/>
                <w:szCs w:val="13"/>
                <w:color w:val="auto"/>
              </w:rPr>
            </w:pPr>
          </w:p>
        </w:tc>
        <w:tc>
          <w:tcPr>
            <w:tcW w:w="1140" w:type="dxa"/>
            <w:vAlign w:val="bottom"/>
            <w:vMerge w:val="restart"/>
          </w:tcPr>
          <w:p>
            <w:pPr>
              <w:jc w:val="right"/>
              <w:ind w:right="218"/>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179"/>
        </w:trPr>
        <w:tc>
          <w:tcPr>
            <w:tcW w:w="37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Eliminations</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September 30, 2016</w:t>
            </w: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1,324.2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723.7</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(177.3)</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1,870.6</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2015</w:t>
            </w:r>
          </w:p>
        </w:tc>
        <w:tc>
          <w:tcPr>
            <w:tcW w:w="1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1,351.5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652.9</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(125.0)</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1,879.4</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2016</w:t>
            </w:r>
          </w:p>
        </w:tc>
        <w:tc>
          <w:tcPr>
            <w:tcW w:w="1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777.9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443.7</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1,221.3</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26"/>
        </w:trPr>
        <w:tc>
          <w:tcPr>
            <w:tcW w:w="3780" w:type="dxa"/>
            <w:vAlign w:val="bottom"/>
          </w:tcPr>
          <w:p>
            <w:pPr>
              <w:ind w:left="20"/>
              <w:spacing w:after="0"/>
              <w:rPr>
                <w:sz w:val="20"/>
                <w:szCs w:val="20"/>
                <w:color w:val="auto"/>
              </w:rPr>
            </w:pPr>
            <w:r>
              <w:rPr>
                <w:rFonts w:ascii="Arial" w:cs="Arial" w:eastAsia="Arial" w:hAnsi="Arial"/>
                <w:sz w:val="17"/>
                <w:szCs w:val="17"/>
                <w:color w:val="auto"/>
              </w:rPr>
              <w:t>Nine Months Ended September 30, 2016</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2,228.6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1,321.3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3,549.2</w:t>
            </w: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109.4</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2015</w:t>
            </w:r>
          </w:p>
        </w:tc>
        <w:tc>
          <w:tcPr>
            <w:tcW w:w="1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789.2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455.7</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1,244.9</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226"/>
        </w:trPr>
        <w:tc>
          <w:tcPr>
            <w:tcW w:w="3780" w:type="dxa"/>
            <w:vAlign w:val="bottom"/>
          </w:tcPr>
          <w:p>
            <w:pPr>
              <w:ind w:left="20"/>
              <w:spacing w:after="0"/>
              <w:rPr>
                <w:sz w:val="20"/>
                <w:szCs w:val="20"/>
                <w:color w:val="auto"/>
              </w:rPr>
            </w:pPr>
            <w:r>
              <w:rPr>
                <w:rFonts w:ascii="Arial" w:cs="Arial" w:eastAsia="Arial" w:hAnsi="Arial"/>
                <w:sz w:val="17"/>
                <w:szCs w:val="17"/>
                <w:color w:val="auto"/>
              </w:rPr>
              <w:t>Nine Months Ended September 30, 2015</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2,322.0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1,367.7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3,689.7</w:t>
            </w: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75.9</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 Law Change</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October 2015, California adopted new rules governing the payment of piece-rate compensation. New California Labor Code section 226.2 sets forth requirements for the payment of a separate hourly wage for “nonproductive” time worked by piece-rate employees, and separate payment for compensable rest and recovery periods to those employees. The Company continues to assess the impact of this new law and ongoing compliance measures. We believe the possible loss or range of loss is inconsequential to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0" w:lineRule="exact"/>
        <w:rPr>
          <w:sz w:val="20"/>
          <w:szCs w:val="20"/>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uncertainty in the overall economy, including (without limitation) customer demand in the retail and manufacturing sectors;</w:t>
      </w:r>
    </w:p>
    <w:p>
      <w:pPr>
        <w:spacing w:after="0" w:line="56" w:lineRule="exact"/>
        <w:rPr>
          <w:rFonts w:ascii="Arial" w:cs="Arial" w:eastAsia="Arial" w:hAnsi="Arial"/>
          <w:sz w:val="17"/>
          <w:szCs w:val="17"/>
          <w:color w:val="auto"/>
        </w:rPr>
      </w:pPr>
    </w:p>
    <w:p>
      <w:pPr>
        <w:jc w:val="both"/>
        <w:ind w:left="600" w:hanging="297"/>
        <w:spacing w:after="0" w:line="258"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 of our management team in implementing its strategic plan and continued operational and productivity improvements, including (without limitation) our continued ability to meet quality delivery performance standards and our ability to increase volume and yield, and the impact of those improvements on our future liquidity and profitability;</w:t>
      </w:r>
    </w:p>
    <w:p>
      <w:pPr>
        <w:spacing w:after="0" w:line="23"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comply with scheduled increases in financial performance-related debt covenants;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dependence on our information technology systems in our network operations and the production of accurate information, and the risk of system failure, inadequacy or security breach;</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equity and debt markets;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seasonal factors such as severe weather conditions;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price of fuel;</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expense volatility, including (without limitation) volatility due to changes in purchased transportation service or pricing for purchased transportation;</w:t>
      </w:r>
    </w:p>
    <w:p>
      <w:pPr>
        <w:spacing w:after="0" w:line="67" w:lineRule="exact"/>
        <w:rPr>
          <w:rFonts w:ascii="Arial" w:cs="Arial" w:eastAsia="Arial" w:hAnsi="Arial"/>
          <w:sz w:val="16"/>
          <w:szCs w:val="16"/>
          <w:color w:val="auto"/>
        </w:rPr>
      </w:pPr>
    </w:p>
    <w:p>
      <w:pPr>
        <w:ind w:left="600" w:hanging="297"/>
        <w:spacing w:after="0" w:line="26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terrorist attack;</w:t>
      </w:r>
    </w:p>
    <w:p>
      <w:pPr>
        <w:spacing w:after="0" w:line="56" w:lineRule="exact"/>
        <w:rPr>
          <w:rFonts w:ascii="Arial" w:cs="Arial" w:eastAsia="Arial" w:hAnsi="Arial"/>
          <w:sz w:val="17"/>
          <w:szCs w:val="17"/>
          <w:color w:val="auto"/>
        </w:rPr>
      </w:pPr>
    </w:p>
    <w:p>
      <w:pPr>
        <w:jc w:val="both"/>
        <w:ind w:left="600" w:hanging="297"/>
        <w:spacing w:after="0" w:line="258"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labor relations, including (without limitation) our ability to attract and retain qualified drivers,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23"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claims and litigation to which we are or may become exposed; and</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Consolidated Results of Operations </w:t>
      </w:r>
      <w:r>
        <w:rPr>
          <w:rFonts w:ascii="Arial" w:cs="Arial" w:eastAsia="Arial" w:hAnsi="Arial"/>
          <w:sz w:val="17"/>
          <w:szCs w:val="17"/>
          <w:color w:val="auto"/>
        </w:rPr>
        <w:t>— an analysis of our consolidated results of operations for the three and nine months ended September 30, 2016</w:t>
      </w:r>
      <w:r>
        <w:rPr>
          <w:rFonts w:ascii="Arial" w:cs="Arial" w:eastAsia="Arial" w:hAnsi="Arial"/>
          <w:sz w:val="17"/>
          <w:szCs w:val="17"/>
          <w:b w:val="1"/>
          <w:bCs w:val="1"/>
          <w:color w:val="auto"/>
        </w:rPr>
        <w:t xml:space="preserve"> </w:t>
      </w:r>
      <w:r>
        <w:rPr>
          <w:rFonts w:ascii="Arial" w:cs="Arial" w:eastAsia="Arial" w:hAnsi="Arial"/>
          <w:sz w:val="17"/>
          <w:szCs w:val="17"/>
          <w:color w:val="auto"/>
        </w:rPr>
        <w:t>and 2015.</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and nine months ended September 30, 2016 and</w:t>
      </w:r>
      <w:r>
        <w:rPr>
          <w:rFonts w:ascii="Arial" w:cs="Arial" w:eastAsia="Arial" w:hAnsi="Arial"/>
          <w:sz w:val="17"/>
          <w:szCs w:val="17"/>
          <w:b w:val="1"/>
          <w:bCs w:val="1"/>
          <w:color w:val="auto"/>
        </w:rPr>
        <w:t xml:space="preserve"> </w:t>
      </w:r>
      <w:r>
        <w:rPr>
          <w:rFonts w:ascii="Arial" w:cs="Arial" w:eastAsia="Arial" w:hAnsi="Arial"/>
          <w:sz w:val="17"/>
          <w:szCs w:val="17"/>
          <w:color w:val="auto"/>
        </w:rPr>
        <w:t>2015 for our 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an analysis of selected non-GAAP financial measures for the three and nine months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2016 and 2015 and trailing twelve months ended September 30, 2016 and 2015.</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“third quarter” and “first three quarters” of the years discussed below refer to the three and nine months ended September 30,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wholly owned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basis and a reporting segment basis. We use several performance metrics, but rely primarily upon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87" w:lineRule="auto"/>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Operating Revenue: </w:t>
      </w:r>
      <w:r>
        <w:rPr>
          <w:rFonts w:ascii="Arial" w:cs="Arial" w:eastAsia="Arial" w:hAnsi="Arial"/>
          <w:sz w:val="15"/>
          <w:szCs w:val="15"/>
          <w:color w:val="auto"/>
        </w:rPr>
        <w:t>Our operating revenue has two primary components: volume (commonly evaluated using number of shipments and weight per shipment)</w:t>
      </w:r>
      <w:r>
        <w:rPr>
          <w:rFonts w:ascii="Arial" w:cs="Arial" w:eastAsia="Arial" w:hAnsi="Arial"/>
          <w:sz w:val="15"/>
          <w:szCs w:val="15"/>
          <w:b w:val="1"/>
          <w:bCs w:val="1"/>
          <w:color w:val="auto"/>
        </w:rPr>
        <w:t xml:space="preserve"> </w:t>
      </w:r>
      <w:r>
        <w:rPr>
          <w:rFonts w:ascii="Arial" w:cs="Arial" w:eastAsia="Arial" w:hAnsi="Arial"/>
          <w:sz w:val="15"/>
          <w:szCs w:val="15"/>
          <w:color w:val="auto"/>
        </w:rPr>
        <w:t>and yield or price (commonly evaluated on a dollar-per-hundred weight basis and a dollar-per-shipment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w:t>
      </w:r>
    </w:p>
    <w:p>
      <w:pPr>
        <w:spacing w:after="0" w:line="157" w:lineRule="exact"/>
        <w:rPr>
          <w:rFonts w:ascii="Arial" w:cs="Arial" w:eastAsia="Arial" w:hAnsi="Arial"/>
          <w:sz w:val="15"/>
          <w:szCs w:val="15"/>
          <w:color w:val="auto"/>
        </w:rPr>
      </w:pPr>
    </w:p>
    <w:p>
      <w:pPr>
        <w:ind w:left="600" w:hanging="297"/>
        <w:spacing w:after="0" w:line="274"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 includes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charges that are not allocated to our YRC Freight and Regional Transportation reporting segments.</w:t>
      </w:r>
    </w:p>
    <w:p>
      <w:pPr>
        <w:spacing w:after="0" w:line="157" w:lineRule="exact"/>
        <w:rPr>
          <w:rFonts w:ascii="Arial" w:cs="Arial" w:eastAsia="Arial" w:hAnsi="Arial"/>
          <w:sz w:val="17"/>
          <w:szCs w:val="17"/>
          <w:color w:val="auto"/>
        </w:rPr>
      </w:pPr>
    </w:p>
    <w:p>
      <w:pPr>
        <w:ind w:left="600" w:hanging="297"/>
        <w:spacing w:after="0" w:line="342" w:lineRule="auto"/>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metric used in the trucking industry. It is calculated as (i) 100 percent (ii) minus the result</w:t>
      </w:r>
      <w:r>
        <w:rPr>
          <w:rFonts w:ascii="Arial" w:cs="Arial" w:eastAsia="Arial" w:hAnsi="Arial"/>
          <w:sz w:val="15"/>
          <w:szCs w:val="15"/>
          <w:b w:val="1"/>
          <w:bCs w:val="1"/>
          <w:color w:val="auto"/>
        </w:rPr>
        <w:t xml:space="preserve"> </w:t>
      </w:r>
      <w:r>
        <w:rPr>
          <w:rFonts w:ascii="Arial" w:cs="Arial" w:eastAsia="Arial" w:hAnsi="Arial"/>
          <w:sz w:val="15"/>
          <w:szCs w:val="15"/>
          <w:color w:val="auto"/>
        </w:rPr>
        <w:t>of dividing operating income by operating revenue or (iii) plus the result of dividing operating loss by operating revenue, and expressed as a percentage.</w:t>
      </w:r>
    </w:p>
    <w:p>
      <w:pPr>
        <w:spacing w:after="0" w:line="112" w:lineRule="exact"/>
        <w:rPr>
          <w:rFonts w:ascii="Arial" w:cs="Arial" w:eastAsia="Arial" w:hAnsi="Arial"/>
          <w:sz w:val="15"/>
          <w:szCs w:val="15"/>
          <w:color w:val="auto"/>
        </w:rPr>
      </w:pPr>
    </w:p>
    <w:p>
      <w:pPr>
        <w:ind w:left="600" w:hanging="297"/>
        <w:spacing w:after="0"/>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Non-GAAP Financial Measures: </w:t>
      </w:r>
      <w:r>
        <w:rPr>
          <w:rFonts w:ascii="Arial" w:cs="Arial" w:eastAsia="Arial" w:hAnsi="Arial"/>
          <w:sz w:val="15"/>
          <w:szCs w:val="15"/>
          <w:color w:val="auto"/>
        </w:rPr>
        <w:t>We use certain non-GAAP financial measures to assess our performance. These include EBITDA and Adjusted EBITDA:</w:t>
      </w:r>
    </w:p>
    <w:p>
      <w:pPr>
        <w:spacing w:after="0" w:line="234" w:lineRule="exact"/>
        <w:rPr>
          <w:rFonts w:ascii="Arial" w:cs="Arial" w:eastAsia="Arial" w:hAnsi="Arial"/>
          <w:sz w:val="15"/>
          <w:szCs w:val="15"/>
          <w:color w:val="auto"/>
        </w:rPr>
      </w:pPr>
    </w:p>
    <w:p>
      <w:pPr>
        <w:ind w:left="1200" w:hanging="293"/>
        <w:spacing w:after="0" w:line="269" w:lineRule="auto"/>
        <w:tabs>
          <w:tab w:leader="none" w:pos="120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ind w:left="1200" w:hanging="293"/>
        <w:spacing w:after="0" w:line="251" w:lineRule="auto"/>
        <w:tabs>
          <w:tab w:leader="none" w:pos="12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our earnings before interest, taxes, depreciation, and amortization expense, and further adjusts for</w:t>
      </w:r>
      <w:r>
        <w:rPr>
          <w:rFonts w:ascii="Arial" w:cs="Arial" w:eastAsia="Arial" w:hAnsi="Arial"/>
          <w:sz w:val="17"/>
          <w:szCs w:val="17"/>
          <w:i w:val="1"/>
          <w:iCs w:val="1"/>
          <w:color w:val="auto"/>
        </w:rPr>
        <w:t xml:space="preserve"> </w:t>
      </w:r>
      <w:r>
        <w:rPr>
          <w:rFonts w:ascii="Arial" w:cs="Arial" w:eastAsia="Arial" w:hAnsi="Arial"/>
          <w:sz w:val="17"/>
          <w:szCs w:val="17"/>
          <w:color w:val="auto"/>
        </w:rPr>
        <w:t>letter of credit fees, equity-based compensation expense, net gains or losses on property disposals, restructuring professional fees, non-recurring consulting fees, expenses associated with certain lump sum payments to our IBT employees and the gains or losses from permitted dispositions, discontinued operations, among other items, as defined in our credit facilities. Adjusted EBITDA is used for internal management purposes as a financial measure that reflects our core operating performance, to measure compliance with financial covenants in our credit facilities and to calculate certain executive bonus compensation.</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jc w:val="both"/>
        <w:ind w:left="1200" w:hanging="293"/>
        <w:spacing w:after="0" w:line="247"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fund restructuring professional fees, nonrecurring consulting fees, letter of credit fees, service interest, principal payments on our outstanding debt or lump sum payments to our IBT employees required under the Memorandum of Understanding;</w:t>
      </w:r>
    </w:p>
    <w:p>
      <w:pPr>
        <w:ind w:left="1200" w:hanging="293"/>
        <w:spacing w:after="0" w:line="247"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ind w:left="600"/>
        <w:spacing w:after="0" w:line="301"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line="337" w:lineRule="auto"/>
        <w:rPr>
          <w:sz w:val="20"/>
          <w:szCs w:val="20"/>
          <w:color w:val="auto"/>
        </w:rPr>
      </w:pPr>
      <w:r>
        <w:rPr>
          <w:rFonts w:ascii="Arial" w:cs="Arial" w:eastAsia="Arial" w:hAnsi="Arial"/>
          <w:sz w:val="15"/>
          <w:szCs w:val="15"/>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third quarter and first three quarters of 2016 and 2015:</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Third Quarter</w:t>
            </w:r>
          </w:p>
        </w:tc>
        <w:tc>
          <w:tcPr>
            <w:tcW w:w="1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3"/>
                <w:szCs w:val="13"/>
                <w:b w:val="1"/>
                <w:bCs w:val="1"/>
                <w:color w:val="auto"/>
              </w:rPr>
              <w:t>First Three Quarters</w:t>
            </w:r>
          </w:p>
        </w:tc>
        <w:tc>
          <w:tcPr>
            <w:tcW w:w="1320" w:type="dxa"/>
            <w:vAlign w:val="bottom"/>
            <w:tcBorders>
              <w:bottom w:val="single" w:sz="8" w:color="auto"/>
            </w:tcBorders>
          </w:tcPr>
          <w:p>
            <w:pPr>
              <w:spacing w:after="0"/>
              <w:rPr>
                <w:sz w:val="15"/>
                <w:szCs w:val="15"/>
                <w:color w:val="auto"/>
              </w:rPr>
            </w:pPr>
          </w:p>
        </w:tc>
      </w:tr>
      <w:tr>
        <w:trPr>
          <w:trHeight w:val="244"/>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2016</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2015</w:t>
            </w: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Percent Change</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2016</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3"/>
                <w:szCs w:val="13"/>
                <w:b w:val="1"/>
                <w:bCs w:val="1"/>
                <w:color w:val="auto"/>
              </w:rPr>
              <w:t>2015</w:t>
            </w: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1,221.3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7"/>
                <w:szCs w:val="17"/>
                <w:color w:val="auto"/>
              </w:rPr>
              <w:t>1,244.9</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(1.9)%</w:t>
            </w:r>
          </w:p>
        </w:tc>
        <w:tc>
          <w:tcPr>
            <w:tcW w:w="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3,549.2</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7"/>
                <w:szCs w:val="17"/>
                <w:color w:val="auto"/>
              </w:rPr>
              <w:t>3,689.7</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(3.8)%</w:t>
            </w:r>
          </w:p>
        </w:tc>
      </w:tr>
      <w:tr>
        <w:trPr>
          <w:trHeight w:val="226"/>
        </w:trPr>
        <w:tc>
          <w:tcPr>
            <w:tcW w:w="26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38.8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62"/>
              <w:spacing w:after="0"/>
              <w:rPr>
                <w:sz w:val="20"/>
                <w:szCs w:val="20"/>
                <w:color w:val="auto"/>
              </w:rPr>
            </w:pPr>
            <w:r>
              <w:rPr>
                <w:rFonts w:ascii="Arial" w:cs="Arial" w:eastAsia="Arial" w:hAnsi="Arial"/>
                <w:sz w:val="17"/>
                <w:szCs w:val="17"/>
                <w:color w:val="auto"/>
              </w:rPr>
              <w:t>47.7</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(18.7)%</w:t>
            </w:r>
          </w:p>
        </w:tc>
        <w:tc>
          <w:tcPr>
            <w:tcW w:w="5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109.4</w:t>
            </w:r>
          </w:p>
        </w:tc>
        <w:tc>
          <w:tcPr>
            <w:tcW w:w="42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79"/>
              <w:spacing w:after="0"/>
              <w:rPr>
                <w:sz w:val="20"/>
                <w:szCs w:val="20"/>
                <w:color w:val="auto"/>
              </w:rPr>
            </w:pPr>
            <w:r>
              <w:rPr>
                <w:rFonts w:ascii="Arial" w:cs="Arial" w:eastAsia="Arial" w:hAnsi="Arial"/>
                <w:sz w:val="17"/>
                <w:szCs w:val="17"/>
                <w:color w:val="auto"/>
              </w:rPr>
              <w:t>108.3</w:t>
            </w:r>
          </w:p>
        </w:tc>
        <w:tc>
          <w:tcPr>
            <w:tcW w:w="1320" w:type="dxa"/>
            <w:vAlign w:val="bottom"/>
          </w:tcPr>
          <w:p>
            <w:pPr>
              <w:jc w:val="center"/>
              <w:spacing w:after="0"/>
              <w:rPr>
                <w:sz w:val="20"/>
                <w:szCs w:val="20"/>
                <w:color w:val="auto"/>
              </w:rPr>
            </w:pPr>
            <w:r>
              <w:rPr>
                <w:rFonts w:ascii="Arial" w:cs="Arial" w:eastAsia="Arial" w:hAnsi="Arial"/>
                <w:sz w:val="17"/>
                <w:szCs w:val="17"/>
                <w:color w:val="auto"/>
                <w:w w:val="87"/>
              </w:rPr>
              <w:t>1.0%</w:t>
            </w:r>
          </w:p>
        </w:tc>
      </w:tr>
      <w:tr>
        <w:trPr>
          <w:trHeight w:val="26"/>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24.4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7"/>
                <w:szCs w:val="17"/>
                <w:color w:val="auto"/>
              </w:rPr>
              <w:t>21.2</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15.1%</w:t>
            </w:r>
          </w:p>
        </w:tc>
        <w:tc>
          <w:tcPr>
            <w:tcW w:w="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77.0</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7"/>
                <w:szCs w:val="17"/>
                <w:color w:val="auto"/>
              </w:rPr>
              <w:t>73.7</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4.5%</w:t>
            </w:r>
          </w:p>
        </w:tc>
      </w:tr>
      <w:tr>
        <w:trPr>
          <w:trHeight w:val="226"/>
        </w:trPr>
        <w:tc>
          <w:tcPr>
            <w:tcW w:w="2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13.9</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62"/>
              <w:spacing w:after="0"/>
              <w:rPr>
                <w:sz w:val="20"/>
                <w:szCs w:val="20"/>
                <w:color w:val="auto"/>
              </w:rPr>
            </w:pPr>
            <w:r>
              <w:rPr>
                <w:rFonts w:ascii="Arial" w:cs="Arial" w:eastAsia="Arial" w:hAnsi="Arial"/>
                <w:sz w:val="17"/>
                <w:szCs w:val="17"/>
                <w:color w:val="auto"/>
              </w:rPr>
              <w:t>19.8</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(29.8)%</w:t>
            </w:r>
          </w:p>
        </w:tc>
        <w:tc>
          <w:tcPr>
            <w:tcW w:w="5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29.0</w:t>
            </w:r>
          </w:p>
        </w:tc>
        <w:tc>
          <w:tcPr>
            <w:tcW w:w="42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79"/>
              <w:spacing w:after="0"/>
              <w:rPr>
                <w:sz w:val="20"/>
                <w:szCs w:val="20"/>
                <w:color w:val="auto"/>
              </w:rPr>
            </w:pPr>
            <w:r>
              <w:rPr>
                <w:rFonts w:ascii="Arial" w:cs="Arial" w:eastAsia="Arial" w:hAnsi="Arial"/>
                <w:sz w:val="17"/>
                <w:szCs w:val="17"/>
                <w:color w:val="auto"/>
              </w:rPr>
              <w:t>24.2</w:t>
            </w:r>
          </w:p>
        </w:tc>
        <w:tc>
          <w:tcPr>
            <w:tcW w:w="1320" w:type="dxa"/>
            <w:vAlign w:val="bottom"/>
          </w:tcPr>
          <w:p>
            <w:pPr>
              <w:jc w:val="center"/>
              <w:spacing w:after="0"/>
              <w:rPr>
                <w:sz w:val="20"/>
                <w:szCs w:val="20"/>
                <w:color w:val="auto"/>
              </w:rPr>
            </w:pPr>
            <w:r>
              <w:rPr>
                <w:rFonts w:ascii="Arial" w:cs="Arial" w:eastAsia="Arial" w:hAnsi="Arial"/>
                <w:sz w:val="17"/>
                <w:szCs w:val="17"/>
                <w:color w:val="auto"/>
                <w:w w:val="87"/>
              </w:rPr>
              <w:t>19.8%</w:t>
            </w:r>
          </w:p>
        </w:tc>
      </w:tr>
    </w:tbl>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Quarter of 2016 Compared to the Third Quarter of 2015</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consolidated operating revenue decreased $23.6 million, or 1.9%, during the third quarter of 2016 compared to the same period in 2015. The decrease in revenue is primarily attributed to a reduction in fuel surcharge revenue and declines in volumes, partially offset by improved yield (excluding fuel surcharge).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for the third quarter of 2016 decreased $14.7 million, or 1.2%, compared to the third quarter in 2015, and consisted primarily 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ind w:left="600" w:hanging="297"/>
        <w:spacing w:after="0" w:line="281"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$10.2 million, or 4.7%, decrease in operating expenses and supplies was primarily the result of an $8.9 million decrease in fuel expense in the third quarter of 2016, as compared to the third quarter of 2015. This decrease was largely driven by lower fuel prices on a per gallon basis, as well as fewer miles driven. Additionally, vehicle maintenance expense decreased by $4.1 million due to lower maintenance costs per mile and fewer miles driven.</w:t>
      </w:r>
    </w:p>
    <w:p>
      <w:pPr>
        <w:spacing w:after="0" w:line="159" w:lineRule="exact"/>
        <w:rPr>
          <w:rFonts w:ascii="Arial" w:cs="Arial" w:eastAsia="Arial" w:hAnsi="Arial"/>
          <w:sz w:val="16"/>
          <w:szCs w:val="16"/>
          <w:color w:val="auto"/>
        </w:rPr>
      </w:pPr>
    </w:p>
    <w:p>
      <w:pPr>
        <w:jc w:val="both"/>
        <w:ind w:left="600" w:hanging="297"/>
        <w:spacing w:after="0" w:line="258"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$10.0 million, or 1.4%, decrease in salaries, wages and employee benefits was primarily attributed to an $8.1 million decrease in bonus compensation expense and a $3.9 million decrease in wages, which is primarily due to a decrease in shipping volumes, which required fewer employee hours to process freight. Offsetting this decrease is a $6.0 million increase in employee benefit costs.</w:t>
      </w:r>
    </w:p>
    <w:p>
      <w:pPr>
        <w:spacing w:after="0" w:line="175" w:lineRule="exact"/>
        <w:rPr>
          <w:rFonts w:ascii="Arial" w:cs="Arial" w:eastAsia="Arial" w:hAnsi="Arial"/>
          <w:sz w:val="17"/>
          <w:szCs w:val="17"/>
          <w:color w:val="auto"/>
        </w:rPr>
      </w:pPr>
    </w:p>
    <w:p>
      <w:pPr>
        <w:jc w:val="both"/>
        <w:ind w:left="600" w:hanging="297"/>
        <w:spacing w:after="0" w:line="254"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$7.2 million, or 4.8%, increase in purchased transportation was primarily attributed to a $10.7 million increase in over-the-road and local purchased transportation expense and a $4.2 million increase in vehicle rent expense due to higher usage of operating leases for revenue equipment. Offsetting this increase is a $6.7 million decrease in rail purchased transportation expense due to a reduction in rail miles and lower rail rates, which is principally related to lower fuel surcharges paid to our providers.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Nonoperating expenses increased $3.2 million in the third quarter of 2016 compared to the third quarter of 2015 primarily driven by a $2.9 million increase in foreign currency transaction losses.</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effective tax rate for the third quarter of 2016 and 2015 was 3.5% and 25.3%, respectively. The significant items impacting the 2016 rate include a provision for federal alternative minimum tax, a refund from a prior year amended return, a net state and foreign tax provision, certain permanent items, and a change in the valuation allowance established for the net deferred tax asset balance projected for December 31, 2016. The significant items impacting the 2015 rate include a net state and foreign tax provision, certain permanent items, and a change in the valuation allowance established for the net deferred tax asset balance that had been projected for December 31, 2015.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2016 and December 31, 2015, substantially all of our net deferred tax assets were subject to a valuation allowance.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Three Quarters of 2016 Compared to the First Three Quarters of 2015</w:t>
      </w:r>
    </w:p>
    <w:p>
      <w:pPr>
        <w:spacing w:after="0" w:line="207"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consolidated operating revenue decreased $140.5 million, or 3.8%, during the first three quarters of 2016 compared to the same period in 2015. The decrease in revenue is primarily attributed to a reduction in fuel surcharge revenue and declines in volumes, partially offset by improved yield (excluding fuel surcharge).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Total operating expenses for the first three quarters of 2016 decreased $141.6 million, or 4.0%, compared to the first three quarters in 2015, and consisted primarily of:</w:t>
      </w:r>
    </w:p>
    <w:p>
      <w:pPr>
        <w:spacing w:after="0" w:line="230" w:lineRule="exact"/>
        <w:rPr>
          <w:sz w:val="20"/>
          <w:szCs w:val="20"/>
          <w:color w:val="auto"/>
        </w:rPr>
      </w:pPr>
    </w:p>
    <w:p>
      <w:pPr>
        <w:jc w:val="both"/>
        <w:ind w:left="600" w:hanging="297"/>
        <w:spacing w:after="0" w:line="308" w:lineRule="auto"/>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 $82.4 million, or 12.2%, decrease in operating expenses and supplies was primarily the result of a $66.4 million decrease in fuel expense in the first three quarters of 2016, as compared to the first three quarters of 2015. This decrease was largely driven by lower fuel prices on a per gallon basis, as well as fewer miles driven. Additionally, vehicle maintenance expense decreased by $13.5 million due to lower maintenance costs per mile and fewer miles driven.</w:t>
      </w:r>
    </w:p>
    <w:p>
      <w:pPr>
        <w:spacing w:after="0" w:line="141" w:lineRule="exact"/>
        <w:rPr>
          <w:rFonts w:ascii="Arial" w:cs="Arial" w:eastAsia="Arial" w:hAnsi="Arial"/>
          <w:sz w:val="15"/>
          <w:szCs w:val="15"/>
          <w:color w:val="auto"/>
        </w:rPr>
      </w:pPr>
    </w:p>
    <w:p>
      <w:pPr>
        <w:jc w:val="both"/>
        <w:ind w:left="600" w:hanging="297"/>
        <w:spacing w:after="0" w:line="258"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$22.0 million, or 5.1%, decrease in purchased transportation was primarily due to a $35.5 million decrease in rail purchased transportation expense due to a reduction in rail miles and lower rail rates, which is principally related to lower fuel surcharges paid to our providers, partially offset by an $11.7 million increase in vehicle rent expense due to higher usage of operating leases for revenue equipment.</w:t>
      </w:r>
    </w:p>
    <w:p>
      <w:pPr>
        <w:spacing w:after="0" w:line="175" w:lineRule="exact"/>
        <w:rPr>
          <w:rFonts w:ascii="Arial" w:cs="Arial" w:eastAsia="Arial" w:hAnsi="Arial"/>
          <w:sz w:val="17"/>
          <w:szCs w:val="17"/>
          <w:color w:val="auto"/>
        </w:rPr>
      </w:pPr>
    </w:p>
    <w:p>
      <w:pPr>
        <w:jc w:val="both"/>
        <w:ind w:left="600" w:hanging="297"/>
        <w:spacing w:after="0" w:line="254"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$16.0 million, or 0.7%, decrease in salaries, wages and employee benefits was primarily attributed to a $21.0 million decrease in wages primarily driven by a decrease in shipping volumes, which required fewer employee hours to process freight, a $9.3 million decrease in bonus compensation expense, and a $3.7 million decrease in workers’ compensation expense due to improvements in current year claim frequency. These decreases were partially offset by a $17.5 million increase in employee benefit costs.</w:t>
      </w:r>
    </w:p>
    <w:p>
      <w:pPr>
        <w:spacing w:after="0" w:line="179"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$4.4 million, or 2.2%, decrease in other operating expenses was primarily driven by a $3.7 million decrease in cargo claims expense due to improved frequency of claims in the first three quarters of 2016, as compared to the first three quarters of 2015.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00" w:hanging="297"/>
        <w:spacing w:after="0"/>
        <w:tabs>
          <w:tab w:leader="none" w:pos="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Net gains from excess property sales in the first three quarters of 2016 were $11.2 million compared to losses of $1.5 million in the first three quarters of 2015.</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Nonoperating expenses increased $3.3 million in the first three quarters of 2016 compared to the first three quarters of 2015 primarily driven by an $8.3 million increase in foreign currency transaction losses, offset by a $2.3 million gain on the disposal of JHJ and a $3.3 million decrease in interest expense primarily due to lower outstanding debt.</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effective tax rate for the first three quarters of 2016 and 2015 was 10.5% and 30.1%, respectively. Significant items impacting the 2016 rate include a provision for federal alternative minimum tax, a refund from a prior year amended return, a net state and foreign tax provision, certain permanent items, and a change in the valuation allowance established for the net deferred tax asset balance projected for December 31, 2016. The significant items impacting the 2015 rate include a net state and foreign tax provision, certain permanent items, and a change in the valuation allowance established for the net deferred tax asset balance that had been projected for December 31, 2015.</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56"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 Freight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the movement of industrial, commercial and retail goods, primarily through centralized management. This reporting segment includes our LTL subsidiary YRC Freight and YRC Reimer, a subsidiary located in Canada that specializes in shipments into, across and out of Canada. In addition to the United States and Canada, YRC Freight also serves parts of Mexico, Puerto Rico and Guam.</w:t>
      </w:r>
    </w:p>
    <w:p>
      <w:pPr>
        <w:spacing w:after="0" w:line="172" w:lineRule="exact"/>
        <w:rPr>
          <w:rFonts w:ascii="Arial" w:cs="Arial" w:eastAsia="Arial" w:hAnsi="Arial"/>
          <w:sz w:val="17"/>
          <w:szCs w:val="17"/>
          <w:color w:val="auto"/>
        </w:rPr>
      </w:pPr>
    </w:p>
    <w:p>
      <w:pPr>
        <w:jc w:val="both"/>
        <w:ind w:left="600" w:hanging="297"/>
        <w:spacing w:after="0" w:line="284"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Mexico and Puerto Rico.</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YRC Freight represented 63.7% of consolidated operating revenue for the third quarter of 2016, as compared to 63.4% for the third quarter of 2015. YRC Freight represented 62.8% and 62.9% of consolidated operating revenue for the first three quarters of 2016 and 2015, respectively. The table below provides summary financial information for YRC Freight for the third quarter and first three quarters of 2016 and 2015:</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Third Quarter</w:t>
            </w:r>
          </w:p>
        </w:tc>
        <w:tc>
          <w:tcPr>
            <w:tcW w:w="1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First Three Quarters</w:t>
            </w:r>
          </w:p>
        </w:tc>
        <w:tc>
          <w:tcPr>
            <w:tcW w:w="1300" w:type="dxa"/>
            <w:vAlign w:val="bottom"/>
            <w:tcBorders>
              <w:bottom w:val="single" w:sz="8" w:color="auto"/>
            </w:tcBorders>
          </w:tcPr>
          <w:p>
            <w:pPr>
              <w:spacing w:after="0"/>
              <w:rPr>
                <w:sz w:val="15"/>
                <w:szCs w:val="15"/>
                <w:color w:val="auto"/>
              </w:rPr>
            </w:pPr>
          </w:p>
        </w:tc>
      </w:tr>
      <w:tr>
        <w:trPr>
          <w:trHeight w:val="244"/>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2016</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2015</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Percent Change</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2016</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2015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7"/>
                <w:szCs w:val="17"/>
                <w:color w:val="auto"/>
              </w:rPr>
              <w:t>777.9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7"/>
                <w:szCs w:val="17"/>
                <w:color w:val="auto"/>
              </w:rPr>
              <w:t>789.2</w:t>
            </w:r>
          </w:p>
        </w:tc>
        <w:tc>
          <w:tcPr>
            <w:tcW w:w="126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7"/>
                <w:szCs w:val="17"/>
                <w:color w:val="auto"/>
              </w:rPr>
              <w:t>(1.4)%</w:t>
            </w:r>
          </w:p>
        </w:tc>
        <w:tc>
          <w:tcPr>
            <w:tcW w:w="4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7"/>
                <w:szCs w:val="17"/>
                <w:color w:val="auto"/>
              </w:rPr>
              <w:t>2,228.6</w:t>
            </w:r>
          </w:p>
        </w:tc>
        <w:tc>
          <w:tcPr>
            <w:tcW w:w="3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17"/>
                <w:szCs w:val="17"/>
                <w:color w:val="auto"/>
              </w:rPr>
              <w:t>2,322.0</w:t>
            </w:r>
          </w:p>
        </w:tc>
        <w:tc>
          <w:tcPr>
            <w:tcW w:w="1300" w:type="dxa"/>
            <w:vAlign w:val="bottom"/>
            <w:tcBorders>
              <w:bottom w:val="single" w:sz="8" w:color="CCEEFF"/>
            </w:tcBorders>
            <w:shd w:val="clear" w:color="auto" w:fill="CCEEFF"/>
          </w:tcPr>
          <w:p>
            <w:pPr>
              <w:jc w:val="right"/>
              <w:ind w:right="360"/>
              <w:spacing w:after="0"/>
              <w:rPr>
                <w:sz w:val="20"/>
                <w:szCs w:val="20"/>
                <w:color w:val="auto"/>
              </w:rPr>
            </w:pPr>
            <w:r>
              <w:rPr>
                <w:rFonts w:ascii="Arial" w:cs="Arial" w:eastAsia="Arial" w:hAnsi="Arial"/>
                <w:sz w:val="17"/>
                <w:szCs w:val="17"/>
                <w:color w:val="auto"/>
              </w:rPr>
              <w:t>(4.0)%</w:t>
            </w:r>
          </w:p>
        </w:tc>
      </w:tr>
      <w:tr>
        <w:trPr>
          <w:trHeight w:val="226"/>
        </w:trPr>
        <w:tc>
          <w:tcPr>
            <w:tcW w:w="298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40"/>
              <w:spacing w:after="0"/>
              <w:rPr>
                <w:sz w:val="20"/>
                <w:szCs w:val="20"/>
                <w:color w:val="auto"/>
              </w:rPr>
            </w:pPr>
            <w:r>
              <w:rPr>
                <w:rFonts w:ascii="Arial" w:cs="Arial" w:eastAsia="Arial" w:hAnsi="Arial"/>
                <w:sz w:val="17"/>
                <w:szCs w:val="17"/>
                <w:color w:val="auto"/>
              </w:rPr>
              <w:t>20.8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43"/>
              <w:spacing w:after="0"/>
              <w:rPr>
                <w:sz w:val="20"/>
                <w:szCs w:val="20"/>
                <w:color w:val="auto"/>
              </w:rPr>
            </w:pPr>
            <w:r>
              <w:rPr>
                <w:rFonts w:ascii="Arial" w:cs="Arial" w:eastAsia="Arial" w:hAnsi="Arial"/>
                <w:sz w:val="17"/>
                <w:szCs w:val="17"/>
                <w:color w:val="auto"/>
              </w:rPr>
              <w:t>16.7</w:t>
            </w:r>
          </w:p>
        </w:tc>
        <w:tc>
          <w:tcPr>
            <w:tcW w:w="1260" w:type="dxa"/>
            <w:vAlign w:val="bottom"/>
          </w:tcPr>
          <w:p>
            <w:pPr>
              <w:jc w:val="right"/>
              <w:ind w:right="320"/>
              <w:spacing w:after="0"/>
              <w:rPr>
                <w:sz w:val="20"/>
                <w:szCs w:val="20"/>
                <w:color w:val="auto"/>
              </w:rPr>
            </w:pPr>
            <w:r>
              <w:rPr>
                <w:rFonts w:ascii="Arial" w:cs="Arial" w:eastAsia="Arial" w:hAnsi="Arial"/>
                <w:sz w:val="17"/>
                <w:szCs w:val="17"/>
                <w:color w:val="auto"/>
              </w:rPr>
              <w:t>24.6%</w:t>
            </w:r>
          </w:p>
        </w:tc>
        <w:tc>
          <w:tcPr>
            <w:tcW w:w="46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40"/>
              <w:spacing w:after="0"/>
              <w:rPr>
                <w:sz w:val="20"/>
                <w:szCs w:val="20"/>
                <w:color w:val="auto"/>
              </w:rPr>
            </w:pPr>
            <w:r>
              <w:rPr>
                <w:rFonts w:ascii="Arial" w:cs="Arial" w:eastAsia="Arial" w:hAnsi="Arial"/>
                <w:sz w:val="17"/>
                <w:szCs w:val="17"/>
                <w:color w:val="auto"/>
              </w:rPr>
              <w:t>53.3</w:t>
            </w:r>
          </w:p>
        </w:tc>
        <w:tc>
          <w:tcPr>
            <w:tcW w:w="380" w:type="dxa"/>
            <w:vAlign w:val="bottom"/>
          </w:tcPr>
          <w:p>
            <w:pPr>
              <w:jc w:val="right"/>
              <w:ind w:right="122"/>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60"/>
              <w:spacing w:after="0"/>
              <w:rPr>
                <w:sz w:val="20"/>
                <w:szCs w:val="20"/>
                <w:color w:val="auto"/>
              </w:rPr>
            </w:pPr>
            <w:r>
              <w:rPr>
                <w:rFonts w:ascii="Arial" w:cs="Arial" w:eastAsia="Arial" w:hAnsi="Arial"/>
                <w:sz w:val="17"/>
                <w:szCs w:val="17"/>
                <w:color w:val="auto"/>
              </w:rPr>
              <w:t>39.4</w:t>
            </w:r>
          </w:p>
        </w:tc>
        <w:tc>
          <w:tcPr>
            <w:tcW w:w="1300" w:type="dxa"/>
            <w:vAlign w:val="bottom"/>
          </w:tcPr>
          <w:p>
            <w:pPr>
              <w:jc w:val="right"/>
              <w:ind w:right="380"/>
              <w:spacing w:after="0"/>
              <w:rPr>
                <w:sz w:val="20"/>
                <w:szCs w:val="20"/>
                <w:color w:val="auto"/>
              </w:rPr>
            </w:pPr>
            <w:r>
              <w:rPr>
                <w:rFonts w:ascii="Arial" w:cs="Arial" w:eastAsia="Arial" w:hAnsi="Arial"/>
                <w:sz w:val="17"/>
                <w:szCs w:val="17"/>
                <w:color w:val="auto"/>
              </w:rPr>
              <w:t>35.3%</w:t>
            </w:r>
          </w:p>
        </w:tc>
      </w:tr>
      <w:tr>
        <w:trPr>
          <w:trHeight w:val="271"/>
        </w:trPr>
        <w:tc>
          <w:tcPr>
            <w:tcW w:w="298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97.3%</w:t>
            </w:r>
          </w:p>
        </w:tc>
        <w:tc>
          <w:tcPr>
            <w:tcW w:w="240" w:type="dxa"/>
            <w:vAlign w:val="bottom"/>
          </w:tcPr>
          <w:p>
            <w:pPr>
              <w:spacing w:after="0"/>
              <w:rPr>
                <w:sz w:val="23"/>
                <w:szCs w:val="23"/>
                <w:color w:val="auto"/>
              </w:rPr>
            </w:pPr>
          </w:p>
        </w:tc>
        <w:tc>
          <w:tcPr>
            <w:tcW w:w="1260" w:type="dxa"/>
            <w:vAlign w:val="bottom"/>
          </w:tcPr>
          <w:p>
            <w:pPr>
              <w:jc w:val="right"/>
              <w:ind w:right="103"/>
              <w:spacing w:after="0"/>
              <w:rPr>
                <w:sz w:val="20"/>
                <w:szCs w:val="20"/>
                <w:color w:val="auto"/>
              </w:rPr>
            </w:pPr>
            <w:r>
              <w:rPr>
                <w:rFonts w:ascii="Arial" w:cs="Arial" w:eastAsia="Arial" w:hAnsi="Arial"/>
                <w:sz w:val="17"/>
                <w:szCs w:val="17"/>
                <w:color w:val="auto"/>
              </w:rPr>
              <w:t>97.9%</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0.6 pp</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97.6%</w:t>
            </w:r>
          </w:p>
        </w:tc>
        <w:tc>
          <w:tcPr>
            <w:tcW w:w="380" w:type="dxa"/>
            <w:vAlign w:val="bottom"/>
          </w:tcPr>
          <w:p>
            <w:pPr>
              <w:spacing w:after="0"/>
              <w:rPr>
                <w:sz w:val="23"/>
                <w:szCs w:val="23"/>
                <w:color w:val="auto"/>
              </w:rPr>
            </w:pPr>
          </w:p>
        </w:tc>
        <w:tc>
          <w:tcPr>
            <w:tcW w:w="1140" w:type="dxa"/>
            <w:vAlign w:val="bottom"/>
          </w:tcPr>
          <w:p>
            <w:pPr>
              <w:jc w:val="right"/>
              <w:ind w:right="120"/>
              <w:spacing w:after="0"/>
              <w:rPr>
                <w:sz w:val="20"/>
                <w:szCs w:val="20"/>
                <w:color w:val="auto"/>
              </w:rPr>
            </w:pPr>
            <w:r>
              <w:rPr>
                <w:rFonts w:ascii="Arial" w:cs="Arial" w:eastAsia="Arial" w:hAnsi="Arial"/>
                <w:sz w:val="17"/>
                <w:szCs w:val="17"/>
                <w:color w:val="auto"/>
              </w:rPr>
              <w:t>98.3%</w:t>
            </w:r>
          </w:p>
        </w:tc>
        <w:tc>
          <w:tcPr>
            <w:tcW w:w="1300" w:type="dxa"/>
            <w:vAlign w:val="bottom"/>
          </w:tcPr>
          <w:p>
            <w:pPr>
              <w:jc w:val="center"/>
              <w:spacing w:after="0"/>
              <w:rPr>
                <w:sz w:val="20"/>
                <w:szCs w:val="20"/>
                <w:color w:val="auto"/>
              </w:rPr>
            </w:pPr>
            <w:r>
              <w:rPr>
                <w:rFonts w:ascii="Arial" w:cs="Arial" w:eastAsia="Arial" w:hAnsi="Arial"/>
                <w:sz w:val="17"/>
                <w:szCs w:val="17"/>
                <w:color w:val="auto"/>
                <w:w w:val="88"/>
              </w:rPr>
              <w:t>0.7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39635" cy="160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9635" cy="160020"/>
                    </a:xfrm>
                    <a:prstGeom prst="rect">
                      <a:avLst/>
                    </a:prstGeom>
                    <a:noFill/>
                  </pic:spPr>
                </pic:pic>
              </a:graphicData>
            </a:graphic>
          </wp:anchor>
        </w:drawing>
      </w:r>
    </w:p>
    <w:p>
      <w:pPr>
        <w:ind w:left="300" w:hanging="299"/>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Third Quarter of 2016 Compared to the Third Quarter of 2015</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YRC Freight reported operating revenue of $777.9 million in the third quarter of 2016, a decrease of $11.3 million, or 1.4%, compared to the same period in 2015. The decrease in revenue is primarily attributed to a reduction in fuel surcharge revenue and declines in volume. The table below summarizes the key revenue metrics for the YRC Freight reporting segment for the third quarter of 2016 compared to the third quarter of 2015:</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2016</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5"/>
              </w:rPr>
              <w:t>Percent Change</w:t>
            </w:r>
            <w:r>
              <w:rPr>
                <w:rFonts w:ascii="Arial" w:cs="Arial" w:eastAsia="Arial" w:hAnsi="Arial"/>
                <w:sz w:val="8"/>
                <w:szCs w:val="8"/>
                <w:b w:val="1"/>
                <w:bCs w:val="1"/>
                <w:color w:val="auto"/>
                <w:w w:val="95"/>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47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763.6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1,620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1,641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25.31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2,678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2,740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41.84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42.82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23.57</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23.90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21.31</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21.24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285</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1,210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1.0 %</w:t>
            </w:r>
          </w:p>
        </w:tc>
      </w:tr>
      <w:tr>
        <w:trPr>
          <w:trHeight w:val="599"/>
        </w:trPr>
        <w:tc>
          <w:tcPr>
            <w:tcW w:w="4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6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601"/>
              <w:spacing w:after="0"/>
              <w:rPr>
                <w:sz w:val="20"/>
                <w:szCs w:val="20"/>
                <w:color w:val="auto"/>
              </w:rPr>
            </w:pPr>
            <w:r>
              <w:rPr>
                <w:rFonts w:ascii="Arial" w:cs="Arial" w:eastAsia="Arial" w:hAnsi="Arial"/>
                <w:sz w:val="13"/>
                <w:szCs w:val="13"/>
                <w:b w:val="1"/>
                <w:bCs w:val="1"/>
                <w:color w:val="auto"/>
              </w:rPr>
              <w:t>2016</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2015</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6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777.9</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789.2</w:t>
            </w:r>
          </w:p>
        </w:tc>
      </w:tr>
      <w:tr>
        <w:trPr>
          <w:trHeight w:val="257"/>
        </w:trPr>
        <w:tc>
          <w:tcPr>
            <w:tcW w:w="456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0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(4.8)</w:t>
            </w:r>
          </w:p>
        </w:tc>
      </w:tr>
      <w:tr>
        <w:trPr>
          <w:trHeight w:val="231"/>
        </w:trPr>
        <w:tc>
          <w:tcPr>
            <w:tcW w:w="456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763.6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784.4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8255</wp:posOffset>
            </wp:positionV>
            <wp:extent cx="1574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940" w:hanging="184"/>
        <w:spacing w:after="0"/>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spacing w:after="0" w:line="13" w:lineRule="exact"/>
        <w:rPr>
          <w:rFonts w:ascii="Arial" w:cs="Arial" w:eastAsia="Arial" w:hAnsi="Arial"/>
          <w:sz w:val="13"/>
          <w:szCs w:val="13"/>
          <w:color w:val="auto"/>
        </w:rPr>
      </w:pPr>
    </w:p>
    <w:p>
      <w:pPr>
        <w:ind w:left="940" w:hanging="184"/>
        <w:spacing w:after="0"/>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-194310</wp:posOffset>
            </wp:positionV>
            <wp:extent cx="1574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Operating income for YRC Freight was $20.8 million in the third quarter of 2016 compared to $16.7 million in the third quarter of 2015. Operating revenue in the third quarter of 2016 was lower by $11.3 million, which was offset by a $15.4 million decrease in total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total operating expense consisted primarily of:</w:t>
      </w:r>
    </w:p>
    <w:p>
      <w:pPr>
        <w:spacing w:after="0" w:line="207" w:lineRule="exact"/>
        <w:rPr>
          <w:sz w:val="20"/>
          <w:szCs w:val="20"/>
          <w:color w:val="auto"/>
        </w:rPr>
      </w:pPr>
    </w:p>
    <w:p>
      <w:pPr>
        <w:jc w:val="both"/>
        <w:ind w:left="600" w:hanging="297"/>
        <w:spacing w:after="0" w:line="281"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$12.5 million, or 8.8%, decrease in total operating expenses and supplies was primarily the result of a $6.0 million decrease in fuel expense, which was largely driven by lower fuel prices on a per gallon basis and fewer miles driven. Additionally, vehicle maintenance expense decreased by $4.6 million due to lower maintenance costs per mile and fewer miles driven in the third quarter of 2016, as compared to the third quarter of 2015.</w:t>
      </w:r>
    </w:p>
    <w:p>
      <w:pPr>
        <w:spacing w:after="0" w:line="159" w:lineRule="exact"/>
        <w:rPr>
          <w:rFonts w:ascii="Arial" w:cs="Arial" w:eastAsia="Arial" w:hAnsi="Arial"/>
          <w:sz w:val="16"/>
          <w:szCs w:val="16"/>
          <w:color w:val="auto"/>
        </w:rPr>
      </w:pPr>
    </w:p>
    <w:p>
      <w:pPr>
        <w:jc w:val="both"/>
        <w:ind w:left="600" w:hanging="297"/>
        <w:spacing w:after="0" w:line="258" w:lineRule="auto"/>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$3.3 million, or 0.7%, decrease in salaries, wages and employee benefits was driven by a $4.7 million decrease in wages primarily driven by a decrease in shipping volumes, which required fewer employee hours to process freight, and improved employee productivity, partially offset by a $3.3 million increase in employee benefit costs, in the third quarter of 2016, as compared to the third quarter of 2015.</w:t>
      </w:r>
    </w:p>
    <w:p>
      <w:pPr>
        <w:spacing w:after="0" w:line="175" w:lineRule="exact"/>
        <w:rPr>
          <w:rFonts w:ascii="Arial" w:cs="Arial" w:eastAsia="Arial" w:hAnsi="Arial"/>
          <w:sz w:val="17"/>
          <w:szCs w:val="17"/>
          <w:color w:val="auto"/>
        </w:rPr>
      </w:pPr>
    </w:p>
    <w:p>
      <w:pPr>
        <w:jc w:val="both"/>
        <w:ind w:left="600" w:hanging="297"/>
        <w:spacing w:after="0" w:line="281"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$3.3 million, or 2.8%, increase in purchased transportation was primarily due to a $10.4 million increase in over-the-road and local purchased transportation expense, offset by a $6.7 million decrease in rail purchased transportation expense due to a reduction in rail miles and lower rail rates, which is principally related to lower fuel surcharges paid to our providers, in the third quarter of 2016, as compared to the third quarter of 2015.</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Three Quarters of 2016 Compared to the First Three Quarters of 2015</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Freight reported operating revenue of $2,228.6 million in the first three quarters of 2016, a decrease of $93.4 million, or 4.0%, compared to the same period in 2015. The decrease in revenue is primarily attributed to a reduction in fuel surcharge revenue and declines in volume, partially offset by improved yield (excluding fuel surcharge). The table below summarizes the key revenue metrics for the YRC Freight reporting segment for the first three quarters of 2016 compared to the first three quarters of 2015: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3"/>
                <w:szCs w:val="13"/>
                <w:b w:val="1"/>
                <w:bCs w:val="1"/>
                <w:color w:val="auto"/>
                <w:w w:val="99"/>
              </w:rPr>
              <w:t>First Three Quarters</w:t>
            </w: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5"/>
              </w:rPr>
              <w:t>Percent Change</w:t>
            </w:r>
            <w:r>
              <w:rPr>
                <w:rFonts w:ascii="Arial" w:cs="Arial" w:eastAsia="Arial" w:hAnsi="Arial"/>
                <w:sz w:val="8"/>
                <w:szCs w:val="8"/>
                <w:b w:val="1"/>
                <w:bCs w:val="1"/>
                <w:color w:val="auto"/>
                <w:w w:val="95"/>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47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2,208.9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4,701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24.55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41.12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23.49</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(0.7)%</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280</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(0.7)%</w:t>
            </w:r>
          </w:p>
        </w:tc>
      </w:tr>
      <w:tr>
        <w:trPr>
          <w:trHeight w:val="599"/>
        </w:trPr>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w w:val="99"/>
              </w:rPr>
              <w:t>First Three Quarters</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6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0"/>
                <w:szCs w:val="20"/>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2016</w:t>
            </w:r>
          </w:p>
        </w:tc>
        <w:tc>
          <w:tcPr>
            <w:tcW w:w="10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2015</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2,228.6</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2,322.0</w:t>
            </w:r>
          </w:p>
        </w:tc>
      </w:tr>
      <w:tr>
        <w:trPr>
          <w:trHeight w:val="257"/>
        </w:trPr>
        <w:tc>
          <w:tcPr>
            <w:tcW w:w="45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6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(8.1)</w:t>
            </w:r>
          </w:p>
        </w:tc>
      </w:tr>
      <w:tr>
        <w:trPr>
          <w:trHeight w:val="231"/>
        </w:trPr>
        <w:tc>
          <w:tcPr>
            <w:tcW w:w="45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2,208.9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8255</wp:posOffset>
            </wp:positionV>
            <wp:extent cx="1582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2" w:lineRule="exact"/>
        <w:rPr>
          <w:sz w:val="20"/>
          <w:szCs w:val="20"/>
          <w:color w:val="auto"/>
        </w:rPr>
      </w:pPr>
    </w:p>
    <w:p>
      <w:pPr>
        <w:ind w:left="940" w:hanging="184"/>
        <w:spacing w:after="0"/>
        <w:tabs>
          <w:tab w:leader="none" w:pos="9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spacing w:after="0" w:line="13" w:lineRule="exact"/>
        <w:rPr>
          <w:rFonts w:ascii="Arial" w:cs="Arial" w:eastAsia="Arial" w:hAnsi="Arial"/>
          <w:sz w:val="13"/>
          <w:szCs w:val="13"/>
          <w:color w:val="auto"/>
        </w:rPr>
      </w:pPr>
    </w:p>
    <w:p>
      <w:pPr>
        <w:ind w:left="940" w:hanging="184"/>
        <w:spacing w:after="0"/>
        <w:tabs>
          <w:tab w:leader="none" w:pos="9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-194310</wp:posOffset>
            </wp:positionV>
            <wp:extent cx="1582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Operating income for YRC Freight was $53.3 million in the first three quarters of 2016 compared to $39.4 million in the first three quarters of 2015. Operating revenue was lower by $93.4 million in the first three quarters of 2016, which was offset by a $107.3 million decrease in total operating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total operating expense consisted primarily of:</w:t>
      </w:r>
    </w:p>
    <w:p>
      <w:pPr>
        <w:spacing w:after="0" w:line="207" w:lineRule="exact"/>
        <w:rPr>
          <w:sz w:val="20"/>
          <w:szCs w:val="20"/>
          <w:color w:val="auto"/>
        </w:rPr>
      </w:pPr>
    </w:p>
    <w:p>
      <w:pPr>
        <w:jc w:val="both"/>
        <w:ind w:left="600" w:hanging="297"/>
        <w:spacing w:after="0" w:line="252"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$51.2 million, or 11.9%, decrease in total operating expenses and supplies was primarily the result of a $37.7 million decrease in fuel expense, which was largely driven by lower fuel prices on a per gallon basis and fewer miles driven. Additionally, vehicle maintenance expense decreased by $10.0 million due to lower maintenance costs per mile and fewer miles driven in the first three quarters of 2016, as compared to the first three quarters of 2015. These expense reductions were partially offset by a $4.1 million favorable legal settlement recorded in the first three quarters of 2015, with no corresponding event in the first three quarters of 2016.</w:t>
      </w:r>
    </w:p>
    <w:p>
      <w:pPr>
        <w:spacing w:after="0" w:line="181" w:lineRule="exact"/>
        <w:rPr>
          <w:rFonts w:ascii="Arial" w:cs="Arial" w:eastAsia="Arial" w:hAnsi="Arial"/>
          <w:sz w:val="17"/>
          <w:szCs w:val="17"/>
          <w:color w:val="auto"/>
        </w:rPr>
      </w:pPr>
    </w:p>
    <w:p>
      <w:pPr>
        <w:jc w:val="both"/>
        <w:ind w:left="600" w:hanging="297"/>
        <w:spacing w:after="0" w:line="281"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$26.5 million, or 7.8%, decrease in purchased transportation was primarily due to a $35.5 million decrease in rail purchased transportation expense due to a reduction in rail miles and lower rail rates, which is principally related to lower fuel surcharges paid to our providers, offset by a $5.8 million increase in local purchased transportation expense, in the first three quarters of 2016, as compared to the first three quarters of 2015.</w:t>
      </w:r>
    </w:p>
    <w:p>
      <w:pPr>
        <w:spacing w:after="0" w:line="159" w:lineRule="exact"/>
        <w:rPr>
          <w:rFonts w:ascii="Arial" w:cs="Arial" w:eastAsia="Arial" w:hAnsi="Arial"/>
          <w:sz w:val="16"/>
          <w:szCs w:val="16"/>
          <w:color w:val="auto"/>
        </w:rPr>
      </w:pPr>
    </w:p>
    <w:p>
      <w:pPr>
        <w:jc w:val="both"/>
        <w:ind w:left="600" w:hanging="297"/>
        <w:spacing w:after="0" w:line="258"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$14.0 million, or 1.1%, decrease in salaries, wages and employee benefits was driven by a $19.9 million decrease in wages primarily driven by a decrease in shipping volumes, which required fewer employee hours to process freight, and improved employee productivity, partially offset by a $9.4 million increase in employee benefit costs, in the first three quarters of 2016, as compared to the first three quarters of 2015.</w:t>
      </w:r>
    </w:p>
    <w:p>
      <w:pPr>
        <w:spacing w:after="0" w:line="175" w:lineRule="exact"/>
        <w:rPr>
          <w:rFonts w:ascii="Arial" w:cs="Arial" w:eastAsia="Arial" w:hAnsi="Arial"/>
          <w:sz w:val="17"/>
          <w:szCs w:val="17"/>
          <w:color w:val="auto"/>
        </w:rPr>
      </w:pPr>
    </w:p>
    <w:p>
      <w:pPr>
        <w:jc w:val="both"/>
        <w:ind w:left="600" w:hanging="297"/>
        <w:spacing w:after="0" w:line="254"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$0.7 million, or 0.6%, increase in other operating expense was primarily driven by a $5.5 million increase in our liability claims expense as a result of unfavorable development of prior year outstanding claims in the first three quarters of 2016, as compared to the first three quarters of 2015. This was partially offset by a $3.0 million decrease in cargo claims expense due to improved frequency of claims in the first three quarters of 2016, as compared to the first three quarters of 2015.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ind w:left="600" w:hanging="297"/>
        <w:spacing w:after="0"/>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Net gains from excess property sales in the first three quarters of 2016 were $12.0 million compared to losses of $1.7 million in the first three quarters of 2015.</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Regional Transportation represented 36.3% of consolidated operating revenue for the third quarter of 2016, as compared to 36.6% for the third quarter of 2015. Regional Transportation represented 37.2% and 37.1% of consolidated operating revenue for the first three quarters of 2016 and 2015, respectively. The table below provides summary financial information for Regional Transportation for the third quarter and first three quarters of 2016 and 2015: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Third Quarter</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First Three Quarters</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21"/>
                <w:szCs w:val="21"/>
                <w:color w:val="auto"/>
              </w:rPr>
            </w:pPr>
          </w:p>
        </w:tc>
        <w:tc>
          <w:tcPr>
            <w:tcW w:w="960" w:type="dxa"/>
            <w:vAlign w:val="bottom"/>
          </w:tcPr>
          <w:p>
            <w:pPr>
              <w:jc w:val="right"/>
              <w:ind w:right="420"/>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23"/>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1"/>
                <w:szCs w:val="21"/>
                <w:color w:val="auto"/>
              </w:rPr>
            </w:pPr>
          </w:p>
        </w:tc>
        <w:tc>
          <w:tcPr>
            <w:tcW w:w="1540" w:type="dxa"/>
            <w:vAlign w:val="bottom"/>
            <w:gridSpan w:val="2"/>
          </w:tcPr>
          <w:p>
            <w:pPr>
              <w:ind w:left="260"/>
              <w:spacing w:after="0"/>
              <w:rPr>
                <w:sz w:val="20"/>
                <w:szCs w:val="20"/>
                <w:color w:val="auto"/>
              </w:rPr>
            </w:pPr>
            <w:r>
              <w:rPr>
                <w:rFonts w:ascii="Arial" w:cs="Arial" w:eastAsia="Arial" w:hAnsi="Arial"/>
                <w:sz w:val="13"/>
                <w:szCs w:val="13"/>
                <w:b w:val="1"/>
                <w:bCs w:val="1"/>
                <w:color w:val="auto"/>
              </w:rPr>
              <w:t>Percent Change</w:t>
            </w:r>
          </w:p>
        </w:tc>
        <w:tc>
          <w:tcPr>
            <w:tcW w:w="300" w:type="dxa"/>
            <w:vAlign w:val="bottom"/>
          </w:tcPr>
          <w:p>
            <w:pPr>
              <w:spacing w:after="0"/>
              <w:rPr>
                <w:sz w:val="21"/>
                <w:szCs w:val="21"/>
                <w:color w:val="auto"/>
              </w:rPr>
            </w:pPr>
          </w:p>
        </w:tc>
        <w:tc>
          <w:tcPr>
            <w:tcW w:w="980" w:type="dxa"/>
            <w:vAlign w:val="bottom"/>
          </w:tcPr>
          <w:p>
            <w:pPr>
              <w:jc w:val="right"/>
              <w:ind w:right="440"/>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44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1"/>
                <w:szCs w:val="21"/>
                <w:color w:val="auto"/>
              </w:rPr>
            </w:pPr>
          </w:p>
        </w:tc>
        <w:tc>
          <w:tcPr>
            <w:tcW w:w="1420" w:type="dxa"/>
            <w:vAlign w:val="bottom"/>
          </w:tcPr>
          <w:p>
            <w:pPr>
              <w:jc w:val="right"/>
              <w:ind w:right="159"/>
              <w:spacing w:after="0"/>
              <w:rPr>
                <w:sz w:val="20"/>
                <w:szCs w:val="20"/>
                <w:color w:val="auto"/>
              </w:rPr>
            </w:pPr>
            <w:r>
              <w:rPr>
                <w:rFonts w:ascii="Arial" w:cs="Arial" w:eastAsia="Arial" w:hAnsi="Arial"/>
                <w:sz w:val="13"/>
                <w:szCs w:val="13"/>
                <w:b w:val="1"/>
                <w:bCs w:val="1"/>
                <w:color w:val="auto"/>
              </w:rPr>
              <w:t>Percent Change</w:t>
            </w:r>
          </w:p>
        </w:tc>
        <w:tc>
          <w:tcPr>
            <w:tcW w:w="0" w:type="dxa"/>
            <w:vAlign w:val="bottom"/>
          </w:tcPr>
          <w:p>
            <w:pPr>
              <w:spacing w:after="0"/>
              <w:rPr>
                <w:sz w:val="1"/>
                <w:szCs w:val="1"/>
                <w:color w:val="auto"/>
              </w:rPr>
            </w:pPr>
          </w:p>
        </w:tc>
      </w:tr>
      <w:tr>
        <w:trPr>
          <w:trHeight w:val="229"/>
        </w:trPr>
        <w:tc>
          <w:tcPr>
            <w:tcW w:w="29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443.7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455.7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1,321.3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1,367.7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00"/>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03"/>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(34.8)%</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00"/>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03"/>
              <w:spacing w:after="0"/>
              <w:rPr>
                <w:sz w:val="20"/>
                <w:szCs w:val="20"/>
                <w:color w:val="auto"/>
              </w:rPr>
            </w:pPr>
            <w:r>
              <w:rPr>
                <w:rFonts w:ascii="Arial" w:cs="Arial" w:eastAsia="Arial" w:hAnsi="Arial"/>
                <w:sz w:val="17"/>
                <w:szCs w:val="17"/>
                <w:color w:val="auto"/>
              </w:rPr>
              <w:t>75.9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40"/>
        </w:trPr>
        <w:tc>
          <w:tcPr>
            <w:tcW w:w="2900" w:type="dxa"/>
            <w:vAlign w:val="bottom"/>
            <w:vMerge w:val="restart"/>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9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92.6%</w:t>
            </w:r>
          </w:p>
        </w:tc>
        <w:tc>
          <w:tcPr>
            <w:tcW w:w="120" w:type="dxa"/>
            <w:vAlign w:val="bottom"/>
          </w:tcPr>
          <w:p>
            <w:pPr>
              <w:spacing w:after="0"/>
              <w:rPr>
                <w:sz w:val="20"/>
                <w:szCs w:val="20"/>
                <w:color w:val="auto"/>
              </w:rPr>
            </w:pPr>
          </w:p>
        </w:tc>
        <w:tc>
          <w:tcPr>
            <w:tcW w:w="1540" w:type="dxa"/>
            <w:vAlign w:val="bottom"/>
            <w:gridSpan w:val="2"/>
          </w:tcPr>
          <w:p>
            <w:pPr>
              <w:ind w:left="920"/>
              <w:spacing w:after="0"/>
              <w:rPr>
                <w:sz w:val="20"/>
                <w:szCs w:val="20"/>
                <w:color w:val="auto"/>
              </w:rPr>
            </w:pPr>
            <w:r>
              <w:rPr>
                <w:rFonts w:ascii="Arial" w:cs="Arial" w:eastAsia="Arial" w:hAnsi="Arial"/>
                <w:sz w:val="17"/>
                <w:szCs w:val="17"/>
                <w:color w:val="auto"/>
              </w:rPr>
              <w:t>(2.5pp</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(0.6pp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-283210</wp:posOffset>
            </wp:positionV>
            <wp:extent cx="7256145" cy="287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287655"/>
                    </a:xfrm>
                    <a:prstGeom prst="rect">
                      <a:avLst/>
                    </a:prstGeom>
                    <a:noFill/>
                  </pic:spPr>
                </pic:pic>
              </a:graphicData>
            </a:graphic>
          </wp:anchor>
        </w:drawing>
      </w:r>
    </w:p>
    <w:p>
      <w:pPr>
        <w:ind w:left="300" w:hanging="299"/>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Third Quarter of 2016 Compared to the Third Quarter of 2015</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$443.7 million for the third quarter of 2016, a decrease of $12.0 million, or 2.6%, from the third quarter of 2015. The decrease in revenue is primarily attributed to a reduction in fuel surcharge revenue and declines in volume, partially offset by improved yield (excluding fuel surcharge). The table below summarizes the key revenue metrics for the Regional Transportation reporting segment for the third quarter of 2016 compared to the third quarter of 2015:</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3"/>
                <w:szCs w:val="13"/>
                <w:b w:val="1"/>
                <w:bCs w:val="1"/>
                <w:color w:val="auto"/>
              </w:rPr>
              <w:t>Third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0"/>
                <w:shd w:val="clear" w:color="auto" w:fill="CCEEFF"/>
              </w:rPr>
              <w:t>Total picked up revenue (in millions)</w:t>
            </w: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shd w:val="clear" w:color="auto" w:fill="CCEEFF"/>
              </w:rPr>
              <w:t>(a)</w:t>
            </w: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443.4</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455.9</w:t>
            </w:r>
          </w:p>
        </w:tc>
        <w:tc>
          <w:tcPr>
            <w:tcW w:w="14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72"/>
        </w:trPr>
        <w:tc>
          <w:tcPr>
            <w:tcW w:w="2500" w:type="dxa"/>
            <w:vAlign w:val="bottom"/>
            <w:tcBorders>
              <w:bottom w:val="single" w:sz="8" w:color="CCEEFF"/>
            </w:tcBorders>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48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tonnage (in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1,914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1,974</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30.38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30.85</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shipments (in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2,622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2,672</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41.62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41.76</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00" w:type="dxa"/>
            <w:vAlign w:val="bottom"/>
          </w:tcPr>
          <w:p>
            <w:pPr>
              <w:jc w:val="right"/>
              <w:ind w:right="419"/>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11.58</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11.55</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0.3 %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10.48</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10.32</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shipment</w:t>
            </w:r>
          </w:p>
        </w:tc>
        <w:tc>
          <w:tcPr>
            <w:tcW w:w="600" w:type="dxa"/>
            <w:vAlign w:val="bottom"/>
          </w:tcPr>
          <w:p>
            <w:pPr>
              <w:jc w:val="right"/>
              <w:ind w:right="419"/>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171</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0.3 %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weight per shipment (in pounds)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1,460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1,478</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599"/>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Third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561"/>
              <w:spacing w:after="0"/>
              <w:rPr>
                <w:sz w:val="20"/>
                <w:szCs w:val="20"/>
                <w:color w:val="auto"/>
              </w:rPr>
            </w:pPr>
            <w:r>
              <w:rPr>
                <w:rFonts w:ascii="Arial" w:cs="Arial" w:eastAsia="Arial" w:hAnsi="Arial"/>
                <w:sz w:val="13"/>
                <w:szCs w:val="13"/>
                <w:b w:val="1"/>
                <w:bCs w:val="1"/>
                <w:color w:val="auto"/>
              </w:rPr>
              <w:t>2016</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8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443.7</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455.7</w:t>
            </w:r>
          </w:p>
        </w:tc>
      </w:tr>
      <w:tr>
        <w:trPr>
          <w:trHeight w:val="257"/>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1"/>
        </w:trPr>
        <w:tc>
          <w:tcPr>
            <w:tcW w:w="458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443.4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8255</wp:posOffset>
            </wp:positionV>
            <wp:extent cx="1558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12" w:lineRule="exact"/>
        <w:rPr>
          <w:sz w:val="20"/>
          <w:szCs w:val="20"/>
          <w:color w:val="auto"/>
        </w:rPr>
      </w:pPr>
    </w:p>
    <w:p>
      <w:pPr>
        <w:ind w:left="940" w:hanging="184"/>
        <w:spacing w:after="0"/>
        <w:tabs>
          <w:tab w:leader="none" w:pos="9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940" w:hanging="184"/>
        <w:spacing w:after="0"/>
        <w:tabs>
          <w:tab w:leader="none" w:pos="9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-194310</wp:posOffset>
            </wp:positionV>
            <wp:extent cx="15582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Operating income for Regional Transportation was $21.9 million for the third quarter of 2016, compared to $33.6 million for the third quarter of 2015. Operating revenues decreased by $12.0 million, which were offset by a $0.3 million decrease in total operating expenses.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total operating expenses consisted primarily of:</w:t>
      </w:r>
    </w:p>
    <w:p>
      <w:pPr>
        <w:spacing w:after="0" w:line="207" w:lineRule="exact"/>
        <w:rPr>
          <w:sz w:val="20"/>
          <w:szCs w:val="20"/>
          <w:color w:val="auto"/>
        </w:rPr>
      </w:pPr>
    </w:p>
    <w:p>
      <w:pPr>
        <w:ind w:left="600" w:hanging="297"/>
        <w:spacing w:after="0" w:line="301"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$3.0 million, or 3.6%, decrease in operating expenses and supplies was primarily the result of a $2.9 million decrease in fuel expense, which was largely driven by lower fuel prices on a per gallon basis and fewer miles driven in the third quarter of 2016 compared to the third quarter of 2015.</w:t>
      </w:r>
    </w:p>
    <w:p>
      <w:pPr>
        <w:spacing w:after="0" w:line="142" w:lineRule="exact"/>
        <w:rPr>
          <w:rFonts w:ascii="Arial" w:cs="Arial" w:eastAsia="Arial" w:hAnsi="Arial"/>
          <w:sz w:val="16"/>
          <w:szCs w:val="16"/>
          <w:color w:val="auto"/>
        </w:rPr>
      </w:pPr>
    </w:p>
    <w:p>
      <w:pPr>
        <w:ind w:left="600" w:hanging="297"/>
        <w:spacing w:after="0" w:line="301"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$2.9 million, or 1.1%, decrease in salaries, wages and employee benefits was primarily driven by a $4.4 million decrease in bonus compensation expense, offset by a $2.3 million increase in employee benefit costs in the third quarter of 2016, as compared to the third quarter of 2015.</w:t>
      </w:r>
    </w:p>
    <w:p>
      <w:pPr>
        <w:spacing w:after="0" w:line="142" w:lineRule="exact"/>
        <w:rPr>
          <w:rFonts w:ascii="Arial" w:cs="Arial" w:eastAsia="Arial" w:hAnsi="Arial"/>
          <w:sz w:val="16"/>
          <w:szCs w:val="16"/>
          <w:color w:val="auto"/>
        </w:rPr>
      </w:pPr>
    </w:p>
    <w:p>
      <w:pPr>
        <w:ind w:left="600" w:hanging="297"/>
        <w:spacing w:after="0" w:line="269"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$4.2 million, or 13.4%, increase in purchased transportation was primarily due to a $3.9 million increase in vehicle rent expense due to higher usage of operating leases for revenue equipment, in the third quarter of 2016, as compared to the third quarter of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Three Quarters of 2016 Compared to the First Three Quarters of 2015</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$1,321.3 million for the first three quarters of 2016, a decrease of $46.4 million, or 3.4%, from the first three quarters of 2015. The decrease in revenue is primarily attributed to a reduction in fuel surcharge revenue and declines in volume, partially offset by improved yield (excluding fuel surcharge). The table below summarizes the key revenue metrics for the Regional Transportation reporting segment for the first three quarters of 2016 compared to the first three quarters of 2015:</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7"/>
          </w:tcPr>
          <w:p>
            <w:pPr>
              <w:jc w:val="right"/>
              <w:ind w:right="820"/>
              <w:spacing w:after="0"/>
              <w:rPr>
                <w:sz w:val="20"/>
                <w:szCs w:val="20"/>
                <w:color w:val="auto"/>
              </w:rPr>
            </w:pPr>
            <w:r>
              <w:rPr>
                <w:rFonts w:ascii="Arial" w:cs="Arial" w:eastAsia="Arial" w:hAnsi="Arial"/>
                <w:sz w:val="13"/>
                <w:szCs w:val="13"/>
                <w:b w:val="1"/>
                <w:bCs w:val="1"/>
                <w:color w:val="auto"/>
              </w:rPr>
              <w:t>First Three Quarters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4"/>
        </w:trPr>
        <w:tc>
          <w:tcPr>
            <w:tcW w:w="474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3"/>
              </w:rPr>
              <w:t>Percent Change</w:t>
            </w:r>
            <w:r>
              <w:rPr>
                <w:rFonts w:ascii="Arial" w:cs="Arial" w:eastAsia="Arial" w:hAnsi="Arial"/>
                <w:sz w:val="8"/>
                <w:szCs w:val="8"/>
                <w:b w:val="1"/>
                <w:bCs w:val="1"/>
                <w:color w:val="auto"/>
                <w:w w:val="93"/>
              </w:rPr>
              <w:t>(b)</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47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1,323.0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11.42</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(0.7)%</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10.40</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168</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153</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0.7 %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r>
      <w:tr>
        <w:trPr>
          <w:trHeight w:val="599"/>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3"/>
                <w:szCs w:val="13"/>
                <w:b w:val="1"/>
                <w:bCs w:val="1"/>
                <w:color w:val="auto"/>
              </w:rPr>
              <w:t>First Three Quarters</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4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20"/>
                <w:szCs w:val="20"/>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2016</w:t>
            </w:r>
          </w:p>
        </w:tc>
        <w:tc>
          <w:tcPr>
            <w:tcW w:w="11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2015</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8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1,321.3</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1,367.7</w:t>
            </w:r>
          </w:p>
        </w:tc>
      </w:tr>
      <w:tr>
        <w:trPr>
          <w:trHeight w:val="257"/>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1"/>
        </w:trPr>
        <w:tc>
          <w:tcPr>
            <w:tcW w:w="458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1,367.6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8255</wp:posOffset>
            </wp:positionV>
            <wp:extent cx="15582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12" w:lineRule="exact"/>
        <w:rPr>
          <w:sz w:val="20"/>
          <w:szCs w:val="20"/>
          <w:color w:val="auto"/>
        </w:rPr>
      </w:pPr>
    </w:p>
    <w:p>
      <w:pPr>
        <w:ind w:left="940" w:hanging="184"/>
        <w:spacing w:after="0"/>
        <w:tabs>
          <w:tab w:leader="none" w:pos="9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940" w:hanging="184"/>
        <w:spacing w:after="0"/>
        <w:tabs>
          <w:tab w:leader="none" w:pos="9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-194310</wp:posOffset>
            </wp:positionV>
            <wp:extent cx="15582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Operating income for Regional Transportation was $64.9 million for the first three quarters of 2016, as compared to $75.9 million for the first three quarters of 2015.</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decreased $46.4 million which were offset by a $35.4 million decrease in total operating expenses.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total operating expenses consisted primarily 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ind w:left="600" w:hanging="297"/>
        <w:spacing w:after="0" w:line="254"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$35.4 million, or 13.0%, decrease in operating expenses and supplies was primarily the result of a $28.8 million decrease in fuel expense, which was largely driven by lower fuel prices on a per gallon basis and fewer miles driven. Additionally, vehicle maintenance expense decreased by $3.5 million due to lower maintenance costs and fewer miles driven and professional service fees decreased by $3.4 million in the first three quarters of 2016, as compared to the first three quarters of 2015.</w:t>
      </w:r>
    </w:p>
    <w:p>
      <w:pPr>
        <w:spacing w:after="0" w:line="179"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$5.2 million, or 6.6%, decrease in other operating expense was primarily driven by a $2.9 million decrease in our liability claims expense as a result of more favorable development of prior year claims in the first three quarters of 2016, as compared to the first three quarters of 2015.</w:t>
      </w:r>
    </w:p>
    <w:p>
      <w:pPr>
        <w:spacing w:after="0" w:line="165" w:lineRule="exact"/>
        <w:rPr>
          <w:rFonts w:ascii="Arial" w:cs="Arial" w:eastAsia="Arial" w:hAnsi="Arial"/>
          <w:sz w:val="17"/>
          <w:szCs w:val="17"/>
          <w:color w:val="auto"/>
        </w:rPr>
      </w:pPr>
    </w:p>
    <w:p>
      <w:pPr>
        <w:jc w:val="both"/>
        <w:ind w:left="600" w:hanging="297"/>
        <w:spacing w:after="0" w:line="258"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$5.1 million, or 5.5%, increase in purchased transportation was primarily due to a $9.4 million increase in vehicle rent expense due to higher usage of operating leases for revenue equipment, partially offset by a $3.9 million decrease in purchased transportation expense due to a reduction in miles and rates, in the first three quarters of 2016, as compared to the first three quarters of 2015.</w:t>
      </w:r>
    </w:p>
    <w:p>
      <w:pPr>
        <w:spacing w:after="0" w:line="175" w:lineRule="exact"/>
        <w:rPr>
          <w:rFonts w:ascii="Arial" w:cs="Arial" w:eastAsia="Arial" w:hAnsi="Arial"/>
          <w:sz w:val="17"/>
          <w:szCs w:val="17"/>
          <w:color w:val="auto"/>
        </w:rPr>
      </w:pPr>
    </w:p>
    <w:p>
      <w:pPr>
        <w:jc w:val="both"/>
        <w:ind w:left="600" w:hanging="297"/>
        <w:spacing w:after="0" w:line="281"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$0.8 million, or 0.1%, increase in salaries, wages and employee benefits was driven by a $4.8 million increase in employee benefit costs, offset by a $1.4 million decrease in bonus compensation expense and $1.1 million decrease in wages. The decrease in wages was primarily due to the decrease in shipping volumes and partially offset by general wage rate increases in the first three quarters of 2016, as compared to the first three quarters of 2015.</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reconciliation of net income to EBITDA and EBITDA to Adjusted EBITDA (defined in our Term Loan Agreement as “Consolidated EBITDA”) for the third quarter and first three quarters of 2016 and 2015, and the trailing twelve months ended September 30, 2016 and 2015,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Third Quarter</w:t>
            </w:r>
          </w:p>
        </w:tc>
        <w:tc>
          <w:tcPr>
            <w:tcW w:w="180" w:type="dxa"/>
            <w:vAlign w:val="bottom"/>
          </w:tcPr>
          <w:p>
            <w:pPr>
              <w:spacing w:after="0"/>
              <w:rPr>
                <w:sz w:val="13"/>
                <w:szCs w:val="13"/>
                <w:color w:val="auto"/>
              </w:rPr>
            </w:pPr>
          </w:p>
        </w:tc>
        <w:tc>
          <w:tcPr>
            <w:tcW w:w="164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rPr>
              <w:t>First Three Quarters</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Trailing Twelve</w:t>
            </w:r>
          </w:p>
        </w:tc>
        <w:tc>
          <w:tcPr>
            <w:tcW w:w="120" w:type="dxa"/>
            <w:vAlign w:val="bottom"/>
          </w:tcPr>
          <w:p>
            <w:pPr>
              <w:spacing w:after="0"/>
              <w:rPr>
                <w:sz w:val="13"/>
                <w:szCs w:val="13"/>
                <w:color w:val="auto"/>
              </w:rPr>
            </w:pPr>
          </w:p>
        </w:tc>
        <w:tc>
          <w:tcPr>
            <w:tcW w:w="1240" w:type="dxa"/>
            <w:vAlign w:val="bottom"/>
          </w:tcPr>
          <w:p>
            <w:pPr>
              <w:jc w:val="center"/>
              <w:ind w:right="19"/>
              <w:spacing w:after="0"/>
              <w:rPr>
                <w:sz w:val="20"/>
                <w:szCs w:val="20"/>
                <w:color w:val="auto"/>
              </w:rPr>
            </w:pPr>
            <w:r>
              <w:rPr>
                <w:rFonts w:ascii="Arial" w:cs="Arial" w:eastAsia="Arial" w:hAnsi="Arial"/>
                <w:sz w:val="13"/>
                <w:szCs w:val="13"/>
                <w:b w:val="1"/>
                <w:bCs w:val="1"/>
                <w:color w:val="auto"/>
                <w:w w:val="95"/>
              </w:rPr>
              <w:t>Trailing Twelve</w:t>
            </w: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Months Ended</w:t>
            </w:r>
          </w:p>
        </w:tc>
        <w:tc>
          <w:tcPr>
            <w:tcW w:w="120" w:type="dxa"/>
            <w:vAlign w:val="bottom"/>
          </w:tcPr>
          <w:p>
            <w:pPr>
              <w:spacing w:after="0"/>
              <w:rPr>
                <w:sz w:val="15"/>
                <w:szCs w:val="15"/>
                <w:color w:val="auto"/>
              </w:rPr>
            </w:pPr>
          </w:p>
        </w:tc>
        <w:tc>
          <w:tcPr>
            <w:tcW w:w="1240" w:type="dxa"/>
            <w:vAlign w:val="bottom"/>
          </w:tcPr>
          <w:p>
            <w:pPr>
              <w:jc w:val="center"/>
              <w:ind w:right="19"/>
              <w:spacing w:after="0"/>
              <w:rPr>
                <w:sz w:val="20"/>
                <w:szCs w:val="20"/>
                <w:color w:val="auto"/>
              </w:rPr>
            </w:pPr>
            <w:r>
              <w:rPr>
                <w:rFonts w:ascii="Arial" w:cs="Arial" w:eastAsia="Arial" w:hAnsi="Arial"/>
                <w:sz w:val="13"/>
                <w:szCs w:val="13"/>
                <w:b w:val="1"/>
                <w:bCs w:val="1"/>
                <w:color w:val="auto"/>
                <w:w w:val="95"/>
              </w:rPr>
              <w:t>Months Ended</w:t>
            </w:r>
          </w:p>
        </w:tc>
        <w:tc>
          <w:tcPr>
            <w:tcW w:w="0" w:type="dxa"/>
            <w:vAlign w:val="bottom"/>
          </w:tcPr>
          <w:p>
            <w:pPr>
              <w:spacing w:after="0"/>
              <w:rPr>
                <w:sz w:val="1"/>
                <w:szCs w:val="1"/>
                <w:color w:val="auto"/>
              </w:rPr>
            </w:pPr>
          </w:p>
        </w:tc>
      </w:tr>
      <w:tr>
        <w:trPr>
          <w:trHeight w:val="24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September 30, 2016</w:t>
            </w: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92"/>
              </w:rPr>
              <w:t>September 30, 2015</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net income to Adjusted EBITDA:</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38"/>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108.1</w:t>
            </w:r>
          </w:p>
        </w:tc>
        <w:tc>
          <w:tcPr>
            <w:tcW w:w="0" w:type="dxa"/>
            <w:vAlign w:val="bottom"/>
          </w:tcPr>
          <w:p>
            <w:pPr>
              <w:spacing w:after="0"/>
              <w:rPr>
                <w:sz w:val="1"/>
                <w:szCs w:val="1"/>
                <w:color w:val="auto"/>
              </w:rPr>
            </w:pPr>
          </w:p>
        </w:tc>
      </w:tr>
      <w:tr>
        <w:trPr>
          <w:trHeight w:val="226"/>
        </w:trPr>
        <w:tc>
          <w:tcPr>
            <w:tcW w:w="492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200" w:type="dxa"/>
            <w:vAlign w:val="bottom"/>
          </w:tcPr>
          <w:p>
            <w:pPr>
              <w:spacing w:after="0"/>
              <w:rPr>
                <w:sz w:val="19"/>
                <w:szCs w:val="19"/>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38"/>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164.3</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7"/>
                <w:szCs w:val="17"/>
                <w:color w:val="auto"/>
              </w:rPr>
              <w:t>EBITDA</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58"/>
              <w:spacing w:after="0"/>
              <w:rPr>
                <w:sz w:val="20"/>
                <w:szCs w:val="20"/>
                <w:color w:val="auto"/>
              </w:rPr>
            </w:pPr>
            <w:r>
              <w:rPr>
                <w:rFonts w:ascii="Arial" w:cs="Arial" w:eastAsia="Arial" w:hAnsi="Arial"/>
                <w:sz w:val="17"/>
                <w:szCs w:val="17"/>
                <w:color w:val="auto"/>
              </w:rPr>
              <w:t>80.2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92.8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229.5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239.1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256.8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313.5</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92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00" w:type="dxa"/>
            <w:vAlign w:val="bottom"/>
          </w:tcPr>
          <w:p>
            <w:pPr>
              <w:spacing w:after="0"/>
              <w:rPr>
                <w:sz w:val="19"/>
                <w:szCs w:val="19"/>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6"/>
        </w:trPr>
        <w:tc>
          <w:tcPr>
            <w:tcW w:w="4920" w:type="dxa"/>
            <w:vAlign w:val="bottom"/>
          </w:tcPr>
          <w:p>
            <w:pPr>
              <w:ind w:left="360"/>
              <w:spacing w:after="0"/>
              <w:rPr>
                <w:sz w:val="20"/>
                <w:szCs w:val="20"/>
                <w:color w:val="auto"/>
              </w:rPr>
            </w:pPr>
            <w:r>
              <w:rPr>
                <w:rFonts w:ascii="Arial" w:cs="Arial" w:eastAsia="Arial" w:hAnsi="Arial"/>
                <w:sz w:val="17"/>
                <w:szCs w:val="17"/>
                <w:color w:val="auto"/>
              </w:rPr>
              <w:t>Restructuring professional fees</w:t>
            </w:r>
          </w:p>
        </w:tc>
        <w:tc>
          <w:tcPr>
            <w:tcW w:w="2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Nonrecurring consulting fees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6"/>
        </w:trPr>
        <w:tc>
          <w:tcPr>
            <w:tcW w:w="4920" w:type="dxa"/>
            <w:vAlign w:val="bottom"/>
          </w:tcPr>
          <w:p>
            <w:pPr>
              <w:ind w:left="360"/>
              <w:spacing w:after="0"/>
              <w:rPr>
                <w:sz w:val="20"/>
                <w:szCs w:val="20"/>
                <w:color w:val="auto"/>
              </w:rPr>
            </w:pPr>
            <w:r>
              <w:rPr>
                <w:rFonts w:ascii="Arial" w:cs="Arial" w:eastAsia="Arial" w:hAnsi="Arial"/>
                <w:sz w:val="17"/>
                <w:szCs w:val="17"/>
                <w:color w:val="auto"/>
              </w:rPr>
              <w:t>Permitted dispositions and other</w:t>
            </w:r>
          </w:p>
        </w:tc>
        <w:tc>
          <w:tcPr>
            <w:tcW w:w="200" w:type="dxa"/>
            <w:vAlign w:val="bottom"/>
          </w:tcPr>
          <w:p>
            <w:pPr>
              <w:spacing w:after="0"/>
              <w:rPr>
                <w:sz w:val="19"/>
                <w:szCs w:val="19"/>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20" w:type="dxa"/>
            <w:vAlign w:val="bottom"/>
          </w:tcPr>
          <w:p>
            <w:pPr>
              <w:jc w:val="right"/>
              <w:ind w:right="38"/>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expense</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26"/>
        </w:trPr>
        <w:tc>
          <w:tcPr>
            <w:tcW w:w="4920" w:type="dxa"/>
            <w:vAlign w:val="bottom"/>
          </w:tcPr>
          <w:p>
            <w:pPr>
              <w:ind w:left="360"/>
              <w:spacing w:after="0"/>
              <w:rPr>
                <w:sz w:val="20"/>
                <w:szCs w:val="20"/>
                <w:color w:val="auto"/>
              </w:rPr>
            </w:pPr>
            <w:r>
              <w:rPr>
                <w:rFonts w:ascii="Arial" w:cs="Arial" w:eastAsia="Arial" w:hAnsi="Arial"/>
                <w:sz w:val="17"/>
                <w:szCs w:val="17"/>
                <w:color w:val="auto"/>
              </w:rPr>
              <w:t>Amortization of ratification bonus</w:t>
            </w:r>
          </w:p>
        </w:tc>
        <w:tc>
          <w:tcPr>
            <w:tcW w:w="2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38"/>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Loss on extinguishment of debt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6"/>
        </w:trPr>
        <w:tc>
          <w:tcPr>
            <w:tcW w:w="4920" w:type="dxa"/>
            <w:vAlign w:val="bottom"/>
          </w:tcPr>
          <w:p>
            <w:pPr>
              <w:ind w:left="360"/>
              <w:spacing w:after="0"/>
              <w:rPr>
                <w:sz w:val="20"/>
                <w:szCs w:val="20"/>
                <w:color w:val="auto"/>
              </w:rPr>
            </w:pPr>
            <w:r>
              <w:rPr>
                <w:rFonts w:ascii="Arial" w:cs="Arial" w:eastAsia="Arial" w:hAnsi="Arial"/>
                <w:sz w:val="17"/>
                <w:szCs w:val="17"/>
                <w:color w:val="auto"/>
              </w:rPr>
              <w:t>Non-union pension settlement charge</w:t>
            </w:r>
          </w:p>
        </w:tc>
        <w:tc>
          <w:tcPr>
            <w:tcW w:w="2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9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85.5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38"/>
              <w:spacing w:after="0"/>
              <w:rPr>
                <w:sz w:val="20"/>
                <w:szCs w:val="20"/>
                <w:color w:val="auto"/>
              </w:rPr>
            </w:pPr>
            <w:r>
              <w:rPr>
                <w:rFonts w:ascii="Arial" w:cs="Arial" w:eastAsia="Arial" w:hAnsi="Arial"/>
                <w:sz w:val="17"/>
                <w:szCs w:val="17"/>
                <w:color w:val="auto"/>
              </w:rPr>
              <w:t>239.8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267.3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305.8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344.3</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60" w:hanging="159"/>
        <w:spacing w:after="0"/>
        <w:tabs>
          <w:tab w:leader="none" w:pos="16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third quarter and first three quarters of 2016 and 2015: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3"/>
                <w:szCs w:val="13"/>
                <w:b w:val="1"/>
                <w:bCs w:val="1"/>
                <w:color w:val="auto"/>
              </w:rPr>
              <w:t>First Three Quarters</w:t>
            </w: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w w:val="96"/>
              </w:rPr>
              <w:t>2015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26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2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42"/>
              <w:spacing w:after="0"/>
              <w:rPr>
                <w:sz w:val="20"/>
                <w:szCs w:val="20"/>
                <w:color w:val="auto"/>
              </w:rPr>
            </w:pPr>
            <w:r>
              <w:rPr>
                <w:rFonts w:ascii="Arial" w:cs="Arial" w:eastAsia="Arial" w:hAnsi="Arial"/>
                <w:sz w:val="17"/>
                <w:szCs w:val="17"/>
                <w:color w:val="auto"/>
              </w:rPr>
              <w:t>45.3</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9"/>
              <w:spacing w:after="0"/>
              <w:rPr>
                <w:sz w:val="20"/>
                <w:szCs w:val="20"/>
                <w:color w:val="auto"/>
              </w:rPr>
            </w:pPr>
            <w:r>
              <w:rPr>
                <w:rFonts w:ascii="Arial" w:cs="Arial" w:eastAsia="Arial" w:hAnsi="Arial"/>
                <w:sz w:val="17"/>
                <w:szCs w:val="17"/>
                <w:color w:val="auto"/>
              </w:rPr>
              <w:t>45.2</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2"/>
              <w:spacing w:after="0"/>
              <w:rPr>
                <w:sz w:val="20"/>
                <w:szCs w:val="20"/>
                <w:color w:val="auto"/>
              </w:rPr>
            </w:pPr>
            <w:r>
              <w:rPr>
                <w:rFonts w:ascii="Arial" w:cs="Arial" w:eastAsia="Arial" w:hAnsi="Arial"/>
                <w:sz w:val="17"/>
                <w:szCs w:val="17"/>
                <w:color w:val="auto"/>
              </w:rPr>
              <w:t>119.3</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130.4</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2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121.3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135.7</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267.3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636"/>
              <w:spacing w:after="0"/>
              <w:rPr>
                <w:sz w:val="20"/>
                <w:szCs w:val="20"/>
                <w:color w:val="auto"/>
              </w:rPr>
            </w:pPr>
            <w:r>
              <w:rPr>
                <w:rFonts w:ascii="Arial" w:cs="Arial" w:eastAsia="Arial" w:hAnsi="Arial"/>
                <w:sz w:val="17"/>
                <w:szCs w:val="17"/>
                <w:color w:val="auto"/>
              </w:rPr>
              <w:t>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operating income (loss), by segment, to Adjusted EBITDA for the third quarter and first three quarters of 2016 and 2015,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96"/>
              </w:rPr>
              <w:t>2015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2015</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53.3</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39.4</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70.5</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1.7</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4.6</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5.1</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Amortization of ratification bonus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9.3</w:t>
            </w:r>
          </w:p>
        </w:tc>
      </w:tr>
      <w:tr>
        <w:trPr>
          <w:trHeight w:val="252"/>
        </w:trPr>
        <w:tc>
          <w:tcPr>
            <w:tcW w:w="652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2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45.3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119.3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130.4</w:t>
            </w:r>
          </w:p>
        </w:tc>
      </w:tr>
      <w:tr>
        <w:trPr>
          <w:trHeight w:val="20"/>
        </w:trPr>
        <w:tc>
          <w:tcPr>
            <w:tcW w:w="6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8255</wp:posOffset>
            </wp:positionV>
            <wp:extent cx="3116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ind w:left="180" w:hanging="142"/>
        <w:spacing w:after="0"/>
        <w:tabs>
          <w:tab w:leader="none" w:pos="180"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96"/>
              </w:rPr>
              <w:t>2015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2015</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64.9</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75.9</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53.2</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Amortization of ratification bonus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5.1</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40.2</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121.3</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16510</wp:posOffset>
            </wp:positionV>
            <wp:extent cx="311658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6580" cy="24130"/>
                    </a:xfrm>
                    <a:prstGeom prst="rect">
                      <a:avLst/>
                    </a:prstGeom>
                    <a:noFill/>
                  </pic:spPr>
                </pic:pic>
              </a:graphicData>
            </a:graphic>
          </wp:anchor>
        </w:drawing>
      </w:r>
    </w:p>
    <w:p>
      <w:pPr>
        <w:spacing w:after="0" w:line="30" w:lineRule="exact"/>
        <w:rPr>
          <w:sz w:val="20"/>
          <w:szCs w:val="20"/>
          <w:color w:val="auto"/>
        </w:rPr>
      </w:pPr>
    </w:p>
    <w:p>
      <w:pPr>
        <w:ind w:left="180" w:hanging="142"/>
        <w:spacing w:after="0"/>
        <w:tabs>
          <w:tab w:leader="none" w:pos="180"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96"/>
              </w:rPr>
              <w:t>2015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2015</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loss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Gains on property disposals,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0.5</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Restructuring professional fees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0.2</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Permitted dispositions and other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0.3</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6.5</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1.0</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16510</wp:posOffset>
            </wp:positionV>
            <wp:extent cx="311658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6580" cy="24130"/>
                    </a:xfrm>
                    <a:prstGeom prst="rect">
                      <a:avLst/>
                    </a:prstGeom>
                    <a:noFill/>
                  </pic:spPr>
                </pic:pic>
              </a:graphicData>
            </a:graphic>
          </wp:anchor>
        </w:drawing>
      </w:r>
    </w:p>
    <w:p>
      <w:pPr>
        <w:spacing w:after="0" w:line="30" w:lineRule="exact"/>
        <w:rPr>
          <w:sz w:val="20"/>
          <w:szCs w:val="20"/>
          <w:color w:val="auto"/>
        </w:rPr>
      </w:pPr>
    </w:p>
    <w:p>
      <w:pPr>
        <w:ind w:left="180" w:hanging="142"/>
        <w:spacing w:after="0"/>
        <w:tabs>
          <w:tab w:leader="none" w:pos="180"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any prospective net operating cash flows from operations. As of September 30, 2016, we had cash and cash equivalents of $276.4 million and the borrowing base and maximum availability under our ABL Facility were $412.6 million and $55.0 million, respectively. The maximum availability is calculated in accordance with the terms of the ABL Facility and is derived by reducing the borrowing base by our $357.6 million of outstanding letters of credit. While our ABL Agreement permits us to access maximum availability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subject to certain financial covenant restrictions (which restrictions did not limit our availability as of September 30, 2016), the maximum amount we expect to access on our ABL Facility at any time is maximum availability less the lower of 10% of the borrowing base ($41.3 million at September 30, 2016) or 10% of the facility size ($45.0 million at September 30, 2016). Thus, of the $55.0 million in maximum availability, our Managed Accessibility was $13.7 million as of September 30, 2016. As a result, we had cash and cash equivalents and Managed Accessibility of $290.1 million as of September 30, 2016. Due to the ABL Facility amendment on June 28, 2016, as referenced in the “Debt and Financing” footnote of our consolidated financial statements in this report, we increased our flexibility to manage and optimize the amount of cash included in the borrowing base by reducing availability limits.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our equipment leases and funding capital expenditures.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September 30, 2016, we had $1,055.4 million in aggregate par value of outstanding indebtedness, the majority of which matures in 2019. We also have future funding obligations for our single-employer pension plans and various multi-employer pension funds. We expect our funding obligations for the remainder of 2016 for our single-employer pension plans and multi-employer pension funds will be $12.3 million and $22.3 million, respectively. In addition, we have, and will continue to have, operating lease obligations. As of September 30, 2016, our operating lease payment obligations through 2030 totaled $323.8 million and are expected to increase as we lease additional revenue equipment. Additionally, for the first three quarters of 2016, we entered into new operating leases for revenue equipment totaling $95.2 million in future lease payments, payable over an average lease term of five years.</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capital expenditures for the first three quarters of 2016 and 2015 were $75.4 million and $71.8 million, respectively. These amounts were principally used to pay capitalized costs for technology infrastructure, to refurbish engines for our revenue fleet, and to fund the purchase of used tractors and trailers.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2016, our Standard &amp; Poor’s Corporate Family Rating was “B-” with a stable outlook and Moody’s Investor Service Corporate Family Rating was “B3” with a stable outlook.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Term Loan Agreement has certain financial covenants that, among other things, restricts certain capital expenditures and requires us to not exceed a maximum total leverage ratio (defined as Consolidated Total Debt divided by Consolidated Adjusted EBITDA. Refer to the “Debt and Financing” footnote for an overview of our Term Loan covenants.</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To maintain compliance with the maximum total leverage ratio over the tenor of the Term Loan and satisfy our liquidity needs, we would have to achieve operating results that reflect significant improvement over our third quarter 2016 results. Means for improving our profitability may include ongoing successful implementation and realization of pricing, productivity and efficiency initiatives, as well as increased volume, some of which are outside of our control.</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Although we are currently in compliance with the maximum total leverage ratio covenant under our Term Loan Agreement, the covenant levels tighten in the coming quarters. Our internal forecasts currently indicate that, absent one or more specific actions as described below, we could fail to comply with this covenant in one or more quarters over the next 12 months. As a result, we may decide to pay down a sufficient amount of the Term Loan to comply with the covenant. We currently believe that the results of our operations will be sufficient to allow us to make such payments and fund our operations for the next twelve months. However, we may also be required to pursue certain actions, including but not limited to reducing capital expenditures, curtailing actions relating to our planned revenue growth and/or seeking other cost reductions. Some of those actions might adversely affect our operations and financial performance over the long-term.</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Alternatively, we may seek an amendment to the Term Loan that would modify the covenant or pursue some other corporate finance transaction that would reduce our total leverage so that we would remain in compliance. There can be no assurance that we will be successful in obtaining such relief.</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provided by operating activities was $86.0 million and $91.5 million in the first three quarters of 2016 and 2015, respectively. The decrease in operating cash flow is primarily attributable to non-cash gains of $11.2 million recognized from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sale of excess properties in the first three quarters of 2016, as compared to a $1.5 million loss in the first three quarters of 2015. This was offset by an increase in net income of $4.8 million in the first three quarters of 2016 as compared to the first three quarters of 2015, and a net increase in operating assets and liabilities of $4.2 million, which consists primarily of improved cash inflow due to prior year expenses associated with certain lump sum payments to our IBT employees, offset by decreased cash inflow from accounts receivable.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Net cash provided by investing activities was $44.9 million during the first three quarters of 2016 compared to net cash used in investing activities of $38.8 million during the first three quarters of 2015, largely driven by a net receipt of $79.2 million in restricted escrow refunds in 2016 compared to a net receipt of $16.9 million in 2015. Additionally, cash flows in 2016 included $14.6 million in net proceeds from the sale of JHJ and an increase of $10.8 million in cash proceeds from the disposal of property and equipment due to certain significant property sales in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Net cash used in financing activities for the first three quarters of 2016 and 2015 was $28.3 million and $13.1 million, respectively, which consists mainly of repayments on our long-term debt. Cash flows used in financing activities for the first three quarters of 2016 also included $1.8 million in debt issuance costs related to the ABL Facility amendment.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September 30, 2016.</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September 30,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4"/>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Pr>
          <w:p>
            <w:pPr>
              <w:spacing w:after="0"/>
              <w:rPr>
                <w:sz w:val="21"/>
                <w:szCs w:val="21"/>
                <w:color w:val="auto"/>
              </w:rPr>
            </w:pPr>
          </w:p>
        </w:tc>
        <w:tc>
          <w:tcPr>
            <w:tcW w:w="1220" w:type="dxa"/>
            <w:vAlign w:val="bottom"/>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260" w:type="dxa"/>
            <w:vAlign w:val="bottom"/>
          </w:tcPr>
          <w:p>
            <w:pPr>
              <w:spacing w:after="0"/>
              <w:rPr>
                <w:sz w:val="21"/>
                <w:szCs w:val="21"/>
                <w:color w:val="auto"/>
              </w:rPr>
            </w:pPr>
          </w:p>
        </w:tc>
        <w:tc>
          <w:tcPr>
            <w:tcW w:w="1220" w:type="dxa"/>
            <w:vAlign w:val="bottom"/>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2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More than 5 years</w:t>
            </w:r>
          </w:p>
        </w:tc>
        <w:tc>
          <w:tcPr>
            <w:tcW w:w="320" w:type="dxa"/>
            <w:vAlign w:val="bottom"/>
          </w:tcPr>
          <w:p>
            <w:pPr>
              <w:spacing w:after="0"/>
              <w:rPr>
                <w:sz w:val="21"/>
                <w:szCs w:val="21"/>
                <w:color w:val="auto"/>
              </w:rPr>
            </w:pPr>
          </w:p>
        </w:tc>
        <w:tc>
          <w:tcPr>
            <w:tcW w:w="1040" w:type="dxa"/>
            <w:vAlign w:val="bottom"/>
          </w:tcPr>
          <w:p>
            <w:pPr>
              <w:jc w:val="right"/>
              <w:ind w:right="438"/>
              <w:spacing w:after="0"/>
              <w:rPr>
                <w:sz w:val="20"/>
                <w:szCs w:val="20"/>
                <w:color w:val="auto"/>
              </w:rPr>
            </w:pPr>
            <w:r>
              <w:rPr>
                <w:rFonts w:ascii="Arial" w:cs="Arial" w:eastAsia="Arial" w:hAnsi="Arial"/>
                <w:sz w:val="13"/>
                <w:szCs w:val="13"/>
                <w:b w:val="1"/>
                <w:bCs w:val="1"/>
                <w:color w:val="auto"/>
              </w:rPr>
              <w:t>Total</w:t>
            </w:r>
          </w:p>
        </w:tc>
      </w:tr>
      <w:tr>
        <w:trPr>
          <w:trHeight w:val="229"/>
        </w:trPr>
        <w:tc>
          <w:tcPr>
            <w:tcW w:w="41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Balance sheet obligations:</w:t>
            </w:r>
          </w:p>
        </w:tc>
        <w:tc>
          <w:tcPr>
            <w:tcW w:w="160" w:type="dxa"/>
            <w:vAlign w:val="bottom"/>
            <w:tcBorders>
              <w:top w:val="single" w:sz="8" w:color="auto"/>
              <w:bottom w:val="single" w:sz="8" w:color="BFE4FF"/>
            </w:tcBorders>
            <w:shd w:val="clear" w:color="auto" w:fill="BFE4FF"/>
          </w:tcPr>
          <w:p>
            <w:pPr>
              <w:spacing w:after="0"/>
              <w:rPr>
                <w:sz w:val="19"/>
                <w:szCs w:val="19"/>
                <w:color w:val="auto"/>
              </w:rPr>
            </w:pPr>
          </w:p>
        </w:tc>
        <w:tc>
          <w:tcPr>
            <w:tcW w:w="1240" w:type="dxa"/>
            <w:vAlign w:val="bottom"/>
            <w:tcBorders>
              <w:top w:val="single" w:sz="8" w:color="auto"/>
              <w:bottom w:val="single" w:sz="8" w:color="BFE4FF"/>
            </w:tcBorders>
            <w:shd w:val="clear" w:color="auto" w:fill="BFE4FF"/>
          </w:tcPr>
          <w:p>
            <w:pPr>
              <w:spacing w:after="0"/>
              <w:rPr>
                <w:sz w:val="19"/>
                <w:szCs w:val="19"/>
                <w:color w:val="auto"/>
              </w:rPr>
            </w:pPr>
          </w:p>
        </w:tc>
        <w:tc>
          <w:tcPr>
            <w:tcW w:w="120" w:type="dxa"/>
            <w:vAlign w:val="bottom"/>
            <w:tcBorders>
              <w:top w:val="single" w:sz="8" w:color="BFE4FF"/>
              <w:bottom w:val="single" w:sz="8" w:color="BFE4FF"/>
            </w:tcBorders>
            <w:shd w:val="clear" w:color="auto" w:fill="BFE4FF"/>
          </w:tcPr>
          <w:p>
            <w:pPr>
              <w:spacing w:after="0"/>
              <w:rPr>
                <w:sz w:val="19"/>
                <w:szCs w:val="19"/>
                <w:color w:val="auto"/>
              </w:rPr>
            </w:pPr>
          </w:p>
        </w:tc>
        <w:tc>
          <w:tcPr>
            <w:tcW w:w="260" w:type="dxa"/>
            <w:vAlign w:val="bottom"/>
            <w:tcBorders>
              <w:top w:val="single" w:sz="8" w:color="auto"/>
              <w:bottom w:val="single" w:sz="8" w:color="BFE4FF"/>
            </w:tcBorders>
            <w:shd w:val="clear" w:color="auto" w:fill="BFE4FF"/>
          </w:tcPr>
          <w:p>
            <w:pPr>
              <w:spacing w:after="0"/>
              <w:rPr>
                <w:sz w:val="19"/>
                <w:szCs w:val="19"/>
                <w:color w:val="auto"/>
              </w:rPr>
            </w:pPr>
          </w:p>
        </w:tc>
        <w:tc>
          <w:tcPr>
            <w:tcW w:w="1120" w:type="dxa"/>
            <w:vAlign w:val="bottom"/>
            <w:tcBorders>
              <w:top w:val="single" w:sz="8" w:color="auto"/>
              <w:bottom w:val="single" w:sz="8" w:color="BFE4FF"/>
            </w:tcBorders>
            <w:shd w:val="clear" w:color="auto" w:fill="BFE4FF"/>
          </w:tcPr>
          <w:p>
            <w:pPr>
              <w:spacing w:after="0"/>
              <w:rPr>
                <w:sz w:val="19"/>
                <w:szCs w:val="19"/>
                <w:color w:val="auto"/>
              </w:rPr>
            </w:pP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260" w:type="dxa"/>
            <w:vAlign w:val="bottom"/>
            <w:tcBorders>
              <w:top w:val="single" w:sz="8" w:color="auto"/>
              <w:bottom w:val="single" w:sz="8" w:color="BFE4FF"/>
            </w:tcBorders>
            <w:shd w:val="clear" w:color="auto" w:fill="BFE4FF"/>
          </w:tcPr>
          <w:p>
            <w:pPr>
              <w:spacing w:after="0"/>
              <w:rPr>
                <w:sz w:val="19"/>
                <w:szCs w:val="19"/>
                <w:color w:val="auto"/>
              </w:rPr>
            </w:pPr>
          </w:p>
        </w:tc>
        <w:tc>
          <w:tcPr>
            <w:tcW w:w="1100" w:type="dxa"/>
            <w:vAlign w:val="bottom"/>
            <w:tcBorders>
              <w:top w:val="single" w:sz="8" w:color="auto"/>
              <w:bottom w:val="single" w:sz="8" w:color="BFE4FF"/>
            </w:tcBorders>
            <w:shd w:val="clear" w:color="auto" w:fill="BFE4FF"/>
          </w:tcPr>
          <w:p>
            <w:pPr>
              <w:spacing w:after="0"/>
              <w:rPr>
                <w:sz w:val="19"/>
                <w:szCs w:val="19"/>
                <w:color w:val="auto"/>
              </w:rPr>
            </w:pPr>
          </w:p>
        </w:tc>
        <w:tc>
          <w:tcPr>
            <w:tcW w:w="120" w:type="dxa"/>
            <w:vAlign w:val="bottom"/>
            <w:tcBorders>
              <w:top w:val="single" w:sz="8" w:color="BFE4FF"/>
              <w:bottom w:val="single" w:sz="8" w:color="BFE4FF"/>
            </w:tcBorders>
            <w:shd w:val="clear" w:color="auto" w:fill="BFE4FF"/>
          </w:tcPr>
          <w:p>
            <w:pPr>
              <w:spacing w:after="0"/>
              <w:rPr>
                <w:sz w:val="19"/>
                <w:szCs w:val="19"/>
                <w:color w:val="auto"/>
              </w:rPr>
            </w:pPr>
          </w:p>
        </w:tc>
        <w:tc>
          <w:tcPr>
            <w:tcW w:w="120" w:type="dxa"/>
            <w:vAlign w:val="bottom"/>
            <w:tcBorders>
              <w:top w:val="single" w:sz="8" w:color="auto"/>
              <w:bottom w:val="single" w:sz="8" w:color="BFE4FF"/>
            </w:tcBorders>
            <w:shd w:val="clear" w:color="auto" w:fill="BFE4FF"/>
          </w:tcPr>
          <w:p>
            <w:pPr>
              <w:spacing w:after="0"/>
              <w:rPr>
                <w:sz w:val="19"/>
                <w:szCs w:val="19"/>
                <w:color w:val="auto"/>
              </w:rPr>
            </w:pPr>
          </w:p>
        </w:tc>
        <w:tc>
          <w:tcPr>
            <w:tcW w:w="1240" w:type="dxa"/>
            <w:vAlign w:val="bottom"/>
            <w:tcBorders>
              <w:top w:val="single" w:sz="8" w:color="auto"/>
              <w:bottom w:val="single" w:sz="8" w:color="BFE4FF"/>
            </w:tcBorders>
            <w:shd w:val="clear" w:color="auto" w:fill="BFE4FF"/>
          </w:tcPr>
          <w:p>
            <w:pPr>
              <w:spacing w:after="0"/>
              <w:rPr>
                <w:sz w:val="19"/>
                <w:szCs w:val="19"/>
                <w:color w:val="auto"/>
              </w:rPr>
            </w:pP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320" w:type="dxa"/>
            <w:vAlign w:val="bottom"/>
            <w:tcBorders>
              <w:top w:val="single" w:sz="8" w:color="auto"/>
              <w:bottom w:val="single" w:sz="8" w:color="BFE4FF"/>
            </w:tcBorders>
            <w:shd w:val="clear" w:color="auto" w:fill="BFE4FF"/>
          </w:tcPr>
          <w:p>
            <w:pPr>
              <w:spacing w:after="0"/>
              <w:rPr>
                <w:sz w:val="19"/>
                <w:szCs w:val="19"/>
                <w:color w:val="auto"/>
              </w:rPr>
            </w:pPr>
          </w:p>
        </w:tc>
        <w:tc>
          <w:tcPr>
            <w:tcW w:w="1040" w:type="dxa"/>
            <w:vAlign w:val="bottom"/>
            <w:tcBorders>
              <w:top w:val="single" w:sz="8" w:color="auto"/>
              <w:bottom w:val="single" w:sz="8" w:color="BFE4FF"/>
            </w:tcBorders>
            <w:shd w:val="clear" w:color="auto" w:fill="BFE4FF"/>
          </w:tcPr>
          <w:p>
            <w:pPr>
              <w:spacing w:after="0"/>
              <w:rPr>
                <w:sz w:val="19"/>
                <w:szCs w:val="19"/>
                <w:color w:val="auto"/>
              </w:rPr>
            </w:pPr>
          </w:p>
        </w:tc>
      </w:tr>
      <w:tr>
        <w:trPr>
          <w:trHeight w:val="252"/>
        </w:trPr>
        <w:tc>
          <w:tcPr>
            <w:tcW w:w="4120" w:type="dxa"/>
            <w:vAlign w:val="bottom"/>
          </w:tcPr>
          <w:p>
            <w:pPr>
              <w:ind w:left="360"/>
              <w:spacing w:after="0" w:line="252"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58"/>
              <w:spacing w:after="0"/>
              <w:rPr>
                <w:sz w:val="20"/>
                <w:szCs w:val="20"/>
                <w:color w:val="auto"/>
              </w:rPr>
            </w:pPr>
            <w:r>
              <w:rPr>
                <w:rFonts w:ascii="Arial" w:cs="Arial" w:eastAsia="Arial" w:hAnsi="Arial"/>
                <w:sz w:val="17"/>
                <w:szCs w:val="17"/>
                <w:color w:val="auto"/>
              </w:rPr>
              <w:t>7.1</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18.7</w:t>
            </w:r>
          </w:p>
        </w:tc>
      </w:tr>
      <w:tr>
        <w:trPr>
          <w:trHeight w:val="252"/>
        </w:trPr>
        <w:tc>
          <w:tcPr>
            <w:tcW w:w="4120" w:type="dxa"/>
            <w:vAlign w:val="bottom"/>
            <w:shd w:val="clear" w:color="auto" w:fill="BFE4FF"/>
          </w:tcPr>
          <w:p>
            <w:pPr>
              <w:ind w:left="32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160" w:type="dxa"/>
            <w:vAlign w:val="bottom"/>
            <w:shd w:val="clear" w:color="auto" w:fill="BFE4FF"/>
          </w:tcPr>
          <w:p>
            <w:pPr>
              <w:spacing w:after="0"/>
              <w:rPr>
                <w:sz w:val="21"/>
                <w:szCs w:val="21"/>
                <w:color w:val="auto"/>
              </w:rPr>
            </w:pPr>
          </w:p>
        </w:tc>
        <w:tc>
          <w:tcPr>
            <w:tcW w:w="124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62.2</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2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753.0</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220" w:type="dxa"/>
            <w:vAlign w:val="bottom"/>
            <w:gridSpan w:val="2"/>
            <w:shd w:val="clear" w:color="auto" w:fill="BFE4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BFE4FF"/>
          </w:tcPr>
          <w:p>
            <w:pPr>
              <w:spacing w:after="0"/>
              <w:rPr>
                <w:sz w:val="21"/>
                <w:szCs w:val="21"/>
                <w:color w:val="auto"/>
              </w:rPr>
            </w:pPr>
          </w:p>
        </w:tc>
        <w:tc>
          <w:tcPr>
            <w:tcW w:w="1340" w:type="dxa"/>
            <w:vAlign w:val="bottom"/>
            <w:gridSpan w:val="2"/>
            <w:shd w:val="clear" w:color="auto" w:fill="BFE4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BFE4FF"/>
          </w:tcPr>
          <w:p>
            <w:pPr>
              <w:spacing w:after="0"/>
              <w:rPr>
                <w:sz w:val="21"/>
                <w:szCs w:val="21"/>
                <w:color w:val="auto"/>
              </w:rPr>
            </w:pPr>
          </w:p>
        </w:tc>
        <w:tc>
          <w:tcPr>
            <w:tcW w:w="104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815.2</w:t>
            </w:r>
          </w:p>
        </w:tc>
      </w:tr>
      <w:tr>
        <w:trPr>
          <w:trHeight w:val="252"/>
        </w:trPr>
        <w:tc>
          <w:tcPr>
            <w:tcW w:w="4120" w:type="dxa"/>
            <w:vAlign w:val="bottom"/>
          </w:tcPr>
          <w:p>
            <w:pPr>
              <w:ind w:left="3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160" w:type="dxa"/>
            <w:vAlign w:val="bottom"/>
          </w:tcPr>
          <w:p>
            <w:pPr>
              <w:spacing w:after="0"/>
              <w:rPr>
                <w:sz w:val="21"/>
                <w:szCs w:val="21"/>
                <w:color w:val="auto"/>
              </w:rPr>
            </w:pPr>
          </w:p>
        </w:tc>
        <w:tc>
          <w:tcPr>
            <w:tcW w:w="1240" w:type="dxa"/>
            <w:vAlign w:val="bottom"/>
          </w:tcPr>
          <w:p>
            <w:pPr>
              <w:jc w:val="right"/>
              <w:ind w:right="58"/>
              <w:spacing w:after="0"/>
              <w:rPr>
                <w:sz w:val="20"/>
                <w:szCs w:val="20"/>
                <w:color w:val="auto"/>
              </w:rPr>
            </w:pPr>
            <w:r>
              <w:rPr>
                <w:rFonts w:ascii="Arial" w:cs="Arial" w:eastAsia="Arial" w:hAnsi="Arial"/>
                <w:sz w:val="17"/>
                <w:szCs w:val="17"/>
                <w:color w:val="auto"/>
              </w:rPr>
              <w:t>42.2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70.6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152.6</w:t>
            </w:r>
          </w:p>
        </w:tc>
      </w:tr>
      <w:tr>
        <w:trPr>
          <w:trHeight w:val="252"/>
        </w:trPr>
        <w:tc>
          <w:tcPr>
            <w:tcW w:w="4120" w:type="dxa"/>
            <w:vAlign w:val="bottom"/>
            <w:shd w:val="clear" w:color="auto" w:fill="BFE4FF"/>
          </w:tcPr>
          <w:p>
            <w:pPr>
              <w:ind w:left="3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160" w:type="dxa"/>
            <w:vAlign w:val="bottom"/>
            <w:shd w:val="clear" w:color="auto" w:fill="BFE4FF"/>
          </w:tcPr>
          <w:p>
            <w:pPr>
              <w:spacing w:after="0"/>
              <w:rPr>
                <w:sz w:val="21"/>
                <w:szCs w:val="21"/>
                <w:color w:val="auto"/>
              </w:rPr>
            </w:pPr>
          </w:p>
        </w:tc>
        <w:tc>
          <w:tcPr>
            <w:tcW w:w="124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7.6</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2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104.1</w:t>
            </w:r>
          </w:p>
        </w:tc>
        <w:tc>
          <w:tcPr>
            <w:tcW w:w="12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1340" w:type="dxa"/>
            <w:vAlign w:val="bottom"/>
            <w:gridSpan w:val="2"/>
            <w:shd w:val="clear" w:color="auto" w:fill="BFE4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BFE4FF"/>
          </w:tcPr>
          <w:p>
            <w:pPr>
              <w:spacing w:after="0"/>
              <w:rPr>
                <w:sz w:val="21"/>
                <w:szCs w:val="21"/>
                <w:color w:val="auto"/>
              </w:rPr>
            </w:pPr>
          </w:p>
        </w:tc>
        <w:tc>
          <w:tcPr>
            <w:tcW w:w="104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127.0</w:t>
            </w:r>
          </w:p>
        </w:tc>
      </w:tr>
      <w:tr>
        <w:trPr>
          <w:trHeight w:val="213"/>
        </w:trPr>
        <w:tc>
          <w:tcPr>
            <w:tcW w:w="4120" w:type="dxa"/>
            <w:vAlign w:val="bottom"/>
          </w:tcPr>
          <w:p>
            <w:pPr>
              <w:ind w:left="360"/>
              <w:spacing w:after="0"/>
              <w:rPr>
                <w:sz w:val="20"/>
                <w:szCs w:val="20"/>
                <w:color w:val="auto"/>
              </w:rPr>
            </w:pPr>
            <w:r>
              <w:rPr>
                <w:rFonts w:ascii="Arial" w:cs="Arial" w:eastAsia="Arial" w:hAnsi="Arial"/>
                <w:sz w:val="17"/>
                <w:szCs w:val="17"/>
                <w:color w:val="auto"/>
                <w:w w:val="92"/>
              </w:rPr>
              <w:t>Workers’ compensation, property damage and liability</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0"/>
        </w:trPr>
        <w:tc>
          <w:tcPr>
            <w:tcW w:w="4120" w:type="dxa"/>
            <w:vAlign w:val="bottom"/>
          </w:tcPr>
          <w:p>
            <w:pPr>
              <w:ind w:left="360"/>
              <w:spacing w:after="0" w:line="241" w:lineRule="exact"/>
              <w:rPr>
                <w:sz w:val="20"/>
                <w:szCs w:val="20"/>
                <w:color w:val="auto"/>
              </w:rPr>
            </w:pPr>
            <w:r>
              <w:rPr>
                <w:rFonts w:ascii="Arial" w:cs="Arial" w:eastAsia="Arial" w:hAnsi="Arial"/>
                <w:sz w:val="17"/>
                <w:szCs w:val="17"/>
                <w:color w:val="auto"/>
              </w:rPr>
              <w:t>claims obligations</w:t>
            </w:r>
            <w:r>
              <w:rPr>
                <w:rFonts w:ascii="Arial" w:cs="Arial" w:eastAsia="Arial" w:hAnsi="Arial"/>
                <w:sz w:val="23"/>
                <w:szCs w:val="23"/>
                <w:color w:val="auto"/>
                <w:vertAlign w:val="superscript"/>
              </w:rPr>
              <w:t>(e)</w:t>
            </w:r>
          </w:p>
        </w:tc>
        <w:tc>
          <w:tcPr>
            <w:tcW w:w="160" w:type="dxa"/>
            <w:vAlign w:val="bottom"/>
          </w:tcPr>
          <w:p>
            <w:pPr>
              <w:spacing w:after="0"/>
              <w:rPr>
                <w:sz w:val="20"/>
                <w:szCs w:val="20"/>
                <w:color w:val="auto"/>
              </w:rPr>
            </w:pPr>
          </w:p>
        </w:tc>
        <w:tc>
          <w:tcPr>
            <w:tcW w:w="1240" w:type="dxa"/>
            <w:vAlign w:val="bottom"/>
          </w:tcPr>
          <w:p>
            <w:pPr>
              <w:jc w:val="right"/>
              <w:ind w:right="58"/>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131.1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58.0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100.7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390.9</w:t>
            </w:r>
          </w:p>
        </w:tc>
      </w:tr>
      <w:tr>
        <w:trPr>
          <w:trHeight w:val="252"/>
        </w:trPr>
        <w:tc>
          <w:tcPr>
            <w:tcW w:w="4120" w:type="dxa"/>
            <w:vAlign w:val="bottom"/>
            <w:shd w:val="clear" w:color="auto" w:fill="BFE4FF"/>
          </w:tcPr>
          <w:p>
            <w:pPr>
              <w:ind w:left="3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160" w:type="dxa"/>
            <w:vAlign w:val="bottom"/>
            <w:shd w:val="clear" w:color="auto" w:fill="BFE4FF"/>
          </w:tcPr>
          <w:p>
            <w:pPr>
              <w:spacing w:after="0"/>
              <w:rPr>
                <w:sz w:val="21"/>
                <w:szCs w:val="21"/>
                <w:color w:val="auto"/>
              </w:rPr>
            </w:pPr>
          </w:p>
        </w:tc>
        <w:tc>
          <w:tcPr>
            <w:tcW w:w="124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102.4</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2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143.4</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56.5</w:t>
            </w:r>
          </w:p>
        </w:tc>
        <w:tc>
          <w:tcPr>
            <w:tcW w:w="12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124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BFE4FF"/>
          </w:tcPr>
          <w:p>
            <w:pPr>
              <w:spacing w:after="0"/>
              <w:rPr>
                <w:sz w:val="21"/>
                <w:szCs w:val="21"/>
                <w:color w:val="auto"/>
              </w:rPr>
            </w:pPr>
          </w:p>
        </w:tc>
        <w:tc>
          <w:tcPr>
            <w:tcW w:w="320" w:type="dxa"/>
            <w:vAlign w:val="bottom"/>
            <w:shd w:val="clear" w:color="auto" w:fill="BFE4FF"/>
          </w:tcPr>
          <w:p>
            <w:pPr>
              <w:spacing w:after="0"/>
              <w:rPr>
                <w:sz w:val="21"/>
                <w:szCs w:val="21"/>
                <w:color w:val="auto"/>
              </w:rPr>
            </w:pPr>
          </w:p>
        </w:tc>
        <w:tc>
          <w:tcPr>
            <w:tcW w:w="104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323.8</w:t>
            </w:r>
          </w:p>
        </w:tc>
      </w:tr>
      <w:tr>
        <w:trPr>
          <w:trHeight w:val="252"/>
        </w:trPr>
        <w:tc>
          <w:tcPr>
            <w:tcW w:w="4120" w:type="dxa"/>
            <w:vAlign w:val="bottom"/>
          </w:tcPr>
          <w:p>
            <w:pPr>
              <w:ind w:left="3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160" w:type="dxa"/>
            <w:vAlign w:val="bottom"/>
          </w:tcPr>
          <w:p>
            <w:pPr>
              <w:spacing w:after="0"/>
              <w:rPr>
                <w:sz w:val="21"/>
                <w:szCs w:val="21"/>
                <w:color w:val="auto"/>
              </w:rPr>
            </w:pPr>
          </w:p>
        </w:tc>
        <w:tc>
          <w:tcPr>
            <w:tcW w:w="1240" w:type="dxa"/>
            <w:vAlign w:val="bottom"/>
          </w:tcPr>
          <w:p>
            <w:pPr>
              <w:jc w:val="right"/>
              <w:ind w:right="58"/>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18.9</w:t>
            </w:r>
          </w:p>
        </w:tc>
      </w:tr>
      <w:tr>
        <w:trPr>
          <w:trHeight w:val="252"/>
        </w:trPr>
        <w:tc>
          <w:tcPr>
            <w:tcW w:w="4120" w:type="dxa"/>
            <w:vAlign w:val="bottom"/>
            <w:shd w:val="clear" w:color="auto" w:fill="BFE4FF"/>
          </w:tcPr>
          <w:p>
            <w:pPr>
              <w:ind w:left="360"/>
              <w:spacing w:after="0" w:line="252" w:lineRule="exact"/>
              <w:rPr>
                <w:sz w:val="20"/>
                <w:szCs w:val="20"/>
                <w:color w:val="auto"/>
              </w:rPr>
            </w:pPr>
            <w:r>
              <w:rPr>
                <w:rFonts w:ascii="Arial" w:cs="Arial" w:eastAsia="Arial" w:hAnsi="Arial"/>
                <w:sz w:val="17"/>
                <w:szCs w:val="17"/>
                <w:color w:val="auto"/>
              </w:rPr>
              <w:t>Capital expenditures</w:t>
            </w:r>
            <w:r>
              <w:rPr>
                <w:rFonts w:ascii="Arial" w:cs="Arial" w:eastAsia="Arial" w:hAnsi="Arial"/>
                <w:sz w:val="23"/>
                <w:szCs w:val="23"/>
                <w:color w:val="auto"/>
                <w:vertAlign w:val="superscript"/>
              </w:rPr>
              <w:t>(h)</w:t>
            </w:r>
          </w:p>
        </w:tc>
        <w:tc>
          <w:tcPr>
            <w:tcW w:w="160" w:type="dxa"/>
            <w:vAlign w:val="bottom"/>
            <w:shd w:val="clear" w:color="auto" w:fill="BFE4FF"/>
          </w:tcPr>
          <w:p>
            <w:pPr>
              <w:spacing w:after="0"/>
              <w:rPr>
                <w:sz w:val="21"/>
                <w:szCs w:val="21"/>
                <w:color w:val="auto"/>
              </w:rPr>
            </w:pPr>
          </w:p>
        </w:tc>
        <w:tc>
          <w:tcPr>
            <w:tcW w:w="124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23.6</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BFE4FF"/>
          </w:tcPr>
          <w:p>
            <w:pPr>
              <w:spacing w:after="0"/>
              <w:rPr>
                <w:sz w:val="21"/>
                <w:szCs w:val="21"/>
                <w:color w:val="auto"/>
              </w:rPr>
            </w:pPr>
          </w:p>
        </w:tc>
        <w:tc>
          <w:tcPr>
            <w:tcW w:w="1220" w:type="dxa"/>
            <w:vAlign w:val="bottom"/>
            <w:gridSpan w:val="2"/>
            <w:shd w:val="clear" w:color="auto" w:fill="BFE4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BFE4FF"/>
          </w:tcPr>
          <w:p>
            <w:pPr>
              <w:spacing w:after="0"/>
              <w:rPr>
                <w:sz w:val="21"/>
                <w:szCs w:val="21"/>
                <w:color w:val="auto"/>
              </w:rPr>
            </w:pPr>
          </w:p>
        </w:tc>
        <w:tc>
          <w:tcPr>
            <w:tcW w:w="1340" w:type="dxa"/>
            <w:vAlign w:val="bottom"/>
            <w:gridSpan w:val="2"/>
            <w:shd w:val="clear" w:color="auto" w:fill="BFE4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BFE4FF"/>
          </w:tcPr>
          <w:p>
            <w:pPr>
              <w:spacing w:after="0"/>
              <w:rPr>
                <w:sz w:val="21"/>
                <w:szCs w:val="21"/>
                <w:color w:val="auto"/>
              </w:rPr>
            </w:pPr>
          </w:p>
        </w:tc>
        <w:tc>
          <w:tcPr>
            <w:tcW w:w="104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23.6</w:t>
            </w: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Total contractual obligations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58"/>
              <w:spacing w:after="0"/>
              <w:rPr>
                <w:sz w:val="20"/>
                <w:szCs w:val="20"/>
                <w:color w:val="auto"/>
              </w:rPr>
            </w:pPr>
            <w:r>
              <w:rPr>
                <w:rFonts w:ascii="Arial" w:cs="Arial" w:eastAsia="Arial" w:hAnsi="Arial"/>
                <w:sz w:val="17"/>
                <w:szCs w:val="17"/>
                <w:color w:val="auto"/>
              </w:rPr>
              <w:t>360.1</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1,129.7</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237.7</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143.2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1,870.7</w:t>
            </w:r>
          </w:p>
        </w:tc>
      </w:tr>
      <w:tr>
        <w:trPr>
          <w:trHeight w:val="26"/>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ABL Facility includes future payments for the letter of credit and unused line fees and are not included on the Company’s consolidated balance sheets.</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Term Loan includes principal and interest payments, but excludes unamortized discounts.</w:t>
      </w:r>
    </w:p>
    <w:p>
      <w:pPr>
        <w:spacing w:after="0" w:line="1" w:lineRule="exact"/>
        <w:rPr>
          <w:rFonts w:ascii="Arial" w:cs="Arial" w:eastAsia="Arial" w:hAnsi="Arial"/>
          <w:sz w:val="13"/>
          <w:szCs w:val="13"/>
          <w:color w:val="auto"/>
        </w:rPr>
      </w:pPr>
    </w:p>
    <w:p>
      <w:pPr>
        <w:ind w:left="300" w:hanging="299"/>
        <w:spacing w:after="0" w:line="242" w:lineRule="auto"/>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$103.2 million and principal payments of $49.4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Operating leases represent future payments, which include interest, under contractual lease arrangements primarily for revenue equipment and are not included on the Company’s consolidated balance sheets.</w:t>
      </w:r>
    </w:p>
    <w:p>
      <w:pPr>
        <w:spacing w:after="0" w:line="13" w:lineRule="exact"/>
        <w:rPr>
          <w:rFonts w:ascii="Arial" w:cs="Arial" w:eastAsia="Arial" w:hAnsi="Arial"/>
          <w:sz w:val="12"/>
          <w:szCs w:val="12"/>
          <w:color w:val="auto"/>
        </w:rPr>
      </w:pPr>
    </w:p>
    <w:p>
      <w:pPr>
        <w:ind w:left="300" w:hanging="299"/>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Capital expenditure obligations primarily includes noncancelable purchase orders for revenue equipment not yet delivered and are not included in the Company’s consolidated balance sheets.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 such as a need to borrow short-term funds due to insufficient free cash flow.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b w:val="1"/>
                <w:bCs w:val="1"/>
                <w:color w:val="auto"/>
                <w:w w:val="97"/>
              </w:rPr>
              <w:t>Amount of Commitment Expiration Per Period</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4"/>
        </w:trPr>
        <w:tc>
          <w:tcPr>
            <w:tcW w:w="43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21"/>
                <w:szCs w:val="21"/>
                <w:color w:val="auto"/>
              </w:rPr>
            </w:pPr>
          </w:p>
        </w:tc>
        <w:tc>
          <w:tcPr>
            <w:tcW w:w="1240" w:type="dxa"/>
            <w:vAlign w:val="bottom"/>
          </w:tcPr>
          <w:p>
            <w:pPr>
              <w:jc w:val="right"/>
              <w:ind w:right="159"/>
              <w:spacing w:after="0"/>
              <w:rPr>
                <w:sz w:val="20"/>
                <w:szCs w:val="20"/>
                <w:color w:val="auto"/>
              </w:rPr>
            </w:pPr>
            <w:r>
              <w:rPr>
                <w:rFonts w:ascii="Arial" w:cs="Arial" w:eastAsia="Arial" w:hAnsi="Arial"/>
                <w:sz w:val="13"/>
                <w:szCs w:val="13"/>
                <w:b w:val="1"/>
                <w:bCs w:val="1"/>
                <w:color w:val="auto"/>
                <w:w w:val="96"/>
              </w:rPr>
              <w:t>Less than 1 year</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1-3 years</w:t>
            </w:r>
          </w:p>
        </w:tc>
        <w:tc>
          <w:tcPr>
            <w:tcW w:w="260" w:type="dxa"/>
            <w:vAlign w:val="bottom"/>
          </w:tcPr>
          <w:p>
            <w:pPr>
              <w:spacing w:after="0"/>
              <w:rPr>
                <w:sz w:val="21"/>
                <w:szCs w:val="21"/>
                <w:color w:val="auto"/>
              </w:rPr>
            </w:pPr>
          </w:p>
        </w:tc>
        <w:tc>
          <w:tcPr>
            <w:tcW w:w="1220" w:type="dxa"/>
            <w:vAlign w:val="bottom"/>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2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More than 5 years</w:t>
            </w:r>
          </w:p>
        </w:tc>
        <w:tc>
          <w:tcPr>
            <w:tcW w:w="320" w:type="dxa"/>
            <w:vAlign w:val="bottom"/>
          </w:tcPr>
          <w:p>
            <w:pPr>
              <w:spacing w:after="0"/>
              <w:rPr>
                <w:sz w:val="21"/>
                <w:szCs w:val="21"/>
                <w:color w:val="auto"/>
              </w:rPr>
            </w:pPr>
          </w:p>
        </w:tc>
        <w:tc>
          <w:tcPr>
            <w:tcW w:w="1040" w:type="dxa"/>
            <w:vAlign w:val="bottom"/>
          </w:tcPr>
          <w:p>
            <w:pPr>
              <w:jc w:val="right"/>
              <w:ind w:right="439"/>
              <w:spacing w:after="0"/>
              <w:rPr>
                <w:sz w:val="20"/>
                <w:szCs w:val="20"/>
                <w:color w:val="auto"/>
              </w:rPr>
            </w:pPr>
            <w:r>
              <w:rPr>
                <w:rFonts w:ascii="Arial" w:cs="Arial" w:eastAsia="Arial" w:hAnsi="Arial"/>
                <w:sz w:val="13"/>
                <w:szCs w:val="13"/>
                <w:b w:val="1"/>
                <w:bCs w:val="1"/>
                <w:color w:val="auto"/>
              </w:rPr>
              <w:t>Total</w:t>
            </w:r>
          </w:p>
        </w:tc>
      </w:tr>
      <w:tr>
        <w:trPr>
          <w:trHeight w:val="229"/>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Unused line of credit</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52"/>
        </w:trPr>
        <w:tc>
          <w:tcPr>
            <w:tcW w:w="4360" w:type="dxa"/>
            <w:vAlign w:val="bottom"/>
          </w:tcPr>
          <w:p>
            <w:pPr>
              <w:ind w:left="320"/>
              <w:spacing w:after="0" w:line="252"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9"/>
              <w:spacing w:after="0"/>
              <w:rPr>
                <w:sz w:val="20"/>
                <w:szCs w:val="20"/>
                <w:color w:val="auto"/>
              </w:rPr>
            </w:pPr>
            <w:r>
              <w:rPr>
                <w:rFonts w:ascii="Arial" w:cs="Arial" w:eastAsia="Arial" w:hAnsi="Arial"/>
                <w:sz w:val="17"/>
                <w:szCs w:val="17"/>
                <w:color w:val="auto"/>
              </w:rPr>
              <w:t>55.0</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55.0</w:t>
            </w:r>
          </w:p>
        </w:tc>
      </w:tr>
      <w:tr>
        <w:trPr>
          <w:trHeight w:val="252"/>
        </w:trPr>
        <w:tc>
          <w:tcPr>
            <w:tcW w:w="43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357.6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357.6</w:t>
            </w:r>
          </w:p>
        </w:tc>
      </w:tr>
      <w:tr>
        <w:trPr>
          <w:trHeight w:val="252"/>
        </w:trPr>
        <w:tc>
          <w:tcPr>
            <w:tcW w:w="4360" w:type="dxa"/>
            <w:vAlign w:val="bottom"/>
            <w:tcBorders>
              <w:bottom w:val="single" w:sz="8" w:color="CCEEFF"/>
            </w:tcBorders>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134.1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135.8</w:t>
            </w:r>
          </w:p>
        </w:tc>
      </w:tr>
      <w:tr>
        <w:trPr>
          <w:trHeight w:val="24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commercial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134.1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548.4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As of September 30, 2016, we held $43.0 million in restricted escrow, which represents cash collateral on our ABL Facility. Managed Accessibility was $13.7 million, which represents maximum availability of $55.0 million less the lower of 10% of the borrowing base or the facility size.</w:t>
      </w:r>
    </w:p>
    <w:p>
      <w:pPr>
        <w:ind w:left="300" w:hanging="299"/>
        <w:spacing w:after="0" w:line="242"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2015.</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September 30, 2016 and have concluded that our disclosure controls and procedures were effective as of September 30, 2016.</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were no changes in our internal controls over financial reporting that occurred during the fiscal quarter ended September 30, 2016 that has materially affected, or is reasonably likely to materially affect, our internal controls over financial reporting.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There were no material changes during the quarter to the Risk Factors disclosed in Part I, Item 1A - “Risk Factors” in our annual report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Exhibits</w:t>
      </w:r>
    </w:p>
    <w:p>
      <w:pPr>
        <w:sectPr>
          <w:pgSz w:w="11900" w:h="16838" w:orient="portrait"/>
          <w:cols w:equalWidth="0" w:num="1">
            <w:col w:w="11420"/>
          </w:cols>
          <w:pgMar w:left="240" w:top="121" w:right="239" w:bottom="1440" w:gutter="0" w:footer="0" w:header="0"/>
        </w:sectPr>
      </w:pPr>
    </w:p>
    <w:p>
      <w:pPr>
        <w:spacing w:after="0" w:line="35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Certification of James L. Welch filed pursuant to Exchange Act Rules 13a-14 and 15d-14, as adopted pursuant to Section 302 of the Sarbanes-Oxley Act of 2002.</w:t>
      </w:r>
    </w:p>
    <w:p>
      <w:pPr>
        <w:spacing w:after="0" w:line="200" w:lineRule="exact"/>
        <w:rPr>
          <w:sz w:val="20"/>
          <w:szCs w:val="20"/>
          <w:color w:val="auto"/>
        </w:rPr>
      </w:pPr>
    </w:p>
    <w:p>
      <w:pPr>
        <w:sectPr>
          <w:pgSz w:w="11900" w:h="16838" w:orient="portrait"/>
          <w:cols w:equalWidth="0" w:num="2">
            <w:col w:w="1440" w:space="720"/>
            <w:col w:w="9260"/>
          </w:cols>
          <w:pgMar w:left="240" w:top="121" w:right="239" w:bottom="1440" w:gutter="0" w:footer="0" w:header="0"/>
          <w:type w:val="continuous"/>
        </w:sectPr>
      </w:pPr>
    </w:p>
    <w:p>
      <w:pPr>
        <w:spacing w:after="0" w:line="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ind w:right="320"/>
        <w:spacing w:after="0" w:line="269" w:lineRule="auto"/>
        <w:rPr>
          <w:sz w:val="20"/>
          <w:szCs w:val="20"/>
          <w:color w:val="auto"/>
        </w:rPr>
      </w:pPr>
      <w:r>
        <w:rPr>
          <w:rFonts w:ascii="Arial" w:cs="Arial" w:eastAsia="Arial" w:hAnsi="Arial"/>
          <w:sz w:val="17"/>
          <w:szCs w:val="17"/>
          <w:color w:val="auto"/>
        </w:rPr>
        <w:t>Certification of Jamie G. Pierson filed pursuant to Exchange Act Rules 13a-14 and 15d-14, as adopted pursuant to Section 302 of the Sarbanes-Oxley Act of 2002.</w:t>
      </w:r>
    </w:p>
    <w:p>
      <w:pPr>
        <w:spacing w:after="0" w:line="200" w:lineRule="exact"/>
        <w:rPr>
          <w:sz w:val="20"/>
          <w:szCs w:val="20"/>
          <w:color w:val="auto"/>
        </w:rPr>
      </w:pPr>
    </w:p>
    <w:p>
      <w:pPr>
        <w:sectPr>
          <w:pgSz w:w="11900" w:h="16838" w:orient="portrait"/>
          <w:cols w:equalWidth="0" w:num="2">
            <w:col w:w="1440" w:space="720"/>
            <w:col w:w="9260"/>
          </w:cols>
          <w:pgMar w:left="240" w:top="121" w:right="239" w:bottom="1440" w:gutter="0" w:footer="0" w:header="0"/>
          <w:type w:val="continuous"/>
        </w:sectPr>
      </w:pPr>
    </w:p>
    <w:p>
      <w:pPr>
        <w:spacing w:after="0" w:line="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32.1*</w:t>
      </w:r>
    </w:p>
    <w:p>
      <w:pPr>
        <w:spacing w:after="0" w:line="20" w:lineRule="exact"/>
        <w:rPr>
          <w:sz w:val="20"/>
          <w:szCs w:val="20"/>
          <w:color w:val="auto"/>
        </w:rPr>
      </w:pPr>
      <w:r>
        <w:rPr>
          <w:sz w:val="20"/>
          <w:szCs w:val="20"/>
          <w:color w:val="auto"/>
        </w:rPr>
        <w:br w:type="column"/>
      </w:r>
    </w:p>
    <w:p>
      <w:pPr>
        <w:ind w:right="60"/>
        <w:spacing w:after="0" w:line="269" w:lineRule="auto"/>
        <w:rPr>
          <w:sz w:val="20"/>
          <w:szCs w:val="20"/>
          <w:color w:val="auto"/>
        </w:rPr>
      </w:pPr>
      <w:r>
        <w:rPr>
          <w:rFonts w:ascii="Arial" w:cs="Arial" w:eastAsia="Arial" w:hAnsi="Arial"/>
          <w:sz w:val="17"/>
          <w:szCs w:val="17"/>
          <w:color w:val="auto"/>
        </w:rPr>
        <w:t>Certification of James L. Welch furnished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440" w:space="720"/>
            <w:col w:w="9260"/>
          </w:cols>
          <w:pgMar w:left="240" w:top="121" w:right="239" w:bottom="1440" w:gutter="0" w:footer="0" w:header="0"/>
          <w:type w:val="continuous"/>
        </w:sectPr>
      </w:pPr>
    </w:p>
    <w:p>
      <w:pPr>
        <w:spacing w:after="0" w:line="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32.2*</w:t>
      </w:r>
    </w:p>
    <w:p>
      <w:pPr>
        <w:spacing w:after="0" w:line="20" w:lineRule="exact"/>
        <w:rPr>
          <w:sz w:val="20"/>
          <w:szCs w:val="20"/>
          <w:color w:val="auto"/>
        </w:rPr>
      </w:pPr>
      <w:r>
        <w:rPr>
          <w:sz w:val="20"/>
          <w:szCs w:val="20"/>
          <w:color w:val="auto"/>
        </w:rPr>
        <w:br w:type="column"/>
      </w:r>
    </w:p>
    <w:p>
      <w:pPr>
        <w:ind w:right="380"/>
        <w:spacing w:after="0" w:line="269" w:lineRule="auto"/>
        <w:rPr>
          <w:sz w:val="20"/>
          <w:szCs w:val="20"/>
          <w:color w:val="auto"/>
        </w:rPr>
      </w:pPr>
      <w:r>
        <w:rPr>
          <w:rFonts w:ascii="Arial" w:cs="Arial" w:eastAsia="Arial" w:hAnsi="Arial"/>
          <w:sz w:val="17"/>
          <w:szCs w:val="17"/>
          <w:color w:val="auto"/>
        </w:rPr>
        <w:t>Certification of Jamie G. Pierson furnished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440" w:space="720"/>
            <w:col w:w="9260"/>
          </w:cols>
          <w:pgMar w:left="240" w:top="121" w:right="239" w:bottom="1440" w:gutter="0" w:footer="0" w:header="0"/>
          <w:type w:val="continuous"/>
        </w:sectPr>
      </w:pP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XBRL Instance Document</w:t>
      </w:r>
    </w:p>
    <w:p>
      <w:pPr>
        <w:spacing w:after="0" w:line="79" w:lineRule="exact"/>
        <w:rPr>
          <w:sz w:val="20"/>
          <w:szCs w:val="20"/>
          <w:color w:val="auto"/>
        </w:rPr>
      </w:pPr>
    </w:p>
    <w:p>
      <w:pPr>
        <w:sectPr>
          <w:pgSz w:w="11900" w:h="16838" w:orient="portrait"/>
          <w:cols w:equalWidth="0" w:num="2">
            <w:col w:w="1660" w:space="500"/>
            <w:col w:w="9260"/>
          </w:cols>
          <w:pgMar w:left="240" w:top="121" w:right="2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Taxonomy Extension Schema</w:t>
      </w:r>
    </w:p>
    <w:p>
      <w:pPr>
        <w:spacing w:after="0" w:line="79" w:lineRule="exact"/>
        <w:rPr>
          <w:sz w:val="20"/>
          <w:szCs w:val="20"/>
          <w:color w:val="auto"/>
        </w:rPr>
      </w:pPr>
    </w:p>
    <w:p>
      <w:pPr>
        <w:sectPr>
          <w:pgSz w:w="11900" w:h="16838" w:orient="portrait"/>
          <w:cols w:equalWidth="0" w:num="2">
            <w:col w:w="1720" w:space="440"/>
            <w:col w:w="9260"/>
          </w:cols>
          <w:pgMar w:left="240" w:top="121" w:right="2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Taxonomy Extension Calculation Linkbase</w:t>
      </w:r>
    </w:p>
    <w:p>
      <w:pPr>
        <w:spacing w:after="0" w:line="79" w:lineRule="exact"/>
        <w:rPr>
          <w:sz w:val="20"/>
          <w:szCs w:val="20"/>
          <w:color w:val="auto"/>
        </w:rPr>
      </w:pPr>
    </w:p>
    <w:p>
      <w:pPr>
        <w:sectPr>
          <w:pgSz w:w="11900" w:h="16838" w:orient="portrait"/>
          <w:cols w:equalWidth="0" w:num="2">
            <w:col w:w="1720" w:space="440"/>
            <w:col w:w="9260"/>
          </w:cols>
          <w:pgMar w:left="240" w:top="121" w:right="2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Taxonomy Extension Definition Linkbase</w:t>
      </w:r>
    </w:p>
    <w:p>
      <w:pPr>
        <w:spacing w:after="0" w:line="79" w:lineRule="exact"/>
        <w:rPr>
          <w:sz w:val="20"/>
          <w:szCs w:val="20"/>
          <w:color w:val="auto"/>
        </w:rPr>
      </w:pPr>
    </w:p>
    <w:p>
      <w:pPr>
        <w:sectPr>
          <w:pgSz w:w="11900" w:h="16838" w:orient="portrait"/>
          <w:cols w:equalWidth="0" w:num="2">
            <w:col w:w="1700" w:space="460"/>
            <w:col w:w="9260"/>
          </w:cols>
          <w:pgMar w:left="240" w:top="121" w:right="23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Taxonomy Extension Label Linkbase</w:t>
      </w:r>
    </w:p>
    <w:p>
      <w:pPr>
        <w:spacing w:after="0" w:line="78" w:lineRule="exact"/>
        <w:rPr>
          <w:sz w:val="20"/>
          <w:szCs w:val="20"/>
          <w:color w:val="auto"/>
        </w:rPr>
      </w:pPr>
    </w:p>
    <w:p>
      <w:pPr>
        <w:sectPr>
          <w:pgSz w:w="11900" w:h="16838" w:orient="portrait"/>
          <w:cols w:equalWidth="0" w:num="2">
            <w:col w:w="1720" w:space="440"/>
            <w:col w:w="9260"/>
          </w:cols>
          <w:pgMar w:left="240" w:top="121" w:right="239" w:bottom="1440" w:gutter="0" w:footer="0" w:header="0"/>
          <w:type w:val="continuous"/>
        </w:sectPr>
      </w:pPr>
    </w:p>
    <w:p>
      <w:pPr>
        <w:ind w:left="1000"/>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Taxonomy Extension Presentation Linkbase</w:t>
      </w:r>
    </w:p>
    <w:p>
      <w:pPr>
        <w:spacing w:after="0" w:line="54" w:lineRule="exact"/>
        <w:rPr>
          <w:sz w:val="20"/>
          <w:szCs w:val="20"/>
          <w:color w:val="auto"/>
        </w:rPr>
      </w:pPr>
    </w:p>
    <w:p>
      <w:pPr>
        <w:sectPr>
          <w:pgSz w:w="11900" w:h="16838" w:orient="portrait"/>
          <w:cols w:equalWidth="0" w:num="2">
            <w:col w:w="1700" w:space="460"/>
            <w:col w:w="926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ind w:left="300" w:hanging="299"/>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Indicates documents filed herewith.</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October 27, 2016</w:t>
            </w:r>
          </w:p>
        </w:tc>
        <w:tc>
          <w:tcPr>
            <w:tcW w:w="5820" w:type="dxa"/>
            <w:vAlign w:val="bottom"/>
          </w:tcPr>
          <w:p>
            <w:pPr>
              <w:ind w:left="140"/>
              <w:spacing w:after="0"/>
              <w:rPr>
                <w:sz w:val="20"/>
                <w:szCs w:val="20"/>
                <w:color w:val="auto"/>
              </w:rPr>
            </w:pPr>
            <w:r>
              <w:rPr>
                <w:rFonts w:ascii="Arial" w:cs="Arial" w:eastAsia="Arial" w:hAnsi="Arial"/>
                <w:sz w:val="17"/>
                <w:szCs w:val="17"/>
                <w:color w:val="auto"/>
              </w:rPr>
              <w:t>/s/ James L. Welch</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James L. Welch</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October 27, 2016</w:t>
            </w:r>
          </w:p>
        </w:tc>
        <w:tc>
          <w:tcPr>
            <w:tcW w:w="5820" w:type="dxa"/>
            <w:vAlign w:val="bottom"/>
          </w:tcPr>
          <w:p>
            <w:pPr>
              <w:ind w:left="140"/>
              <w:spacing w:after="0"/>
              <w:rPr>
                <w:sz w:val="20"/>
                <w:szCs w:val="20"/>
                <w:color w:val="auto"/>
              </w:rPr>
            </w:pPr>
            <w:r>
              <w:rPr>
                <w:rFonts w:ascii="Arial" w:cs="Arial" w:eastAsia="Arial" w:hAnsi="Arial"/>
                <w:sz w:val="17"/>
                <w:szCs w:val="17"/>
                <w:color w:val="auto"/>
              </w:rPr>
              <w:t>/s/ Jamie G. Pierson</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Jamie G. Pierson</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Executive Vice President and</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r>
        <w:trPr>
          <w:trHeight w:val="453"/>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31</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James L. Welch, certify that:</w:t>
      </w:r>
    </w:p>
    <w:p>
      <w:pPr>
        <w:spacing w:after="0" w:line="81" w:lineRule="exact"/>
        <w:rPr>
          <w:sz w:val="20"/>
          <w:szCs w:val="20"/>
          <w:color w:val="auto"/>
        </w:rPr>
      </w:pPr>
    </w:p>
    <w:p>
      <w:pPr>
        <w:ind w:left="600" w:hanging="599"/>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October 27, 2016</w:t>
      </w:r>
      <w:r>
        <w:rPr>
          <w:sz w:val="20"/>
          <w:szCs w:val="20"/>
          <w:color w:val="auto"/>
        </w:rPr>
        <w:tab/>
      </w:r>
      <w:r>
        <w:rPr>
          <w:rFonts w:ascii="Arial" w:cs="Arial" w:eastAsia="Arial" w:hAnsi="Arial"/>
          <w:sz w:val="14"/>
          <w:szCs w:val="14"/>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James L. Welch</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Jamie G. Pierson, certify that:</w:t>
      </w:r>
    </w:p>
    <w:p>
      <w:pPr>
        <w:spacing w:after="0" w:line="81" w:lineRule="exact"/>
        <w:rPr>
          <w:sz w:val="20"/>
          <w:szCs w:val="20"/>
          <w:color w:val="auto"/>
        </w:rPr>
      </w:pPr>
    </w:p>
    <w:p>
      <w:pPr>
        <w:ind w:left="600" w:hanging="599"/>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October 27, 2016</w:t>
      </w:r>
      <w:r>
        <w:rPr>
          <w:sz w:val="20"/>
          <w:szCs w:val="20"/>
          <w:color w:val="auto"/>
        </w:rPr>
        <w:tab/>
      </w:r>
      <w:r>
        <w:rPr>
          <w:rFonts w:ascii="Arial" w:cs="Arial" w:eastAsia="Arial" w:hAnsi="Arial"/>
          <w:sz w:val="14"/>
          <w:szCs w:val="14"/>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Jamie G. Pierson</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420"/>
          </w:cols>
          <w:pgMar w:left="240" w:top="55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jc w:val="both"/>
        <w:ind w:right="50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September 30, 2016,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October 27, 2016</w:t>
      </w:r>
      <w:r>
        <w:rPr>
          <w:sz w:val="20"/>
          <w:szCs w:val="20"/>
          <w:color w:val="auto"/>
        </w:rPr>
        <w:tab/>
      </w:r>
      <w:r>
        <w:rPr>
          <w:rFonts w:ascii="Arial" w:cs="Arial" w:eastAsia="Arial" w:hAnsi="Arial"/>
          <w:sz w:val="14"/>
          <w:szCs w:val="14"/>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James L. Welch</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jc w:val="both"/>
        <w:ind w:right="46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September 30, 2016,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October 27, 2016</w:t>
      </w:r>
      <w:r>
        <w:rPr>
          <w:sz w:val="20"/>
          <w:szCs w:val="20"/>
          <w:color w:val="auto"/>
        </w:rPr>
        <w:tab/>
      </w:r>
      <w:r>
        <w:rPr>
          <w:rFonts w:ascii="Arial" w:cs="Arial" w:eastAsia="Arial" w:hAnsi="Arial"/>
          <w:sz w:val="14"/>
          <w:szCs w:val="14"/>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Jamie G. Pierson</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lvl w:ilvl="1">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2019-12-29T09:34:41Z</dcterms:created>
  <dcterms:modified xsi:type="dcterms:W3CDTF">2019-12-29T09:34:41Z</dcterms:modified>
</cp:coreProperties>
</file>