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right="540" w:hanging="345"/>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right="52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0-12255</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0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(I.R.S. Employer</w:t>
            </w:r>
          </w:p>
        </w:tc>
      </w:tr>
      <w:tr>
        <w:trPr>
          <w:trHeight w:val="270"/>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6500" w:type="dxa"/>
            <w:vAlign w:val="bottom"/>
          </w:tcPr>
          <w:p>
            <w:pPr>
              <w:jc w:val="center"/>
              <w:ind w:right="3119"/>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218"/>
        </w:trPr>
        <w:tc>
          <w:tcPr>
            <w:tcW w:w="6500" w:type="dxa"/>
            <w:vAlign w:val="bottom"/>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90"/>
              </w:rPr>
              <w:t>(913) 696-6100</w:t>
            </w:r>
          </w:p>
        </w:tc>
        <w:tc>
          <w:tcPr>
            <w:tcW w:w="1460" w:type="dxa"/>
            <w:vAlign w:val="bottom"/>
          </w:tcPr>
          <w:p>
            <w:pPr>
              <w:spacing w:after="0"/>
              <w:rPr>
                <w:sz w:val="23"/>
                <w:szCs w:val="23"/>
                <w:color w:val="auto"/>
              </w:rPr>
            </w:pPr>
          </w:p>
        </w:tc>
      </w:tr>
      <w:tr>
        <w:trPr>
          <w:trHeight w:val="186"/>
        </w:trPr>
        <w:tc>
          <w:tcPr>
            <w:tcW w:w="6500" w:type="dxa"/>
            <w:vAlign w:val="bottom"/>
          </w:tcPr>
          <w:p>
            <w:pPr>
              <w:jc w:val="center"/>
              <w:ind w:left="2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289"/>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88"/>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ind w:left="800"/>
              <w:spacing w:after="0"/>
              <w:rPr>
                <w:sz w:val="20"/>
                <w:szCs w:val="20"/>
                <w:color w:val="auto"/>
              </w:rPr>
            </w:pPr>
            <w:r>
              <w:rPr>
                <w:rFonts w:ascii="Arial" w:cs="Arial" w:eastAsia="Arial" w:hAnsi="Arial"/>
                <w:sz w:val="18"/>
                <w:szCs w:val="18"/>
                <w:color w:val="auto"/>
              </w:rPr>
              <w:t>o</w:t>
            </w:r>
          </w:p>
        </w:tc>
        <w:tc>
          <w:tcPr>
            <w:tcW w:w="3960" w:type="dxa"/>
            <w:vAlign w:val="bottom"/>
          </w:tcPr>
          <w:p>
            <w:pPr>
              <w:spacing w:after="0"/>
              <w:rPr>
                <w:sz w:val="24"/>
                <w:szCs w:val="24"/>
                <w:color w:val="auto"/>
              </w:rPr>
            </w:pPr>
          </w:p>
        </w:tc>
        <w:tc>
          <w:tcPr>
            <w:tcW w:w="3160" w:type="dxa"/>
            <w:vAlign w:val="bottom"/>
            <w:vMerge w:val="restart"/>
          </w:tcPr>
          <w:p>
            <w:pPr>
              <w:ind w:left="58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1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ind w:left="800"/>
              <w:spacing w:after="0"/>
              <w:rPr>
                <w:sz w:val="20"/>
                <w:szCs w:val="20"/>
                <w:color w:val="auto"/>
              </w:rPr>
            </w:pPr>
            <w:r>
              <w:rPr>
                <w:rFonts w:ascii="Arial" w:cs="Arial" w:eastAsia="Arial" w:hAnsi="Arial"/>
                <w:sz w:val="18"/>
                <w:szCs w:val="18"/>
                <w:color w:val="auto"/>
              </w:rPr>
              <w:t>o</w:t>
            </w:r>
          </w:p>
        </w:tc>
        <w:tc>
          <w:tcPr>
            <w:tcW w:w="396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16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700" w:val="left"/>
        </w:tabs>
        <w:rPr>
          <w:sz w:val="20"/>
          <w:szCs w:val="20"/>
          <w:color w:val="auto"/>
        </w:rPr>
      </w:pPr>
      <w:r>
        <w:rPr>
          <w:rFonts w:ascii="Arial" w:cs="Arial" w:eastAsia="Arial" w:hAnsi="Arial"/>
          <w:sz w:val="14"/>
          <w:szCs w:val="14"/>
          <w:u w:val="single" w:color="auto"/>
          <w:color w:val="auto"/>
        </w:rPr>
        <w:t>Class</w:t>
      </w:r>
      <w:r>
        <w:rPr>
          <w:sz w:val="20"/>
          <w:szCs w:val="20"/>
          <w:color w:val="auto"/>
        </w:rPr>
        <w:tab/>
      </w:r>
      <w:r>
        <w:rPr>
          <w:rFonts w:ascii="Arial" w:cs="Arial" w:eastAsia="Arial" w:hAnsi="Arial"/>
          <w:sz w:val="14"/>
          <w:szCs w:val="14"/>
          <w:u w:val="single" w:color="auto"/>
          <w:color w:val="auto"/>
        </w:rPr>
        <w:t>Outstanding at July 22, 2016</w:t>
      </w:r>
    </w:p>
    <w:p>
      <w:pPr>
        <w:sectPr>
          <w:pgSz w:w="11900" w:h="16838" w:orient="portrait"/>
          <w:cols w:equalWidth="0" w:num="1">
            <w:col w:w="11420"/>
          </w:cols>
          <w:pgMar w:left="240" w:top="229"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Arial" w:cs="Arial" w:eastAsia="Arial" w:hAnsi="Arial"/>
          <w:sz w:val="18"/>
          <w:szCs w:val="18"/>
          <w:color w:val="auto"/>
        </w:rPr>
        <w:t>Common Stock, $0.01 par value per share</w:t>
      </w:r>
      <w:r>
        <w:rPr>
          <w:sz w:val="20"/>
          <w:szCs w:val="20"/>
          <w:color w:val="auto"/>
        </w:rPr>
        <w:tab/>
      </w:r>
      <w:r>
        <w:rPr>
          <w:rFonts w:ascii="Arial" w:cs="Arial" w:eastAsia="Arial" w:hAnsi="Arial"/>
          <w:sz w:val="15"/>
          <w:szCs w:val="15"/>
          <w:color w:val="auto"/>
        </w:rPr>
        <w:t>33,280,658 shares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Arial" w:cs="Arial" w:eastAsia="Arial" w:hAnsi="Arial"/>
                <w:sz w:val="14"/>
                <w:szCs w:val="14"/>
                <w:color w:val="auto"/>
              </w:rPr>
              <w:t>Item</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80" w:type="dxa"/>
            <w:vAlign w:val="bottom"/>
            <w:gridSpan w:val="10"/>
          </w:tcPr>
          <w:p>
            <w:pPr>
              <w:jc w:val="center"/>
              <w:ind w:right="3720"/>
              <w:spacing w:after="0" w:line="189"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180" w:type="dxa"/>
            <w:vAlign w:val="bottom"/>
            <w:gridSpan w:val="3"/>
          </w:tcPr>
          <w:p>
            <w:pPr>
              <w:spacing w:after="0"/>
              <w:rPr>
                <w:sz w:val="22"/>
                <w:szCs w:val="22"/>
                <w:color w:val="auto"/>
              </w:rPr>
            </w:pPr>
          </w:p>
        </w:tc>
        <w:tc>
          <w:tcPr>
            <w:tcW w:w="2960" w:type="dxa"/>
            <w:vAlign w:val="bottom"/>
            <w:tcBorders>
              <w:top w:val="single" w:sz="8" w:color="0000FF"/>
            </w:tcBorders>
            <w:gridSpan w:val="8"/>
          </w:tcPr>
          <w:p>
            <w:pPr>
              <w:spacing w:after="0"/>
              <w:rPr>
                <w:sz w:val="22"/>
                <w:szCs w:val="22"/>
                <w:color w:val="auto"/>
              </w:rPr>
            </w:pPr>
          </w:p>
        </w:tc>
        <w:tc>
          <w:tcPr>
            <w:tcW w:w="3720" w:type="dxa"/>
            <w:vAlign w:val="bottom"/>
            <w:gridSpan w:val="2"/>
          </w:tcPr>
          <w:p>
            <w:pPr>
              <w:spacing w:after="0"/>
              <w:rPr>
                <w:sz w:val="22"/>
                <w:szCs w:val="22"/>
                <w:color w:val="auto"/>
              </w:rPr>
            </w:pPr>
          </w:p>
        </w:tc>
        <w:tc>
          <w:tcPr>
            <w:tcW w:w="4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June 30, 2016 and December 31, 2015</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7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Consolidated Comprehensive Income - Three and Six Months Ended June 30, 2016 and 2015</w:t>
              </w:r>
            </w:hyperlink>
          </w:p>
        </w:tc>
        <w:tc>
          <w:tcPr>
            <w:tcW w:w="236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Consolidated Cash Flows - Six Months Ended June 30, 2016 and 2015</w:t>
              </w:r>
            </w:hyperlink>
          </w:p>
        </w:tc>
        <w:tc>
          <w:tcPr>
            <w:tcW w:w="4000" w:type="dxa"/>
            <w:vAlign w:val="bottom"/>
            <w:gridSpan w:val="5"/>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Statement of Consolidated Shareholders’ Deficit - Six Months Ended June 30, 2016</w:t>
              </w:r>
            </w:hyperlink>
          </w:p>
        </w:tc>
        <w:tc>
          <w:tcPr>
            <w:tcW w:w="4080" w:type="dxa"/>
            <w:vAlign w:val="bottom"/>
            <w:gridSpan w:val="6"/>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15"/>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Management’s Discussion and Analysis of Financial Condition and Results of Operations</w:t>
              </w:r>
            </w:hyperlink>
          </w:p>
        </w:tc>
        <w:tc>
          <w:tcPr>
            <w:tcW w:w="390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gridSpan w:val="11"/>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1"/>
                <w:szCs w:val="21"/>
                <w:color w:val="auto"/>
              </w:rPr>
            </w:pPr>
          </w:p>
        </w:tc>
        <w:tc>
          <w:tcPr>
            <w:tcW w:w="390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gridSpan w:val="1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60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50"/>
        </w:trPr>
        <w:tc>
          <w:tcPr>
            <w:tcW w:w="46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tcBorders>
              <w:bottom w:val="single" w:sz="8" w:color="0000FF"/>
            </w:tcBorders>
            <w:gridSpan w:val="6"/>
          </w:tcPr>
          <w:p>
            <w:pPr>
              <w:jc w:val="center"/>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PART II – OTHER INFORMATION</w:t>
              </w:r>
            </w:hyperlink>
          </w:p>
        </w:tc>
        <w:tc>
          <w:tcPr>
            <w:tcW w:w="386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36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900" w:type="dxa"/>
            <w:vAlign w:val="bottom"/>
            <w:gridSpan w:val="4"/>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Risk Factors</w:t>
              </w:r>
            </w:hyperlink>
          </w:p>
        </w:tc>
        <w:tc>
          <w:tcPr>
            <w:tcW w:w="420" w:type="dxa"/>
            <w:vAlign w:val="bottom"/>
          </w:tcPr>
          <w:p>
            <w:pPr>
              <w:spacing w:after="0"/>
              <w:rPr>
                <w:sz w:val="21"/>
                <w:szCs w:val="21"/>
                <w:color w:val="auto"/>
              </w:rPr>
            </w:pPr>
          </w:p>
        </w:tc>
        <w:tc>
          <w:tcPr>
            <w:tcW w:w="904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6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gridSpan w:val="2"/>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Exhibits</w:t>
              </w:r>
            </w:hyperlink>
          </w:p>
        </w:tc>
        <w:tc>
          <w:tcPr>
            <w:tcW w:w="300" w:type="dxa"/>
            <w:vAlign w:val="bottom"/>
            <w:gridSpan w:val="2"/>
          </w:tcPr>
          <w:p>
            <w:pPr>
              <w:spacing w:after="0"/>
              <w:rPr>
                <w:sz w:val="21"/>
                <w:szCs w:val="21"/>
                <w:color w:val="auto"/>
              </w:rPr>
            </w:pPr>
          </w:p>
        </w:tc>
        <w:tc>
          <w:tcPr>
            <w:tcW w:w="9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Signatures</w:t>
              </w:r>
            </w:hyperlink>
          </w:p>
        </w:tc>
        <w:tc>
          <w:tcPr>
            <w:tcW w:w="96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723"/>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520" w:type="dxa"/>
            <w:vAlign w:val="bottom"/>
            <w:gridSpan w:val="10"/>
          </w:tcPr>
          <w:p>
            <w:pPr>
              <w:jc w:val="right"/>
              <w:ind w:right="10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June 30,</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Wages, vacations and employee benefits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Claims and insurance accruals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$1 par value per share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$0.01 par value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right="780"/>
        <w:spacing w:after="0" w:line="388" w:lineRule="auto"/>
        <w:rPr>
          <w:sz w:val="20"/>
          <w:szCs w:val="20"/>
          <w:color w:val="auto"/>
        </w:rPr>
      </w:pPr>
      <w:r>
        <w:rPr>
          <w:rFonts w:ascii="Arial" w:cs="Arial" w:eastAsia="Arial" w:hAnsi="Arial"/>
          <w:sz w:val="15"/>
          <w:szCs w:val="15"/>
          <w:b w:val="1"/>
          <w:bCs w:val="1"/>
          <w:color w:val="auto"/>
        </w:rPr>
        <w:t>Operating Revenue Operating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140"/>
        <w:spacing w:after="0" w:line="258" w:lineRule="auto"/>
        <w:rPr>
          <w:sz w:val="20"/>
          <w:szCs w:val="20"/>
          <w:color w:val="auto"/>
        </w:rPr>
      </w:pPr>
      <w:r>
        <w:rPr>
          <w:rFonts w:ascii="Arial" w:cs="Arial" w:eastAsia="Arial" w:hAnsi="Arial"/>
          <w:sz w:val="18"/>
          <w:szCs w:val="18"/>
          <w:color w:val="auto"/>
        </w:rPr>
        <w:t>STATEMENTS OF CONSOLIDATED COMPREHENSIVE INCOME YRC Worldwide Inc. and Subsidiaries For the Three and Six Months Ended June 30 (Amounts in millions except per share data, shares in thousands)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20" w:type="dxa"/>
        <w:tblCellMar>
          <w:top w:w="0" w:type="dxa"/>
          <w:left w:w="0" w:type="dxa"/>
          <w:bottom w:w="0" w:type="dxa"/>
          <w:right w:w="0" w:type="dxa"/>
        </w:tblCellMar>
      </w:tblPr>
      <w:tr>
        <w:trPr>
          <w:trHeight w:val="188"/>
        </w:trPr>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Six Months</w:t>
            </w:r>
          </w:p>
        </w:tc>
        <w:tc>
          <w:tcPr>
            <w:tcW w:w="1020" w:type="dxa"/>
            <w:vAlign w:val="bottom"/>
            <w:tcBorders>
              <w:bottom w:val="single" w:sz="8" w:color="auto"/>
            </w:tcBorders>
          </w:tcPr>
          <w:p>
            <w:pPr>
              <w:spacing w:after="0"/>
              <w:rPr>
                <w:sz w:val="16"/>
                <w:szCs w:val="16"/>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2015</w:t>
            </w:r>
          </w:p>
        </w:tc>
      </w:tr>
      <w:tr>
        <w:trPr>
          <w:trHeight w:val="243"/>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1,207.6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1,258.4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2,327.9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2,444.8</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-187960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2420" w:space="720"/>
            <w:col w:w="828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Salaries, wages and employee benefits</w:t>
            </w:r>
          </w:p>
        </w:tc>
        <w:tc>
          <w:tcPr>
            <w:tcW w:w="480" w:type="dxa"/>
            <w:vAlign w:val="bottom"/>
            <w:shd w:val="clear" w:color="auto" w:fill="BFE4FF"/>
          </w:tcPr>
          <w:p>
            <w:pPr>
              <w:spacing w:after="0"/>
              <w:rPr>
                <w:sz w:val="23"/>
                <w:szCs w:val="23"/>
                <w:color w:val="auto"/>
              </w:rPr>
            </w:pPr>
          </w:p>
        </w:tc>
        <w:tc>
          <w:tcPr>
            <w:tcW w:w="102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718.7</w:t>
            </w:r>
          </w:p>
        </w:tc>
        <w:tc>
          <w:tcPr>
            <w:tcW w:w="120" w:type="dxa"/>
            <w:vAlign w:val="bottom"/>
            <w:shd w:val="clear" w:color="auto" w:fill="BFE4FF"/>
          </w:tcPr>
          <w:p>
            <w:pPr>
              <w:spacing w:after="0"/>
              <w:rPr>
                <w:sz w:val="23"/>
                <w:szCs w:val="23"/>
                <w:color w:val="auto"/>
              </w:rPr>
            </w:pPr>
          </w:p>
        </w:tc>
        <w:tc>
          <w:tcPr>
            <w:tcW w:w="480" w:type="dxa"/>
            <w:vAlign w:val="bottom"/>
            <w:shd w:val="clear" w:color="auto" w:fill="BFE4FF"/>
          </w:tcPr>
          <w:p>
            <w:pPr>
              <w:spacing w:after="0"/>
              <w:rPr>
                <w:sz w:val="23"/>
                <w:szCs w:val="23"/>
                <w:color w:val="auto"/>
              </w:rPr>
            </w:pPr>
          </w:p>
        </w:tc>
        <w:tc>
          <w:tcPr>
            <w:tcW w:w="10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715.5</w:t>
            </w:r>
          </w:p>
        </w:tc>
        <w:tc>
          <w:tcPr>
            <w:tcW w:w="100" w:type="dxa"/>
            <w:vAlign w:val="bottom"/>
            <w:shd w:val="clear" w:color="auto" w:fill="BFE4FF"/>
          </w:tcPr>
          <w:p>
            <w:pPr>
              <w:spacing w:after="0"/>
              <w:rPr>
                <w:sz w:val="23"/>
                <w:szCs w:val="23"/>
                <w:color w:val="auto"/>
              </w:rPr>
            </w:pPr>
          </w:p>
        </w:tc>
        <w:tc>
          <w:tcPr>
            <w:tcW w:w="480" w:type="dxa"/>
            <w:vAlign w:val="bottom"/>
            <w:shd w:val="clear" w:color="auto" w:fill="BFE4FF"/>
          </w:tcPr>
          <w:p>
            <w:pPr>
              <w:spacing w:after="0"/>
              <w:rPr>
                <w:sz w:val="23"/>
                <w:szCs w:val="23"/>
                <w:color w:val="auto"/>
              </w:rPr>
            </w:pPr>
          </w:p>
        </w:tc>
        <w:tc>
          <w:tcPr>
            <w:tcW w:w="10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1,416.8</w:t>
            </w:r>
          </w:p>
        </w:tc>
        <w:tc>
          <w:tcPr>
            <w:tcW w:w="100" w:type="dxa"/>
            <w:vAlign w:val="bottom"/>
            <w:shd w:val="clear" w:color="auto" w:fill="BFE4FF"/>
          </w:tcPr>
          <w:p>
            <w:pPr>
              <w:spacing w:after="0"/>
              <w:rPr>
                <w:sz w:val="23"/>
                <w:szCs w:val="23"/>
                <w:color w:val="auto"/>
              </w:rPr>
            </w:pPr>
          </w:p>
        </w:tc>
        <w:tc>
          <w:tcPr>
            <w:tcW w:w="480" w:type="dxa"/>
            <w:vAlign w:val="bottom"/>
            <w:shd w:val="clear" w:color="auto" w:fill="BFE4FF"/>
          </w:tcPr>
          <w:p>
            <w:pPr>
              <w:spacing w:after="0"/>
              <w:rPr>
                <w:sz w:val="23"/>
                <w:szCs w:val="23"/>
                <w:color w:val="auto"/>
              </w:rPr>
            </w:pPr>
          </w:p>
        </w:tc>
        <w:tc>
          <w:tcPr>
            <w:tcW w:w="10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1,422.8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Operating expenses and supplies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461.0</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Purchased transportation</w:t>
            </w:r>
          </w:p>
        </w:tc>
        <w:tc>
          <w:tcPr>
            <w:tcW w:w="48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281.4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82.9</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Other operating expenses</w:t>
            </w:r>
          </w:p>
        </w:tc>
        <w:tc>
          <w:tcPr>
            <w:tcW w:w="48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135.5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16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BFE4FF"/>
            </w:tcBorders>
            <w:shd w:val="clear" w:color="auto" w:fill="BFE4FF"/>
          </w:tcPr>
          <w:p>
            <w:pPr>
              <w:ind w:left="7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1,150.4</w:t>
            </w:r>
          </w:p>
        </w:tc>
        <w:tc>
          <w:tcPr>
            <w:tcW w:w="12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1,201.5</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2,257.3</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2,384.2</w:t>
            </w: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516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48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Loss on extinguishment of debt</w:t>
            </w:r>
          </w:p>
        </w:tc>
        <w:tc>
          <w:tcPr>
            <w:tcW w:w="48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16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BFE4FF"/>
            </w:tcBorders>
            <w:shd w:val="clear" w:color="auto" w:fill="BFE4FF"/>
          </w:tcPr>
          <w:p>
            <w:pPr>
              <w:ind w:left="720"/>
              <w:spacing w:after="0"/>
              <w:rPr>
                <w:sz w:val="20"/>
                <w:szCs w:val="20"/>
                <w:color w:val="auto"/>
              </w:rPr>
            </w:pPr>
            <w:r>
              <w:rPr>
                <w:rFonts w:ascii="Arial" w:cs="Arial" w:eastAsia="Arial" w:hAnsi="Arial"/>
                <w:sz w:val="18"/>
                <w:szCs w:val="18"/>
                <w:color w:val="auto"/>
              </w:rPr>
              <w:t>Nonoperating expenses, net</w:t>
            </w:r>
          </w:p>
        </w:tc>
        <w:tc>
          <w:tcPr>
            <w:tcW w:w="48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52.5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48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b w:val="1"/>
                <w:bCs w:val="1"/>
                <w:color w:val="auto"/>
                <w:w w:val="94"/>
              </w:rPr>
              <w:t>Comprehensive Income Attributable to YRC Worldwide Inc.</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r>
      <w:tr>
        <w:trPr>
          <w:trHeight w:val="67"/>
        </w:trPr>
        <w:tc>
          <w:tcPr>
            <w:tcW w:w="5160" w:type="dxa"/>
            <w:vAlign w:val="bottom"/>
            <w:tcBorders>
              <w:bottom w:val="single" w:sz="8" w:color="BFE4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05"/>
        </w:trPr>
        <w:tc>
          <w:tcPr>
            <w:tcW w:w="516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32,459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31,929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32,362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31,367</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48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32,854</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32,582</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32,814</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32,562</w:t>
            </w:r>
          </w:p>
        </w:tc>
      </w:tr>
      <w:tr>
        <w:trPr>
          <w:trHeight w:val="297"/>
        </w:trPr>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Income Per Share – Basic</w:t>
            </w: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Per Share – Diluted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June 30</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income: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equity-based compensation and employee benefits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disposal of equity method investment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Restricted escrow receipts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deposits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disposal of equity method investment,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investing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refund (payment),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Debt redeemed for equity consideration</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5"/>
              </w:rPr>
              <w:t>STATEMENT OF CONSOLIDATED SHAREHOLDERS’ DEFICIT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2"/>
              </w:rPr>
              <w:t>YRC Worldwide Inc. and Subsidiaries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89"/>
              </w:rPr>
              <w:t>For the Six Months Ended June 30, 2016</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5"/>
              </w:rPr>
              <w:t>(Amounts in millions)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1"/>
              </w:rPr>
              <w:t>(Unaudited)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2,312.6</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2,316.5</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(2,239.3)</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(2,224.2)</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(360.3)</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net pension actuarial losses to net income, net of tax</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foreign currency translation gains to net income</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(359.7)</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Inc. (also referred to as “YRC Worldwide,” the “Company,” “we,” “us” or “our”) is a holding company that, through wholly owned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8"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Inc. (“YRC Freight”), a U.S. LTL subsidiary, and Reimer Express (“YRC Reimer”), a subsidiary located in Canada that specializes in shipments into, across and out of Canada. In addition to the United States and Canada, YRC Freight also serves parts of Mexico, Puerto Rico and Guam.</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June 30, 2016, approximately 78% of our labor force is subject to collective bargaining agreements, which predominantly expire in March 2019.</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Principles of Consolidation</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Our investment in our Chinese joint venture, a non-majority owned affiliate, was sold in March 2016 and was accounted for on the equity method.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June 30,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5"/>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23, 2015, the Company entered into a sale and purchase agreement to sell its fifty percent equity interest in its Chinese joint venture, JHJ International Transportation Co., Ltd. (“JHJ”), for a purchase price of $16.3 million, which subsequently closed on March 30, 2016. At closing, we received proceeds of $16.3 million and paid transaction fees of $1.7 million. As of March 30, 2016, the carrying value of the investment was $22.7 million with an offsetting cumulative foreign translation adjustment of $10.4 million, resulting in a net gain on the transaction of $2.3 million. The gain on the transaction is reflected in “Nonoperating expenses - other, net” in the accompanying statement of consolidated comprehensive income for the six months ended June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six months ended June 30, 2016, we reclassified the amortization of our net pension loss totaling $3.4 million and $6.8 million, respectively, net of tax, from accumulated other comprehensive loss to net income. For the three and six months ended June 30, 2015, we reclassified the amortization of our net pension loss totaling $3.9 million and $8.0 million respectively, net of tax, from accumulated other comprehensive loss to net income. This reclassification is a component of net periodic pension cost and is discussed in the “Employee Benefits” footnote.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52525"/>
        </w:rPr>
        <w:t xml:space="preserve">In March 2016, the </w:t>
      </w:r>
      <w:r>
        <w:rPr>
          <w:rFonts w:ascii="Arial" w:cs="Arial" w:eastAsia="Arial" w:hAnsi="Arial"/>
          <w:sz w:val="17"/>
          <w:szCs w:val="17"/>
          <w:color w:val="000000"/>
        </w:rPr>
        <w:t>Financial Accounting Standards Board (“FASB”)</w:t>
      </w:r>
      <w:r>
        <w:rPr>
          <w:rFonts w:ascii="Arial" w:cs="Arial" w:eastAsia="Arial" w:hAnsi="Arial"/>
          <w:sz w:val="17"/>
          <w:szCs w:val="17"/>
          <w:color w:val="252525"/>
        </w:rPr>
        <w:t xml:space="preserve"> issued </w:t>
      </w:r>
      <w:r>
        <w:rPr>
          <w:rFonts w:ascii="Arial" w:cs="Arial" w:eastAsia="Arial" w:hAnsi="Arial"/>
          <w:sz w:val="17"/>
          <w:szCs w:val="17"/>
          <w:color w:val="000000"/>
        </w:rPr>
        <w:t>Accounting Standards Update (“ASU”)</w:t>
      </w:r>
      <w:r>
        <w:rPr>
          <w:rFonts w:ascii="Arial" w:cs="Arial" w:eastAsia="Arial" w:hAnsi="Arial"/>
          <w:sz w:val="17"/>
          <w:szCs w:val="17"/>
          <w:color w:val="252525"/>
        </w:rPr>
        <w:t xml:space="preserve"> 2016-09, </w:t>
      </w:r>
      <w:r>
        <w:rPr>
          <w:rFonts w:ascii="Arial" w:cs="Arial" w:eastAsia="Arial" w:hAnsi="Arial"/>
          <w:sz w:val="17"/>
          <w:szCs w:val="17"/>
          <w:i w:val="1"/>
          <w:iCs w:val="1"/>
          <w:color w:val="252525"/>
        </w:rPr>
        <w:t>Improvements to Employee</w:t>
      </w:r>
      <w:r>
        <w:rPr>
          <w:rFonts w:ascii="Arial" w:cs="Arial" w:eastAsia="Arial" w:hAnsi="Arial"/>
          <w:sz w:val="17"/>
          <w:szCs w:val="17"/>
          <w:color w:val="252525"/>
        </w:rPr>
        <w:t xml:space="preserve"> </w:t>
      </w:r>
      <w:r>
        <w:rPr>
          <w:rFonts w:ascii="Arial" w:cs="Arial" w:eastAsia="Arial" w:hAnsi="Arial"/>
          <w:sz w:val="17"/>
          <w:szCs w:val="17"/>
          <w:i w:val="1"/>
          <w:iCs w:val="1"/>
          <w:color w:val="252525"/>
        </w:rPr>
        <w:t xml:space="preserve">Share-Based Payment Accounting, </w:t>
      </w:r>
      <w:r>
        <w:rPr>
          <w:rFonts w:ascii="Arial" w:cs="Arial" w:eastAsia="Arial" w:hAnsi="Arial"/>
          <w:sz w:val="17"/>
          <w:szCs w:val="17"/>
          <w:color w:val="252525"/>
        </w:rPr>
        <w:t>which simplifies several aspects of the accounting for employee share-based payment transactions including the</w:t>
      </w:r>
      <w:r>
        <w:rPr>
          <w:rFonts w:ascii="Arial" w:cs="Arial" w:eastAsia="Arial" w:hAnsi="Arial"/>
          <w:sz w:val="17"/>
          <w:szCs w:val="17"/>
          <w:i w:val="1"/>
          <w:iCs w:val="1"/>
          <w:color w:val="252525"/>
        </w:rPr>
        <w:t xml:space="preserve"> </w:t>
      </w:r>
      <w:r>
        <w:rPr>
          <w:rFonts w:ascii="Arial" w:cs="Arial" w:eastAsia="Arial" w:hAnsi="Arial"/>
          <w:sz w:val="17"/>
          <w:szCs w:val="17"/>
          <w:color w:val="252525"/>
        </w:rPr>
        <w:t>accounting for income taxes, statutory tax withholding requirements, and classification of related amounts within the statement of cash flows. The new standard will become effective for the Company beginning with the first quarter of 2017, with early adoption permitted. The Company is currently evaluating the impacts the adoption of this accounting guidance will have on the consolidated financial statements.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most leases, including operating leases, on-balance sheet via a right of use asset and lease liability. Lessees are permitted to make an accounting policy election to not recognize an asset or liability for leases with a term of 12 months or less. Additional qualitative and quantitative disclosures will be required. The new standard will be effective for the Company for its annual reporting period beginning January 1, 2019, including interim periods within that reporting period. Early application is permitted. The ASU requires a modified retrospective transition, which means the Company will be required to apply the new guidance at the beginning of the earliest period presented in the financial statements; however, companies may elect to apply certain practical expedients on transition. The Company is currently evaluating the impacts of this new standard to its consolidated balance sheets, results of operations and related disclosures.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August 2015, the FASB issued ASU 2015-14, </w:t>
      </w:r>
      <w:r>
        <w:rPr>
          <w:rFonts w:ascii="Arial" w:cs="Arial" w:eastAsia="Arial" w:hAnsi="Arial"/>
          <w:sz w:val="16"/>
          <w:szCs w:val="16"/>
          <w:i w:val="1"/>
          <w:iCs w:val="1"/>
          <w:color w:val="auto"/>
        </w:rPr>
        <w:t>Revenue from Contracts with Customers, Deferral of the Effective date,</w:t>
      </w:r>
      <w:r>
        <w:rPr>
          <w:rFonts w:ascii="Arial" w:cs="Arial" w:eastAsia="Arial" w:hAnsi="Arial"/>
          <w:sz w:val="16"/>
          <w:szCs w:val="16"/>
          <w:color w:val="auto"/>
        </w:rPr>
        <w:t xml:space="preserve"> which defers the effective date of ASU 2014-9,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The new standard will supersede much of the previous requirements in ASU-605,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w:t>
      </w:r>
      <w:r>
        <w:rPr>
          <w:rFonts w:ascii="Arial" w:cs="Arial" w:eastAsia="Arial" w:hAnsi="Arial"/>
          <w:sz w:val="16"/>
          <w:szCs w:val="16"/>
          <w:color w:val="auto"/>
        </w:rPr>
        <w:t>and most industry specific guidance and introduces a five-step model to determine when and how revenue is recognized. The premise of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model is that an entity recognizes revenue to depict the transfer of promised goods or services to customers in an amount that reflects the consideration to which the entity expects to be entitled in exchange for those goods or services. The new standard will be effective for the Company for its annual reporting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period beginning January 1, 2018, including interim periods within that reporting period. Early application is permitted for annual periods beginning January 1, 2017. Entities are allowed to transition to the new standard by either recasting prior periods or recognizing the cumulative effect. The Company continues to assess the method of application and impact, if any, on our consolidated balance sheets, results of operations and related disclosures.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Interest - Imputation of Interest</w:t>
      </w:r>
      <w:r>
        <w:rPr>
          <w:rFonts w:ascii="Arial" w:cs="Arial" w:eastAsia="Arial" w:hAnsi="Arial"/>
          <w:sz w:val="18"/>
          <w:szCs w:val="18"/>
          <w:color w:val="auto"/>
        </w:rPr>
        <w:t>, which required debt issue costs related to a recognized debt liability be presented in the balance sheet as a direct deduction from the carrying amount of that debt liability, consistent with the accounting treatment for debt discounts. The Company adopted the standard as of January 1, 2016 and applied it retrospectively. The December 31, 2015 consolidated balance sheet was adjusted to reflect the reclassification of $15.2 million in debt issuance costs from “Other assets” to “Long-term debt.” There was no other impact as a result of the adoption of this standard.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June 30, 2016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2016 (in millions)</w:t>
            </w:r>
          </w:p>
        </w:tc>
        <w:tc>
          <w:tcPr>
            <w:tcW w:w="200" w:type="dxa"/>
            <w:vAlign w:val="bottom"/>
          </w:tcPr>
          <w:p>
            <w:pPr>
              <w:spacing w:after="0"/>
              <w:rPr>
                <w:sz w:val="14"/>
                <w:szCs w:val="14"/>
                <w:color w:val="auto"/>
              </w:rPr>
            </w:pPr>
          </w:p>
        </w:tc>
        <w:tc>
          <w:tcPr>
            <w:tcW w:w="9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Discount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Debt Issuance</w:t>
            </w:r>
          </w:p>
        </w:tc>
        <w:tc>
          <w:tcPr>
            <w:tcW w:w="260" w:type="dxa"/>
            <w:vAlign w:val="bottom"/>
          </w:tcPr>
          <w:p>
            <w:pPr>
              <w:spacing w:after="0"/>
              <w:rPr>
                <w:sz w:val="14"/>
                <w:szCs w:val="14"/>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Book</w:t>
            </w:r>
          </w:p>
        </w:tc>
        <w:tc>
          <w:tcPr>
            <w:tcW w:w="120" w:type="dxa"/>
            <w:vAlign w:val="bottom"/>
          </w:tcPr>
          <w:p>
            <w:pPr>
              <w:spacing w:after="0"/>
              <w:rPr>
                <w:sz w:val="14"/>
                <w:szCs w:val="14"/>
                <w:color w:val="auto"/>
              </w:rPr>
            </w:pP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Stated</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6"/>
              </w:rPr>
              <w:t>Average Effective</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Interest Rate</w:t>
            </w: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668.3</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ind w:left="700"/>
              <w:spacing w:after="0" w:line="270" w:lineRule="exact"/>
              <w:rPr>
                <w:sz w:val="20"/>
                <w:szCs w:val="20"/>
                <w:color w:val="auto"/>
              </w:rPr>
            </w:pPr>
            <w:r>
              <w:rPr>
                <w:rFonts w:ascii="Arial" w:cs="Arial" w:eastAsia="Arial" w:hAnsi="Arial"/>
                <w:sz w:val="18"/>
                <w:szCs w:val="18"/>
                <w:color w:val="auto"/>
              </w:rPr>
              <w:t xml:space="preserve">8.00% </w:t>
            </w:r>
            <w:r>
              <w:rPr>
                <w:rFonts w:ascii="Arial" w:cs="Arial" w:eastAsia="Arial" w:hAnsi="Arial"/>
                <w:sz w:val="25"/>
                <w:szCs w:val="25"/>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c>
          <w:tcPr>
            <w:tcW w:w="13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3.3-18.3%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72.7</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3.3-18.3%</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273.1</w:t>
            </w:r>
          </w:p>
        </w:tc>
        <w:tc>
          <w:tcPr>
            <w:tcW w:w="13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9.0-18.2%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1,060.8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1,044.4</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w w:val="95"/>
              </w:rPr>
              <w:t>Current maturities of lease financing obligations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Variable interest rate of 1, 3 or 6-month LIBOR, with a floor of 1.0% plus a fixed margin of 7.0%.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 Amendment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28, 2016, the Company entered into Amendment No. 2 to the asset based loan facility (the “ABL Facility”), which amended several key terms, to include: (1) a 50 bps reduction in interest spread from LIBOR plus 2.25%, to LIBOR plus 1.75%, (2) the option to extend maturity from February 13, 2019 to June 28, 2021, subject to the refinancing, replacement or extension beyond June 28, 2021 of the credit agreement (the “Term Loan Agreement”) governing our term loan facility (the “Term Loan”), and (3) increased flexibility to manage and optimize the amount of cash included in the borrowing base by (i) providing the Company more flexibility as to the timing of testing the eligible borrowing base cash and (ii) reducing the availability requirements under our ABL Facility to 10% of the collateral line cap from 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 Availability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net cash flow from operations. As of June 30, 2016, we had cash and cash equivalents of $243.5 million and the borrowing base and maximum availability on our ABL Facility were $435.5 million and $78.9 million, respectively. The maximum availability is calculated in accordance with the terms of the ABL Facility and is derived by reducing the borrowing base by our $356.6 million of outstanding letters of credit. While our ABL Agreement permits us to access maximum availability outside of certain financial covenant restrictions (which restrictions did not limit our availability as of June 30, 2016), the maximum amount we expect to access on our ABL Facility at any time is maximum availability less the lower of 10% of the borrowing base ($43.6 million at June 30, 2016) or 10% of the collateral line cap ($45.0 million at June 30, 2016). Thus, of the $78.9 million in maximum availability, we expected to access no more than $35.3 million as of June 30, 2016 (“Managed Accessibility”). As a result, we had cash and cash equivalents and Managed Accessibility of $278.8 million as of June 30,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Agreement governing our Term Loan has certain financial covenants, as amended in September 2014, that, among other things, restricts certain capital expenditures and requires us to not exceed a maximum total leverage ratio (defined as Consolidated Total Debt divided by Consolidated Adjusted EBITDA, each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15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Four Consecutive Fiscal Quarters Ending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September 30,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International Brotherhood of Teamsters (“IBT”) employees and the results of permitted dispositions and discontinued operations. Consolidated Total Debt, as defined in our Term Loan Agreement, is the aggregate principal amount of indebtedness outstanding. Our total leverage ratio for the four consecutive fiscal quarters ending June 30, 2016 was 3.32 to 1.00.</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In order for us to maintain compliance with the maximum total leverage ratio over the tenor of the Term Loan and satisfy our liquidity needs, we must achieve improvement over our recent results. Improvements to our profitability may include ongoing successful implementation and realization of pricing, productivity and efficiency initiatives, as well as increased volume, some of which are outside of our control.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color w:val="auto"/>
              </w:rPr>
              <w:t>Book Value</w:t>
            </w:r>
          </w:p>
        </w:tc>
        <w:tc>
          <w:tcPr>
            <w:tcW w:w="4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282.9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A&amp;R CDA</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1,044.4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979.6</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Term Loan and the Secured and Unsecured Second Amended and Restated Contribution Deferral Agreement (the “Second A&amp;R CDA”)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2016, our minimum rental expense under operating leases for the remainder of the year was $47.3 million. As of June 30, 2016, our operating lease payment obligations through 2030 totaled $299.8 million and is expected to increase as we lease additional revenue equipment. Additionally, for the six months ended June 30, 2016, we entered into new operating leases for revenue equipment totaling $58.4 million in future lease payments, payable over an average lease term of five years.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the six months ended June 30, 2016 and 2015 were $47.3 million and $42.6 million, respectively. These amounts were principally used to fund the purchase of used tractors and trailers, to refurbish engines for our revenue fleet, and capitalized costs for technology infrastructure.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and Nonqualified Defined Benefit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costs for the three and six months ended June 30:</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720" w:type="dxa"/>
            <w:vAlign w:val="bottom"/>
          </w:tcPr>
          <w:p>
            <w:pPr>
              <w:spacing w:after="0"/>
              <w:rPr>
                <w:sz w:val="16"/>
                <w:szCs w:val="16"/>
                <w:color w:val="auto"/>
              </w:rPr>
            </w:pPr>
          </w:p>
        </w:tc>
      </w:tr>
      <w:tr>
        <w:trPr>
          <w:trHeight w:val="264"/>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28.6</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Amortization of net pension loss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periodic pension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$45.4 million to our company-sponsored pension plans in 2016 of which we have contributed $13.5 million through June 30,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Incentive Awards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granted performance stock units in February 2016 that will be settled in cash as the stock units vest equally over the next three years, with the first vesting occurring in February 2017. The awards are liability classified and remeasured to fair value at each reporting date until settlement.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Income Taxes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effective tax rate for the three and six months ended June 30, 2016 was 14.8% and 16.1%, compared to 8.1% and 45.7% for the three and six months ended June 30, 2015. The significant items impacting the 2016 rate include a provision for federal alternative minimum tax, a net state and foreign tax provision, certain permanent items, and a change in the valuation allowance established for the net deferred tax asset balance projected for December 31, 2016. The significant items impacting the 2015 rate include a net state and foreign tax provision, certain permanent items, and a change in the valuation allowance established for the net deferred tax asset balance that had been projected for December 31, 2015.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2016 and December 31, 2015, substantially all of our net deferred tax assets were subject to a valuation allowance.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Shareholders’ Deficit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six months ended June 30,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76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7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32,141</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Issuance of equity awards</w:t>
            </w:r>
          </w:p>
        </w:tc>
        <w:tc>
          <w:tcPr>
            <w:tcW w:w="76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7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bottom w:val="single" w:sz="8" w:color="CCEEFF"/>
            </w:tcBorders>
            <w:vMerge w:val="restart"/>
          </w:tcPr>
          <w:p>
            <w:pPr>
              <w:jc w:val="right"/>
              <w:ind w:right="4054"/>
              <w:spacing w:after="0"/>
              <w:rPr>
                <w:sz w:val="20"/>
                <w:szCs w:val="20"/>
                <w:color w:val="auto"/>
              </w:rPr>
            </w:pPr>
            <w:r>
              <w:rPr>
                <w:rFonts w:ascii="Arial" w:cs="Arial" w:eastAsia="Arial" w:hAnsi="Arial"/>
                <w:sz w:val="18"/>
                <w:szCs w:val="18"/>
                <w:color w:val="auto"/>
              </w:rPr>
              <w:t>11</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Earnings Per Share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basic earnings per share by dividing our net earnings by our weighted-average shares outstanding at the end of the period. The calculation for diluted earnings per share adjusts the weighted average shares outstanding for our dilutive unvested shares and stock units using the treasury stock method and for our convertible notes using the if-converted method. Our calculations for basic and dilutive earnings per share for the three and six months ended June 30, 2016 and 2015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6"/>
                <w:szCs w:val="16"/>
                <w:color w:val="auto"/>
              </w:rPr>
            </w:pPr>
          </w:p>
        </w:tc>
        <w:tc>
          <w:tcPr>
            <w:tcW w:w="16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Six Months</w:t>
            </w:r>
          </w:p>
        </w:tc>
      </w:tr>
      <w:tr>
        <w:trPr>
          <w:trHeight w:val="264"/>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7"/>
              </w:rPr>
              <w:t>(dollars in millions, except per share data, shares and stock units in thousands)</w:t>
            </w: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Basic and dilutive net income available to common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31,367</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Unvested shares and stock units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Series B Notes</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weighted average shares outstanding</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Basic earnings per share</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63"/>
        </w:trPr>
        <w:tc>
          <w:tcPr>
            <w:tcW w:w="4820" w:type="dxa"/>
            <w:vAlign w:val="bottom"/>
          </w:tcPr>
          <w:p>
            <w:pPr>
              <w:ind w:left="20"/>
              <w:spacing w:after="0" w:line="263"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r>
    </w:tbl>
    <w:p>
      <w:pPr>
        <w:ind w:left="340"/>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Earnings per share is based on unrounded figures and not the rounded figures presented.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and 2015, our anti-dilutive unvested shares, options, and stock units were approximately 497,000 and 237,000,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Business Segments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charge management fees and other corporate service fees to our reporting segments based on the benefits received or an overhead allocation basis. Corporate and other operating losses represent residual operating expenses of the holding company. Corporate identifiable assets primarily consist of cash and cash equivalents. Intersegment revenue primarily relates to transportation services between our segments.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YRC Freight</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Regional</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4"/>
                <w:szCs w:val="14"/>
                <w:color w:val="auto"/>
              </w:rPr>
            </w:pP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4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2016</w:t>
            </w: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1,886.0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2015</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2016</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Six Months Ended June 30, 2016</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2,327.9</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2015</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1,258.4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Six Months Ended June 30, 2015</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Labor Law Change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California adopted new rules governing the payment of piece-rate compensation. New California Labor Code section 226.2 sets forth requirements for the payment of a separate hourly wage for “nonproductive” time worked by piece-rate employees, and separate payment for compensable rest and recovery periods to those employees. The Company continues to assess the impact of this new law and ongoing compliance measures. We believe the possible loss or range of loss is inconsequential to our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in the overall economy, including (without limitation) customer demand in the retail and manufacturing sectors;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management team in implementing its strategic plan and continued operational and productivity improvements, including (without limitation) our continued ability to meet quality delivery performance standards and our ability to increase volume and yield, and the impact of those improvements on our future liquidity and profitability;</w:t>
      </w:r>
    </w:p>
    <w:p>
      <w:pPr>
        <w:spacing w:after="0" w:line="1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scheduled increases in financial performance-related debt covenants;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finance the maintenance, acquisition and replacement of revenue equipment and other necessary capital expenditures;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our network operations and the production of accurate information, and the risk of system failure, inadequacy or security breach;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equity and debt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factors such as severe weather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fuel;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and competitive pressure on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expense volatility, including (without limitation) volatility due to changes in purchased transportation service or pricing for purchased transportation;</w:t>
      </w:r>
    </w:p>
    <w:p>
      <w:pPr>
        <w:spacing w:after="0" w:line="8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and the cost of compliance with federal, state, local and foreign laws and regulations, including (without limitation) labor laws and laws and regulations regarding the environment;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terrorist attack;</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 relations, including (without limitation) our ability to attract and retain qualified drivers,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claims and litigation to which we are or may become exposed; and</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185"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and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2016 and 2015.</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Reporting Segment Results of Operations </w:t>
      </w:r>
      <w:r>
        <w:rPr>
          <w:rFonts w:ascii="Arial" w:cs="Arial" w:eastAsia="Arial" w:hAnsi="Arial"/>
          <w:sz w:val="18"/>
          <w:szCs w:val="18"/>
          <w:color w:val="auto"/>
        </w:rPr>
        <w:t>— an analysis of our results of operations for the three and six months ended June 30, 2016</w:t>
      </w:r>
      <w:r>
        <w:rPr>
          <w:rFonts w:ascii="Arial" w:cs="Arial" w:eastAsia="Arial" w:hAnsi="Arial"/>
          <w:sz w:val="18"/>
          <w:szCs w:val="18"/>
          <w:b w:val="1"/>
          <w:bCs w:val="1"/>
          <w:color w:val="auto"/>
        </w:rPr>
        <w:t xml:space="preserve"> </w:t>
      </w:r>
      <w:r>
        <w:rPr>
          <w:rFonts w:ascii="Arial" w:cs="Arial" w:eastAsia="Arial" w:hAnsi="Arial"/>
          <w:sz w:val="18"/>
          <w:szCs w:val="18"/>
          <w:color w:val="auto"/>
        </w:rPr>
        <w:t>and 2015 for our YRC Freight and Regional Transportation reporting segments.</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an analysis of selected non-GAAP financial measures for the three and six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2016 and 2015 and trailing twelve months ended June 30, 2016 and 2015.</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“second quarter” and “first half” of the years discussed below refer to the three and six months ended June 30,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is a holding company that, through wholly owned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Operating Revenue: </w:t>
      </w:r>
      <w:r>
        <w:rPr>
          <w:rFonts w:ascii="Arial" w:cs="Arial" w:eastAsia="Arial" w:hAnsi="Arial"/>
          <w:sz w:val="17"/>
          <w:szCs w:val="17"/>
          <w:color w:val="auto"/>
        </w:rPr>
        <w:t>Our operating revenue has two primary components: volume (commonly evaluated using number of shipments and weight per</w:t>
      </w:r>
      <w:r>
        <w:rPr>
          <w:rFonts w:ascii="Arial" w:cs="Arial" w:eastAsia="Arial" w:hAnsi="Arial"/>
          <w:sz w:val="17"/>
          <w:szCs w:val="17"/>
          <w:b w:val="1"/>
          <w:bCs w:val="1"/>
          <w:color w:val="auto"/>
        </w:rPr>
        <w:t xml:space="preserve"> </w:t>
      </w:r>
      <w:r>
        <w:rPr>
          <w:rFonts w:ascii="Arial" w:cs="Arial" w:eastAsia="Arial" w:hAnsi="Arial"/>
          <w:sz w:val="17"/>
          <w:szCs w:val="17"/>
          <w:color w:val="auto"/>
        </w:rPr>
        <w:t>shipment) and yield or price (commonly evaluated on a dollar-per-hundred weight basis and a dollar-per-shipment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w:t>
      </w:r>
    </w:p>
    <w:p>
      <w:pPr>
        <w:spacing w:after="0" w:line="177" w:lineRule="exact"/>
        <w:rPr>
          <w:rFonts w:ascii="Arial" w:cs="Arial" w:eastAsia="Arial" w:hAnsi="Arial"/>
          <w:sz w:val="17"/>
          <w:szCs w:val="17"/>
          <w:color w:val="auto"/>
        </w:rPr>
      </w:pPr>
    </w:p>
    <w:p>
      <w:pPr>
        <w:ind w:left="660" w:hanging="328"/>
        <w:spacing w:after="0" w:line="31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certain corporate charges that are not allocated to our YRC Freight and Regional Transportation reporting segments.</w:t>
      </w:r>
    </w:p>
    <w:p>
      <w:pPr>
        <w:spacing w:after="0" w:line="138"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metric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certain non-GAAP financial measures to assess our performance. These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EBITDA and adjusted EBITDA:</w:t>
      </w:r>
    </w:p>
    <w:p>
      <w:pPr>
        <w:spacing w:after="0" w:line="16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a non-GAAP measure that reflects our earnings before interest, taxes, depreciation, and amortization expense. EBITDA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 management purposes as a financial measure that reflects our core operating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1300" w:hanging="320"/>
        <w:spacing w:after="0" w:line="273" w:lineRule="auto"/>
        <w:tabs>
          <w:tab w:leader="none" w:pos="13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our earnings before interest, taxes, depreciation, and amortization expense, and</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adjusts for letter of credit fees, equity-based compensation expense, net gains or losses on property disposals, restructuring professional fees, non-recurring consulting fees, expenses associated with certain lump sum payments to our IBT employees and the results of permitted dispositions, discontinued operations, among other items, as defined in our credit facilities. Adjusted EBITDA is used for internal management purposes as a financial measure that reflects our core operating performance, to measure compliance with financial covenants in our credit facilities and to calculate certain executive bonus compensation.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185" w:lineRule="exact"/>
        <w:rPr>
          <w:sz w:val="20"/>
          <w:szCs w:val="20"/>
          <w:color w:val="auto"/>
        </w:rPr>
      </w:pPr>
    </w:p>
    <w:p>
      <w:pPr>
        <w:ind w:left="1300" w:hanging="320"/>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nonrecurring consulting fees, letter of credit fees, service interest, principal payments on our outstanding debt or lump sum payments to our IBT employees required under the Memorandum of Understanding;</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300" w:right="20" w:hanging="320"/>
        <w:spacing w:after="0" w:line="265"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300" w:hanging="320"/>
        <w:spacing w:after="0" w:line="26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potentially limiting its usefulness as a comparative measure.</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second quarter and first half of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3"/>
              </w:rPr>
              <w:t>Second Quarter</w:t>
            </w:r>
          </w:p>
        </w:tc>
        <w:tc>
          <w:tcPr>
            <w:tcW w:w="1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First Half</w:t>
            </w:r>
          </w:p>
        </w:tc>
        <w:tc>
          <w:tcPr>
            <w:tcW w:w="1380" w:type="dxa"/>
            <w:vAlign w:val="bottom"/>
            <w:tcBorders>
              <w:bottom w:val="single" w:sz="8" w:color="auto"/>
            </w:tcBorders>
          </w:tcPr>
          <w:p>
            <w:pPr>
              <w:spacing w:after="0"/>
              <w:rPr>
                <w:sz w:val="16"/>
                <w:szCs w:val="16"/>
                <w:color w:val="auto"/>
              </w:rPr>
            </w:pPr>
          </w:p>
        </w:tc>
      </w:tr>
      <w:tr>
        <w:trPr>
          <w:trHeight w:val="264"/>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Percent Change</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1,207.6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1,258.4</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2,327.9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2,444.8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57.2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56.9</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70.6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60.6</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16.5%</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28.6</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(11.2)%</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52.5</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26.0</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4.4</w:t>
            </w: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191"/>
        </w:trPr>
        <w:tc>
          <w:tcPr>
            <w:tcW w:w="2640" w:type="dxa"/>
            <w:vAlign w:val="bottom"/>
          </w:tcPr>
          <w:p>
            <w:pPr>
              <w:ind w:left="60"/>
              <w:spacing w:after="0"/>
              <w:rPr>
                <w:sz w:val="20"/>
                <w:szCs w:val="20"/>
                <w:color w:val="auto"/>
              </w:rPr>
            </w:pPr>
            <w:r>
              <w:rPr>
                <w:rFonts w:ascii="Arial" w:cs="Arial" w:eastAsia="Arial" w:hAnsi="Arial"/>
                <w:sz w:val="14"/>
                <w:szCs w:val="14"/>
                <w:color w:val="auto"/>
              </w:rPr>
              <w:t>(*) not meaningful</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2016 Compared to the Second Quarter of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operating revenue decreased $50.8 million, or 4.0%, during the second quarter of 2016 compared to the same period in 2015. The decrease in revenue is primarily attributed to a reduction in fuel surcharge revenue and declines in volumes, partially offset by improved yield (excluding fuel surcharge).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for the second quarter of 2016 decreased $51.1 million, or 4.3%, compared to the same period in 2015, and consisted primarily of:</w:t>
      </w:r>
    </w:p>
    <w:p>
      <w:pPr>
        <w:spacing w:after="0" w:line="248"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$34.2 million, or 14.7%, decrease in operating expenses and supplies was primarily the result of a $23.1 million decrease in fuel expense in the second quarter of 2016, as compared to the second quarter of 2015. This decrease was largely driven by lower fuel prices on a per gallon basis, as well as fewer miles driven. Additionally, vehicle maintenance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decreased by $4.9 million due to lower maintenance costs and fewer miles driven and professional services decreased by $4.7 million in the second quarter of 2016, as compared to the second quarter of 2015.</w:t>
      </w:r>
    </w:p>
    <w:p>
      <w:pPr>
        <w:spacing w:after="0" w:line="143"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$11.3 million, or 7.6%, decrease in purchased transportation was primarily due to a $14.5 million decrease in rail purchased transportation expense due to a reduction in rail miles and lower rail rates, which is principally related to lower fuel surcharges paid to our providers, partially offset by a $4.9 million increase in vehicle rent expense due to higher usage of operating leases for revenue equipment, in the second quarter of 2016, as compared to the second quarter of 2015.</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$4.4 million, or 6.8%, increase in other operating expenses was primarily driven by an $8.1 million increase in our property damage and liability claims expense as a result of unfavorable development of prior year outstanding claims in the second quarter of 2016, as compared to the second quarter of 2015. This was offset by a $1.8 million decrease in cargo claims expense due to improved frequency of claims in the second quarter of 2016, as compared to the second quarter of 2015.</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$3.2 million, or 0.4%, increase in salaries, wages and employee benefits was primarily attributed to a $9.8 million increase in employee benefit costs, which was partially offset by a $5.4 million decrease in wages primarily driven by a decrease in shipping volumes, which required fewer employee hours to process freight, in the second quarter of 2016, as compared to the second quarter of 2015.</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gains from excess property sales in the second quarter of 2016 were $11.1 million compared to gains of $0.7 million in the second quarter of 2015.</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Nonoperating expenses decreased $3.2 million in the second quarter of 2016 compared to the second quarter of 2015 primarily driven by a $2.0 million decrease in foreign currency loss, combined with a $1.7 million decrease in interest expense primarily due to lower outstanding debt.</w:t>
      </w:r>
    </w:p>
    <w:p>
      <w:pPr>
        <w:spacing w:after="0" w:line="14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effective tax rate for the second quarter of 2016 and 2015 was 14.8% and 8.1%, respectively. Significant items impacting the 2016 rate include a provision for federal alternative minimum tax, a net state and foreign tax provision, certain permanent items, and a change in the valuation allowance established for the net deferred tax asset balance projected for December 31, 2016. The significant items impacting the 2015 rate include a net state and foreign tax provision, certain permanent items, and a change in the valuation allowance established for the net deferred tax asset balance that had been projected for December 31, 2015.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2016 and December 31, 2015, substantially all of our net deferred tax assets were subject to a valuation allowance.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Half of 2016 Compared to the First Half of 2015</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consolidated operating revenue decreased $116.9 million, or 4.8%, during the first half of 2016 compared to the same period in 2015. The decrease in revenue is primarily attributed to a reduction in fuel surcharge revenue and declines in volumes, partially offset by improved yield (excluding fuel surcharge).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expenses for the first half of 2016 decreased $126.9 million, or 5.3%, compared to the same period in 2015, and consisted primarily of:</w:t>
      </w:r>
    </w:p>
    <w:p>
      <w:pPr>
        <w:spacing w:after="0" w:line="237"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$72.2 million, or 15.7%, decrease in operating expenses and supplies was primarily the result of a $57.6 million decrease in fuel expense in the first half of 2016, as compared to the first half of 2015. This decrease was largely driven by lower fuel prices on a per gallon basis, as well as fewer miles driven. Additionally, vehicle maintenance expense decreased by $9.4 million due to lower maintenance costs and fewer miles driven in the first half 2016, as compared to the first half 2015.</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$29.2 million, or 10.4%, decrease in purchased transportation was primarily due to a $34.2 million decrease in rail and local purchased transportation expense due to a reduction in miles and lower rail and road rates, which is principally related to lower fuel surcharges paid to our providers, partially offset by a $7.5 million increase in vehicle rent expense due to higher usage of operating leases for revenue equipment, in the first half of 2016, as compared to the first half of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$6.0 million, or 0.4%, decrease in salaries, wages and employee benefits was primarily attributed to a $17.2 million decrease in wages primarily driven by a decrease in shipping volumes, which required fewer employee hours to process freight, offset by an $11.5 million increase in employee benefit costs, in the first half of 2016, as compared to the first half of 2015.</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$3.8 million, or 2.8%, decrease in other operating expenses was primarily driven by a $3.2 million decrease in cargo claims expense due to improved frequency of claims in the first half of 2016, as compared to the first half of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 gains from excess property sales in the first half of 2016 were $11.4 million compared to losses of $0.6 million in the first half of 2015.</w:t>
      </w: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Nonoperating expenses increased $0.1 million in the first half of 2016 compared to the first half of 2015 primarily driven by a $5.5 million increase in foreign currency loss, offset by a $2.3 million gain on the disposal of JHJ and a $3.2 million decrease in interest expense primarily due to lower outstanding debt.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for the first half of 2016 and 2015 was 16.1% and 45.7%, respectively. Significant items impacting the 2016 rate include a provision for federal alternative minimum tax, a net state and foreign tax provision, certain permanent items, and a change in the valuation allowance established for the net deferred tax asset balance projected for December 31, 2016. The significant items impacting the 2015 rate include a net state and foreign tax provision, certain permanent items, and a change in the valuation allowance established for the net deferred tax asset balance that had been projected for December 31, 2015.</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operating performance using our YRC Freight and Regional Transportation reporting segments:</w:t>
      </w:r>
    </w:p>
    <w:p>
      <w:pPr>
        <w:spacing w:after="0" w:line="221" w:lineRule="exact"/>
        <w:rPr>
          <w:sz w:val="20"/>
          <w:szCs w:val="20"/>
          <w:color w:val="auto"/>
        </w:rPr>
      </w:pPr>
    </w:p>
    <w:p>
      <w:pPr>
        <w:jc w:val="both"/>
        <w:ind w:left="660" w:hanging="328"/>
        <w:spacing w:after="0" w:line="28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w:t>
      </w:r>
      <w:r>
        <w:rPr>
          <w:rFonts w:ascii="Arial" w:cs="Arial" w:eastAsia="Arial" w:hAnsi="Arial"/>
          <w:sz w:val="17"/>
          <w:szCs w:val="17"/>
          <w:b w:val="1"/>
          <w:bCs w:val="1"/>
          <w:color w:val="auto"/>
        </w:rPr>
        <w:t xml:space="preserve"> </w:t>
      </w:r>
      <w:r>
        <w:rPr>
          <w:rFonts w:ascii="Arial" w:cs="Arial" w:eastAsia="Arial" w:hAnsi="Arial"/>
          <w:sz w:val="17"/>
          <w:szCs w:val="17"/>
          <w:color w:val="auto"/>
        </w:rPr>
        <w:t>Freight provides for the movement of industrial, commercial and retail goods, primarily through centralized management. This reporting segment includes our LTL subsidiary YRC Freight and YRC Reimer, a subsidiary located in Canada that specializes in shipments into, across and out of Canada. In addition to the United States and Canada, YRC Freight also serves parts of Mexico, Puerto Rico and Guam.</w:t>
      </w:r>
    </w:p>
    <w:p>
      <w:pPr>
        <w:spacing w:after="0" w:line="164" w:lineRule="exact"/>
        <w:rPr>
          <w:rFonts w:ascii="Arial" w:cs="Arial" w:eastAsia="Arial" w:hAnsi="Arial"/>
          <w:sz w:val="17"/>
          <w:szCs w:val="17"/>
          <w:color w:val="auto"/>
        </w:rPr>
      </w:pPr>
    </w:p>
    <w:p>
      <w:pPr>
        <w:jc w:val="both"/>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Regional Transportation is comprised of Holland, New Penn and Reddaway. These companies each provide regional, next-day ground services in their respective regions through a network of facilities located across the United States, Canada, Mexico and Puerto Rico.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represented 62.5% of consolidated operating revenue for the second quarter of 2016, as compared to 63.2% for the second quarter of 2015. YRC Freight represented 62.3% and 62.7% of consolidated operating revenue for the first half of 2016 and 2015, respectively. The table below provides summary financial information for YRC Freight for the second quarter and first half of 2016 and 2015:</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5"/>
              </w:rPr>
              <w:t>Second Quarter</w:t>
            </w:r>
          </w:p>
        </w:tc>
        <w:tc>
          <w:tcPr>
            <w:tcW w:w="1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First Half</w:t>
            </w:r>
          </w:p>
        </w:tc>
        <w:tc>
          <w:tcPr>
            <w:tcW w:w="1320" w:type="dxa"/>
            <w:vAlign w:val="bottom"/>
            <w:tcBorders>
              <w:bottom w:val="single" w:sz="8" w:color="auto"/>
            </w:tcBorders>
          </w:tcPr>
          <w:p>
            <w:pPr>
              <w:spacing w:after="0"/>
              <w:rPr>
                <w:sz w:val="16"/>
                <w:szCs w:val="16"/>
                <w:color w:val="auto"/>
              </w:rPr>
            </w:pPr>
          </w:p>
        </w:tc>
      </w:tr>
      <w:tr>
        <w:trPr>
          <w:trHeight w:val="26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Percent Change</w:t>
            </w: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Percent Change</w:t>
            </w: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755.0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795.2</w:t>
            </w:r>
          </w:p>
        </w:tc>
        <w:tc>
          <w:tcPr>
            <w:tcW w:w="12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(5.1)%</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1,450.7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1,532.8</w:t>
            </w:r>
          </w:p>
        </w:tc>
        <w:tc>
          <w:tcPr>
            <w:tcW w:w="132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(5.4)%</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28.4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7"/>
              <w:spacing w:after="0"/>
              <w:rPr>
                <w:sz w:val="20"/>
                <w:szCs w:val="20"/>
                <w:color w:val="auto"/>
              </w:rPr>
            </w:pPr>
            <w:r>
              <w:rPr>
                <w:rFonts w:ascii="Arial" w:cs="Arial" w:eastAsia="Arial" w:hAnsi="Arial"/>
                <w:sz w:val="18"/>
                <w:szCs w:val="18"/>
                <w:color w:val="auto"/>
              </w:rPr>
              <w:t>22.5</w:t>
            </w:r>
          </w:p>
        </w:tc>
        <w:tc>
          <w:tcPr>
            <w:tcW w:w="1280" w:type="dxa"/>
            <w:vAlign w:val="bottom"/>
          </w:tcPr>
          <w:p>
            <w:pPr>
              <w:jc w:val="right"/>
              <w:ind w:right="314"/>
              <w:spacing w:after="0"/>
              <w:rPr>
                <w:sz w:val="20"/>
                <w:szCs w:val="20"/>
                <w:color w:val="auto"/>
              </w:rPr>
            </w:pPr>
            <w:r>
              <w:rPr>
                <w:rFonts w:ascii="Arial" w:cs="Arial" w:eastAsia="Arial" w:hAnsi="Arial"/>
                <w:sz w:val="18"/>
                <w:szCs w:val="18"/>
                <w:color w:val="auto"/>
              </w:rPr>
              <w:t>26.2%</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32.5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7"/>
              <w:spacing w:after="0"/>
              <w:rPr>
                <w:sz w:val="20"/>
                <w:szCs w:val="20"/>
                <w:color w:val="auto"/>
              </w:rPr>
            </w:pPr>
            <w:r>
              <w:rPr>
                <w:rFonts w:ascii="Arial" w:cs="Arial" w:eastAsia="Arial" w:hAnsi="Arial"/>
                <w:sz w:val="18"/>
                <w:szCs w:val="18"/>
                <w:color w:val="auto"/>
              </w:rPr>
              <w:t>22.7</w:t>
            </w:r>
          </w:p>
        </w:tc>
        <w:tc>
          <w:tcPr>
            <w:tcW w:w="1320" w:type="dxa"/>
            <w:vAlign w:val="bottom"/>
          </w:tcPr>
          <w:p>
            <w:pPr>
              <w:jc w:val="right"/>
              <w:ind w:right="354"/>
              <w:spacing w:after="0"/>
              <w:rPr>
                <w:sz w:val="20"/>
                <w:szCs w:val="20"/>
                <w:color w:val="auto"/>
              </w:rPr>
            </w:pPr>
            <w:r>
              <w:rPr>
                <w:rFonts w:ascii="Arial" w:cs="Arial" w:eastAsia="Arial" w:hAnsi="Arial"/>
                <w:sz w:val="18"/>
                <w:szCs w:val="18"/>
                <w:color w:val="auto"/>
              </w:rPr>
              <w:t>43.2%</w:t>
            </w:r>
          </w:p>
        </w:tc>
      </w:tr>
      <w:tr>
        <w:trPr>
          <w:trHeight w:val="290"/>
        </w:trPr>
        <w:tc>
          <w:tcPr>
            <w:tcW w:w="2960" w:type="dxa"/>
            <w:vAlign w:val="bottom"/>
          </w:tcPr>
          <w:p>
            <w:pPr>
              <w:ind w:left="40"/>
              <w:spacing w:after="0"/>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2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200" w:type="dxa"/>
            <w:vAlign w:val="bottom"/>
          </w:tcPr>
          <w:p>
            <w:pPr>
              <w:spacing w:after="0"/>
              <w:rPr>
                <w:sz w:val="24"/>
                <w:szCs w:val="24"/>
                <w:color w:val="auto"/>
              </w:rPr>
            </w:pPr>
          </w:p>
        </w:tc>
        <w:tc>
          <w:tcPr>
            <w:tcW w:w="1280" w:type="dxa"/>
            <w:vAlign w:val="bottom"/>
          </w:tcPr>
          <w:p>
            <w:pPr>
              <w:jc w:val="right"/>
              <w:ind w:right="97"/>
              <w:spacing w:after="0"/>
              <w:rPr>
                <w:sz w:val="20"/>
                <w:szCs w:val="20"/>
                <w:color w:val="auto"/>
              </w:rPr>
            </w:pPr>
            <w:r>
              <w:rPr>
                <w:rFonts w:ascii="Arial" w:cs="Arial" w:eastAsia="Arial" w:hAnsi="Arial"/>
                <w:sz w:val="18"/>
                <w:szCs w:val="18"/>
                <w:color w:val="auto"/>
              </w:rPr>
              <w:t>97.2%</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1.0 pp</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97.8%</w:t>
            </w:r>
          </w:p>
        </w:tc>
        <w:tc>
          <w:tcPr>
            <w:tcW w:w="300" w:type="dxa"/>
            <w:vAlign w:val="bottom"/>
          </w:tcPr>
          <w:p>
            <w:pPr>
              <w:spacing w:after="0"/>
              <w:rPr>
                <w:sz w:val="24"/>
                <w:szCs w:val="24"/>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98.5%</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0.7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2016 Compared to the Second Quarter of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reported operating revenue of $755.0 million in the second quarter of 2016, a decrease of $40.2 million, or 5.1%, compared to the same period in 2015. The decrease in revenue is primarily attributed to a reduction in fuel surcharge revenue and declines in volume, partially offset by improved yield (excluding fuel surcharge). The table below summarizes the key revenue metrics for the YRC Freight reporting segment for the second quarter of 2016 compared to the second quarter of 2015:</w:t>
      </w:r>
    </w:p>
    <w:p>
      <w:pPr>
        <w:spacing w:after="0" w:line="200" w:lineRule="exact"/>
        <w:rPr>
          <w:sz w:val="20"/>
          <w:szCs w:val="20"/>
          <w:color w:val="auto"/>
        </w:rPr>
      </w:pP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w w:val="95"/>
              </w:rPr>
              <w:t>Second Quarter</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Percent Change</w:t>
            </w:r>
            <w:r>
              <w:rPr>
                <w:rFonts w:ascii="Arial" w:cs="Arial" w:eastAsia="Arial" w:hAnsi="Arial"/>
                <w:sz w:val="8"/>
                <w:szCs w:val="8"/>
                <w:b w:val="1"/>
                <w:bCs w:val="1"/>
                <w:color w:val="auto"/>
                <w:w w:val="95"/>
              </w:rPr>
              <w:t>(b)</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24"/>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1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749.6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792.2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1,596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24.94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2,683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2,791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41.93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43.95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23.48</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21.30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1,190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r>
      <w:tr>
        <w:trPr>
          <w:trHeight w:val="642"/>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58"/>
        </w:trPr>
        <w:tc>
          <w:tcPr>
            <w:tcW w:w="5120" w:type="dxa"/>
            <w:vAlign w:val="bottom"/>
          </w:tcPr>
          <w:p>
            <w:pPr>
              <w:ind w:left="84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2016</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940" w:type="dxa"/>
        <w:tblCellMar>
          <w:top w:w="0" w:type="dxa"/>
          <w:left w:w="0" w:type="dxa"/>
          <w:bottom w:w="0" w:type="dxa"/>
          <w:right w:w="0" w:type="dxa"/>
        </w:tblCellMar>
      </w:tblPr>
      <w:tr>
        <w:trPr>
          <w:trHeight w:val="236"/>
        </w:trPr>
        <w:tc>
          <w:tcPr>
            <w:tcW w:w="488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795.2</w:t>
            </w:r>
          </w:p>
        </w:tc>
      </w:tr>
      <w:tr>
        <w:trPr>
          <w:trHeight w:val="276"/>
        </w:trPr>
        <w:tc>
          <w:tcPr>
            <w:tcW w:w="488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46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488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749.6</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8890</wp:posOffset>
            </wp:positionV>
            <wp:extent cx="1689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-208915</wp:posOffset>
            </wp:positionV>
            <wp:extent cx="1689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income for YRC Freight was $28.4 million in the second quarter of 2016 compared to $22.5 million in the second quarter of 2015. Operating revenue in the second quarter of 2016 was lower by $40.2 million, which was offset by a $46.1 million decrease in total operating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total operating expense consisted primarily of:</w:t>
      </w:r>
    </w:p>
    <w:p>
      <w:pPr>
        <w:spacing w:after="0" w:line="225" w:lineRule="exact"/>
        <w:rPr>
          <w:sz w:val="20"/>
          <w:szCs w:val="20"/>
          <w:color w:val="auto"/>
        </w:rPr>
      </w:pPr>
    </w:p>
    <w:p>
      <w:pPr>
        <w:jc w:val="both"/>
        <w:ind w:left="660" w:hanging="328"/>
        <w:spacing w:after="0" w:line="30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$20.1 million, or 13.5%, decrease in total operating expenses and supplies was primarily the result of a $13.3 million decrease in fuel expense in the second quarter of 2016, as compared to the second quarter of 2015. This decrease was largely driven by lower fuel prices on a per gallon basis and fewer miles driven. Additionally, vehicle maintenance expense decreased by $3.3 million due to lower maintenance costs and fewer miles driven and professional service fees decreased by $3.5 million in the second quarter of 2016, as compared to the second quarter of 2015.</w:t>
      </w:r>
    </w:p>
    <w:p>
      <w:pPr>
        <w:spacing w:after="0" w:line="154"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$12.6 million, or 10.9%, decrease in purchased transportation was primarily due to a $14.5 million decrease in rail purchased transportation expense due to a reduction in rail miles and lower rail rates, which is principally related to lower fuel surcharges paid to our providers, in the second quarter of 2016, as compared to the second quarter of 2015.</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$4.7 million, or 1.1%, decrease in salaries, wages and employee benefits was driven by a $7.8 million decrease in wages primarily driven by a decrease in shipping volumes, which required fewer employee hours to process freight, and improved employee productivity, partially offset by a $4.7 million increase in employee benefit costs, in the second quarter of 2016, as compared to the second quarter of 2015.</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$4.3 million, or 10.7%, increase in other operating expense was primarily driven by a $7.0 million increase in our property damage and liability claims expense as a result of unfavorable development of prior year outstanding claims in the second quarter of 2016, as compared to the second quarter of 2015. This was offset by a $1.4 million decrease in cargo claims expense due to improved frequency of claims in the second quarter of 2016, as compared to the second quarter of 2015.</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gains from excess property sales in the second quarter of 2016 were $11.2 million compared to losses of $0.8 million in the second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2016 Compared to the First Half of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reported operating revenue of $1,450.7 million in the first half of 2016, a decrease of $82.1 million, or 5.4%, compared to the same period in 2015. The decrease in revenue is primarily attributed to a reduction in fuel surcharge revenue and declines in volume, partially offset by improved yield (excluding fuel surcharge). The table below summarizes the key revenue metrics for the YRC Freight reporting segment for the first half of 2016 compared to the first half of 2015:</w:t>
      </w:r>
    </w:p>
    <w:p>
      <w:pPr>
        <w:spacing w:after="0" w:line="200" w:lineRule="exact"/>
        <w:rPr>
          <w:sz w:val="20"/>
          <w:szCs w:val="20"/>
          <w:color w:val="auto"/>
        </w:rPr>
      </w:pP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First Half</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Percent Change</w:t>
            </w:r>
            <w:r>
              <w:rPr>
                <w:rFonts w:ascii="Arial" w:cs="Arial" w:eastAsia="Arial" w:hAnsi="Arial"/>
                <w:sz w:val="8"/>
                <w:szCs w:val="8"/>
                <w:b w:val="1"/>
                <w:bCs w:val="1"/>
                <w:color w:val="auto"/>
                <w:w w:val="95"/>
              </w:rPr>
              <w:t>(b)</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24"/>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1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r>
      <w:tr>
        <w:trPr>
          <w:trHeight w:val="642"/>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w w:val="98"/>
              </w:rPr>
              <w:t>First Half</w:t>
            </w:r>
          </w:p>
        </w:tc>
        <w:tc>
          <w:tcPr>
            <w:tcW w:w="4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58"/>
        </w:trPr>
        <w:tc>
          <w:tcPr>
            <w:tcW w:w="5120" w:type="dxa"/>
            <w:vAlign w:val="bottom"/>
          </w:tcPr>
          <w:p>
            <w:pPr>
              <w:ind w:left="8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32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940" w:type="dxa"/>
        <w:tblCellMar>
          <w:top w:w="0" w:type="dxa"/>
          <w:left w:w="0" w:type="dxa"/>
          <w:bottom w:w="0" w:type="dxa"/>
          <w:right w:w="0" w:type="dxa"/>
        </w:tblCellMar>
      </w:tblPr>
      <w:tr>
        <w:trPr>
          <w:trHeight w:val="236"/>
        </w:trPr>
        <w:tc>
          <w:tcPr>
            <w:tcW w:w="488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1,450.7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1,532.8</w:t>
            </w:r>
          </w:p>
        </w:tc>
      </w:tr>
      <w:tr>
        <w:trPr>
          <w:trHeight w:val="276"/>
        </w:trPr>
        <w:tc>
          <w:tcPr>
            <w:tcW w:w="488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488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1,445.2</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1697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for YRC Freight was $32.5 million in the first half of 2016 compared to $22.7 million in the first half of 2015. Operating revenue was lower by $82.1 million in the first half of 2016, which was offset by a $91.9 million decrease in total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total operating expense consisted primarily of:</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$38.7 million, or 13.4%, decrease in total operating expenses and supplies was primarily the result of a $31.7 million decrease in fuel expense in the first half of 2016, as compared to the first half of 2015. This decrease was largely driven by lower fuel prices on a per gallon basis and fewer miles driven. Additionally, vehicle maintenance expense decreased by $5.4 million due to lower maintenance costs and fewer miles driven and professional service fees decreased by $2.1 million in the first half of 2016, as compared to the first half of 2015. These expense reductions were partially offset by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$4.1 million favorable legal settlement recorded in the first half of 2015, with no corresponding event in the first half of 2016.</w:t>
      </w:r>
    </w:p>
    <w:p>
      <w:pPr>
        <w:spacing w:after="0" w:line="239" w:lineRule="exact"/>
        <w:rPr>
          <w:sz w:val="20"/>
          <w:szCs w:val="20"/>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$29.7 million, or 13.5%, decrease in purchased transportation was primarily due to a $28.8 million decrease in rail purchased transportation expense due to a reduction in rail miles and lower rail rates, which is principally related to lower fuel surcharges paid to our providers, in the first half of 2016, as compared to the first half of 2015.</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$10.7 million, or 1.2%, decrease in salaries, wages and employee benefits was driven by a $15.2 million decrease in wages primarily driven by a decrease in shipping volumes, which required fewer employee hours to process freight, and improved employee productivity, offset by a $6.1 million increase in employee benefit costs, in the first half of 2016, as compared to the first half of 2015.</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million, or 2.5%, increase in other operating expense was primarily driven by a $5.8 million increase in our property damage and liability claims expense as a result of unfavorable development of prior year outstanding claims in the first half of 2016, as compared to the first half of 2015. This was offset by a $2.6 million decrease in cargo claims expense due to improved frequency of claims in the first half of 2016, as compared to the first half of 2015.</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gains from excess property sales in the first half of 2016 were $12.0 million compared to losses of $0.6 million in the first half of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Regional Transportation represented 37.5% of consolidated operating revenue for the second quarter of 2016, as compared to 36.8% for the second quarter of 2015. Regional Transportation represented 37.7% and 37.3% of consolidated operating revenue for the first half of 2016 and 2015, respectively. The table below provides summary financial information for Regional Transportation for the second quarter and first half of 2016 and 2015:</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First Half</w:t>
            </w:r>
          </w:p>
        </w:tc>
        <w:tc>
          <w:tcPr>
            <w:tcW w:w="1420" w:type="dxa"/>
            <w:vAlign w:val="bottom"/>
            <w:tcBorders>
              <w:bottom w:val="single" w:sz="8" w:color="auto"/>
            </w:tcBorders>
          </w:tcPr>
          <w:p>
            <w:pPr>
              <w:spacing w:after="0"/>
              <w:rPr>
                <w:sz w:val="16"/>
                <w:szCs w:val="16"/>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1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Percent Change</w:t>
            </w:r>
          </w:p>
        </w:tc>
        <w:tc>
          <w:tcPr>
            <w:tcW w:w="300" w:type="dxa"/>
            <w:vAlign w:val="bottom"/>
          </w:tcPr>
          <w:p>
            <w:pPr>
              <w:spacing w:after="0"/>
              <w:rPr>
                <w:sz w:val="22"/>
                <w:szCs w:val="22"/>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28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56"/>
        </w:trPr>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1"/>
        </w:trPr>
        <w:tc>
          <w:tcPr>
            <w:tcW w:w="2880" w:type="dxa"/>
            <w:vAlign w:val="bottom"/>
          </w:tcPr>
          <w:p>
            <w:pPr>
              <w:ind w:left="40"/>
              <w:spacing w:after="0" w:line="251"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1540" w:type="dxa"/>
            <w:vAlign w:val="bottom"/>
            <w:gridSpan w:val="2"/>
          </w:tcPr>
          <w:p>
            <w:pPr>
              <w:ind w:left="900"/>
              <w:spacing w:after="0"/>
              <w:rPr>
                <w:sz w:val="20"/>
                <w:szCs w:val="20"/>
                <w:color w:val="auto"/>
              </w:rPr>
            </w:pPr>
            <w:r>
              <w:rPr>
                <w:rFonts w:ascii="Arial" w:cs="Arial" w:eastAsia="Arial" w:hAnsi="Arial"/>
                <w:sz w:val="18"/>
                <w:szCs w:val="18"/>
                <w:color w:val="auto"/>
              </w:rPr>
              <w:t>(1.3pp</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2016 Compared to the Second Quarter of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Regional Transportation reported operating revenue of $452.8 million for the second quarter of 2016, a decrease of $10.4 million, or 2.2%, from the second quarter of 2015. The decrease in revenue is primarily attributed to a reduction in fuel surcharge revenue and declines in volume, partially offset by improved yield (excluding fuel surcharge). The table below summarizes the key revenue metrics for the Regional Transportation reporting segment for the second quarter of 2016 compared to the second quarter of 2015:</w:t>
      </w:r>
    </w:p>
    <w:p>
      <w:pPr>
        <w:spacing w:after="0" w:line="200" w:lineRule="exact"/>
        <w:rPr>
          <w:sz w:val="20"/>
          <w:szCs w:val="20"/>
          <w:color w:val="auto"/>
        </w:rPr>
      </w:pP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4"/>
                <w:szCs w:val="14"/>
                <w:b w:val="1"/>
                <w:bCs w:val="1"/>
                <w:color w:val="auto"/>
                <w:w w:val="95"/>
              </w:rPr>
              <w:t>Second Quarter</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Total picked up revenue (in millions)</w:t>
            </w: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w:t>
            </w:r>
          </w:p>
        </w:tc>
        <w:tc>
          <w:tcPr>
            <w:tcW w:w="700" w:type="dxa"/>
            <w:vAlign w:val="bottom"/>
            <w:vMerge w:val="restart"/>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453.0</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463.4</w:t>
            </w:r>
          </w:p>
        </w:tc>
        <w:tc>
          <w:tcPr>
            <w:tcW w:w="160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77"/>
        </w:trPr>
        <w:tc>
          <w:tcPr>
            <w:tcW w:w="2700" w:type="dxa"/>
            <w:vAlign w:val="bottom"/>
            <w:tcBorders>
              <w:bottom w:val="single" w:sz="8" w:color="CCEEFF"/>
            </w:tcBorders>
            <w:vMerge w:val="continue"/>
            <w:shd w:val="clear" w:color="auto" w:fill="CCEEFF"/>
          </w:tcPr>
          <w:p>
            <w:pPr>
              <w:spacing w:after="0"/>
              <w:rPr>
                <w:sz w:val="6"/>
                <w:szCs w:val="6"/>
                <w:color w:val="auto"/>
              </w:rPr>
            </w:pPr>
          </w:p>
        </w:tc>
        <w:tc>
          <w:tcPr>
            <w:tcW w:w="238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420" w:type="dxa"/>
            <w:vAlign w:val="bottom"/>
            <w:tcBorders>
              <w:bottom w:val="single" w:sz="8" w:color="CCEEFF"/>
            </w:tcBorders>
            <w:vMerge w:val="continue"/>
            <w:shd w:val="clear" w:color="auto" w:fill="CCEEFF"/>
          </w:tcPr>
          <w:p>
            <w:pPr>
              <w:spacing w:after="0"/>
              <w:rPr>
                <w:sz w:val="6"/>
                <w:szCs w:val="6"/>
                <w:color w:val="auto"/>
              </w:rPr>
            </w:pPr>
          </w:p>
        </w:tc>
        <w:tc>
          <w:tcPr>
            <w:tcW w:w="160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1,980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1,997</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30.94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31.71</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2,696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2,697</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42.12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42.82</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11.44</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11.60</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10.26</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1,469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1,481</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642"/>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Second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22"/>
                <w:szCs w:val="22"/>
                <w:color w:val="auto"/>
              </w:rPr>
            </w:pPr>
          </w:p>
        </w:tc>
        <w:tc>
          <w:tcPr>
            <w:tcW w:w="7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89"/>
              </w:rPr>
              <w:t>2015</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940" w:type="dxa"/>
        <w:tblCellMar>
          <w:top w:w="0" w:type="dxa"/>
          <w:left w:w="0" w:type="dxa"/>
          <w:bottom w:w="0" w:type="dxa"/>
          <w:right w:w="0" w:type="dxa"/>
        </w:tblCellMar>
      </w:tblPr>
      <w:tr>
        <w:trPr>
          <w:trHeight w:val="236"/>
        </w:trPr>
        <w:tc>
          <w:tcPr>
            <w:tcW w:w="496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463.2</w:t>
            </w:r>
          </w:p>
        </w:tc>
      </w:tr>
      <w:tr>
        <w:trPr>
          <w:trHeight w:val="276"/>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0"/>
        </w:trPr>
        <w:tc>
          <w:tcPr>
            <w:tcW w:w="496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8890</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Regional Transportation was $30.6 million for the second quarter of 2016, compared to $37.7 million for the second quarter of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decreased by $10.4 million, which were offset by a $3.3 million decrease in total operating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total operating expenses consisted primarily of:</w:t>
      </w:r>
    </w:p>
    <w:p>
      <w:pPr>
        <w:spacing w:after="0" w:line="225" w:lineRule="exact"/>
        <w:rPr>
          <w:sz w:val="20"/>
          <w:szCs w:val="20"/>
          <w:color w:val="auto"/>
        </w:rPr>
      </w:pPr>
    </w:p>
    <w:p>
      <w:pPr>
        <w:jc w:val="both"/>
        <w:ind w:left="660" w:hanging="328"/>
        <w:spacing w:after="0" w:line="27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$13.2 million, or 14.2%, decrease in operating expenses and supplies in the second quarter of 2016 was primarily the result of a $9.8 million decrease in fuel expense compared to the second quarter of 2015. This decrease was largely driven by lower fuel prices on a per gallon basis and fewer miles driven. Additionally, vehicle maintenance expense decreased by $1.6 million due to lower maintenance costs and fewer miles driven and professional service fees decreased by $1.6 million in the second quarter of 2016, as compared to the second quarter of 2015.</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$9.0 million, or 3.5%, increase in salaries, wages and employee benefits was driven by a $2.9 million increase in employee benefit costs, $2.3 million increase in wages, which was primarily driven by general wage rate increases and partially offset by a reduction in shipping volumes, and a $1.9 million increase in workers’ compensation expense, which can be attributed to unfavorable development of prior year claims experienced in the second quarter of 2016, as compared to the second quarter of 2015.</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$1.4 million, or 4.4%, increase in purchased transportation was primarily due to a $3.7 million increase in vehicle rent expense due to higher usage of operating leases for revenue equipment, partially offset by a $2.2 million decrease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purchased transportation expense due to a reduction in miles and rates, in the second quarter of 2016, as compared to the second quarter of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2016 Compared to the First Half of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Regional Transportation reported operating revenue of $877.6 million for the first half of 2016, a decrease of $34.4 million, or 3.8%, from the first half of 2015. The decrease in revenue is primarily attributed to a reduction in fuel surcharge revenue and declines in volume, partially offset by improved yield (excluding fuel surcharge). The table below summarizes the key revenue metrics for the Regional Transportation reporting segment for the first half of 2016 compared to the first half of 2015:</w:t>
      </w:r>
    </w:p>
    <w:p>
      <w:pPr>
        <w:spacing w:after="0" w:line="200" w:lineRule="exact"/>
        <w:rPr>
          <w:sz w:val="20"/>
          <w:szCs w:val="20"/>
          <w:color w:val="auto"/>
        </w:rPr>
      </w:pP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First Half</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127.5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24"/>
        </w:trPr>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878.1</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912.5</w:t>
            </w:r>
          </w:p>
        </w:tc>
        <w:tc>
          <w:tcPr>
            <w:tcW w:w="1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3,880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3,974</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(2.3)%</w:t>
            </w:r>
          </w:p>
        </w:tc>
      </w:tr>
      <w:tr>
        <w:trPr>
          <w:trHeight w:val="27"/>
        </w:trPr>
        <w:tc>
          <w:tcPr>
            <w:tcW w:w="5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31.17</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5,254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5,315</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(1.2)%</w:t>
            </w:r>
          </w:p>
        </w:tc>
      </w:tr>
      <w:tr>
        <w:trPr>
          <w:trHeight w:val="27"/>
        </w:trPr>
        <w:tc>
          <w:tcPr>
            <w:tcW w:w="5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41.68</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11.31</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11.48</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(1.5)%</w:t>
            </w:r>
          </w:p>
        </w:tc>
      </w:tr>
      <w:tr>
        <w:trPr>
          <w:trHeight w:val="27"/>
        </w:trPr>
        <w:tc>
          <w:tcPr>
            <w:tcW w:w="5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10.33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10.15</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1.9 %</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(2.7)%</w:t>
            </w:r>
          </w:p>
        </w:tc>
      </w:tr>
      <w:tr>
        <w:trPr>
          <w:trHeight w:val="27"/>
        </w:trPr>
        <w:tc>
          <w:tcPr>
            <w:tcW w:w="5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0.6 %</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1,477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1,495</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(1.2)%</w:t>
            </w:r>
          </w:p>
        </w:tc>
      </w:tr>
      <w:tr>
        <w:trPr>
          <w:trHeight w:val="642"/>
        </w:trPr>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First Half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58"/>
        </w:trPr>
        <w:tc>
          <w:tcPr>
            <w:tcW w:w="5080" w:type="dxa"/>
            <w:vAlign w:val="bottom"/>
          </w:tcPr>
          <w:p>
            <w:pPr>
              <w:ind w:left="84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22"/>
                <w:szCs w:val="22"/>
                <w:color w:val="auto"/>
              </w:rPr>
            </w:pPr>
          </w:p>
        </w:tc>
        <w:tc>
          <w:tcPr>
            <w:tcW w:w="7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89"/>
              </w:rPr>
              <w:t>2015</w:t>
            </w: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940" w:type="dxa"/>
        <w:tblCellMar>
          <w:top w:w="0" w:type="dxa"/>
          <w:left w:w="0" w:type="dxa"/>
          <w:bottom w:w="0" w:type="dxa"/>
          <w:right w:w="0" w:type="dxa"/>
        </w:tblCellMar>
      </w:tblPr>
      <w:tr>
        <w:trPr>
          <w:trHeight w:val="236"/>
        </w:trPr>
        <w:tc>
          <w:tcPr>
            <w:tcW w:w="496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877.6</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912.0</w:t>
            </w:r>
          </w:p>
        </w:tc>
      </w:tr>
      <w:tr>
        <w:trPr>
          <w:trHeight w:val="276"/>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0"/>
        </w:trPr>
        <w:tc>
          <w:tcPr>
            <w:tcW w:w="496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878.1</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8890</wp:posOffset>
            </wp:positionV>
            <wp:extent cx="16465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for Regional Transportation was $43.0 million for the first half of 2016, as compared to $42.3 million for the first half of 2015. Operating revenues decreased $34.4 million which were offset by a $35.1 million decrease in total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total operating expenses consisted primarily of:</w:t>
      </w:r>
    </w:p>
    <w:p>
      <w:pPr>
        <w:spacing w:after="0" w:line="225" w:lineRule="exact"/>
        <w:rPr>
          <w:sz w:val="20"/>
          <w:szCs w:val="20"/>
          <w:color w:val="auto"/>
        </w:rPr>
      </w:pPr>
    </w:p>
    <w:p>
      <w:pPr>
        <w:jc w:val="both"/>
        <w:ind w:left="660" w:hanging="328"/>
        <w:spacing w:after="0" w:line="279"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$32.4 million, or 17.2%, decrease in operating expenses and supplies was primarily the result of a $25.9 million decrease in fuel expense in the first half of 2016, as compared to the first half of 2015. This decrease was largely driven by lower fuel prices on a per gallon basis and fewer miles driven. Additionally, vehicle maintenance expense decreased by $4.0 million due to lower maintenance costs and fewer miles driven and professional service fees decreased by $1.4 million in the first half of 2016, as compared to the first half of 2015.</w:t>
      </w:r>
    </w:p>
    <w:p>
      <w:pPr>
        <w:spacing w:after="0" w:line="171"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$5.9 million, or 10.8%, decrease in other operating expense was primarily driven by a $4.2 million decrease in our property damage and liability claims expense as a result of more favorable development of prior year claims in the first half of 2016, as compared to the first half of 2015.</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$3.7 million, or 0.7%, increase in salaries, wages and employee benefits was driven by a $3.0 million increase in bonus compensation expense and $2.5 million increase in employee benefit costs, offset by a $2.0 million decrease in wages,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which was primarily driven by a decrease in shipping volumes and partially offset by general wage rate increases, in the first half of 2016, as compared to the first half of 2015.</w:t>
      </w:r>
    </w:p>
    <w:p>
      <w:pPr>
        <w:spacing w:after="0" w:line="143" w:lineRule="exact"/>
        <w:rPr>
          <w:sz w:val="20"/>
          <w:szCs w:val="20"/>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$0.9 million, or 1.4%, increase in purchased transportation was primarily due to a $5.5 million increase in vehicle rent expense due to higher usage of operating leases for revenue equipment, partially offset by a $4.4 million decrease in purchased transportation expense due to a reduction in miles and rates, in the first half of 2016, as compared to the first half of 2015.</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reconciliation of net income to EBITDA and EBITDA to Adjusted EBITDA (defined in our Term Loan Agreement as “Consolidated EBITDA”) for the second quarter and first half of 2016 and 2015, and the trailing twelve months ended June 30, 2016 and 2015,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14"/>
                <w:szCs w:val="14"/>
                <w:color w:val="auto"/>
              </w:rPr>
            </w:pPr>
          </w:p>
        </w:tc>
        <w:tc>
          <w:tcPr>
            <w:tcW w:w="16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First Half</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Trailing Twelve</w:t>
            </w:r>
          </w:p>
        </w:tc>
        <w:tc>
          <w:tcPr>
            <w:tcW w:w="160" w:type="dxa"/>
            <w:vAlign w:val="bottom"/>
          </w:tcPr>
          <w:p>
            <w:pPr>
              <w:spacing w:after="0"/>
              <w:rPr>
                <w:sz w:val="14"/>
                <w:szCs w:val="14"/>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Trailing Twelve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6"/>
                <w:szCs w:val="16"/>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Adjusted EBITDA:</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EBITDA</w:t>
            </w: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269.4</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for Term Loan Agreement: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2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consulting fees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2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Non-union pension settlement charge</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319.4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21"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second quarter and first half of 2016 and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460"/>
              <w:spacing w:after="0"/>
              <w:rPr>
                <w:sz w:val="20"/>
                <w:szCs w:val="20"/>
                <w:color w:val="auto"/>
              </w:rPr>
            </w:pPr>
            <w:r>
              <w:rPr>
                <w:rFonts w:ascii="Arial" w:cs="Arial" w:eastAsia="Arial" w:hAnsi="Arial"/>
                <w:sz w:val="14"/>
                <w:szCs w:val="14"/>
                <w:b w:val="1"/>
                <w:bCs w:val="1"/>
                <w:color w:val="auto"/>
              </w:rPr>
              <w:t>Second Quarter</w:t>
            </w: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 Half</w:t>
            </w:r>
          </w:p>
        </w:tc>
        <w:tc>
          <w:tcPr>
            <w:tcW w:w="800" w:type="dxa"/>
            <w:vAlign w:val="bottom"/>
          </w:tcPr>
          <w:p>
            <w:pPr>
              <w:spacing w:after="0"/>
              <w:rPr>
                <w:sz w:val="16"/>
                <w:szCs w:val="16"/>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by segment: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YRC Freight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85.2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Regional 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(loss), by segment, to Adjusted EBITDA for the second quarter and first half of 2016 and 2015,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460"/>
              <w:spacing w:after="0"/>
              <w:rPr>
                <w:sz w:val="20"/>
                <w:szCs w:val="20"/>
                <w:color w:val="auto"/>
              </w:rPr>
            </w:pPr>
            <w:r>
              <w:rPr>
                <w:rFonts w:ascii="Arial" w:cs="Arial" w:eastAsia="Arial" w:hAnsi="Arial"/>
                <w:sz w:val="14"/>
                <w:szCs w:val="14"/>
                <w:b w:val="1"/>
                <w:bCs w:val="1"/>
                <w:color w:val="auto"/>
              </w:rPr>
              <w:t>Second Quarter</w:t>
            </w: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 Half</w:t>
            </w:r>
          </w:p>
        </w:tc>
        <w:tc>
          <w:tcPr>
            <w:tcW w:w="800" w:type="dxa"/>
            <w:vAlign w:val="bottom"/>
          </w:tcPr>
          <w:p>
            <w:pPr>
              <w:spacing w:after="0"/>
              <w:rPr>
                <w:sz w:val="16"/>
                <w:szCs w:val="16"/>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YRC Freight segment (in millions)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Nonrecurring consulting fees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70"/>
        </w:trPr>
        <w:tc>
          <w:tcPr>
            <w:tcW w:w="652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w:t>
            </w:r>
          </w:p>
        </w:tc>
      </w:tr>
      <w:tr>
        <w:trPr>
          <w:trHeight w:val="20"/>
        </w:trPr>
        <w:tc>
          <w:tcPr>
            <w:tcW w:w="6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8890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200" w:hanging="151"/>
        <w:spacing w:after="0"/>
        <w:tabs>
          <w:tab w:leader="none" w:pos="20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460"/>
              <w:spacing w:after="0"/>
              <w:rPr>
                <w:sz w:val="20"/>
                <w:szCs w:val="20"/>
                <w:color w:val="auto"/>
              </w:rPr>
            </w:pPr>
            <w:r>
              <w:rPr>
                <w:rFonts w:ascii="Arial" w:cs="Arial" w:eastAsia="Arial" w:hAnsi="Arial"/>
                <w:sz w:val="14"/>
                <w:szCs w:val="14"/>
                <w:b w:val="1"/>
                <w:bCs w:val="1"/>
                <w:color w:val="auto"/>
              </w:rPr>
              <w:t>Second Quarter</w:t>
            </w: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 Half</w:t>
            </w:r>
          </w:p>
        </w:tc>
        <w:tc>
          <w:tcPr>
            <w:tcW w:w="800" w:type="dxa"/>
            <w:vAlign w:val="bottom"/>
          </w:tcPr>
          <w:p>
            <w:pPr>
              <w:spacing w:after="0"/>
              <w:rPr>
                <w:sz w:val="16"/>
                <w:szCs w:val="16"/>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Regional Transportation segment (in millions)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26035"/>
                    </a:xfrm>
                    <a:prstGeom prst="rect">
                      <a:avLst/>
                    </a:prstGeom>
                    <a:noFill/>
                  </pic:spPr>
                </pic:pic>
              </a:graphicData>
            </a:graphic>
          </wp:anchor>
        </w:drawing>
      </w:r>
    </w:p>
    <w:p>
      <w:pPr>
        <w:spacing w:after="0" w:line="37" w:lineRule="exact"/>
        <w:rPr>
          <w:sz w:val="20"/>
          <w:szCs w:val="20"/>
          <w:color w:val="auto"/>
        </w:rPr>
      </w:pPr>
    </w:p>
    <w:p>
      <w:pPr>
        <w:ind w:left="200" w:hanging="151"/>
        <w:spacing w:after="0"/>
        <w:tabs>
          <w:tab w:leader="none" w:pos="20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21"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65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5"/>
          </w:tcPr>
          <w:p>
            <w:pPr>
              <w:ind w:left="460"/>
              <w:spacing w:after="0"/>
              <w:rPr>
                <w:sz w:val="20"/>
                <w:szCs w:val="20"/>
                <w:color w:val="auto"/>
              </w:rPr>
            </w:pPr>
            <w:r>
              <w:rPr>
                <w:rFonts w:ascii="Arial" w:cs="Arial" w:eastAsia="Arial" w:hAnsi="Arial"/>
                <w:sz w:val="14"/>
                <w:szCs w:val="14"/>
                <w:b w:val="1"/>
                <w:bCs w:val="1"/>
                <w:color w:val="auto"/>
              </w:rPr>
              <w:t>Second Quarter</w:t>
            </w:r>
          </w:p>
        </w:tc>
        <w:tc>
          <w:tcPr>
            <w:tcW w:w="2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 Half</w:t>
            </w:r>
          </w:p>
        </w:tc>
        <w:tc>
          <w:tcPr>
            <w:tcW w:w="800" w:type="dxa"/>
            <w:vAlign w:val="bottom"/>
          </w:tcPr>
          <w:p>
            <w:pPr>
              <w:spacing w:after="0"/>
              <w:rPr>
                <w:sz w:val="24"/>
                <w:szCs w:val="24"/>
                <w:color w:val="auto"/>
              </w:rPr>
            </w:pPr>
          </w:p>
        </w:tc>
      </w:tr>
      <w:tr>
        <w:trPr>
          <w:trHeight w:val="264"/>
        </w:trPr>
        <w:tc>
          <w:tcPr>
            <w:tcW w:w="6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Corporate and other (in millions)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Gains on property disposals, net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Permitted dispositions and 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70"/>
        </w:trPr>
        <w:tc>
          <w:tcPr>
            <w:tcW w:w="6520" w:type="dxa"/>
            <w:vAlign w:val="bottom"/>
            <w:tcBorders>
              <w:bottom w:val="single" w:sz="8" w:color="CCEEFF"/>
            </w:tcBorders>
            <w:gridSpan w:val="2"/>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0"/>
        </w:trPr>
        <w:tc>
          <w:tcPr>
            <w:tcW w:w="102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8890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200" w:hanging="151"/>
        <w:spacing w:after="0"/>
        <w:tabs>
          <w:tab w:leader="none" w:pos="20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any prospective net operating cash flows from operations. As of June 30, 2016, we had cash and cash equivalents of $243.5 million and the borrowing base and maximum availability under our ABL Facility were $435.5 million and $78.9 million, respectively. The maximum availability is calculated in accordance with the terms of the ABL Facility and is derived by reducing the borrowing base by our $356.6 million of outstanding letters of credit. While our ABL Agreement permits us to access maximum availability outside of certain financial covenant restrictions (which restrictions did not limit our availability as of June 30, 2016), the maximum amount we expect to access on our ABL Facility at any time is maximum availability less the lower of 10% of the borrowing base ($43.6 million at June 30, 2016) or 10% of the collateral line cap ($45.0 million at June 30, 2016). Thus, of the $78.9 million in maximum availability, our Managed Accessibility was $35.3 million as of June 30, 2016. As a result, we had cash and cash equivalents and Managed Accessibility of $278.8 million as of June 30, 2016. Due to the ABL Facility amendment on June 28, 2016, as referenced in the “Debt and Financing” footnote of our consolidated financial statements in this report, we increased our flexibility to manage and optimize the amount of cash included in the borrowing base by reducing availability requirements.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our equipment leases and funding capital expenditures.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2016, we had $1,060.8 million in aggregate par value of outstanding indebtedness, the majority of which matures in 2019. We also have future funding obligations for our single-employer pension plans and various multi-employer pension funds. We expect our funding obligations for the remainder of 2016 for our single-employer pension plans and multi-employer pension funds will be $31.9 million and $44.3 million, respectively. In addition, we have, and will continue to have, operating lease obligations. As of June 30, 2016, our minimum rental expense under operating leases for the remainder of the year is $47.3 million. As of June 30, 2016, our operating lease payment obligations through 2030 totaled $299.8 million and is expected to increase as we lease additional revenue equipment. Additionally, for the first half of 2016, we entered into new operating leases for revenue equipment totaling $58.4 million in future lease payments, payable over an average lease term of five years.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capital expenditures for the first half of 2016 and 2015 were $47.3 million and $42.6 million, respectively. These amounts were principally used to fund the purchase of used tractors and trailers, to refurbish engines for our revenue fleet and capitalized costs for technology infrastructure.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2016, our Standard &amp; Poor’s Corporate Family Rating was “B-” with a stable outlook and Moody’s Investor Service Corporate Family Rating was “B3” with a stable outlook.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Term Loan Agreement has certain financial covenants that, among other things, restricts certain capital expenditures and requires us to not exceed a maximum total leverage ratio (defined as Consolidated Total Debt divided by Consolidated Adjusted EBITDA. Refer to the “Debt and Financing” footnote for an overview of our Term Loan covenants.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In order for us to maintain compliance with the maximum total leverage ratio over the tenor of the Term Loan and satisfy our liquidity needs, we must achieve improvement over our recent results. Improvements to our profitability may include ongoing successful implementation and realization of pricing, productivity and efficiency initiatives, as well as increased volume, some of which are outside of our control.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provided by operating activities was $47.5 million and $31.1 million in the first half of 2016 and 2015, respectively. The improvement in operating cash flow is primarily attributable to higher net income of $15.1 million for the first half of 2016 compared to net income of $4.4 million for the first half of 2015, primarily driven by a decrease in operating expenses and expenses associated with certain lump sum payments to our IBT employees.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increased by $42.5 million during the first half of 2016 compared to the first half of 2015, largely driven by a net receipt of $57.1 million in restricted escrow refunds in 2016 compared to a net receipt of $32.0 million in 2015. Additionally, cash flows in 2016 included $14.6 million in net proceeds from the sale of JHJ.</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first half of 2016 and 2015 was $23.2 million and $9.1 million, respectively, which consists mainly of repayments on our long-term debt. Cash flows used in financing activities for the first half of 2016 also included $1.8 million in debt issuance costs related to the ABL Facility amendment.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June 30,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June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sheet obligations:</w:t>
            </w:r>
          </w:p>
        </w:tc>
        <w:tc>
          <w:tcPr>
            <w:tcW w:w="160" w:type="dxa"/>
            <w:vAlign w:val="bottom"/>
            <w:tcBorders>
              <w:top w:val="single" w:sz="8" w:color="auto"/>
              <w:bottom w:val="single" w:sz="8" w:color="BFE4FF"/>
            </w:tcBorders>
            <w:shd w:val="clear" w:color="auto" w:fill="BFE4FF"/>
          </w:tcPr>
          <w:p>
            <w:pPr>
              <w:spacing w:after="0"/>
              <w:rPr>
                <w:sz w:val="21"/>
                <w:szCs w:val="21"/>
                <w:color w:val="auto"/>
              </w:rPr>
            </w:pPr>
          </w:p>
        </w:tc>
        <w:tc>
          <w:tcPr>
            <w:tcW w:w="126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spacing w:after="0"/>
              <w:rPr>
                <w:sz w:val="21"/>
                <w:szCs w:val="21"/>
                <w:color w:val="auto"/>
              </w:rPr>
            </w:pPr>
          </w:p>
        </w:tc>
        <w:tc>
          <w:tcPr>
            <w:tcW w:w="110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spacing w:after="0"/>
              <w:rPr>
                <w:sz w:val="21"/>
                <w:szCs w:val="21"/>
                <w:color w:val="auto"/>
              </w:rPr>
            </w:pPr>
          </w:p>
        </w:tc>
        <w:tc>
          <w:tcPr>
            <w:tcW w:w="110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00" w:type="dxa"/>
            <w:vAlign w:val="bottom"/>
            <w:tcBorders>
              <w:top w:val="single" w:sz="8" w:color="auto"/>
              <w:bottom w:val="single" w:sz="8" w:color="BFE4FF"/>
            </w:tcBorders>
            <w:shd w:val="clear" w:color="auto" w:fill="BFE4FF"/>
          </w:tcPr>
          <w:p>
            <w:pPr>
              <w:spacing w:after="0"/>
              <w:rPr>
                <w:sz w:val="21"/>
                <w:szCs w:val="21"/>
                <w:color w:val="auto"/>
              </w:rPr>
            </w:pPr>
          </w:p>
        </w:tc>
        <w:tc>
          <w:tcPr>
            <w:tcW w:w="116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320" w:type="dxa"/>
            <w:vAlign w:val="bottom"/>
            <w:tcBorders>
              <w:top w:val="single" w:sz="8" w:color="auto"/>
              <w:bottom w:val="single" w:sz="8" w:color="BFE4FF"/>
            </w:tcBorders>
            <w:shd w:val="clear" w:color="auto" w:fill="BFE4FF"/>
          </w:tcPr>
          <w:p>
            <w:pPr>
              <w:spacing w:after="0"/>
              <w:rPr>
                <w:sz w:val="21"/>
                <w:szCs w:val="21"/>
                <w:color w:val="auto"/>
              </w:rPr>
            </w:pPr>
          </w:p>
        </w:tc>
        <w:tc>
          <w:tcPr>
            <w:tcW w:w="1040" w:type="dxa"/>
            <w:vAlign w:val="bottom"/>
            <w:tcBorders>
              <w:top w:val="single" w:sz="8" w:color="auto"/>
              <w:bottom w:val="single" w:sz="8" w:color="BFE4FF"/>
            </w:tcBorders>
            <w:shd w:val="clear" w:color="auto" w:fill="BFE4FF"/>
          </w:tcPr>
          <w:p>
            <w:pPr>
              <w:spacing w:after="0"/>
              <w:rPr>
                <w:sz w:val="21"/>
                <w:szCs w:val="21"/>
                <w:color w:val="auto"/>
              </w:rPr>
            </w:pP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18.7</w:t>
            </w:r>
          </w:p>
        </w:tc>
      </w:tr>
      <w:tr>
        <w:trPr>
          <w:trHeight w:val="270"/>
        </w:trPr>
        <w:tc>
          <w:tcPr>
            <w:tcW w:w="4120" w:type="dxa"/>
            <w:vAlign w:val="bottom"/>
            <w:shd w:val="clear" w:color="auto" w:fill="BFE4FF"/>
          </w:tcPr>
          <w:p>
            <w:pPr>
              <w:ind w:left="36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(b)</w:t>
            </w:r>
          </w:p>
        </w:tc>
        <w:tc>
          <w:tcPr>
            <w:tcW w:w="160" w:type="dxa"/>
            <w:vAlign w:val="bottom"/>
            <w:shd w:val="clear" w:color="auto" w:fill="BFE4FF"/>
          </w:tcPr>
          <w:p>
            <w:pPr>
              <w:spacing w:after="0"/>
              <w:rPr>
                <w:sz w:val="23"/>
                <w:szCs w:val="23"/>
                <w:color w:val="auto"/>
              </w:rPr>
            </w:pPr>
          </w:p>
        </w:tc>
        <w:tc>
          <w:tcPr>
            <w:tcW w:w="12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13"/>
              <w:spacing w:after="0"/>
              <w:rPr>
                <w:sz w:val="20"/>
                <w:szCs w:val="20"/>
                <w:color w:val="auto"/>
              </w:rPr>
            </w:pPr>
            <w:r>
              <w:rPr>
                <w:rFonts w:ascii="Arial" w:cs="Arial" w:eastAsia="Arial" w:hAnsi="Arial"/>
                <w:sz w:val="18"/>
                <w:szCs w:val="18"/>
                <w:color w:val="auto"/>
              </w:rPr>
              <w:t>768.6</w:t>
            </w:r>
          </w:p>
        </w:tc>
        <w:tc>
          <w:tcPr>
            <w:tcW w:w="1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20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BFE4FF"/>
          </w:tcPr>
          <w:p>
            <w:pPr>
              <w:spacing w:after="0"/>
              <w:rPr>
                <w:sz w:val="23"/>
                <w:szCs w:val="23"/>
                <w:color w:val="auto"/>
              </w:rPr>
            </w:pPr>
          </w:p>
        </w:tc>
        <w:tc>
          <w:tcPr>
            <w:tcW w:w="128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830.9</w:t>
            </w: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Lease financing obligations</w:t>
            </w:r>
            <w:r>
              <w:rPr>
                <w:rFonts w:ascii="Arial" w:cs="Arial" w:eastAsia="Arial" w:hAnsi="Arial"/>
                <w:sz w:val="25"/>
                <w:szCs w:val="25"/>
                <w:color w:val="auto"/>
                <w:vertAlign w:val="superscript"/>
              </w:rPr>
              <w:t>(c)</w:t>
            </w:r>
          </w:p>
        </w:tc>
        <w:tc>
          <w:tcPr>
            <w:tcW w:w="16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163.1</w:t>
            </w:r>
          </w:p>
        </w:tc>
      </w:tr>
      <w:tr>
        <w:trPr>
          <w:trHeight w:val="270"/>
        </w:trPr>
        <w:tc>
          <w:tcPr>
            <w:tcW w:w="4120" w:type="dxa"/>
            <w:vAlign w:val="bottom"/>
            <w:shd w:val="clear" w:color="auto" w:fill="BFE4FF"/>
          </w:tcPr>
          <w:p>
            <w:pPr>
              <w:ind w:left="380"/>
              <w:spacing w:after="0" w:line="270" w:lineRule="exact"/>
              <w:rPr>
                <w:sz w:val="20"/>
                <w:szCs w:val="20"/>
                <w:color w:val="auto"/>
              </w:rPr>
            </w:pPr>
            <w:r>
              <w:rPr>
                <w:rFonts w:ascii="Arial" w:cs="Arial" w:eastAsia="Arial" w:hAnsi="Arial"/>
                <w:sz w:val="18"/>
                <w:szCs w:val="18"/>
                <w:color w:val="auto"/>
              </w:rPr>
              <w:t>Pension deferral obligations</w:t>
            </w:r>
            <w:r>
              <w:rPr>
                <w:rFonts w:ascii="Arial" w:cs="Arial" w:eastAsia="Arial" w:hAnsi="Arial"/>
                <w:sz w:val="25"/>
                <w:szCs w:val="25"/>
                <w:color w:val="auto"/>
                <w:vertAlign w:val="superscript"/>
              </w:rPr>
              <w:t>(d)</w:t>
            </w:r>
          </w:p>
        </w:tc>
        <w:tc>
          <w:tcPr>
            <w:tcW w:w="160" w:type="dxa"/>
            <w:vAlign w:val="bottom"/>
            <w:shd w:val="clear" w:color="auto" w:fill="BFE4FF"/>
          </w:tcPr>
          <w:p>
            <w:pPr>
              <w:spacing w:after="0"/>
              <w:rPr>
                <w:sz w:val="23"/>
                <w:szCs w:val="23"/>
                <w:color w:val="auto"/>
              </w:rPr>
            </w:pPr>
          </w:p>
        </w:tc>
        <w:tc>
          <w:tcPr>
            <w:tcW w:w="12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BFE4FF"/>
          </w:tcPr>
          <w:p>
            <w:pPr>
              <w:spacing w:after="0"/>
              <w:rPr>
                <w:sz w:val="23"/>
                <w:szCs w:val="23"/>
                <w:color w:val="auto"/>
              </w:rPr>
            </w:pPr>
          </w:p>
        </w:tc>
        <w:tc>
          <w:tcPr>
            <w:tcW w:w="200" w:type="dxa"/>
            <w:vAlign w:val="bottom"/>
            <w:shd w:val="clear" w:color="auto" w:fill="BFE4FF"/>
          </w:tcPr>
          <w:p>
            <w:pPr>
              <w:spacing w:after="0"/>
              <w:rPr>
                <w:sz w:val="23"/>
                <w:szCs w:val="23"/>
                <w:color w:val="auto"/>
              </w:rPr>
            </w:pPr>
          </w:p>
        </w:tc>
        <w:tc>
          <w:tcPr>
            <w:tcW w:w="128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130.8</w:t>
            </w: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3"/>
              </w:rPr>
              <w:t>Workers’ compensation and property damage and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4120" w:type="dxa"/>
            <w:vAlign w:val="bottom"/>
          </w:tcPr>
          <w:p>
            <w:pPr>
              <w:ind w:left="380"/>
              <w:spacing w:after="0" w:line="257" w:lineRule="exact"/>
              <w:rPr>
                <w:sz w:val="20"/>
                <w:szCs w:val="20"/>
                <w:color w:val="auto"/>
              </w:rPr>
            </w:pPr>
            <w:r>
              <w:rPr>
                <w:rFonts w:ascii="Arial" w:cs="Arial" w:eastAsia="Arial" w:hAnsi="Arial"/>
                <w:sz w:val="18"/>
                <w:szCs w:val="18"/>
                <w:color w:val="auto"/>
              </w:rPr>
              <w:t>liability claims obligations</w:t>
            </w:r>
            <w:r>
              <w:rPr>
                <w:rFonts w:ascii="Arial" w:cs="Arial" w:eastAsia="Arial" w:hAnsi="Arial"/>
                <w:sz w:val="25"/>
                <w:szCs w:val="25"/>
                <w:color w:val="auto"/>
                <w:vertAlign w:val="superscript"/>
              </w:rPr>
              <w:t>(e)</w:t>
            </w:r>
          </w:p>
        </w:tc>
        <w:tc>
          <w:tcPr>
            <w:tcW w:w="16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394.7</w:t>
            </w:r>
          </w:p>
        </w:tc>
      </w:tr>
      <w:tr>
        <w:trPr>
          <w:trHeight w:val="270"/>
        </w:trPr>
        <w:tc>
          <w:tcPr>
            <w:tcW w:w="4120" w:type="dxa"/>
            <w:vAlign w:val="bottom"/>
            <w:shd w:val="clear" w:color="auto" w:fill="BFE4FF"/>
          </w:tcPr>
          <w:p>
            <w:pPr>
              <w:ind w:left="38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(f)</w:t>
            </w:r>
          </w:p>
        </w:tc>
        <w:tc>
          <w:tcPr>
            <w:tcW w:w="160" w:type="dxa"/>
            <w:vAlign w:val="bottom"/>
            <w:shd w:val="clear" w:color="auto" w:fill="BFE4FF"/>
          </w:tcPr>
          <w:p>
            <w:pPr>
              <w:spacing w:after="0"/>
              <w:rPr>
                <w:sz w:val="23"/>
                <w:szCs w:val="23"/>
                <w:color w:val="auto"/>
              </w:rPr>
            </w:pPr>
          </w:p>
        </w:tc>
        <w:tc>
          <w:tcPr>
            <w:tcW w:w="12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13"/>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BFE4FF"/>
          </w:tcPr>
          <w:p>
            <w:pPr>
              <w:spacing w:after="0"/>
              <w:rPr>
                <w:sz w:val="23"/>
                <w:szCs w:val="23"/>
                <w:color w:val="auto"/>
              </w:rPr>
            </w:pPr>
          </w:p>
        </w:tc>
        <w:tc>
          <w:tcPr>
            <w:tcW w:w="200" w:type="dxa"/>
            <w:vAlign w:val="bottom"/>
            <w:shd w:val="clear" w:color="auto" w:fill="BFE4FF"/>
          </w:tcPr>
          <w:p>
            <w:pPr>
              <w:spacing w:after="0"/>
              <w:rPr>
                <w:sz w:val="23"/>
                <w:szCs w:val="23"/>
                <w:color w:val="auto"/>
              </w:rPr>
            </w:pPr>
          </w:p>
        </w:tc>
        <w:tc>
          <w:tcPr>
            <w:tcW w:w="116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BFE4FF"/>
          </w:tcPr>
          <w:p>
            <w:pPr>
              <w:spacing w:after="0"/>
              <w:rPr>
                <w:sz w:val="23"/>
                <w:szCs w:val="23"/>
                <w:color w:val="auto"/>
              </w:rPr>
            </w:pPr>
          </w:p>
        </w:tc>
        <w:tc>
          <w:tcPr>
            <w:tcW w:w="32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299.8</w:t>
            </w: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Other contractual obligations</w:t>
            </w:r>
            <w:r>
              <w:rPr>
                <w:rFonts w:ascii="Arial" w:cs="Arial" w:eastAsia="Arial" w:hAnsi="Arial"/>
                <w:sz w:val="25"/>
                <w:szCs w:val="25"/>
                <w:color w:val="auto"/>
                <w:vertAlign w:val="superscript"/>
              </w:rPr>
              <w:t>(g)</w:t>
            </w:r>
          </w:p>
        </w:tc>
        <w:tc>
          <w:tcPr>
            <w:tcW w:w="16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22.6</w:t>
            </w:r>
          </w:p>
        </w:tc>
      </w:tr>
      <w:tr>
        <w:trPr>
          <w:trHeight w:val="270"/>
        </w:trPr>
        <w:tc>
          <w:tcPr>
            <w:tcW w:w="4120" w:type="dxa"/>
            <w:vAlign w:val="bottom"/>
            <w:shd w:val="clear" w:color="auto" w:fill="BFE4FF"/>
          </w:tcPr>
          <w:p>
            <w:pPr>
              <w:ind w:left="380"/>
              <w:spacing w:after="0" w:line="27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(h)</w:t>
            </w:r>
          </w:p>
        </w:tc>
        <w:tc>
          <w:tcPr>
            <w:tcW w:w="160" w:type="dxa"/>
            <w:vAlign w:val="bottom"/>
            <w:shd w:val="clear" w:color="auto" w:fill="BFE4FF"/>
          </w:tcPr>
          <w:p>
            <w:pPr>
              <w:spacing w:after="0"/>
              <w:rPr>
                <w:sz w:val="23"/>
                <w:szCs w:val="23"/>
                <w:color w:val="auto"/>
              </w:rPr>
            </w:pPr>
          </w:p>
        </w:tc>
        <w:tc>
          <w:tcPr>
            <w:tcW w:w="126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20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BFE4FF"/>
          </w:tcPr>
          <w:p>
            <w:pPr>
              <w:spacing w:after="0"/>
              <w:rPr>
                <w:sz w:val="23"/>
                <w:szCs w:val="23"/>
                <w:color w:val="auto"/>
              </w:rPr>
            </w:pPr>
          </w:p>
        </w:tc>
        <w:tc>
          <w:tcPr>
            <w:tcW w:w="128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16.4</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1,142.4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1,877.0</w:t>
            </w:r>
          </w:p>
        </w:tc>
      </w:tr>
      <w:tr>
        <w:trPr>
          <w:trHeight w:val="27"/>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ABL Facility includes future payments for the letter of credit and unused line fees and are not included on the Company’s consolidated balance sheet.</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Term Loan includes principal and interest payments, but excludes unamortized discounts.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lease financing obligations include interest payments of $51.5 million and principal payments of $111.5 million. The remaining principal obligation is offset by the estimated book value of leased property at the expiration date of each lease agreement.</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Pension deferral obligations includes principal and interest payments on the Second A&amp;R CDA.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workers’ compensation and property damage and liability claims obligations represent our estimate of future payments for these obligations, not all of which are contractually required.</w:t>
      </w:r>
    </w:p>
    <w:p>
      <w:pPr>
        <w:spacing w:after="0" w:line="12" w:lineRule="exact"/>
        <w:rPr>
          <w:rFonts w:ascii="Arial" w:cs="Arial" w:eastAsia="Arial" w:hAnsi="Arial"/>
          <w:sz w:val="13"/>
          <w:szCs w:val="13"/>
          <w:color w:val="auto"/>
        </w:rPr>
      </w:pPr>
    </w:p>
    <w:p>
      <w:pPr>
        <w:ind w:left="340" w:hanging="332"/>
        <w:spacing w:after="0" w:line="24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Operating leases represent future payments, which include interest, under contractual lease arrangements primarily for revenue equipment and are not included on the Company’s consolidated balance sheets.</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Capital expenditure obligations primarily includes noncancelable purchase orders for revenue equipment not yet delivered and are not included in the Company’s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4"/>
                <w:szCs w:val="14"/>
                <w:b w:val="1"/>
                <w:bCs w:val="1"/>
                <w:color w:val="auto"/>
                <w:w w:val="94"/>
              </w:rPr>
              <w:t>Amount of Commitment Expiration Per Period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Less than 1 year</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36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3"/>
                <w:szCs w:val="23"/>
                <w:color w:val="auto"/>
              </w:rPr>
            </w:pPr>
          </w:p>
        </w:tc>
        <w:tc>
          <w:tcPr>
            <w:tcW w:w="260" w:type="dxa"/>
            <w:vAlign w:val="bottom"/>
          </w:tcPr>
          <w:p>
            <w:pPr>
              <w:jc w:val="center"/>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78.9</w:t>
            </w: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(b)</w:t>
            </w: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356.6</w:t>
            </w:r>
          </w:p>
        </w:tc>
      </w:tr>
      <w:tr>
        <w:trPr>
          <w:trHeight w:val="270"/>
        </w:trPr>
        <w:tc>
          <w:tcPr>
            <w:tcW w:w="4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Surety bonds</w:t>
            </w:r>
            <w:r>
              <w:rPr>
                <w:rFonts w:ascii="Arial" w:cs="Arial" w:eastAsia="Arial" w:hAnsi="Arial"/>
                <w:sz w:val="25"/>
                <w:szCs w:val="25"/>
                <w:color w:val="auto"/>
                <w:vertAlign w:val="superscript"/>
              </w:rPr>
              <w:t>(c)</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119.5</w:t>
            </w: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50"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of June 30, 2016, we held $65.1 million in restricted escrow, which represents cash collateral on our ABL Facility. Managed Accessibility was $35.3 million, which represents maximum availability of $78.9 million less the lower of 10% of the borrowing base or collateral line cap.</w:t>
      </w:r>
    </w:p>
    <w:p>
      <w:pPr>
        <w:ind w:left="340" w:right="20" w:hanging="332"/>
        <w:spacing w:after="0" w:line="24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40" w:hanging="332"/>
        <w:spacing w:after="0" w:line="255"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June 30, 2016 and have concluded that our disclosure controls and procedures were effective as of June 30, 2016.</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June 30, 2016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PART II—OTHER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material changes during the quarter to the Risk Factors disclosed in Part I, Item 1A - “Risk Factors” in our annual report on Form 10-K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387" w:lineRule="exact"/>
        <w:rPr>
          <w:sz w:val="20"/>
          <w:szCs w:val="20"/>
          <w:color w:val="auto"/>
        </w:rPr>
      </w:pPr>
    </w:p>
    <w:p>
      <w:pPr>
        <w:jc w:val="both"/>
        <w:ind w:left="2240" w:right="180" w:hanging="1147"/>
        <w:spacing w:after="0" w:line="264" w:lineRule="auto"/>
        <w:tabs>
          <w:tab w:leader="none" w:pos="2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2 to Loan and Security Agreement by and among the Company, certain of the Company’s subsidiaries party thereto, the lenders party thereto and Citizens Business Capital as agent (incorporated by reference to Exhibit 10.1 to Current Report on Form 8-K, filed on June 30, 2016, File No. 000-12255).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Certification of James L. Welch filed pursuant to Exchange Act Rules 13a-14 and 15d-14, as adopted pursuant to Section 302 of the Sarbanes-Oxley Act of 2002.</w:t>
      </w:r>
    </w:p>
    <w:p>
      <w:pPr>
        <w:spacing w:after="0" w:line="200" w:lineRule="exact"/>
        <w:rPr>
          <w:sz w:val="20"/>
          <w:szCs w:val="20"/>
          <w:color w:val="auto"/>
        </w:rPr>
      </w:pPr>
    </w:p>
    <w:p>
      <w:pPr>
        <w:sectPr>
          <w:pgSz w:w="11900" w:h="16838" w:orient="portrait"/>
          <w:cols w:equalWidth="0" w:num="2">
            <w:col w:w="1520" w:space="720"/>
            <w:col w:w="9180"/>
          </w:cols>
          <w:pgMar w:left="240" w:top="121" w:right="239" w:bottom="1440" w:gutter="0" w:footer="0" w:header="0"/>
          <w:type w:val="continuous"/>
        </w:sectPr>
      </w:pPr>
    </w:p>
    <w:p>
      <w:pPr>
        <w:spacing w:after="0" w:line="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Certification of Jamie G. Pierson filed pursuant to Exchange Act Rules 13a-14 and 15d-14, as adopted pursuant to Section 302 of the Sarbanes-Oxley Act of 2002.</w:t>
      </w:r>
    </w:p>
    <w:p>
      <w:pPr>
        <w:spacing w:after="0" w:line="200" w:lineRule="exact"/>
        <w:rPr>
          <w:sz w:val="20"/>
          <w:szCs w:val="20"/>
          <w:color w:val="auto"/>
        </w:rPr>
      </w:pPr>
    </w:p>
    <w:p>
      <w:pPr>
        <w:sectPr>
          <w:pgSz w:w="11900" w:h="16838" w:orient="portrait"/>
          <w:cols w:equalWidth="0" w:num="2">
            <w:col w:w="1520" w:space="720"/>
            <w:col w:w="9180"/>
          </w:cols>
          <w:pgMar w:left="240" w:top="121" w:right="239" w:bottom="1440" w:gutter="0" w:footer="0" w:header="0"/>
          <w:type w:val="continuous"/>
        </w:sectPr>
      </w:pPr>
    </w:p>
    <w:p>
      <w:pPr>
        <w:spacing w:after="0" w:line="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Certification of James L. Welch furnished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520" w:space="720"/>
            <w:col w:w="9180"/>
          </w:cols>
          <w:pgMar w:left="240" w:top="121" w:right="239" w:bottom="1440" w:gutter="0" w:footer="0" w:header="0"/>
          <w:type w:val="continuous"/>
        </w:sectPr>
      </w:pPr>
    </w:p>
    <w:p>
      <w:pPr>
        <w:spacing w:after="0" w:line="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Certification of Jamie G. Pierson furnished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520" w:space="720"/>
            <w:col w:w="9180"/>
          </w:cols>
          <w:pgMar w:left="240" w:top="121" w:right="239" w:bottom="1440" w:gutter="0" w:footer="0" w:header="0"/>
          <w:type w:val="continuous"/>
        </w:sectPr>
      </w:pPr>
    </w:p>
    <w:p>
      <w:pPr>
        <w:spacing w:after="0" w:line="25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86" w:lineRule="exact"/>
        <w:rPr>
          <w:sz w:val="20"/>
          <w:szCs w:val="20"/>
          <w:color w:val="auto"/>
        </w:rPr>
      </w:pPr>
    </w:p>
    <w:p>
      <w:pPr>
        <w:sectPr>
          <w:pgSz w:w="11900" w:h="16838" w:orient="portrait"/>
          <w:cols w:equalWidth="0" w:num="2">
            <w:col w:w="1780" w:space="460"/>
            <w:col w:w="918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86" w:lineRule="exact"/>
        <w:rPr>
          <w:sz w:val="20"/>
          <w:szCs w:val="20"/>
          <w:color w:val="auto"/>
        </w:rPr>
      </w:pPr>
    </w:p>
    <w:p>
      <w:pPr>
        <w:sectPr>
          <w:pgSz w:w="11900" w:h="16838" w:orient="portrait"/>
          <w:cols w:equalWidth="0" w:num="2">
            <w:col w:w="1840" w:space="400"/>
            <w:col w:w="918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85" w:lineRule="exact"/>
        <w:rPr>
          <w:sz w:val="20"/>
          <w:szCs w:val="20"/>
          <w:color w:val="auto"/>
        </w:rPr>
      </w:pPr>
    </w:p>
    <w:p>
      <w:pPr>
        <w:sectPr>
          <w:pgSz w:w="11900" w:h="16838" w:orient="portrait"/>
          <w:cols w:equalWidth="0" w:num="2">
            <w:col w:w="1860" w:space="380"/>
            <w:col w:w="918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86" w:lineRule="exact"/>
        <w:rPr>
          <w:sz w:val="20"/>
          <w:szCs w:val="20"/>
          <w:color w:val="auto"/>
        </w:rPr>
      </w:pPr>
    </w:p>
    <w:p>
      <w:pPr>
        <w:sectPr>
          <w:pgSz w:w="11900" w:h="16838" w:orient="portrait"/>
          <w:cols w:equalWidth="0" w:num="2">
            <w:col w:w="1840" w:space="400"/>
            <w:col w:w="918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85" w:lineRule="exact"/>
        <w:rPr>
          <w:sz w:val="20"/>
          <w:szCs w:val="20"/>
          <w:color w:val="auto"/>
        </w:rPr>
      </w:pPr>
    </w:p>
    <w:p>
      <w:pPr>
        <w:sectPr>
          <w:pgSz w:w="11900" w:h="16838" w:orient="portrait"/>
          <w:cols w:equalWidth="0" w:num="2">
            <w:col w:w="1860" w:space="380"/>
            <w:col w:w="918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59" w:lineRule="exact"/>
        <w:rPr>
          <w:sz w:val="20"/>
          <w:szCs w:val="20"/>
          <w:color w:val="auto"/>
        </w:rPr>
      </w:pPr>
    </w:p>
    <w:p>
      <w:pPr>
        <w:sectPr>
          <w:pgSz w:w="11900" w:h="16838" w:orient="portrait"/>
          <w:cols w:equalWidth="0" w:num="2">
            <w:col w:w="1820" w:space="420"/>
            <w:col w:w="918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YRC WORLDWIDE INC.</w:t>
            </w:r>
          </w:p>
        </w:tc>
      </w:tr>
      <w:tr>
        <w:trPr>
          <w:trHeight w:val="918"/>
        </w:trPr>
        <w:tc>
          <w:tcPr>
            <w:tcW w:w="5580" w:type="dxa"/>
            <w:vAlign w:val="bottom"/>
          </w:tcPr>
          <w:p>
            <w:pPr>
              <w:spacing w:after="0"/>
              <w:rPr>
                <w:sz w:val="20"/>
                <w:szCs w:val="20"/>
                <w:color w:val="auto"/>
              </w:rPr>
            </w:pPr>
            <w:r>
              <w:rPr>
                <w:rFonts w:ascii="Arial" w:cs="Arial" w:eastAsia="Arial" w:hAnsi="Arial"/>
                <w:sz w:val="18"/>
                <w:szCs w:val="18"/>
                <w:color w:val="auto"/>
              </w:rPr>
              <w:t>Date: July 28, 2016</w:t>
            </w:r>
          </w:p>
        </w:tc>
        <w:tc>
          <w:tcPr>
            <w:tcW w:w="5800" w:type="dxa"/>
            <w:vAlign w:val="bottom"/>
          </w:tcPr>
          <w:p>
            <w:pPr>
              <w:ind w:left="120"/>
              <w:spacing w:after="0"/>
              <w:rPr>
                <w:sz w:val="20"/>
                <w:szCs w:val="20"/>
                <w:color w:val="auto"/>
              </w:rPr>
            </w:pPr>
            <w:r>
              <w:rPr>
                <w:rFonts w:ascii="Arial" w:cs="Arial" w:eastAsia="Arial" w:hAnsi="Arial"/>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Arial" w:cs="Arial" w:eastAsia="Arial" w:hAnsi="Arial"/>
                <w:sz w:val="18"/>
                <w:szCs w:val="18"/>
                <w:color w:val="auto"/>
              </w:rPr>
              <w:t>Date: July 28, 2016</w:t>
            </w:r>
          </w:p>
        </w:tc>
        <w:tc>
          <w:tcPr>
            <w:tcW w:w="5800" w:type="dxa"/>
            <w:vAlign w:val="bottom"/>
          </w:tcPr>
          <w:p>
            <w:pPr>
              <w:ind w:left="120"/>
              <w:spacing w:after="0"/>
              <w:rPr>
                <w:sz w:val="20"/>
                <w:szCs w:val="20"/>
                <w:color w:val="auto"/>
              </w:rPr>
            </w:pPr>
            <w:r>
              <w:rPr>
                <w:rFonts w:ascii="Arial" w:cs="Arial" w:eastAsia="Arial" w:hAnsi="Arial"/>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June 30, 2016,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June 30, 2016,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lvl w:ilvl="1">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2019-12-29T10:39:59Z</dcterms:created>
  <dcterms:modified xsi:type="dcterms:W3CDTF">2019-12-29T10:39:59Z</dcterms:modified>
</cp:coreProperties>
</file>