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80010</wp:posOffset>
            </wp:positionV>
            <wp:extent cx="1765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100965</wp:posOffset>
            </wp:positionV>
            <wp:extent cx="1765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6"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6" w:lineRule="exact"/>
        <w:rPr>
          <w:rFonts w:ascii="MS PGothic" w:cs="MS PGothic" w:eastAsia="MS PGothic" w:hAnsi="MS PGothic"/>
          <w:sz w:val="20"/>
          <w:szCs w:val="20"/>
          <w:color w:val="auto"/>
        </w:rPr>
      </w:pPr>
    </w:p>
    <w:p>
      <w:pPr>
        <w:ind w:left="3880"/>
        <w:spacing w:after="0"/>
        <w:rPr>
          <w:rFonts w:ascii="MS PGothic" w:cs="MS PGothic" w:eastAsia="MS PGothic" w:hAnsi="MS PGothic"/>
          <w:sz w:val="20"/>
          <w:szCs w:val="20"/>
          <w:color w:val="auto"/>
        </w:rPr>
      </w:pPr>
      <w:r>
        <w:rPr>
          <w:rFonts w:ascii="Arial" w:cs="Arial" w:eastAsia="Arial" w:hAnsi="Arial"/>
          <w:sz w:val="17"/>
          <w:szCs w:val="17"/>
          <w:b w:val="1"/>
          <w:bCs w:val="1"/>
          <w:color w:val="auto"/>
        </w:rPr>
        <w:t>For the quarterly period ended September 30, 2017</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53" w:lineRule="exact"/>
        <w:rPr>
          <w:sz w:val="24"/>
          <w:szCs w:val="24"/>
          <w:color w:val="auto"/>
        </w:rPr>
      </w:pPr>
    </w:p>
    <w:p>
      <w:pPr>
        <w:ind w:left="380" w:hanging="354"/>
        <w:spacing w:after="0"/>
        <w:tabs>
          <w:tab w:leader="none" w:pos="380" w:val="left"/>
        </w:tabs>
        <w:numPr>
          <w:ilvl w:val="0"/>
          <w:numId w:val="2"/>
        </w:numPr>
        <w:rPr>
          <w:rFonts w:ascii="Arial" w:cs="Arial" w:eastAsia="Arial" w:hAnsi="Arial"/>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6" w:lineRule="exact"/>
        <w:rPr>
          <w:sz w:val="24"/>
          <w:szCs w:val="24"/>
          <w:color w:val="auto"/>
        </w:rPr>
      </w:pPr>
    </w:p>
    <w:p>
      <w:pPr>
        <w:ind w:left="370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0-12255</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-269875</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90170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1260" w:type="dxa"/>
        <w:tblCellMar>
          <w:top w:w="0" w:type="dxa"/>
          <w:left w:w="0" w:type="dxa"/>
          <w:bottom w:w="0" w:type="dxa"/>
          <w:right w:w="0" w:type="dxa"/>
        </w:tblCellMar>
      </w:tblPr>
      <w:tr>
        <w:trPr>
          <w:trHeight w:val="217"/>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91"/>
              </w:rPr>
              <w:t>Delaware</w:t>
            </w:r>
          </w:p>
        </w:tc>
        <w:tc>
          <w:tcPr>
            <w:tcW w:w="1460" w:type="dxa"/>
            <w:vAlign w:val="bottom"/>
          </w:tcPr>
          <w:p>
            <w:pPr>
              <w:jc w:val="right"/>
              <w:ind w:right="46"/>
              <w:spacing w:after="0"/>
              <w:rPr>
                <w:sz w:val="20"/>
                <w:szCs w:val="20"/>
                <w:color w:val="auto"/>
              </w:rPr>
            </w:pPr>
            <w:r>
              <w:rPr>
                <w:rFonts w:ascii="Arial" w:cs="Arial" w:eastAsia="Arial" w:hAnsi="Arial"/>
                <w:sz w:val="17"/>
                <w:szCs w:val="17"/>
                <w:b w:val="1"/>
                <w:bCs w:val="1"/>
                <w:color w:val="auto"/>
              </w:rPr>
              <w:t>48-0948788</w:t>
            </w:r>
          </w:p>
        </w:tc>
      </w:tr>
      <w:tr>
        <w:trPr>
          <w:trHeight w:val="169"/>
        </w:trPr>
        <w:tc>
          <w:tcPr>
            <w:tcW w:w="6360" w:type="dxa"/>
            <w:vAlign w:val="bottom"/>
          </w:tcPr>
          <w:p>
            <w:pPr>
              <w:jc w:val="center"/>
              <w:ind w:right="3205"/>
              <w:spacing w:after="0"/>
              <w:rPr>
                <w:sz w:val="20"/>
                <w:szCs w:val="20"/>
                <w:color w:val="auto"/>
              </w:rPr>
            </w:pPr>
            <w:r>
              <w:rPr>
                <w:rFonts w:ascii="Arial" w:cs="Arial" w:eastAsia="Arial" w:hAnsi="Arial"/>
                <w:sz w:val="13"/>
                <w:szCs w:val="13"/>
                <w:b w:val="1"/>
                <w:bCs w:val="1"/>
                <w:color w:val="auto"/>
                <w:w w:val="94"/>
              </w:rPr>
              <w:t>(State or other jurisdiction of</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3"/>
              </w:rPr>
              <w:t>incorporation or organization)</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Identification No.)</w:t>
            </w:r>
          </w:p>
        </w:tc>
      </w:tr>
      <w:tr>
        <w:trPr>
          <w:trHeight w:val="350"/>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89"/>
              </w:rPr>
              <w:t>10990 Roe Avenue, Overland Park, Kansas</w:t>
            </w:r>
          </w:p>
        </w:tc>
        <w:tc>
          <w:tcPr>
            <w:tcW w:w="1460" w:type="dxa"/>
            <w:vAlign w:val="bottom"/>
          </w:tcPr>
          <w:p>
            <w:pPr>
              <w:jc w:val="right"/>
              <w:ind w:right="246"/>
              <w:spacing w:after="0"/>
              <w:rPr>
                <w:sz w:val="20"/>
                <w:szCs w:val="20"/>
                <w:color w:val="auto"/>
              </w:rPr>
            </w:pPr>
            <w:r>
              <w:rPr>
                <w:rFonts w:ascii="Arial" w:cs="Arial" w:eastAsia="Arial" w:hAnsi="Arial"/>
                <w:sz w:val="17"/>
                <w:szCs w:val="17"/>
                <w:b w:val="1"/>
                <w:bCs w:val="1"/>
                <w:color w:val="auto"/>
              </w:rPr>
              <w:t>66211</w:t>
            </w:r>
          </w:p>
        </w:tc>
      </w:tr>
      <w:tr>
        <w:trPr>
          <w:trHeight w:val="20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(Zip Code)</w:t>
            </w:r>
          </w:p>
        </w:tc>
      </w:tr>
      <w:tr>
        <w:trPr>
          <w:trHeight w:val="325"/>
        </w:trPr>
        <w:tc>
          <w:tcPr>
            <w:tcW w:w="6360" w:type="dxa"/>
            <w:vAlign w:val="bottom"/>
          </w:tcPr>
          <w:p>
            <w:pPr>
              <w:jc w:val="center"/>
              <w:ind w:left="2485"/>
              <w:spacing w:after="0"/>
              <w:rPr>
                <w:sz w:val="20"/>
                <w:szCs w:val="20"/>
                <w:color w:val="auto"/>
              </w:rPr>
            </w:pPr>
            <w:r>
              <w:rPr>
                <w:rFonts w:ascii="Arial" w:cs="Arial" w:eastAsia="Arial" w:hAnsi="Arial"/>
                <w:sz w:val="17"/>
                <w:szCs w:val="17"/>
                <w:b w:val="1"/>
                <w:bCs w:val="1"/>
                <w:color w:val="auto"/>
                <w:w w:val="89"/>
              </w:rPr>
              <w:t>(913) 696-6100</w:t>
            </w:r>
          </w:p>
        </w:tc>
        <w:tc>
          <w:tcPr>
            <w:tcW w:w="1460" w:type="dxa"/>
            <w:vAlign w:val="bottom"/>
          </w:tcPr>
          <w:p>
            <w:pPr>
              <w:spacing w:after="0"/>
              <w:rPr>
                <w:sz w:val="24"/>
                <w:szCs w:val="24"/>
                <w:color w:val="auto"/>
              </w:rPr>
            </w:pPr>
          </w:p>
        </w:tc>
      </w:tr>
      <w:tr>
        <w:trPr>
          <w:trHeight w:val="179"/>
        </w:trPr>
        <w:tc>
          <w:tcPr>
            <w:tcW w:w="6360" w:type="dxa"/>
            <w:vAlign w:val="bottom"/>
          </w:tcPr>
          <w:p>
            <w:pPr>
              <w:jc w:val="center"/>
              <w:ind w:left="2465"/>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1460" w:type="dxa"/>
            <w:vAlign w:val="bottom"/>
          </w:tcPr>
          <w:p>
            <w:pPr>
              <w:spacing w:after="0"/>
              <w:rPr>
                <w:sz w:val="15"/>
                <w:szCs w:val="15"/>
                <w:color w:val="auto"/>
              </w:rPr>
            </w:pPr>
          </w:p>
        </w:tc>
      </w:tr>
      <w:tr>
        <w:trPr>
          <w:trHeight w:val="224"/>
        </w:trPr>
        <w:tc>
          <w:tcPr>
            <w:tcW w:w="6360" w:type="dxa"/>
            <w:vAlign w:val="bottom"/>
          </w:tcPr>
          <w:p>
            <w:pPr>
              <w:jc w:val="center"/>
              <w:ind w:left="2465"/>
              <w:spacing w:after="0"/>
              <w:rPr>
                <w:sz w:val="20"/>
                <w:szCs w:val="20"/>
                <w:color w:val="auto"/>
              </w:rPr>
            </w:pPr>
            <w:r>
              <w:rPr>
                <w:rFonts w:ascii="Arial" w:cs="Arial" w:eastAsia="Arial" w:hAnsi="Arial"/>
                <w:sz w:val="17"/>
                <w:szCs w:val="17"/>
                <w:b w:val="1"/>
                <w:bCs w:val="1"/>
                <w:color w:val="auto"/>
                <w:w w:val="89"/>
              </w:rPr>
              <w:t>None</w:t>
            </w:r>
          </w:p>
        </w:tc>
        <w:tc>
          <w:tcPr>
            <w:tcW w:w="1460" w:type="dxa"/>
            <w:vAlign w:val="bottom"/>
          </w:tcPr>
          <w:p>
            <w:pPr>
              <w:spacing w:after="0"/>
              <w:rPr>
                <w:sz w:val="19"/>
                <w:szCs w:val="19"/>
                <w:color w:val="auto"/>
              </w:rPr>
            </w:pPr>
          </w:p>
        </w:tc>
      </w:tr>
    </w:tbl>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293370</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264"/>
        </w:trPr>
        <w:tc>
          <w:tcPr>
            <w:tcW w:w="2360" w:type="dxa"/>
            <w:vAlign w:val="bottom"/>
            <w:vMerge w:val="restart"/>
          </w:tcPr>
          <w:p>
            <w:pPr>
              <w:spacing w:after="0"/>
              <w:rPr>
                <w:sz w:val="20"/>
                <w:szCs w:val="20"/>
                <w:color w:val="auto"/>
              </w:rPr>
            </w:pPr>
            <w:r>
              <w:rPr>
                <w:rFonts w:ascii="Arial" w:cs="Arial" w:eastAsia="Arial" w:hAnsi="Arial"/>
                <w:sz w:val="17"/>
                <w:szCs w:val="17"/>
                <w:color w:val="auto"/>
              </w:rPr>
              <w:t>Large accelerated filer</w:t>
            </w:r>
          </w:p>
        </w:tc>
        <w:tc>
          <w:tcPr>
            <w:tcW w:w="4840" w:type="dxa"/>
            <w:vAlign w:val="bottom"/>
          </w:tcPr>
          <w:p>
            <w:pPr>
              <w:ind w:left="860"/>
              <w:spacing w:after="0"/>
              <w:rPr>
                <w:sz w:val="20"/>
                <w:szCs w:val="20"/>
                <w:color w:val="auto"/>
              </w:rPr>
            </w:pPr>
            <w:r>
              <w:rPr>
                <w:rFonts w:ascii="Arial" w:cs="Arial" w:eastAsia="Arial" w:hAnsi="Arial"/>
                <w:sz w:val="17"/>
                <w:szCs w:val="17"/>
                <w:color w:val="auto"/>
              </w:rPr>
              <w:t>o</w:t>
            </w:r>
          </w:p>
        </w:tc>
        <w:tc>
          <w:tcPr>
            <w:tcW w:w="3220" w:type="dxa"/>
            <w:vAlign w:val="bottom"/>
            <w:vMerge w:val="restart"/>
          </w:tcPr>
          <w:p>
            <w:pPr>
              <w:ind w:left="700"/>
              <w:spacing w:after="0"/>
              <w:rPr>
                <w:sz w:val="20"/>
                <w:szCs w:val="20"/>
                <w:color w:val="auto"/>
              </w:rPr>
            </w:pPr>
            <w:r>
              <w:rPr>
                <w:rFonts w:ascii="Arial" w:cs="Arial" w:eastAsia="Arial" w:hAnsi="Arial"/>
                <w:sz w:val="17"/>
                <w:szCs w:val="17"/>
                <w:color w:val="auto"/>
              </w:rPr>
              <w:t>Accelerated filer</w:t>
            </w:r>
          </w:p>
        </w:tc>
        <w:tc>
          <w:tcPr>
            <w:tcW w:w="820" w:type="dxa"/>
            <w:vAlign w:val="bottom"/>
          </w:tcPr>
          <w:p>
            <w:pPr>
              <w:ind w:left="68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83"/>
        </w:trPr>
        <w:tc>
          <w:tcPr>
            <w:tcW w:w="2360" w:type="dxa"/>
            <w:vAlign w:val="bottom"/>
            <w:vMerge w:val="continue"/>
          </w:tcPr>
          <w:p>
            <w:pPr>
              <w:spacing w:after="0"/>
              <w:rPr>
                <w:sz w:val="7"/>
                <w:szCs w:val="7"/>
                <w:color w:val="auto"/>
              </w:rPr>
            </w:pPr>
          </w:p>
        </w:tc>
        <w:tc>
          <w:tcPr>
            <w:tcW w:w="484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6"/>
        </w:trPr>
        <w:tc>
          <w:tcPr>
            <w:tcW w:w="2360" w:type="dxa"/>
            <w:vAlign w:val="bottom"/>
          </w:tcPr>
          <w:p>
            <w:pPr>
              <w:spacing w:after="0"/>
              <w:rPr>
                <w:sz w:val="20"/>
                <w:szCs w:val="20"/>
                <w:color w:val="auto"/>
              </w:rPr>
            </w:pPr>
            <w:r>
              <w:rPr>
                <w:rFonts w:ascii="Arial" w:cs="Arial" w:eastAsia="Arial" w:hAnsi="Arial"/>
                <w:sz w:val="17"/>
                <w:szCs w:val="17"/>
                <w:color w:val="auto"/>
              </w:rPr>
              <w:t>Non-accelerated filer</w:t>
            </w:r>
          </w:p>
        </w:tc>
        <w:tc>
          <w:tcPr>
            <w:tcW w:w="4840" w:type="dxa"/>
            <w:vAlign w:val="bottom"/>
          </w:tcPr>
          <w:p>
            <w:pPr>
              <w:ind w:left="860"/>
              <w:spacing w:after="0"/>
              <w:rPr>
                <w:sz w:val="20"/>
                <w:szCs w:val="20"/>
                <w:color w:val="auto"/>
              </w:rPr>
            </w:pPr>
            <w:r>
              <w:rPr>
                <w:rFonts w:ascii="Arial" w:cs="Arial" w:eastAsia="Arial" w:hAnsi="Arial"/>
                <w:sz w:val="17"/>
                <w:szCs w:val="17"/>
                <w:color w:val="auto"/>
              </w:rPr>
              <w:t>o (Do not check if a smaller reporting company)</w:t>
            </w:r>
          </w:p>
        </w:tc>
        <w:tc>
          <w:tcPr>
            <w:tcW w:w="3220" w:type="dxa"/>
            <w:vAlign w:val="bottom"/>
          </w:tcPr>
          <w:p>
            <w:pPr>
              <w:ind w:left="700"/>
              <w:spacing w:after="0"/>
              <w:rPr>
                <w:sz w:val="20"/>
                <w:szCs w:val="20"/>
                <w:color w:val="auto"/>
              </w:rPr>
            </w:pPr>
            <w:r>
              <w:rPr>
                <w:rFonts w:ascii="Arial" w:cs="Arial" w:eastAsia="Arial" w:hAnsi="Arial"/>
                <w:sz w:val="17"/>
                <w:szCs w:val="17"/>
                <w:color w:val="auto"/>
              </w:rPr>
              <w:t>Smaller reporting company</w:t>
            </w:r>
          </w:p>
        </w:tc>
        <w:tc>
          <w:tcPr>
            <w:tcW w:w="820" w:type="dxa"/>
            <w:vAlign w:val="bottom"/>
          </w:tcPr>
          <w:p>
            <w:pPr>
              <w:ind w:left="680"/>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5"/>
        </w:trPr>
        <w:tc>
          <w:tcPr>
            <w:tcW w:w="23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20" w:type="dxa"/>
            <w:vAlign w:val="bottom"/>
          </w:tcPr>
          <w:p>
            <w:pPr>
              <w:ind w:left="700"/>
              <w:spacing w:after="0"/>
              <w:rPr>
                <w:sz w:val="20"/>
                <w:szCs w:val="20"/>
                <w:color w:val="auto"/>
              </w:rPr>
            </w:pPr>
            <w:r>
              <w:rPr>
                <w:rFonts w:ascii="Arial" w:cs="Arial" w:eastAsia="Arial" w:hAnsi="Arial"/>
                <w:sz w:val="17"/>
                <w:szCs w:val="17"/>
                <w:color w:val="auto"/>
              </w:rPr>
              <w:t>Emerging growth company</w:t>
            </w:r>
          </w:p>
        </w:tc>
        <w:tc>
          <w:tcPr>
            <w:tcW w:w="820" w:type="dxa"/>
            <w:vAlign w:val="bottom"/>
          </w:tcPr>
          <w:p>
            <w:pPr>
              <w:ind w:left="680"/>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line="26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30" w:lineRule="exact"/>
        <w:rPr>
          <w:sz w:val="24"/>
          <w:szCs w:val="24"/>
          <w:color w:val="auto"/>
        </w:rPr>
      </w:pPr>
    </w:p>
    <w:p>
      <w:pPr>
        <w:spacing w:after="0" w:line="196" w:lineRule="exact"/>
        <w:tabs>
          <w:tab w:leader="none" w:pos="560" w:val="left"/>
        </w:tabs>
        <w:rPr>
          <w:sz w:val="20"/>
          <w:szCs w:val="20"/>
          <w:color w:val="auto"/>
        </w:rPr>
      </w:pP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14" w:lineRule="exact"/>
        <w:rPr>
          <w:sz w:val="24"/>
          <w:szCs w:val="24"/>
          <w:color w:val="auto"/>
        </w:rPr>
      </w:pPr>
    </w:p>
    <w:p>
      <w:pPr>
        <w:ind w:left="2640"/>
        <w:spacing w:after="0"/>
        <w:tabs>
          <w:tab w:leader="none" w:pos="7660" w:val="left"/>
        </w:tabs>
        <w:rPr>
          <w:sz w:val="20"/>
          <w:szCs w:val="20"/>
          <w:color w:val="auto"/>
        </w:rPr>
      </w:pPr>
      <w:r>
        <w:rPr>
          <w:rFonts w:ascii="Arial" w:cs="Arial" w:eastAsia="Arial" w:hAnsi="Arial"/>
          <w:sz w:val="13"/>
          <w:szCs w:val="13"/>
          <w:u w:val="single" w:color="auto"/>
          <w:color w:val="auto"/>
        </w:rPr>
        <w:t>Class</w:t>
      </w:r>
      <w:r>
        <w:rPr>
          <w:sz w:val="20"/>
          <w:szCs w:val="20"/>
          <w:color w:val="auto"/>
        </w:rPr>
        <w:tab/>
      </w:r>
      <w:r>
        <w:rPr>
          <w:rFonts w:ascii="Arial" w:cs="Arial" w:eastAsia="Arial" w:hAnsi="Arial"/>
          <w:sz w:val="13"/>
          <w:szCs w:val="13"/>
          <w:u w:val="single" w:color="auto"/>
          <w:color w:val="auto"/>
        </w:rPr>
        <w:t>Outstanding at October 27, 2017</w:t>
      </w:r>
    </w:p>
    <w:p>
      <w:pPr>
        <w:sectPr>
          <w:pgSz w:w="11900" w:h="16838" w:orient="portrait"/>
          <w:cols w:equalWidth="0" w:num="1">
            <w:col w:w="11420"/>
          </w:cols>
          <w:pgMar w:left="240" w:top="222" w:right="239" w:bottom="1440" w:gutter="0" w:footer="0" w:header="0"/>
        </w:sectPr>
      </w:pPr>
    </w:p>
    <w:p>
      <w:pPr>
        <w:spacing w:after="0" w:line="45" w:lineRule="exact"/>
        <w:rPr>
          <w:sz w:val="24"/>
          <w:szCs w:val="24"/>
          <w:color w:val="auto"/>
        </w:rPr>
      </w:pPr>
    </w:p>
    <w:p>
      <w:pPr>
        <w:ind w:left="1380"/>
        <w:spacing w:after="0"/>
        <w:tabs>
          <w:tab w:leader="none" w:pos="7920" w:val="left"/>
        </w:tabs>
        <w:rPr>
          <w:sz w:val="20"/>
          <w:szCs w:val="20"/>
          <w:color w:val="auto"/>
        </w:rPr>
      </w:pPr>
      <w:r>
        <w:rPr>
          <w:rFonts w:ascii="Arial" w:cs="Arial" w:eastAsia="Arial" w:hAnsi="Arial"/>
          <w:sz w:val="17"/>
          <w:szCs w:val="17"/>
          <w:color w:val="auto"/>
        </w:rPr>
        <w:t>Common Stock, $0.01 par value per share</w:t>
      </w:r>
      <w:r>
        <w:rPr>
          <w:sz w:val="20"/>
          <w:szCs w:val="20"/>
          <w:color w:val="auto"/>
        </w:rPr>
        <w:tab/>
      </w:r>
      <w:r>
        <w:rPr>
          <w:rFonts w:ascii="Arial" w:cs="Arial" w:eastAsia="Arial" w:hAnsi="Arial"/>
          <w:sz w:val="14"/>
          <w:szCs w:val="14"/>
          <w:color w:val="auto"/>
        </w:rPr>
        <w:t>33,518,313 shares</w:t>
      </w:r>
    </w:p>
    <w:p>
      <w:pPr>
        <w:sectPr>
          <w:pgSz w:w="11900" w:h="16838" w:orient="portrait"/>
          <w:cols w:equalWidth="0" w:num="1">
            <w:col w:w="11420"/>
          </w:cols>
          <w:pgMar w:left="240" w:top="222" w:right="23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INDEX</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80" w:type="dxa"/>
            <w:vAlign w:val="bottom"/>
          </w:tcPr>
          <w:p>
            <w:pPr>
              <w:spacing w:after="0"/>
              <w:rPr>
                <w:sz w:val="20"/>
                <w:szCs w:val="20"/>
                <w:color w:val="auto"/>
              </w:rPr>
            </w:pPr>
            <w:r>
              <w:rPr>
                <w:rFonts w:ascii="Arial" w:cs="Arial" w:eastAsia="Arial" w:hAnsi="Arial"/>
                <w:sz w:val="13"/>
                <w:szCs w:val="13"/>
                <w:color w:val="auto"/>
              </w:rPr>
              <w:t>Item</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color w:val="auto"/>
              </w:rPr>
              <w:t>Page</w:t>
            </w:r>
          </w:p>
        </w:tc>
      </w:tr>
      <w:tr>
        <w:trPr>
          <w:trHeight w:val="176"/>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580" w:type="dxa"/>
            <w:vAlign w:val="bottom"/>
            <w:gridSpan w:val="9"/>
          </w:tcPr>
          <w:p>
            <w:pPr>
              <w:jc w:val="center"/>
              <w:ind w:right="3820"/>
              <w:spacing w:after="0" w:line="176" w:lineRule="exact"/>
              <w:rPr>
                <w:rFonts w:ascii="Arial" w:cs="Arial" w:eastAsia="Arial" w:hAnsi="Arial"/>
                <w:sz w:val="17"/>
                <w:szCs w:val="17"/>
                <w:color w:val="0000FF"/>
                <w:w w:val="96"/>
              </w:rPr>
            </w:pPr>
            <w:hyperlink w:anchor="page3">
              <w:r>
                <w:rPr>
                  <w:rFonts w:ascii="Arial" w:cs="Arial" w:eastAsia="Arial" w:hAnsi="Arial"/>
                  <w:sz w:val="17"/>
                  <w:szCs w:val="17"/>
                  <w:color w:val="0000FF"/>
                  <w:w w:val="96"/>
                </w:rPr>
                <w:t>PART I – FINANCIAL INFORMATION</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400" w:type="dxa"/>
            <w:vAlign w:val="bottom"/>
            <w:gridSpan w:val="6"/>
          </w:tcPr>
          <w:p>
            <w:pPr>
              <w:spacing w:after="0"/>
              <w:rPr>
                <w:rFonts w:ascii="Arial" w:cs="Arial" w:eastAsia="Arial" w:hAnsi="Arial"/>
                <w:sz w:val="17"/>
                <w:szCs w:val="17"/>
                <w:color w:val="0000FF"/>
                <w:w w:val="86"/>
              </w:rPr>
            </w:pPr>
            <w:hyperlink w:anchor="page3">
              <w:r>
                <w:rPr>
                  <w:rFonts w:ascii="Arial" w:cs="Arial" w:eastAsia="Arial" w:hAnsi="Arial"/>
                  <w:sz w:val="17"/>
                  <w:szCs w:val="17"/>
                  <w:color w:val="0000FF"/>
                  <w:w w:val="86"/>
                </w:rPr>
                <w:t>Financial Statements</w:t>
              </w:r>
            </w:hyperlink>
          </w:p>
        </w:tc>
        <w:tc>
          <w:tcPr>
            <w:tcW w:w="2380" w:type="dxa"/>
            <w:vAlign w:val="bottom"/>
            <w:gridSpan w:val="3"/>
          </w:tcPr>
          <w:p>
            <w:pPr>
              <w:spacing w:after="0"/>
              <w:rPr>
                <w:sz w:val="21"/>
                <w:szCs w:val="21"/>
                <w:color w:val="auto"/>
              </w:rPr>
            </w:pPr>
          </w:p>
        </w:tc>
        <w:tc>
          <w:tcPr>
            <w:tcW w:w="2760" w:type="dxa"/>
            <w:vAlign w:val="bottom"/>
            <w:tcBorders>
              <w:top w:val="single" w:sz="8" w:color="0000FF"/>
            </w:tcBorders>
            <w:gridSpan w:val="7"/>
          </w:tcPr>
          <w:p>
            <w:pPr>
              <w:spacing w:after="0"/>
              <w:rPr>
                <w:sz w:val="21"/>
                <w:szCs w:val="21"/>
                <w:color w:val="auto"/>
              </w:rPr>
            </w:pPr>
          </w:p>
        </w:tc>
        <w:tc>
          <w:tcPr>
            <w:tcW w:w="382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gridSpan w:val="11"/>
          </w:tcPr>
          <w:p>
            <w:pPr>
              <w:spacing w:after="0"/>
              <w:rPr>
                <w:rFonts w:ascii="Arial" w:cs="Arial" w:eastAsia="Arial" w:hAnsi="Arial"/>
                <w:sz w:val="17"/>
                <w:szCs w:val="17"/>
                <w:color w:val="0000EE"/>
                <w:w w:val="87"/>
              </w:rPr>
            </w:pPr>
            <w:hyperlink w:anchor="page3">
              <w:r>
                <w:rPr>
                  <w:rFonts w:ascii="Arial" w:cs="Arial" w:eastAsia="Arial" w:hAnsi="Arial"/>
                  <w:sz w:val="17"/>
                  <w:szCs w:val="17"/>
                  <w:color w:val="0000EE"/>
                  <w:w w:val="87"/>
                </w:rPr>
                <w:t>Consolidated Balance Sheets - September 30, 2017 and December 31, 2016</w:t>
              </w:r>
            </w:hyperlink>
          </w:p>
        </w:tc>
        <w:tc>
          <w:tcPr>
            <w:tcW w:w="5060" w:type="dxa"/>
            <w:vAlign w:val="bottom"/>
            <w:gridSpan w:val="6"/>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40" w:type="dxa"/>
            <w:vAlign w:val="bottom"/>
            <w:gridSpan w:val="16"/>
          </w:tcPr>
          <w:p>
            <w:pPr>
              <w:spacing w:after="0"/>
              <w:rPr>
                <w:rFonts w:ascii="Arial" w:cs="Arial" w:eastAsia="Arial" w:hAnsi="Arial"/>
                <w:sz w:val="17"/>
                <w:szCs w:val="17"/>
                <w:color w:val="0000EE"/>
                <w:w w:val="88"/>
              </w:rPr>
            </w:pPr>
            <w:hyperlink w:anchor="page4">
              <w:r>
                <w:rPr>
                  <w:rFonts w:ascii="Arial" w:cs="Arial" w:eastAsia="Arial" w:hAnsi="Arial"/>
                  <w:sz w:val="17"/>
                  <w:szCs w:val="17"/>
                  <w:color w:val="0000EE"/>
                  <w:w w:val="88"/>
                </w:rPr>
                <w:t>Statements of Consolidated Comprehensive Income - Three and Nine Months Ended September 30, 2017 and 2016</w:t>
              </w:r>
            </w:hyperlink>
          </w:p>
        </w:tc>
        <w:tc>
          <w:tcPr>
            <w:tcW w:w="240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2"/>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14"/>
          </w:tcPr>
          <w:p>
            <w:pPr>
              <w:spacing w:after="0"/>
              <w:rPr>
                <w:rFonts w:ascii="Arial" w:cs="Arial" w:eastAsia="Arial" w:hAnsi="Arial"/>
                <w:sz w:val="17"/>
                <w:szCs w:val="17"/>
                <w:color w:val="0000EE"/>
                <w:w w:val="87"/>
              </w:rPr>
            </w:pPr>
            <w:hyperlink w:anchor="page5">
              <w:r>
                <w:rPr>
                  <w:rFonts w:ascii="Arial" w:cs="Arial" w:eastAsia="Arial" w:hAnsi="Arial"/>
                  <w:sz w:val="17"/>
                  <w:szCs w:val="17"/>
                  <w:color w:val="0000EE"/>
                  <w:w w:val="87"/>
                </w:rPr>
                <w:t>Statements of Consolidated Cash Flows - Nine Months Ended September 30, 2017 and 2016</w:t>
              </w:r>
            </w:hyperlink>
          </w:p>
        </w:tc>
        <w:tc>
          <w:tcPr>
            <w:tcW w:w="1560" w:type="dxa"/>
            <w:vAlign w:val="bottom"/>
            <w:gridSpan w:val="2"/>
          </w:tcPr>
          <w:p>
            <w:pPr>
              <w:spacing w:after="0"/>
              <w:rPr>
                <w:sz w:val="20"/>
                <w:szCs w:val="20"/>
                <w:color w:val="auto"/>
              </w:rPr>
            </w:pPr>
          </w:p>
        </w:tc>
        <w:tc>
          <w:tcPr>
            <w:tcW w:w="240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96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40" w:type="dxa"/>
            <w:vAlign w:val="bottom"/>
            <w:gridSpan w:val="13"/>
          </w:tcPr>
          <w:p>
            <w:pPr>
              <w:spacing w:after="0"/>
              <w:rPr>
                <w:rFonts w:ascii="Arial" w:cs="Arial" w:eastAsia="Arial" w:hAnsi="Arial"/>
                <w:sz w:val="17"/>
                <w:szCs w:val="17"/>
                <w:color w:val="0000EE"/>
                <w:w w:val="89"/>
              </w:rPr>
            </w:pPr>
            <w:hyperlink w:anchor="page6">
              <w:r>
                <w:rPr>
                  <w:rFonts w:ascii="Arial" w:cs="Arial" w:eastAsia="Arial" w:hAnsi="Arial"/>
                  <w:sz w:val="17"/>
                  <w:szCs w:val="17"/>
                  <w:color w:val="0000EE"/>
                  <w:w w:val="89"/>
                </w:rPr>
                <w:t>Statement of Consolidated Shareholders’ Deficit - Nine Months Ended September 30, 2017</w:t>
              </w:r>
            </w:hyperlink>
          </w:p>
        </w:tc>
        <w:tc>
          <w:tcPr>
            <w:tcW w:w="40" w:type="dxa"/>
            <w:vAlign w:val="bottom"/>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7"/>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Notes to Consolidated Financial Statements</w:t>
              </w:r>
            </w:hyperlink>
          </w:p>
        </w:tc>
        <w:tc>
          <w:tcPr>
            <w:tcW w:w="3200" w:type="dxa"/>
            <w:vAlign w:val="bottom"/>
            <w:gridSpan w:val="6"/>
          </w:tcPr>
          <w:p>
            <w:pPr>
              <w:spacing w:after="0"/>
              <w:rPr>
                <w:sz w:val="20"/>
                <w:szCs w:val="20"/>
                <w:color w:val="auto"/>
              </w:rPr>
            </w:pPr>
          </w:p>
        </w:tc>
        <w:tc>
          <w:tcPr>
            <w:tcW w:w="400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7</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2</w:t>
            </w:r>
          </w:p>
        </w:tc>
        <w:tc>
          <w:tcPr>
            <w:tcW w:w="6020" w:type="dxa"/>
            <w:vAlign w:val="bottom"/>
            <w:gridSpan w:val="13"/>
          </w:tcPr>
          <w:p>
            <w:pPr>
              <w:spacing w:after="0"/>
              <w:rPr>
                <w:rFonts w:ascii="Arial" w:cs="Arial" w:eastAsia="Arial" w:hAnsi="Arial"/>
                <w:sz w:val="17"/>
                <w:szCs w:val="17"/>
                <w:color w:val="0000FF"/>
                <w:w w:val="89"/>
              </w:rPr>
            </w:pPr>
            <w:hyperlink w:anchor="page14">
              <w:r>
                <w:rPr>
                  <w:rFonts w:ascii="Arial" w:cs="Arial" w:eastAsia="Arial" w:hAnsi="Arial"/>
                  <w:sz w:val="17"/>
                  <w:szCs w:val="17"/>
                  <w:color w:val="0000FF"/>
                  <w:w w:val="89"/>
                </w:rPr>
                <w:t>Management’s Discussion and Analysis of Financial Condition and Results of Operations</w:t>
              </w:r>
            </w:hyperlink>
          </w:p>
        </w:tc>
        <w:tc>
          <w:tcPr>
            <w:tcW w:w="4340" w:type="dxa"/>
            <w:vAlign w:val="bottom"/>
            <w:gridSpan w:val="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14">
              <w:r>
                <w:rPr>
                  <w:rFonts w:ascii="Arial" w:cs="Arial" w:eastAsia="Arial" w:hAnsi="Arial"/>
                  <w:sz w:val="17"/>
                  <w:szCs w:val="17"/>
                  <w:color w:val="0000FF"/>
                </w:rPr>
                <w:t>14</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3</w:t>
            </w:r>
          </w:p>
        </w:tc>
        <w:tc>
          <w:tcPr>
            <w:tcW w:w="6020" w:type="dxa"/>
            <w:vAlign w:val="bottom"/>
            <w:gridSpan w:val="13"/>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Quantitative and Qualitative Disclosures About Market Risk</w:t>
              </w:r>
            </w:hyperlink>
          </w:p>
        </w:tc>
        <w:tc>
          <w:tcPr>
            <w:tcW w:w="380" w:type="dxa"/>
            <w:vAlign w:val="bottom"/>
            <w:gridSpan w:val="2"/>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4</w:t>
            </w:r>
          </w:p>
        </w:tc>
        <w:tc>
          <w:tcPr>
            <w:tcW w:w="6400" w:type="dxa"/>
            <w:vAlign w:val="bottom"/>
            <w:gridSpan w:val="15"/>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Controls and Procedures</w:t>
              </w:r>
            </w:hyperlink>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r>
      <w:tr>
        <w:trPr>
          <w:trHeight w:val="232"/>
        </w:trPr>
        <w:tc>
          <w:tcPr>
            <w:tcW w:w="48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8"/>
          </w:tcPr>
          <w:p>
            <w:pPr>
              <w:jc w:val="center"/>
              <w:ind w:right="3960"/>
              <w:spacing w:after="0"/>
              <w:rPr>
                <w:rFonts w:ascii="Arial" w:cs="Arial" w:eastAsia="Arial" w:hAnsi="Arial"/>
                <w:sz w:val="17"/>
                <w:szCs w:val="17"/>
                <w:color w:val="0000FF"/>
                <w:w w:val="94"/>
              </w:rPr>
            </w:pPr>
            <w:hyperlink w:anchor="page30">
              <w:r>
                <w:rPr>
                  <w:rFonts w:ascii="Arial" w:cs="Arial" w:eastAsia="Arial" w:hAnsi="Arial"/>
                  <w:sz w:val="17"/>
                  <w:szCs w:val="17"/>
                  <w:color w:val="0000FF"/>
                  <w:w w:val="94"/>
                </w:rPr>
                <w:t>PART II – OTHER INFORMATION</w:t>
              </w:r>
            </w:hyperlink>
          </w:p>
        </w:tc>
        <w:tc>
          <w:tcPr>
            <w:tcW w:w="3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240" w:type="dxa"/>
            <w:vAlign w:val="bottom"/>
            <w:gridSpan w:val="5"/>
          </w:tcPr>
          <w:p>
            <w:pPr>
              <w:spacing w:after="0"/>
              <w:rPr>
                <w:rFonts w:ascii="Arial" w:cs="Arial" w:eastAsia="Arial" w:hAnsi="Arial"/>
                <w:sz w:val="17"/>
                <w:szCs w:val="17"/>
                <w:color w:val="0000FF"/>
                <w:w w:val="86"/>
              </w:rPr>
            </w:pPr>
            <w:hyperlink w:anchor="page30">
              <w:r>
                <w:rPr>
                  <w:rFonts w:ascii="Arial" w:cs="Arial" w:eastAsia="Arial" w:hAnsi="Arial"/>
                  <w:sz w:val="17"/>
                  <w:szCs w:val="17"/>
                  <w:color w:val="0000FF"/>
                  <w:w w:val="86"/>
                </w:rPr>
                <w:t>Legal Proceedings</w:t>
              </w:r>
            </w:hyperlink>
          </w:p>
        </w:tc>
        <w:tc>
          <w:tcPr>
            <w:tcW w:w="2680" w:type="dxa"/>
            <w:vAlign w:val="bottom"/>
            <w:gridSpan w:val="5"/>
          </w:tcPr>
          <w:p>
            <w:pPr>
              <w:spacing w:after="0"/>
              <w:rPr>
                <w:sz w:val="20"/>
                <w:szCs w:val="20"/>
                <w:color w:val="auto"/>
              </w:rPr>
            </w:pPr>
          </w:p>
        </w:tc>
        <w:tc>
          <w:tcPr>
            <w:tcW w:w="2480" w:type="dxa"/>
            <w:vAlign w:val="bottom"/>
            <w:tcBorders>
              <w:top w:val="single" w:sz="8" w:color="0000FF"/>
            </w:tcBorders>
            <w:gridSpan w:val="5"/>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30</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12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1A</w:t>
            </w:r>
          </w:p>
        </w:tc>
        <w:tc>
          <w:tcPr>
            <w:tcW w:w="840" w:type="dxa"/>
            <w:vAlign w:val="bottom"/>
            <w:gridSpan w:val="4"/>
          </w:tcPr>
          <w:p>
            <w:pPr>
              <w:spacing w:after="0"/>
              <w:rPr>
                <w:rFonts w:ascii="Arial" w:cs="Arial" w:eastAsia="Arial" w:hAnsi="Arial"/>
                <w:sz w:val="17"/>
                <w:szCs w:val="17"/>
                <w:color w:val="0000FF"/>
                <w:w w:val="86"/>
              </w:rPr>
            </w:pPr>
            <w:hyperlink w:anchor="page30">
              <w:r>
                <w:rPr>
                  <w:rFonts w:ascii="Arial" w:cs="Arial" w:eastAsia="Arial" w:hAnsi="Arial"/>
                  <w:sz w:val="17"/>
                  <w:szCs w:val="17"/>
                  <w:color w:val="0000FF"/>
                  <w:w w:val="86"/>
                </w:rPr>
                <w:t>Risk Factors</w:t>
              </w:r>
            </w:hyperlink>
          </w:p>
        </w:tc>
        <w:tc>
          <w:tcPr>
            <w:tcW w:w="400" w:type="dxa"/>
            <w:vAlign w:val="bottom"/>
          </w:tcPr>
          <w:p>
            <w:pPr>
              <w:spacing w:after="0"/>
              <w:rPr>
                <w:sz w:val="20"/>
                <w:szCs w:val="20"/>
                <w:color w:val="auto"/>
              </w:rPr>
            </w:pPr>
          </w:p>
        </w:tc>
        <w:tc>
          <w:tcPr>
            <w:tcW w:w="9120" w:type="dxa"/>
            <w:vAlign w:val="bottom"/>
            <w:gridSpan w:val="1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30</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52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6</w:t>
            </w:r>
          </w:p>
        </w:tc>
        <w:tc>
          <w:tcPr>
            <w:tcW w:w="560" w:type="dxa"/>
            <w:vAlign w:val="bottom"/>
            <w:gridSpan w:val="2"/>
          </w:tcPr>
          <w:p>
            <w:pPr>
              <w:spacing w:after="0"/>
              <w:rPr>
                <w:rFonts w:ascii="Arial" w:cs="Arial" w:eastAsia="Arial" w:hAnsi="Arial"/>
                <w:sz w:val="17"/>
                <w:szCs w:val="17"/>
                <w:color w:val="0000FF"/>
                <w:w w:val="90"/>
              </w:rPr>
            </w:pPr>
            <w:hyperlink w:anchor="page30">
              <w:r>
                <w:rPr>
                  <w:rFonts w:ascii="Arial" w:cs="Arial" w:eastAsia="Arial" w:hAnsi="Arial"/>
                  <w:sz w:val="17"/>
                  <w:szCs w:val="17"/>
                  <w:color w:val="0000FF"/>
                  <w:w w:val="90"/>
                </w:rPr>
                <w:t>Exhibits</w:t>
              </w:r>
            </w:hyperlink>
          </w:p>
        </w:tc>
        <w:tc>
          <w:tcPr>
            <w:tcW w:w="280" w:type="dxa"/>
            <w:vAlign w:val="bottom"/>
            <w:gridSpan w:val="2"/>
          </w:tcPr>
          <w:p>
            <w:pPr>
              <w:spacing w:after="0"/>
              <w:rPr>
                <w:sz w:val="20"/>
                <w:szCs w:val="20"/>
                <w:color w:val="auto"/>
              </w:rPr>
            </w:pPr>
          </w:p>
        </w:tc>
        <w:tc>
          <w:tcPr>
            <w:tcW w:w="9520" w:type="dxa"/>
            <w:vAlign w:val="bottom"/>
            <w:gridSpan w:val="1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30</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6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48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7"/>
                <w:szCs w:val="17"/>
                <w:color w:val="0000FF"/>
                <w:w w:val="83"/>
              </w:rPr>
            </w:pPr>
            <w:hyperlink w:anchor="page31">
              <w:r>
                <w:rPr>
                  <w:rFonts w:ascii="Arial" w:cs="Arial" w:eastAsia="Arial" w:hAnsi="Arial"/>
                  <w:sz w:val="17"/>
                  <w:szCs w:val="17"/>
                  <w:color w:val="0000FF"/>
                  <w:w w:val="83"/>
                </w:rPr>
                <w:t>Signatures</w:t>
              </w:r>
            </w:hyperlink>
          </w:p>
        </w:tc>
        <w:tc>
          <w:tcPr>
            <w:tcW w:w="966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1">
              <w:r>
                <w:rPr>
                  <w:rFonts w:ascii="Arial" w:cs="Arial" w:eastAsia="Arial" w:hAnsi="Arial"/>
                  <w:sz w:val="17"/>
                  <w:szCs w:val="17"/>
                  <w:color w:val="0000FF"/>
                </w:rPr>
                <w:t>31</w:t>
              </w:r>
            </w:hyperlink>
          </w:p>
        </w:tc>
      </w:tr>
      <w:tr>
        <w:trPr>
          <w:trHeight w:val="652"/>
        </w:trPr>
        <w:tc>
          <w:tcPr>
            <w:tcW w:w="480" w:type="dxa"/>
            <w:vAlign w:val="bottom"/>
          </w:tcPr>
          <w:p>
            <w:pPr>
              <w:spacing w:after="0"/>
              <w:rPr>
                <w:sz w:val="24"/>
                <w:szCs w:val="24"/>
                <w:color w:val="auto"/>
              </w:rPr>
            </w:pPr>
          </w:p>
        </w:tc>
        <w:tc>
          <w:tcPr>
            <w:tcW w:w="700" w:type="dxa"/>
            <w:vAlign w:val="bottom"/>
            <w:tcBorders>
              <w:top w:val="single" w:sz="8" w:color="0000FF"/>
            </w:tcBorders>
            <w:gridSpan w:val="3"/>
          </w:tcPr>
          <w:p>
            <w:pPr>
              <w:spacing w:after="0"/>
              <w:rPr>
                <w:sz w:val="24"/>
                <w:szCs w:val="24"/>
                <w:color w:val="auto"/>
              </w:rPr>
            </w:pPr>
          </w:p>
        </w:tc>
        <w:tc>
          <w:tcPr>
            <w:tcW w:w="4600" w:type="dxa"/>
            <w:vAlign w:val="bottom"/>
            <w:gridSpan w:val="9"/>
          </w:tcPr>
          <w:p>
            <w:pPr>
              <w:jc w:val="right"/>
              <w:ind w:right="40"/>
              <w:spacing w:after="0"/>
              <w:rPr>
                <w:sz w:val="20"/>
                <w:szCs w:val="20"/>
                <w:color w:val="auto"/>
              </w:rPr>
            </w:pPr>
            <w:r>
              <w:rPr>
                <w:rFonts w:ascii="Arial" w:cs="Arial" w:eastAsia="Arial" w:hAnsi="Arial"/>
                <w:sz w:val="17"/>
                <w:szCs w:val="17"/>
                <w:color w:val="auto"/>
              </w:rPr>
              <w:t>2</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I—FINANCIAL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(Amounts in millions except share and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3"/>
                <w:szCs w:val="13"/>
                <w:color w:val="auto"/>
                <w:w w:val="91"/>
              </w:rPr>
              <w:t>September 30,</w:t>
            </w:r>
          </w:p>
        </w:tc>
        <w:tc>
          <w:tcPr>
            <w:tcW w:w="220" w:type="dxa"/>
            <w:vAlign w:val="bottom"/>
          </w:tcPr>
          <w:p>
            <w:pPr>
              <w:spacing w:after="0"/>
              <w:rPr>
                <w:sz w:val="13"/>
                <w:szCs w:val="13"/>
                <w:color w:val="auto"/>
              </w:rPr>
            </w:pPr>
          </w:p>
        </w:tc>
        <w:tc>
          <w:tcPr>
            <w:tcW w:w="1240" w:type="dxa"/>
            <w:vAlign w:val="bottom"/>
          </w:tcPr>
          <w:p>
            <w:pPr>
              <w:jc w:val="right"/>
              <w:ind w:right="277"/>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77"/>
        </w:trPr>
        <w:tc>
          <w:tcPr>
            <w:tcW w:w="8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8"/>
              <w:spacing w:after="0"/>
              <w:rPr>
                <w:sz w:val="20"/>
                <w:szCs w:val="20"/>
                <w:color w:val="auto"/>
              </w:rPr>
            </w:pPr>
            <w:r>
              <w:rPr>
                <w:rFonts w:ascii="Arial" w:cs="Arial" w:eastAsia="Arial" w:hAnsi="Arial"/>
                <w:sz w:val="13"/>
                <w:szCs w:val="13"/>
                <w:color w:val="auto"/>
                <w:w w:val="89"/>
              </w:rPr>
              <w:t>2017</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2016</w:t>
            </w:r>
          </w:p>
        </w:tc>
        <w:tc>
          <w:tcPr>
            <w:tcW w:w="0" w:type="dxa"/>
            <w:vAlign w:val="bottom"/>
          </w:tcPr>
          <w:p>
            <w:pPr>
              <w:spacing w:after="0"/>
              <w:rPr>
                <w:sz w:val="1"/>
                <w:szCs w:val="1"/>
                <w:color w:val="auto"/>
              </w:rPr>
            </w:pPr>
          </w:p>
        </w:tc>
      </w:tr>
      <w:tr>
        <w:trPr>
          <w:trHeight w:val="232"/>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3"/>
                <w:szCs w:val="13"/>
                <w:color w:val="auto"/>
                <w:w w:val="97"/>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Restricted amounts held in escrow</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54.0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126.7</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528.5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448.7</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Prepaid expenses and other</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66.6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809.9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780.8</w:t>
            </w:r>
          </w:p>
        </w:tc>
        <w:tc>
          <w:tcPr>
            <w:tcW w:w="0" w:type="dxa"/>
            <w:vAlign w:val="bottom"/>
          </w:tcPr>
          <w:p>
            <w:pPr>
              <w:spacing w:after="0"/>
              <w:rPr>
                <w:sz w:val="1"/>
                <w:szCs w:val="1"/>
                <w:color w:val="auto"/>
              </w:rPr>
            </w:pP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Cost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2,751.7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2,787.0</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Less – accumulated depreciation</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(1,932.6)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(1,916.4)</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819.1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870.6</w:t>
            </w:r>
          </w:p>
        </w:tc>
        <w:tc>
          <w:tcPr>
            <w:tcW w:w="0" w:type="dxa"/>
            <w:vAlign w:val="bottom"/>
          </w:tcPr>
          <w:p>
            <w:pPr>
              <w:spacing w:after="0"/>
              <w:rPr>
                <w:sz w:val="1"/>
                <w:szCs w:val="1"/>
                <w:color w:val="auto"/>
              </w:rPr>
            </w:pP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amounts held in escrow</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Deferred income taxes, net</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1,701.6</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1,770.0</w:t>
            </w:r>
          </w:p>
        </w:tc>
        <w:tc>
          <w:tcPr>
            <w:tcW w:w="0" w:type="dxa"/>
            <w:vAlign w:val="bottom"/>
          </w:tcPr>
          <w:p>
            <w:pPr>
              <w:spacing w:after="0"/>
              <w:rPr>
                <w:sz w:val="1"/>
                <w:szCs w:val="1"/>
                <w:color w:val="auto"/>
              </w:rPr>
            </w:pPr>
          </w:p>
        </w:tc>
      </w:tr>
      <w:tr>
        <w:trPr>
          <w:trHeight w:val="66"/>
        </w:trPr>
        <w:tc>
          <w:tcPr>
            <w:tcW w:w="8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340" w:type="dxa"/>
            <w:vAlign w:val="bottom"/>
            <w:tcBorders>
              <w:bottom w:val="single" w:sz="8" w:color="CCEEFF"/>
            </w:tcBorders>
            <w:shd w:val="clear" w:color="auto" w:fill="CCEEFF"/>
          </w:tcPr>
          <w:p>
            <w:pPr>
              <w:ind w:left="20"/>
              <w:spacing w:after="0" w:line="179" w:lineRule="exact"/>
              <w:rPr>
                <w:sz w:val="20"/>
                <w:szCs w:val="20"/>
                <w:color w:val="auto"/>
              </w:rPr>
            </w:pPr>
            <w:r>
              <w:rPr>
                <w:rFonts w:ascii="Arial" w:cs="Arial" w:eastAsia="Arial" w:hAnsi="Arial"/>
                <w:sz w:val="17"/>
                <w:szCs w:val="17"/>
                <w:b w:val="1"/>
                <w:bCs w:val="1"/>
                <w:color w:val="auto"/>
              </w:rPr>
              <w:t>Liabilities and Shareholders’ Deficit</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160.6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Wages, vacations and employee benefits</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212.1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191.0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Deferred income taxes,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Claims and insurance accruals</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116.0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114.9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accrued taxes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current and accrued liabilities</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Current maturities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583.4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561.9</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Long-term debt, less current portion</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913.0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980.3</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Deferred income taxes,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Pension and postretirement</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316.3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358.2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Claims and other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282.2</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Commitments and contingencies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 Deficit: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Preferred stock, $1 par value per share</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Common stock, $0.01 par value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Capital surplus</w:t>
            </w:r>
          </w:p>
        </w:tc>
        <w:tc>
          <w:tcPr>
            <w:tcW w:w="2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2,322.1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2,319.2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Accumulated deficit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(2,217.8)</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(425.2)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Treasury stock, at cost (410 shares)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Total shareholders’ deficit</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(403.7)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(416.2)</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Shareholders’ Deficit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1,770.0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7"/>
                <w:szCs w:val="17"/>
                <w:color w:val="auto"/>
                <w:w w:val="96"/>
              </w:rPr>
              <w:t>The accompanying notes are an integral part of these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Three Months and Nine Months Ended September 30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per share data, shares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color w:val="auto"/>
              </w:rPr>
              <w:t>Three Months</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color w:val="auto"/>
              </w:rPr>
              <w:t>Nine Months</w:t>
            </w:r>
          </w:p>
        </w:tc>
        <w:tc>
          <w:tcPr>
            <w:tcW w:w="1000" w:type="dxa"/>
            <w:vAlign w:val="bottom"/>
            <w:tcBorders>
              <w:bottom w:val="single" w:sz="8" w:color="auto"/>
            </w:tcBorders>
          </w:tcPr>
          <w:p>
            <w:pPr>
              <w:spacing w:after="0"/>
              <w:rPr>
                <w:sz w:val="15"/>
                <w:szCs w:val="15"/>
                <w:color w:val="auto"/>
              </w:rPr>
            </w:pPr>
          </w:p>
        </w:tc>
      </w:tr>
      <w:tr>
        <w:trPr>
          <w:trHeight w:val="244"/>
        </w:trPr>
        <w:tc>
          <w:tcPr>
            <w:tcW w:w="5140" w:type="dxa"/>
            <w:vAlign w:val="bottom"/>
            <w:tcBorders>
              <w:bottom w:val="single" w:sz="8" w:color="BFE4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3"/>
                <w:szCs w:val="13"/>
                <w:color w:val="auto"/>
              </w:rPr>
              <w:t>2017</w:t>
            </w:r>
          </w:p>
        </w:tc>
        <w:tc>
          <w:tcPr>
            <w:tcW w:w="120" w:type="dxa"/>
            <w:vAlign w:val="bottom"/>
            <w:tcBorders>
              <w:bottom w:val="single" w:sz="8" w:color="BFE4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2016</w:t>
            </w:r>
          </w:p>
        </w:tc>
        <w:tc>
          <w:tcPr>
            <w:tcW w:w="10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color w:val="auto"/>
              </w:rPr>
              <w:t>2017</w:t>
            </w:r>
          </w:p>
        </w:tc>
        <w:tc>
          <w:tcPr>
            <w:tcW w:w="120" w:type="dxa"/>
            <w:vAlign w:val="bottom"/>
            <w:tcBorders>
              <w:bottom w:val="single" w:sz="8" w:color="BFE4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2016</w:t>
            </w:r>
          </w:p>
        </w:tc>
      </w:tr>
      <w:tr>
        <w:trPr>
          <w:trHeight w:val="249"/>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Operating Revenue</w:t>
            </w:r>
          </w:p>
        </w:tc>
        <w:tc>
          <w:tcPr>
            <w:tcW w:w="380" w:type="dxa"/>
            <w:vAlign w:val="bottom"/>
            <w:tcBorders>
              <w:bottom w:val="single" w:sz="8" w:color="BFE4FF"/>
            </w:tcBorders>
            <w:shd w:val="clear" w:color="auto" w:fill="BFE4FF"/>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1,251.2</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1,221.3</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3,682.4</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3,549.2</w:t>
            </w:r>
          </w:p>
        </w:tc>
      </w:tr>
      <w:tr>
        <w:trPr>
          <w:trHeight w:val="20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38"/>
        </w:trPr>
        <w:tc>
          <w:tcPr>
            <w:tcW w:w="5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2"/>
        </w:trPr>
        <w:tc>
          <w:tcPr>
            <w:tcW w:w="51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Salaries, wages and employee benefits</w:t>
            </w:r>
          </w:p>
        </w:tc>
        <w:tc>
          <w:tcPr>
            <w:tcW w:w="380" w:type="dxa"/>
            <w:vAlign w:val="bottom"/>
            <w:tcBorders>
              <w:bottom w:val="single" w:sz="8" w:color="BFE4FF"/>
            </w:tcBorders>
            <w:shd w:val="clear" w:color="auto" w:fill="BFE4FF"/>
          </w:tcPr>
          <w:p>
            <w:pPr>
              <w:spacing w:after="0"/>
              <w:rPr>
                <w:sz w:val="20"/>
                <w:szCs w:val="20"/>
                <w:color w:val="auto"/>
              </w:rPr>
            </w:pPr>
          </w:p>
        </w:tc>
        <w:tc>
          <w:tcPr>
            <w:tcW w:w="114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726.8</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715.8</w:t>
            </w:r>
          </w:p>
        </w:tc>
        <w:tc>
          <w:tcPr>
            <w:tcW w:w="10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BFE4FF"/>
            </w:tcBorders>
            <w:shd w:val="clear" w:color="auto" w:fill="BFE4FF"/>
          </w:tcPr>
          <w:p>
            <w:pPr>
              <w:spacing w:after="0"/>
              <w:rPr>
                <w:sz w:val="20"/>
                <w:szCs w:val="20"/>
                <w:color w:val="auto"/>
              </w:rPr>
            </w:pPr>
          </w:p>
        </w:tc>
        <w:tc>
          <w:tcPr>
            <w:tcW w:w="112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2,188.1</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2,132.6</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Operating expenses and supplies</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216.6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206.9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642.6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595.7</w:t>
            </w:r>
          </w:p>
        </w:tc>
      </w:tr>
      <w:tr>
        <w:trPr>
          <w:trHeight w:val="26"/>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51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Purchased transportation</w:t>
            </w:r>
          </w:p>
        </w:tc>
        <w:tc>
          <w:tcPr>
            <w:tcW w:w="380" w:type="dxa"/>
            <w:vAlign w:val="bottom"/>
            <w:tcBorders>
              <w:bottom w:val="single" w:sz="8" w:color="BFE4FF"/>
            </w:tcBorders>
            <w:shd w:val="clear" w:color="auto" w:fill="BFE4FF"/>
          </w:tcPr>
          <w:p>
            <w:pPr>
              <w:spacing w:after="0"/>
              <w:rPr>
                <w:sz w:val="20"/>
                <w:szCs w:val="20"/>
                <w:color w:val="auto"/>
              </w:rPr>
            </w:pPr>
          </w:p>
        </w:tc>
        <w:tc>
          <w:tcPr>
            <w:tcW w:w="114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169.1</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156.8</w:t>
            </w:r>
          </w:p>
        </w:tc>
        <w:tc>
          <w:tcPr>
            <w:tcW w:w="10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BFE4FF"/>
            </w:tcBorders>
            <w:shd w:val="clear" w:color="auto" w:fill="BFE4FF"/>
          </w:tcPr>
          <w:p>
            <w:pPr>
              <w:spacing w:after="0"/>
              <w:rPr>
                <w:sz w:val="20"/>
                <w:szCs w:val="20"/>
                <w:color w:val="auto"/>
              </w:rPr>
            </w:pPr>
          </w:p>
        </w:tc>
        <w:tc>
          <w:tcPr>
            <w:tcW w:w="112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463.2</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409.0</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36.7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40.3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111.0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119.5</w:t>
            </w:r>
          </w:p>
        </w:tc>
      </w:tr>
      <w:tr>
        <w:trPr>
          <w:trHeight w:val="26"/>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51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Other operating expenses</w:t>
            </w:r>
          </w:p>
        </w:tc>
        <w:tc>
          <w:tcPr>
            <w:tcW w:w="380" w:type="dxa"/>
            <w:vAlign w:val="bottom"/>
            <w:tcBorders>
              <w:bottom w:val="single" w:sz="8" w:color="BFE4FF"/>
            </w:tcBorders>
            <w:shd w:val="clear" w:color="auto" w:fill="BFE4FF"/>
          </w:tcPr>
          <w:p>
            <w:pPr>
              <w:spacing w:after="0"/>
              <w:rPr>
                <w:sz w:val="20"/>
                <w:szCs w:val="20"/>
                <w:color w:val="auto"/>
              </w:rPr>
            </w:pPr>
          </w:p>
        </w:tc>
        <w:tc>
          <w:tcPr>
            <w:tcW w:w="114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60.6</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62.5</w:t>
            </w:r>
          </w:p>
        </w:tc>
        <w:tc>
          <w:tcPr>
            <w:tcW w:w="10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BFE4FF"/>
            </w:tcBorders>
            <w:shd w:val="clear" w:color="auto" w:fill="BFE4FF"/>
          </w:tcPr>
          <w:p>
            <w:pPr>
              <w:spacing w:after="0"/>
              <w:rPr>
                <w:sz w:val="20"/>
                <w:szCs w:val="20"/>
                <w:color w:val="auto"/>
              </w:rPr>
            </w:pPr>
          </w:p>
        </w:tc>
        <w:tc>
          <w:tcPr>
            <w:tcW w:w="112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187.4</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194.2</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6"/>
        </w:trPr>
        <w:tc>
          <w:tcPr>
            <w:tcW w:w="514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BFE4FF"/>
            </w:tcBorders>
            <w:shd w:val="clear" w:color="auto" w:fill="BFE4FF"/>
          </w:tcPr>
          <w:p>
            <w:pPr>
              <w:ind w:left="66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1,211.1</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1,182.5</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3,595.3</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3,439.8</w:t>
            </w:r>
          </w:p>
        </w:tc>
      </w:tr>
      <w:tr>
        <w:trPr>
          <w:trHeight w:val="219"/>
        </w:trPr>
        <w:tc>
          <w:tcPr>
            <w:tcW w:w="5140" w:type="dxa"/>
            <w:vAlign w:val="bottom"/>
          </w:tcPr>
          <w:p>
            <w:pPr>
              <w:ind w:left="1060"/>
              <w:spacing w:after="0"/>
              <w:rPr>
                <w:sz w:val="20"/>
                <w:szCs w:val="20"/>
                <w:color w:val="auto"/>
              </w:rPr>
            </w:pPr>
            <w:r>
              <w:rPr>
                <w:rFonts w:ascii="Arial" w:cs="Arial" w:eastAsia="Arial" w:hAnsi="Arial"/>
                <w:sz w:val="17"/>
                <w:szCs w:val="17"/>
                <w:b w:val="1"/>
                <w:bCs w:val="1"/>
                <w:color w:val="auto"/>
              </w:rPr>
              <w:t>Operating Income</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40.1</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87.1</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109.4</w:t>
            </w:r>
          </w:p>
        </w:tc>
      </w:tr>
      <w:tr>
        <w:trPr>
          <w:trHeight w:val="26"/>
        </w:trPr>
        <w:tc>
          <w:tcPr>
            <w:tcW w:w="514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Nonoperating Expenses:</w:t>
            </w:r>
          </w:p>
        </w:tc>
        <w:tc>
          <w:tcPr>
            <w:tcW w:w="380" w:type="dxa"/>
            <w:vAlign w:val="bottom"/>
            <w:tcBorders>
              <w:bottom w:val="single" w:sz="8" w:color="BFE4FF"/>
            </w:tcBorders>
            <w:shd w:val="clear" w:color="auto" w:fill="BFE4FF"/>
          </w:tcPr>
          <w:p>
            <w:pPr>
              <w:spacing w:after="0"/>
              <w:rPr>
                <w:sz w:val="19"/>
                <w:szCs w:val="19"/>
                <w:color w:val="auto"/>
              </w:rPr>
            </w:pPr>
          </w:p>
        </w:tc>
        <w:tc>
          <w:tcPr>
            <w:tcW w:w="114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BFE4FF"/>
            </w:tcBorders>
            <w:shd w:val="clear" w:color="auto" w:fill="BFE4FF"/>
          </w:tcPr>
          <w:p>
            <w:pPr>
              <w:spacing w:after="0"/>
              <w:rPr>
                <w:sz w:val="19"/>
                <w:szCs w:val="19"/>
                <w:color w:val="auto"/>
              </w:rPr>
            </w:pPr>
          </w:p>
        </w:tc>
        <w:tc>
          <w:tcPr>
            <w:tcW w:w="102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360" w:type="dxa"/>
            <w:vAlign w:val="bottom"/>
            <w:tcBorders>
              <w:bottom w:val="single" w:sz="8" w:color="BFE4FF"/>
            </w:tcBorders>
            <w:shd w:val="clear" w:color="auto" w:fill="BFE4FF"/>
          </w:tcPr>
          <w:p>
            <w:pPr>
              <w:spacing w:after="0"/>
              <w:rPr>
                <w:sz w:val="19"/>
                <w:szCs w:val="19"/>
                <w:color w:val="auto"/>
              </w:rPr>
            </w:pPr>
          </w:p>
        </w:tc>
        <w:tc>
          <w:tcPr>
            <w:tcW w:w="112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BFE4FF"/>
            </w:tcBorders>
            <w:shd w:val="clear" w:color="auto" w:fill="BFE4FF"/>
          </w:tcPr>
          <w:p>
            <w:pPr>
              <w:spacing w:after="0"/>
              <w:rPr>
                <w:sz w:val="19"/>
                <w:szCs w:val="19"/>
                <w:color w:val="auto"/>
              </w:rPr>
            </w:pPr>
          </w:p>
        </w:tc>
        <w:tc>
          <w:tcPr>
            <w:tcW w:w="1000" w:type="dxa"/>
            <w:vAlign w:val="bottom"/>
            <w:tcBorders>
              <w:bottom w:val="single" w:sz="8" w:color="BFE4FF"/>
            </w:tcBorders>
            <w:shd w:val="clear" w:color="auto" w:fill="BFE4FF"/>
          </w:tcPr>
          <w:p>
            <w:pPr>
              <w:spacing w:after="0"/>
              <w:rPr>
                <w:sz w:val="19"/>
                <w:szCs w:val="19"/>
                <w:color w:val="auto"/>
              </w:rPr>
            </w:pP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25.9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77.0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77.9</w:t>
            </w:r>
          </w:p>
        </w:tc>
      </w:tr>
      <w:tr>
        <w:trPr>
          <w:trHeight w:val="26"/>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2"/>
        </w:trPr>
        <w:tc>
          <w:tcPr>
            <w:tcW w:w="51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Other, net</w:t>
            </w:r>
          </w:p>
        </w:tc>
        <w:tc>
          <w:tcPr>
            <w:tcW w:w="3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10.3</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13.0</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(0.9)</w:t>
            </w:r>
          </w:p>
        </w:tc>
      </w:tr>
      <w:tr>
        <w:trPr>
          <w:trHeight w:val="219"/>
        </w:trPr>
        <w:tc>
          <w:tcPr>
            <w:tcW w:w="5140" w:type="dxa"/>
            <w:vAlign w:val="bottom"/>
          </w:tcPr>
          <w:p>
            <w:pPr>
              <w:ind w:left="660"/>
              <w:spacing w:after="0"/>
              <w:rPr>
                <w:sz w:val="20"/>
                <w:szCs w:val="20"/>
                <w:color w:val="auto"/>
              </w:rPr>
            </w:pPr>
            <w:r>
              <w:rPr>
                <w:rFonts w:ascii="Arial" w:cs="Arial" w:eastAsia="Arial" w:hAnsi="Arial"/>
                <w:sz w:val="17"/>
                <w:szCs w:val="17"/>
                <w:color w:val="auto"/>
              </w:rPr>
              <w:t>Nonoperating expenses, net</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36.2</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90.0</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77.0</w:t>
            </w:r>
          </w:p>
        </w:tc>
      </w:tr>
      <w:tr>
        <w:trPr>
          <w:trHeight w:val="26"/>
        </w:trPr>
        <w:tc>
          <w:tcPr>
            <w:tcW w:w="514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Income (loss) before income taxes</w:t>
            </w:r>
          </w:p>
        </w:tc>
        <w:tc>
          <w:tcPr>
            <w:tcW w:w="380" w:type="dxa"/>
            <w:vAlign w:val="bottom"/>
            <w:tcBorders>
              <w:bottom w:val="single" w:sz="8" w:color="BFE4FF"/>
            </w:tcBorders>
            <w:shd w:val="clear" w:color="auto" w:fill="BFE4FF"/>
          </w:tcPr>
          <w:p>
            <w:pPr>
              <w:spacing w:after="0"/>
              <w:rPr>
                <w:sz w:val="19"/>
                <w:szCs w:val="19"/>
                <w:color w:val="auto"/>
              </w:rPr>
            </w:pPr>
          </w:p>
        </w:tc>
        <w:tc>
          <w:tcPr>
            <w:tcW w:w="114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BFE4FF"/>
            </w:tcBorders>
            <w:shd w:val="clear" w:color="auto" w:fill="BFE4FF"/>
          </w:tcPr>
          <w:p>
            <w:pPr>
              <w:spacing w:after="0"/>
              <w:rPr>
                <w:sz w:val="19"/>
                <w:szCs w:val="19"/>
                <w:color w:val="auto"/>
              </w:rPr>
            </w:pPr>
          </w:p>
        </w:tc>
        <w:tc>
          <w:tcPr>
            <w:tcW w:w="10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BFE4FF"/>
            </w:tcBorders>
            <w:shd w:val="clear" w:color="auto" w:fill="BFE4FF"/>
          </w:tcPr>
          <w:p>
            <w:pPr>
              <w:spacing w:after="0"/>
              <w:rPr>
                <w:sz w:val="19"/>
                <w:szCs w:val="19"/>
                <w:color w:val="auto"/>
              </w:rPr>
            </w:pPr>
          </w:p>
        </w:tc>
        <w:tc>
          <w:tcPr>
            <w:tcW w:w="360" w:type="dxa"/>
            <w:vAlign w:val="bottom"/>
            <w:tcBorders>
              <w:bottom w:val="single" w:sz="8" w:color="BFE4FF"/>
            </w:tcBorders>
            <w:shd w:val="clear" w:color="auto" w:fill="BFE4FF"/>
          </w:tcPr>
          <w:p>
            <w:pPr>
              <w:spacing w:after="0"/>
              <w:rPr>
                <w:sz w:val="19"/>
                <w:szCs w:val="19"/>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BFE4FF"/>
            </w:tcBorders>
            <w:shd w:val="clear" w:color="auto" w:fill="BFE4FF"/>
          </w:tcPr>
          <w:p>
            <w:pPr>
              <w:spacing w:after="0"/>
              <w:rPr>
                <w:sz w:val="19"/>
                <w:szCs w:val="19"/>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32.4</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3.4</w:t>
            </w:r>
          </w:p>
        </w:tc>
      </w:tr>
      <w:tr>
        <w:trPr>
          <w:trHeight w:val="26"/>
        </w:trPr>
        <w:tc>
          <w:tcPr>
            <w:tcW w:w="514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Net income (loss)</w:t>
            </w:r>
          </w:p>
        </w:tc>
        <w:tc>
          <w:tcPr>
            <w:tcW w:w="380" w:type="dxa"/>
            <w:vAlign w:val="bottom"/>
            <w:tcBorders>
              <w:bottom w:val="single" w:sz="8" w:color="BFE4FF"/>
            </w:tcBorders>
            <w:shd w:val="clear" w:color="auto" w:fill="BFE4FF"/>
          </w:tcPr>
          <w:p>
            <w:pPr>
              <w:spacing w:after="0"/>
              <w:rPr>
                <w:sz w:val="19"/>
                <w:szCs w:val="19"/>
                <w:color w:val="auto"/>
              </w:rPr>
            </w:pPr>
          </w:p>
        </w:tc>
        <w:tc>
          <w:tcPr>
            <w:tcW w:w="114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BFE4FF"/>
            </w:tcBorders>
            <w:shd w:val="clear" w:color="auto" w:fill="BFE4FF"/>
          </w:tcPr>
          <w:p>
            <w:pPr>
              <w:spacing w:after="0"/>
              <w:rPr>
                <w:sz w:val="19"/>
                <w:szCs w:val="19"/>
                <w:color w:val="auto"/>
              </w:rPr>
            </w:pPr>
          </w:p>
        </w:tc>
        <w:tc>
          <w:tcPr>
            <w:tcW w:w="10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13.9</w:t>
            </w:r>
          </w:p>
        </w:tc>
        <w:tc>
          <w:tcPr>
            <w:tcW w:w="100" w:type="dxa"/>
            <w:vAlign w:val="bottom"/>
            <w:tcBorders>
              <w:bottom w:val="single" w:sz="8" w:color="BFE4FF"/>
            </w:tcBorders>
            <w:shd w:val="clear" w:color="auto" w:fill="BFE4FF"/>
          </w:tcPr>
          <w:p>
            <w:pPr>
              <w:spacing w:after="0"/>
              <w:rPr>
                <w:sz w:val="19"/>
                <w:szCs w:val="19"/>
                <w:color w:val="auto"/>
              </w:rPr>
            </w:pPr>
          </w:p>
        </w:tc>
        <w:tc>
          <w:tcPr>
            <w:tcW w:w="360" w:type="dxa"/>
            <w:vAlign w:val="bottom"/>
            <w:tcBorders>
              <w:bottom w:val="single" w:sz="8" w:color="BFE4FF"/>
            </w:tcBorders>
            <w:shd w:val="clear" w:color="auto" w:fill="BFE4FF"/>
          </w:tcPr>
          <w:p>
            <w:pPr>
              <w:spacing w:after="0"/>
              <w:rPr>
                <w:sz w:val="19"/>
                <w:szCs w:val="19"/>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BFE4FF"/>
            </w:tcBorders>
            <w:shd w:val="clear" w:color="auto" w:fill="BFE4FF"/>
          </w:tcPr>
          <w:p>
            <w:pPr>
              <w:spacing w:after="0"/>
              <w:rPr>
                <w:sz w:val="19"/>
                <w:szCs w:val="19"/>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29.0</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Other comprehensive income, net of tax</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12.9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2.9</w:t>
            </w:r>
          </w:p>
        </w:tc>
      </w:tr>
      <w:tr>
        <w:trPr>
          <w:trHeight w:val="26"/>
        </w:trPr>
        <w:tc>
          <w:tcPr>
            <w:tcW w:w="514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9"/>
        </w:trPr>
        <w:tc>
          <w:tcPr>
            <w:tcW w:w="51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b w:val="1"/>
                <w:bCs w:val="1"/>
                <w:color w:val="auto"/>
              </w:rPr>
              <w:t>Comprehensive Income</w:t>
            </w:r>
          </w:p>
        </w:tc>
        <w:tc>
          <w:tcPr>
            <w:tcW w:w="380" w:type="dxa"/>
            <w:vAlign w:val="bottom"/>
            <w:tcBorders>
              <w:bottom w:val="single" w:sz="8" w:color="BFE4FF"/>
            </w:tcBorders>
            <w:shd w:val="clear" w:color="auto" w:fill="BFE4FF"/>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5.5</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16.2</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9.6</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31.9</w:t>
            </w:r>
          </w:p>
        </w:tc>
      </w:tr>
      <w:tr>
        <w:trPr>
          <w:trHeight w:val="20"/>
        </w:trPr>
        <w:tc>
          <w:tcPr>
            <w:tcW w:w="514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80"/>
        </w:trPr>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2"/>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Average Common Shares Outstanding – Basic</w:t>
            </w:r>
          </w:p>
        </w:tc>
        <w:tc>
          <w:tcPr>
            <w:tcW w:w="380" w:type="dxa"/>
            <w:vAlign w:val="bottom"/>
            <w:tcBorders>
              <w:bottom w:val="single" w:sz="8" w:color="BFE4FF"/>
            </w:tcBorders>
            <w:shd w:val="clear" w:color="auto" w:fill="BFE4FF"/>
          </w:tcPr>
          <w:p>
            <w:pPr>
              <w:spacing w:after="0"/>
              <w:rPr>
                <w:sz w:val="20"/>
                <w:szCs w:val="20"/>
                <w:color w:val="auto"/>
              </w:rPr>
            </w:pPr>
          </w:p>
        </w:tc>
        <w:tc>
          <w:tcPr>
            <w:tcW w:w="114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32,723</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32,466</w:t>
            </w:r>
          </w:p>
        </w:tc>
        <w:tc>
          <w:tcPr>
            <w:tcW w:w="10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BFE4FF"/>
            </w:tcBorders>
            <w:shd w:val="clear" w:color="auto" w:fill="BFE4FF"/>
          </w:tcPr>
          <w:p>
            <w:pPr>
              <w:spacing w:after="0"/>
              <w:rPr>
                <w:sz w:val="20"/>
                <w:szCs w:val="20"/>
                <w:color w:val="auto"/>
              </w:rPr>
            </w:pPr>
          </w:p>
        </w:tc>
        <w:tc>
          <w:tcPr>
            <w:tcW w:w="112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32,550</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32,398</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Average Common Shares Outstanding – Diluted</w:t>
            </w:r>
          </w:p>
        </w:tc>
        <w:tc>
          <w:tcPr>
            <w:tcW w:w="38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33,592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33,194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32,550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32,915</w:t>
            </w:r>
          </w:p>
        </w:tc>
      </w:tr>
      <w:tr>
        <w:trPr>
          <w:trHeight w:val="26"/>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7"/>
        </w:trPr>
        <w:tc>
          <w:tcPr>
            <w:tcW w:w="5140" w:type="dxa"/>
            <w:vAlign w:val="bottom"/>
            <w:shd w:val="clear" w:color="auto" w:fill="BFE4FF"/>
          </w:tcPr>
          <w:p>
            <w:pPr>
              <w:spacing w:after="0"/>
              <w:rPr>
                <w:sz w:val="24"/>
                <w:szCs w:val="24"/>
                <w:color w:val="auto"/>
              </w:rPr>
            </w:pPr>
          </w:p>
        </w:tc>
        <w:tc>
          <w:tcPr>
            <w:tcW w:w="380" w:type="dxa"/>
            <w:vAlign w:val="bottom"/>
            <w:shd w:val="clear" w:color="auto" w:fill="BFE4FF"/>
          </w:tcPr>
          <w:p>
            <w:pPr>
              <w:spacing w:after="0"/>
              <w:rPr>
                <w:sz w:val="24"/>
                <w:szCs w:val="24"/>
                <w:color w:val="auto"/>
              </w:rPr>
            </w:pPr>
          </w:p>
        </w:tc>
        <w:tc>
          <w:tcPr>
            <w:tcW w:w="114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460" w:type="dxa"/>
            <w:vAlign w:val="bottom"/>
            <w:shd w:val="clear" w:color="auto" w:fill="BFE4FF"/>
          </w:tcPr>
          <w:p>
            <w:pPr>
              <w:spacing w:after="0"/>
              <w:rPr>
                <w:sz w:val="24"/>
                <w:szCs w:val="24"/>
                <w:color w:val="auto"/>
              </w:rPr>
            </w:pPr>
          </w:p>
        </w:tc>
        <w:tc>
          <w:tcPr>
            <w:tcW w:w="10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46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Income (loss) Per Share – Basic</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0.09</w:t>
            </w:r>
          </w:p>
        </w:tc>
        <w:tc>
          <w:tcPr>
            <w:tcW w:w="12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(0.10)</w:t>
            </w:r>
          </w:p>
        </w:tc>
        <w:tc>
          <w:tcPr>
            <w:tcW w:w="12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0.89</w:t>
            </w:r>
          </w:p>
        </w:tc>
      </w:tr>
      <w:tr>
        <w:trPr>
          <w:trHeight w:val="26"/>
        </w:trPr>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6"/>
        </w:trPr>
        <w:tc>
          <w:tcPr>
            <w:tcW w:w="5140" w:type="dxa"/>
            <w:vAlign w:val="bottom"/>
            <w:shd w:val="clear" w:color="auto" w:fill="BFE4FF"/>
          </w:tcPr>
          <w:p>
            <w:pPr>
              <w:ind w:left="20"/>
              <w:spacing w:after="0"/>
              <w:rPr>
                <w:sz w:val="20"/>
                <w:szCs w:val="20"/>
                <w:color w:val="auto"/>
              </w:rPr>
            </w:pPr>
            <w:r>
              <w:rPr>
                <w:rFonts w:ascii="Arial" w:cs="Arial" w:eastAsia="Arial" w:hAnsi="Arial"/>
                <w:sz w:val="17"/>
                <w:szCs w:val="17"/>
                <w:b w:val="1"/>
                <w:bCs w:val="1"/>
                <w:color w:val="auto"/>
              </w:rPr>
              <w:t>Income (loss) Per Share – Diluted</w:t>
            </w:r>
          </w:p>
        </w:tc>
        <w:tc>
          <w:tcPr>
            <w:tcW w:w="380" w:type="dxa"/>
            <w:vAlign w:val="bottom"/>
            <w:shd w:val="clear" w:color="auto" w:fill="BFE4FF"/>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0.09</w:t>
            </w: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shd w:val="clear" w:color="auto" w:fill="BFE4FF"/>
          </w:tcPr>
          <w:p>
            <w:pPr>
              <w:jc w:val="right"/>
              <w:ind w:right="37"/>
              <w:spacing w:after="0"/>
              <w:rPr>
                <w:sz w:val="20"/>
                <w:szCs w:val="20"/>
                <w:color w:val="auto"/>
              </w:rPr>
            </w:pPr>
            <w:r>
              <w:rPr>
                <w:rFonts w:ascii="Arial" w:cs="Arial" w:eastAsia="Arial" w:hAnsi="Arial"/>
                <w:sz w:val="17"/>
                <w:szCs w:val="17"/>
                <w:color w:val="auto"/>
              </w:rPr>
              <w:t>0.42</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(0.10)</w:t>
            </w: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BFE4FF"/>
          </w:tcPr>
          <w:p>
            <w:pPr>
              <w:jc w:val="right"/>
              <w:ind w:right="17"/>
              <w:spacing w:after="0"/>
              <w:rPr>
                <w:sz w:val="20"/>
                <w:szCs w:val="20"/>
                <w:color w:val="auto"/>
              </w:rPr>
            </w:pPr>
            <w:r>
              <w:rPr>
                <w:rFonts w:ascii="Arial" w:cs="Arial" w:eastAsia="Arial" w:hAnsi="Arial"/>
                <w:sz w:val="17"/>
                <w:szCs w:val="17"/>
                <w:color w:val="auto"/>
              </w:rPr>
              <w:t>0.88</w:t>
            </w:r>
          </w:p>
        </w:tc>
      </w:tr>
      <w:tr>
        <w:trPr>
          <w:trHeight w:val="26"/>
        </w:trPr>
        <w:tc>
          <w:tcPr>
            <w:tcW w:w="5140" w:type="dxa"/>
            <w:vAlign w:val="bottom"/>
            <w:shd w:val="clear" w:color="auto" w:fill="BFE4FF"/>
          </w:tcPr>
          <w:p>
            <w:pPr>
              <w:spacing w:after="0"/>
              <w:rPr>
                <w:sz w:val="2"/>
                <w:szCs w:val="2"/>
                <w:color w:val="auto"/>
              </w:rPr>
            </w:pPr>
          </w:p>
        </w:tc>
        <w:tc>
          <w:tcPr>
            <w:tcW w:w="380" w:type="dxa"/>
            <w:vAlign w:val="bottom"/>
            <w:shd w:val="clear" w:color="auto" w:fill="BFE4FF"/>
          </w:tcPr>
          <w:p>
            <w:pPr>
              <w:spacing w:after="0"/>
              <w:rPr>
                <w:sz w:val="2"/>
                <w:szCs w:val="2"/>
                <w:color w:val="auto"/>
              </w:rPr>
            </w:pPr>
          </w:p>
        </w:tc>
        <w:tc>
          <w:tcPr>
            <w:tcW w:w="114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460" w:type="dxa"/>
            <w:vAlign w:val="bottom"/>
            <w:shd w:val="clear" w:color="auto" w:fill="BFE4FF"/>
          </w:tcPr>
          <w:p>
            <w:pPr>
              <w:spacing w:after="0"/>
              <w:rPr>
                <w:sz w:val="2"/>
                <w:szCs w:val="2"/>
                <w:color w:val="auto"/>
              </w:rPr>
            </w:pPr>
          </w:p>
        </w:tc>
        <w:tc>
          <w:tcPr>
            <w:tcW w:w="10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360" w:type="dxa"/>
            <w:vAlign w:val="bottom"/>
            <w:shd w:val="clear" w:color="auto" w:fill="BFE4FF"/>
          </w:tcPr>
          <w:p>
            <w:pPr>
              <w:spacing w:after="0"/>
              <w:rPr>
                <w:sz w:val="2"/>
                <w:szCs w:val="2"/>
                <w:color w:val="auto"/>
              </w:rPr>
            </w:pPr>
          </w:p>
        </w:tc>
        <w:tc>
          <w:tcPr>
            <w:tcW w:w="112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460" w:type="dxa"/>
            <w:vAlign w:val="bottom"/>
            <w:shd w:val="clear" w:color="auto" w:fill="BFE4FF"/>
          </w:tcPr>
          <w:p>
            <w:pPr>
              <w:spacing w:after="0"/>
              <w:rPr>
                <w:sz w:val="2"/>
                <w:szCs w:val="2"/>
                <w:color w:val="auto"/>
              </w:rPr>
            </w:pPr>
          </w:p>
        </w:tc>
        <w:tc>
          <w:tcPr>
            <w:tcW w:w="1000" w:type="dxa"/>
            <w:vAlign w:val="bottom"/>
            <w:shd w:val="clear" w:color="auto" w:fill="BFE4FF"/>
          </w:tcPr>
          <w:p>
            <w:pPr>
              <w:spacing w:after="0"/>
              <w:rPr>
                <w:sz w:val="2"/>
                <w:szCs w:val="2"/>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Nine Months Ended September 30</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2016</w:t>
            </w:r>
          </w:p>
        </w:tc>
      </w:tr>
      <w:tr>
        <w:trPr>
          <w:trHeight w:val="22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Net income (loss)</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29.0</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Noncash items included in net income (loss):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w w:val="98"/>
              </w:rPr>
              <w:t>111.0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119.5</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Noncash equity-based compensation and employee benefits expense</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16.2</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Deferred income tax benefit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Gain on disposal of equity method investment</w:t>
            </w:r>
          </w:p>
        </w:tc>
        <w:tc>
          <w:tcPr>
            <w:tcW w:w="9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noncash items, net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7.6</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Changes in assets and liabilities, net: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(49.7)</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12.9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0.8</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operating assets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4.1</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operating liabilities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(28.0)</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provided by 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86.0</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Acquisition of property and equipment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(75.4)</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Proceeds from disposal of property and equipment</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26.5</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Restricted escrow receipts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95.0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112.1</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Restricted escrow deposits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(32.9)</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disposal of equity method investment, net</w:t>
            </w: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14.6</w:t>
            </w:r>
          </w:p>
        </w:tc>
      </w:tr>
      <w:tr>
        <w:trPr>
          <w:trHeight w:val="219"/>
        </w:trPr>
        <w:tc>
          <w:tcPr>
            <w:tcW w:w="8340" w:type="dxa"/>
            <w:vAlign w:val="bottom"/>
          </w:tcPr>
          <w:p>
            <w:pPr>
              <w:ind w:left="360"/>
              <w:spacing w:after="0"/>
              <w:rPr>
                <w:sz w:val="20"/>
                <w:szCs w:val="20"/>
                <w:color w:val="auto"/>
              </w:rPr>
            </w:pPr>
            <w:r>
              <w:rPr>
                <w:rFonts w:ascii="Arial" w:cs="Arial" w:eastAsia="Arial" w:hAnsi="Arial"/>
                <w:sz w:val="17"/>
                <w:szCs w:val="17"/>
                <w:b w:val="1"/>
                <w:bCs w:val="1"/>
                <w:color w:val="auto"/>
              </w:rPr>
              <w:t>Net cash provided by investing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22.4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44.9</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Repayments of long-term debt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(26.5)</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Debt issuance costs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9"/>
        </w:trPr>
        <w:tc>
          <w:tcPr>
            <w:tcW w:w="8340" w:type="dxa"/>
            <w:vAlign w:val="bottom"/>
          </w:tcPr>
          <w:p>
            <w:pPr>
              <w:ind w:left="360"/>
              <w:spacing w:after="0"/>
              <w:rPr>
                <w:sz w:val="20"/>
                <w:szCs w:val="20"/>
                <w:color w:val="auto"/>
              </w:rPr>
            </w:pPr>
            <w:r>
              <w:rPr>
                <w:rFonts w:ascii="Arial" w:cs="Arial" w:eastAsia="Arial" w:hAnsi="Arial"/>
                <w:sz w:val="17"/>
                <w:szCs w:val="17"/>
                <w:b w:val="1"/>
                <w:bCs w:val="1"/>
                <w:color w:val="auto"/>
              </w:rPr>
              <w:t>Net cash used in financing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(62.5)</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(28.3)</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102.6</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Beginning of Period</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w w:val="98"/>
              </w:rPr>
              <w:t>136.7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173.8</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End of Period</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160.8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276.4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8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Cash Flow Information</w:t>
            </w: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Interest paid</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(78.7)</w:t>
            </w:r>
          </w:p>
        </w:tc>
        <w:tc>
          <w:tcPr>
            <w:tcW w:w="1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(68.5)</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6"/>
        </w:trPr>
        <w:tc>
          <w:tcPr>
            <w:tcW w:w="8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 refund (payment), net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6"/>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940" w:type="dxa"/>
            <w:vAlign w:val="bottom"/>
          </w:tcPr>
          <w:p>
            <w:pPr>
              <w:jc w:val="center"/>
              <w:ind w:left="1416"/>
              <w:spacing w:after="0"/>
              <w:rPr>
                <w:sz w:val="20"/>
                <w:szCs w:val="20"/>
                <w:color w:val="auto"/>
              </w:rPr>
            </w:pPr>
            <w:r>
              <w:rPr>
                <w:rFonts w:ascii="Arial" w:cs="Arial" w:eastAsia="Arial" w:hAnsi="Arial"/>
                <w:sz w:val="17"/>
                <w:szCs w:val="17"/>
                <w:color w:val="auto"/>
                <w:w w:val="94"/>
              </w:rPr>
              <w:t>STATEMENT OF CONSOLIDATED SHAREHOLDERS’ DEFICIT</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1"/>
              </w:rPr>
              <w:t>YRC Worldwide Inc. and Subsidiaries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88"/>
              </w:rPr>
              <w:t>For the Nine Months Ended September 30, 2017</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5"/>
              </w:rPr>
              <w:t>(Amounts in millions)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2"/>
              </w:rPr>
              <w:t>(Unaudited)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2"/>
        </w:trPr>
        <w:tc>
          <w:tcPr>
            <w:tcW w:w="9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2"/>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Preferred Stock:</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Stock:</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Capital Surplus: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2,319.2</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2,322.1</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Deficit: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(2,217.8)</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loss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(2,221.1)</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Loss: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(425.2)</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Reclassification of prior net pension actuarial losses, net of tax</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6.9</w:t>
            </w:r>
          </w:p>
        </w:tc>
      </w:tr>
      <w:tr>
        <w:trPr>
          <w:trHeight w:val="226"/>
        </w:trPr>
        <w:tc>
          <w:tcPr>
            <w:tcW w:w="9940" w:type="dxa"/>
            <w:vAlign w:val="bottom"/>
          </w:tcPr>
          <w:p>
            <w:pPr>
              <w:ind w:left="260"/>
              <w:spacing w:after="0"/>
              <w:rPr>
                <w:sz w:val="20"/>
                <w:szCs w:val="20"/>
                <w:color w:val="auto"/>
              </w:rPr>
            </w:pPr>
            <w:r>
              <w:rPr>
                <w:rFonts w:ascii="Arial" w:cs="Arial" w:eastAsia="Arial" w:hAnsi="Arial"/>
                <w:sz w:val="17"/>
                <w:szCs w:val="17"/>
                <w:color w:val="auto"/>
              </w:rPr>
              <w:t>Foreign currency translation adjustments</w:t>
            </w:r>
          </w:p>
        </w:tc>
        <w:tc>
          <w:tcPr>
            <w:tcW w:w="46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6.0</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(412.3)</w:t>
            </w:r>
          </w:p>
        </w:tc>
      </w:tr>
      <w:tr>
        <w:trPr>
          <w:trHeight w:val="206"/>
        </w:trPr>
        <w:tc>
          <w:tcPr>
            <w:tcW w:w="9940" w:type="dxa"/>
            <w:vAlign w:val="bottom"/>
          </w:tcPr>
          <w:p>
            <w:pPr>
              <w:ind w:left="20"/>
              <w:spacing w:after="0"/>
              <w:rPr>
                <w:sz w:val="20"/>
                <w:szCs w:val="20"/>
                <w:color w:val="auto"/>
              </w:rPr>
            </w:pPr>
            <w:r>
              <w:rPr>
                <w:rFonts w:ascii="Arial" w:cs="Arial" w:eastAsia="Arial" w:hAnsi="Arial"/>
                <w:sz w:val="17"/>
                <w:szCs w:val="17"/>
                <w:b w:val="1"/>
                <w:bCs w:val="1"/>
                <w:color w:val="auto"/>
              </w:rPr>
              <w:t>Treasury Stock, At Cost:</w:t>
            </w: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38"/>
        </w:trPr>
        <w:tc>
          <w:tcPr>
            <w:tcW w:w="9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9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r>
      <w:tr>
        <w:trPr>
          <w:trHeight w:val="219"/>
        </w:trPr>
        <w:tc>
          <w:tcPr>
            <w:tcW w:w="9940" w:type="dxa"/>
            <w:vAlign w:val="bottom"/>
          </w:tcPr>
          <w:p>
            <w:pPr>
              <w:ind w:left="20"/>
              <w:spacing w:after="0"/>
              <w:rPr>
                <w:sz w:val="20"/>
                <w:szCs w:val="20"/>
                <w:color w:val="auto"/>
              </w:rPr>
            </w:pPr>
            <w:r>
              <w:rPr>
                <w:rFonts w:ascii="Arial" w:cs="Arial" w:eastAsia="Arial" w:hAnsi="Arial"/>
                <w:sz w:val="17"/>
                <w:szCs w:val="17"/>
                <w:b w:val="1"/>
                <w:bCs w:val="1"/>
                <w:color w:val="auto"/>
              </w:rPr>
              <w:t>Total Shareholders’ Deficit</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(403.7)</w:t>
            </w:r>
          </w:p>
        </w:tc>
      </w:tr>
      <w:tr>
        <w:trPr>
          <w:trHeight w:val="26"/>
        </w:trPr>
        <w:tc>
          <w:tcPr>
            <w:tcW w:w="9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YRC Worldwide Inc. (also referred to as “YRC Worldwide,” the “Company,” “we,” “us” or “our”) is a holding company that, through wholly owned operating subsidiaries, offers its customers a wide range of transportation services. YRC Worldwide has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2" w:lineRule="exact"/>
        <w:rPr>
          <w:sz w:val="20"/>
          <w:szCs w:val="20"/>
          <w:color w:val="auto"/>
        </w:rPr>
      </w:pPr>
    </w:p>
    <w:p>
      <w:pPr>
        <w:jc w:val="both"/>
        <w:ind w:left="600" w:hanging="297"/>
        <w:spacing w:after="0" w:line="252"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our LTL subsidiaries YRC Inc. (doing business as, and herein referred to as, “YRC Freight”) and Reimer Express Lines Ltd. (“YRC Reimer”). YRC Reimer is a subsidiary located in Canada that specializes in shipments into, across and out of Canada. In addition to the United States and Canada, YRC Freight also serves parts of Mexico and Puerto Rico.</w:t>
      </w:r>
    </w:p>
    <w:p>
      <w:pPr>
        <w:spacing w:after="0" w:line="181" w:lineRule="exact"/>
        <w:rPr>
          <w:rFonts w:ascii="Arial" w:cs="Arial" w:eastAsia="Arial" w:hAnsi="Arial"/>
          <w:sz w:val="17"/>
          <w:szCs w:val="17"/>
          <w:color w:val="auto"/>
        </w:rPr>
      </w:pPr>
    </w:p>
    <w:p>
      <w:pPr>
        <w:jc w:val="both"/>
        <w:ind w:left="600" w:hanging="297"/>
        <w:spacing w:after="0" w:line="254"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2017, approximately 78% of our labor force is subject to collective bargaining agreements, which predominantly expire in March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Principles of Consolidation</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For ease of reference, the calendar quarter end dates are used herein.</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in the United States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2016.</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September 30, 2017: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6"/>
          </w:tcPr>
          <w:p>
            <w:pPr>
              <w:jc w:val="center"/>
              <w:ind w:left="967"/>
              <w:spacing w:after="0"/>
              <w:rPr>
                <w:sz w:val="20"/>
                <w:szCs w:val="20"/>
                <w:color w:val="auto"/>
              </w:rPr>
            </w:pPr>
            <w:r>
              <w:rPr>
                <w:rFonts w:ascii="Arial" w:cs="Arial" w:eastAsia="Arial" w:hAnsi="Arial"/>
                <w:sz w:val="13"/>
                <w:szCs w:val="13"/>
                <w:b w:val="1"/>
                <w:bCs w:val="1"/>
                <w:color w:val="auto"/>
                <w:w w:val="95"/>
              </w:rPr>
              <w:t>Fair Value Measurement Hierarchy</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1"/>
              </w:rPr>
              <w:t>Quoted prices</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3"/>
              </w:rPr>
              <w:t>Significant</w:t>
            </w:r>
          </w:p>
        </w:tc>
        <w:tc>
          <w:tcPr>
            <w:tcW w:w="260" w:type="dxa"/>
            <w:vAlign w:val="bottom"/>
          </w:tcPr>
          <w:p>
            <w:pPr>
              <w:spacing w:after="0"/>
              <w:rPr>
                <w:sz w:val="12"/>
                <w:szCs w:val="12"/>
                <w:color w:val="auto"/>
              </w:rPr>
            </w:pPr>
          </w:p>
        </w:tc>
        <w:tc>
          <w:tcPr>
            <w:tcW w:w="120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3"/>
              </w:rPr>
              <w:t>Significant</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 Carrying</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1200" w:type="dxa"/>
            <w:vAlign w:val="bottom"/>
          </w:tcPr>
          <w:p>
            <w:pPr>
              <w:jc w:val="center"/>
              <w:ind w:right="187"/>
              <w:spacing w:after="0" w:line="139" w:lineRule="exact"/>
              <w:rPr>
                <w:sz w:val="20"/>
                <w:szCs w:val="20"/>
                <w:color w:val="auto"/>
              </w:rPr>
            </w:pPr>
            <w:r>
              <w:rPr>
                <w:rFonts w:ascii="Arial" w:cs="Arial" w:eastAsia="Arial" w:hAnsi="Arial"/>
                <w:sz w:val="13"/>
                <w:szCs w:val="13"/>
                <w:b w:val="1"/>
                <w:bCs w:val="1"/>
                <w:color w:val="auto"/>
                <w:w w:val="92"/>
              </w:rPr>
              <w:t>unobservable</w:t>
            </w:r>
          </w:p>
        </w:tc>
        <w:tc>
          <w:tcPr>
            <w:tcW w:w="0" w:type="dxa"/>
            <w:vAlign w:val="bottom"/>
          </w:tcPr>
          <w:p>
            <w:pPr>
              <w:spacing w:after="0"/>
              <w:rPr>
                <w:sz w:val="1"/>
                <w:szCs w:val="1"/>
                <w:color w:val="auto"/>
              </w:rPr>
            </w:pPr>
          </w:p>
        </w:tc>
      </w:tr>
      <w:tr>
        <w:trPr>
          <w:trHeight w:val="138"/>
        </w:trPr>
        <w:tc>
          <w:tcPr>
            <w:tcW w:w="5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3"/>
              </w:rPr>
              <w:t>in active market</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0"/>
              </w:rPr>
              <w:t>observable</w:t>
            </w:r>
          </w:p>
        </w:tc>
        <w:tc>
          <w:tcPr>
            <w:tcW w:w="260" w:type="dxa"/>
            <w:vAlign w:val="bottom"/>
          </w:tcPr>
          <w:p>
            <w:pPr>
              <w:spacing w:after="0"/>
              <w:rPr>
                <w:sz w:val="12"/>
                <w:szCs w:val="12"/>
                <w:color w:val="auto"/>
              </w:rPr>
            </w:pPr>
          </w:p>
        </w:tc>
        <w:tc>
          <w:tcPr>
            <w:tcW w:w="1200" w:type="dxa"/>
            <w:vAlign w:val="bottom"/>
          </w:tcPr>
          <w:p>
            <w:pPr>
              <w:jc w:val="center"/>
              <w:ind w:right="167"/>
              <w:spacing w:after="0" w:line="139" w:lineRule="exact"/>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79"/>
        </w:trPr>
        <w:tc>
          <w:tcPr>
            <w:tcW w:w="51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8"/>
              </w:rPr>
              <w:t>(Level 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94"/>
              </w:rPr>
              <w:t>inputs (Level 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7"/>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amounts held in escrow-current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7"/>
                <w:szCs w:val="17"/>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140" w:type="dxa"/>
            <w:vAlign w:val="bottom"/>
          </w:tcPr>
          <w:p>
            <w:pPr>
              <w:ind w:left="360"/>
              <w:spacing w:after="0"/>
              <w:rPr>
                <w:sz w:val="20"/>
                <w:szCs w:val="20"/>
                <w:color w:val="auto"/>
              </w:rPr>
            </w:pPr>
            <w:r>
              <w:rPr>
                <w:rFonts w:ascii="Arial" w:cs="Arial" w:eastAsia="Arial" w:hAnsi="Arial"/>
                <w:sz w:val="17"/>
                <w:szCs w:val="17"/>
                <w:color w:val="auto"/>
              </w:rPr>
              <w:t>Total assets at fair value</w:t>
            </w: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45"/>
              <w:spacing w:after="0"/>
              <w:rPr>
                <w:sz w:val="20"/>
                <w:szCs w:val="20"/>
                <w:color w:val="auto"/>
              </w:rPr>
            </w:pPr>
            <w:r>
              <w:rPr>
                <w:rFonts w:ascii="Arial" w:cs="Arial" w:eastAsia="Arial" w:hAnsi="Arial"/>
                <w:sz w:val="17"/>
                <w:szCs w:val="17"/>
                <w:color w:val="auto"/>
              </w:rPr>
              <w:t>54.0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47"/>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 their fair value due to the short-term nature of these instruments.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Method Investment</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On October 23, 2015, the Company entered into a sale and purchase agreement to sell its fifty percent equity interest in its Chinese joint venture, JHJ International Transportation Co., Ltd. (“JHJ”), for a purchase price of $16.3 million, which subsequently closed on March 30, 2016. At closing, we received proceeds of $16.3 million and paid transaction fees of $1.7 million. As of March 30, 2016, the carrying value of the investment was $22.7 million with an offsetting cumulative foreign translation adjustment of $10.4 million, resulting in a net gain on the transaction of $2.3 million. The gain on the transaction is included in “Nonoperating expenses - Other, net” in the accompanying statement of consolidated comprehensive loss for the three and nine months ended September 30, 2016.</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 Out of Accumulated Other Comprehensive Loss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For the three and nine months ended September 30, 2017, we reclassified the amortization of our prior net pension losses, net of tax, totaling $(0.9) million and $6.9 million, respectively, from accumulated other comprehensive loss to net income (loss). For the three and nine months ended September 30, 2016, we reclassified the amortization of our prior net pension losses, net of tax, totaling $3.5 million and $10.3 million, respectively, from accumulated other comprehensive loss to net income. This reclassification is a component of net periodic pension cost and is discussed in the “Employee Benefits” footnote to the consolidated financial statements. In addition, for the three and nine months ended September 30, 2016, we also reclassified foreign currency translation adjustments of $10.4 million related to our investment in JHJ from accumulated other comprehensive loss to net income, as discussed in the “Equity Method Investment” section above.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Recently Issued Accounting Standards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 xml:space="preserve">In April 2015, the Financial Accounting Standards Board (“FASB”) issued Accounting Standards Update (“ASU”) 2015-14,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Deferral of the Effective Date, </w:t>
      </w:r>
      <w:r>
        <w:rPr>
          <w:rFonts w:ascii="Arial" w:cs="Arial" w:eastAsia="Arial" w:hAnsi="Arial"/>
          <w:sz w:val="15"/>
          <w:szCs w:val="15"/>
          <w:color w:val="auto"/>
        </w:rPr>
        <w:t>which defers the effective date of ASU 2014-9,</w:t>
      </w:r>
      <w:r>
        <w:rPr>
          <w:rFonts w:ascii="Arial" w:cs="Arial" w:eastAsia="Arial" w:hAnsi="Arial"/>
          <w:sz w:val="15"/>
          <w:szCs w:val="15"/>
          <w:i w:val="1"/>
          <w:iCs w:val="1"/>
          <w:color w:val="auto"/>
        </w:rPr>
        <w:t xml:space="preserve"> Revenue from Contracts with Customers</w:t>
      </w:r>
      <w:r>
        <w:rPr>
          <w:rFonts w:ascii="Arial" w:cs="Arial" w:eastAsia="Arial" w:hAnsi="Arial"/>
          <w:sz w:val="15"/>
          <w:szCs w:val="15"/>
          <w:color w:val="auto"/>
        </w:rPr>
        <w:t>. The new standard introduces a five-step model to</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 when and how revenue is recognized. The premise of the new model is that an entity recognizes revenue to depict the transfer of promised goods or services to customers in an amount that reflects the consideration to which the entity expects to be entitled in exchange for those goods or services. The new standard will be effective for the Company for its annual reporting period beginning January 1, 2018, including interim periods within that reporting period. Entities are allowed to transition to the new standard by either recasting prior periods or recognizing the cumulative effect using a modified retrospective approach. The Company has completed the process of reviewing customer contracts and we believe the model in which our transportation revenue is recognized under the new standard will not be materially impacted. The Company will formalize an assessment, including the impacts of new expanded disclosure requirements and the impacts on the Company’s internal control over financial reporting, in the fourth quarter of 2017 and will adopt the new standard in the first quarter of 2018 using the modified retrospective transition approach.</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which requires entities with a classified balance sheet to present all deferred tax assets and liabilities as noncurrent. The ASU allows entities to choose either prospective or retrospective transition. The Company adopted the standard in the first quarter of 2017 and elected prospective application; accordingly, historical periods were not adjusted. There was no material impact on its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lessees to recognize a right-to-use asset and a lease obligation for all leases. Lessees are permitted to make an accounting policy election to not recognize an asset and liability for leases with a term of twelve months or less. Additional qualitative and quantitative disclosures, including significant judgments made by management, will be required. The new standard will become effective for the Company for its annual reporting period beginning January 1, 2019, including interim periods within that reporting period and requires a modified retrospective transition approach. The Company is currently evaluating the impact the adoption of this standard will have on its consolidated financial statements.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Improving the Presentation of Net Periodic Pension Cost and Net Periodic Postretirement Benefit Cos</w:t>
      </w:r>
      <w:r>
        <w:rPr>
          <w:rFonts w:ascii="Arial" w:cs="Arial" w:eastAsia="Arial" w:hAnsi="Arial"/>
          <w:sz w:val="16"/>
          <w:szCs w:val="16"/>
          <w:color w:val="auto"/>
        </w:rPr>
        <w:t>t, which requires companies to present the service cost component of net benefit cost in the same income statement line item as other employee compensation costs arising from services rendered during the period. All other components of net benefit cost are presented outside of any subtotal for operating income, if one is presented. The new standard is effective for the Company for its annual reporting period beginning January 1, 2018, including interim periods within that reporting period with retrospective application. Early application is permitted for the first quarter of 2017. The Company will adopt the standard in the first quarter of 2018. For the three and nine months ended September 30, 2017, the amount to be reclassified to “Other, net” in nonoperating expenses from “Salaries, wages and employee benefits” in operating expenses is $1.9 million and $5.7 million, respectively, if adopted. Accordingly, the Company does not believe the adoption of this standard will have a material impact on its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 and Financing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outstanding debt as of September 30, 2017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September 30, 2017 (in millions)</w:t>
            </w:r>
          </w:p>
        </w:tc>
        <w:tc>
          <w:tcPr>
            <w:tcW w:w="180" w:type="dxa"/>
            <w:vAlign w:val="bottom"/>
          </w:tcPr>
          <w:p>
            <w:pPr>
              <w:spacing w:after="0"/>
              <w:rPr>
                <w:sz w:val="13"/>
                <w:szCs w:val="13"/>
                <w:color w:val="auto"/>
              </w:rPr>
            </w:pPr>
          </w:p>
        </w:tc>
        <w:tc>
          <w:tcPr>
            <w:tcW w:w="940" w:type="dxa"/>
            <w:vAlign w:val="bottom"/>
            <w:vMerge w:val="restart"/>
          </w:tcPr>
          <w:p>
            <w:pPr>
              <w:jc w:val="right"/>
              <w:ind w:right="198"/>
              <w:spacing w:after="0"/>
              <w:rPr>
                <w:sz w:val="20"/>
                <w:szCs w:val="20"/>
                <w:color w:val="auto"/>
              </w:rPr>
            </w:pPr>
            <w:r>
              <w:rPr>
                <w:rFonts w:ascii="Arial" w:cs="Arial" w:eastAsia="Arial" w:hAnsi="Arial"/>
                <w:sz w:val="13"/>
                <w:szCs w:val="13"/>
                <w:b w:val="1"/>
                <w:bCs w:val="1"/>
                <w:color w:val="auto"/>
              </w:rPr>
              <w:t>Par Value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Discount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Debt Issuance</w:t>
            </w:r>
          </w:p>
        </w:tc>
        <w:tc>
          <w:tcPr>
            <w:tcW w:w="240" w:type="dxa"/>
            <w:vAlign w:val="bottom"/>
          </w:tcPr>
          <w:p>
            <w:pPr>
              <w:spacing w:after="0"/>
              <w:rPr>
                <w:sz w:val="13"/>
                <w:szCs w:val="13"/>
                <w:color w:val="auto"/>
              </w:rPr>
            </w:pPr>
          </w:p>
        </w:tc>
        <w:tc>
          <w:tcPr>
            <w:tcW w:w="880" w:type="dxa"/>
            <w:vAlign w:val="bottom"/>
          </w:tcPr>
          <w:p>
            <w:pPr>
              <w:jc w:val="right"/>
              <w:ind w:right="339"/>
              <w:spacing w:after="0"/>
              <w:rPr>
                <w:sz w:val="20"/>
                <w:szCs w:val="20"/>
                <w:color w:val="auto"/>
              </w:rPr>
            </w:pPr>
            <w:r>
              <w:rPr>
                <w:rFonts w:ascii="Arial" w:cs="Arial" w:eastAsia="Arial" w:hAnsi="Arial"/>
                <w:sz w:val="13"/>
                <w:szCs w:val="13"/>
                <w:b w:val="1"/>
                <w:bCs w:val="1"/>
                <w:color w:val="auto"/>
              </w:rPr>
              <w:t>Book</w:t>
            </w:r>
          </w:p>
        </w:tc>
        <w:tc>
          <w:tcPr>
            <w:tcW w:w="120" w:type="dxa"/>
            <w:vAlign w:val="bottom"/>
          </w:tcPr>
          <w:p>
            <w:pPr>
              <w:spacing w:after="0"/>
              <w:rPr>
                <w:sz w:val="13"/>
                <w:szCs w:val="13"/>
                <w:color w:val="auto"/>
              </w:rPr>
            </w:pPr>
          </w:p>
        </w:tc>
        <w:tc>
          <w:tcPr>
            <w:tcW w:w="1540" w:type="dxa"/>
            <w:vAlign w:val="bottom"/>
            <w:gridSpan w:val="2"/>
          </w:tcPr>
          <w:p>
            <w:pPr>
              <w:ind w:left="420"/>
              <w:spacing w:after="0"/>
              <w:rPr>
                <w:sz w:val="20"/>
                <w:szCs w:val="20"/>
                <w:color w:val="auto"/>
              </w:rPr>
            </w:pPr>
            <w:r>
              <w:rPr>
                <w:rFonts w:ascii="Arial" w:cs="Arial" w:eastAsia="Arial" w:hAnsi="Arial"/>
                <w:sz w:val="13"/>
                <w:szCs w:val="13"/>
                <w:b w:val="1"/>
                <w:bCs w:val="1"/>
                <w:color w:val="auto"/>
              </w:rPr>
              <w:t>Stated</w:t>
            </w:r>
          </w:p>
        </w:tc>
        <w:tc>
          <w:tcPr>
            <w:tcW w:w="1180" w:type="dxa"/>
            <w:vAlign w:val="bottom"/>
          </w:tcPr>
          <w:p>
            <w:pPr>
              <w:jc w:val="right"/>
              <w:ind w:right="1"/>
              <w:spacing w:after="0"/>
              <w:rPr>
                <w:sz w:val="20"/>
                <w:szCs w:val="20"/>
                <w:color w:val="auto"/>
              </w:rPr>
            </w:pPr>
            <w:r>
              <w:rPr>
                <w:rFonts w:ascii="Arial" w:cs="Arial" w:eastAsia="Arial" w:hAnsi="Arial"/>
                <w:sz w:val="13"/>
                <w:szCs w:val="13"/>
                <w:b w:val="1"/>
                <w:bCs w:val="1"/>
                <w:color w:val="auto"/>
                <w:w w:val="98"/>
              </w:rPr>
              <w:t>Average Effective</w:t>
            </w:r>
          </w:p>
        </w:tc>
        <w:tc>
          <w:tcPr>
            <w:tcW w:w="0" w:type="dxa"/>
            <w:vAlign w:val="bottom"/>
          </w:tcPr>
          <w:p>
            <w:pPr>
              <w:spacing w:after="0"/>
              <w:rPr>
                <w:sz w:val="1"/>
                <w:szCs w:val="1"/>
                <w:color w:val="auto"/>
              </w:rPr>
            </w:pPr>
          </w:p>
        </w:tc>
      </w:tr>
      <w:tr>
        <w:trPr>
          <w:trHeight w:val="179"/>
        </w:trPr>
        <w:tc>
          <w:tcPr>
            <w:tcW w:w="3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Costs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Interest Rate</w:t>
            </w:r>
          </w:p>
        </w:tc>
        <w:tc>
          <w:tcPr>
            <w:tcW w:w="3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Interest Rate</w:t>
            </w:r>
          </w:p>
        </w:tc>
        <w:tc>
          <w:tcPr>
            <w:tcW w:w="0" w:type="dxa"/>
            <w:vAlign w:val="bottom"/>
          </w:tcPr>
          <w:p>
            <w:pPr>
              <w:spacing w:after="0"/>
              <w:rPr>
                <w:sz w:val="1"/>
                <w:szCs w:val="1"/>
                <w:color w:val="auto"/>
              </w:rPr>
            </w:pPr>
          </w:p>
        </w:tc>
      </w:tr>
      <w:tr>
        <w:trPr>
          <w:trHeight w:val="24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599.1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579.6</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800"/>
              <w:spacing w:after="0" w:line="250" w:lineRule="exact"/>
              <w:rPr>
                <w:sz w:val="20"/>
                <w:szCs w:val="20"/>
                <w:color w:val="auto"/>
              </w:rPr>
            </w:pPr>
            <w:r>
              <w:rPr>
                <w:rFonts w:ascii="Arial" w:cs="Arial" w:eastAsia="Arial" w:hAnsi="Arial"/>
                <w:sz w:val="17"/>
                <w:szCs w:val="17"/>
                <w:color w:val="auto"/>
              </w:rPr>
              <w:t xml:space="preserve">9.7% </w:t>
            </w:r>
            <w:r>
              <w:rPr>
                <w:rFonts w:ascii="Arial" w:cs="Arial" w:eastAsia="Arial" w:hAnsi="Arial"/>
                <w:sz w:val="23"/>
                <w:szCs w:val="23"/>
                <w:color w:val="auto"/>
                <w:vertAlign w:val="superscript"/>
              </w:rPr>
              <w:t>(a)</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ABL Facility</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7"/>
                <w:szCs w:val="17"/>
                <w:color w:val="auto"/>
              </w:rPr>
              <w:t>N/A</w:t>
            </w:r>
          </w:p>
        </w:tc>
        <w:tc>
          <w:tcPr>
            <w:tcW w:w="1180" w:type="dxa"/>
            <w:vAlign w:val="bottom"/>
          </w:tcPr>
          <w:p>
            <w:pPr>
              <w:jc w:val="right"/>
              <w:ind w:right="81"/>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Secured Second A&amp;R CDA</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26.8</w:t>
            </w:r>
          </w:p>
        </w:tc>
        <w:tc>
          <w:tcPr>
            <w:tcW w:w="13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4.3-18.3%</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Unsecured Second A&amp;R CDA</w:t>
            </w: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73.2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72.9</w:t>
            </w:r>
          </w:p>
        </w:tc>
        <w:tc>
          <w:tcPr>
            <w:tcW w:w="1320" w:type="dxa"/>
            <w:vAlign w:val="bottom"/>
            <w:gridSpan w:val="2"/>
          </w:tcPr>
          <w:p>
            <w:pPr>
              <w:jc w:val="right"/>
              <w:ind w:right="105"/>
              <w:spacing w:after="0"/>
              <w:rPr>
                <w:sz w:val="20"/>
                <w:szCs w:val="20"/>
                <w:color w:val="auto"/>
              </w:rPr>
            </w:pPr>
            <w:r>
              <w:rPr>
                <w:rFonts w:ascii="Arial" w:cs="Arial" w:eastAsia="Arial" w:hAnsi="Arial"/>
                <w:sz w:val="17"/>
                <w:szCs w:val="17"/>
                <w:color w:val="auto"/>
              </w:rPr>
              <w:t>4.3-18.3%</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262.2</w:t>
            </w:r>
          </w:p>
        </w:tc>
        <w:tc>
          <w:tcPr>
            <w:tcW w:w="13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9.0-18.2%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962.4</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941.5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Term Loan</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Current maturities of lease financing obligations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933.9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913.0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300" w:hanging="299"/>
        <w:spacing w:after="0"/>
        <w:tabs>
          <w:tab w:leader="none" w:pos="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Variable interest rate of 1, 3 or 6-month LIBOR, with a floor of 1.0%, plus a fixed margin of 8.50%.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ABL Facility Availability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Our principal sources of liquidity are cash and cash equivalents, available borrowings under our asset-based loan facility (the</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“ABL Facility”) and any prospective net cash flow from operations. As of September 30, 2017, our availability under our ABL Facility was $94.0 million, which is derived by reducing the amount that may be advanced against eligible receivables plus eligible borrowing base cash by certain reserves imposed by the ABL Agent and our $356.0 million of outstanding letters of credit. Of the $94.0 million in availability, we do not expect to access more than $49.0 million (“Managed Accessibility”) based on our springing fixed charge coverage ratio (as set forth in our ABL Facility). Our cash and cash equivalents and Managed Accessibility was $209.8 million as of September 30, 2017.</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 Amendment</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July 26, 2017, the Company entered into Amendment No. 4 (the “Amendment”) to the credit agreement (the “Term Loan Agreement”) governing our term loan facility (the “Term Loan”), which extended the maturity date to July 26, 2022 subject to the extension of the Secured and Unsecured Second Amended and Restated Contribution Deferral Agreement (the “Second A&amp;R CDA”) on or before November 1, 2019 to a date that is at least 91 days after the final maturity date of the Term Loan.</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If the Second A&amp;R CDA is not extended, the maturity date of the Term Loan will spring back to November 1, 2019. The Amendment provided that the outstanding term loans under the Term Loan Agreement are satisfied and discharged in full and that the Company incurred new term loans in the aggregate principal amount of $600 million. The Amendment increased the annual principal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payments from 1% to 3% per annum and increased the applicable interest rate, at either the applicable LIBOR (subject to a floor of 1%), plus a margin of 8.50% or an alternative base rate (as defined in the Term Loan Agreement) plus a margin of 6.50%. In connection with the Amendment, the Company paid $35.2 million in principal and incurred $9.7 million in original issuance discount and an estimated $8.1 million in transaction costs for third party fees.</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Amendment resulted in a partial extinguishment of $1.5 million in capitalized original issuance discount and unamortized deferred debt issuance costs relating to the existing Term Loan. The $9.7 million in original issuance discount relating to the Amendment was capitalized and will be amortized through interest expense over the life of the Term Loan. Of the $8.1 million in transaction fees, $6.7 million was expensed as debt issuance costs in proportion to the Term Loan that was modified in the third quarter (presented within “Other, net” on the statement of consolidated comprehensive income) and the remaining $1.4 million was capitalized and will be amortized over the life of the Term Loan.</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the extension in the maturity date under the Term Loan, the maturity date of the ABL will extend to June 28, 2021, as provided under Amendment No. 2 to the ABL, provided the final condition to the Term Loan’s extension is met upon the extension of the Second A&amp;R CDA. Otherwise, the maturity date of the ABL is February 13, 2019.</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Term Loan Agreement governing our Term Loan has certain financial covenants, as amended on July 26, 2017, that, among other things, restrict certain capital expenditures and require us to comply with a maximum total leverage ratio covenant (defined as Consolidated Total Debt divided by Consolidated Adjusted EBITDA as defined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total maximum leverage ratio covenants are as follows:</w:t>
      </w:r>
    </w:p>
    <w:p>
      <w:pPr>
        <w:spacing w:after="0" w:line="138"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5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7"/>
              </w:rPr>
              <w:t>Four Consecutive Fiscal Quarters Ending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160" w:type="dxa"/>
            <w:vAlign w:val="bottom"/>
          </w:tcPr>
          <w:p>
            <w:pPr>
              <w:spacing w:after="0"/>
              <w:rPr>
                <w:sz w:val="13"/>
                <w:szCs w:val="13"/>
                <w:color w:val="auto"/>
              </w:rPr>
            </w:pPr>
          </w:p>
        </w:tc>
        <w:tc>
          <w:tcPr>
            <w:tcW w:w="25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8"/>
              </w:rPr>
              <w:t>Four Consecutive Fiscal Quarters Ending</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Leverage Ratio</w:t>
            </w: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Leverage Ratio</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2017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3.75 to 1.00</w:t>
            </w:r>
          </w:p>
        </w:tc>
        <w:tc>
          <w:tcPr>
            <w:tcW w:w="160" w:type="dxa"/>
            <w:vAlign w:val="bottom"/>
          </w:tcPr>
          <w:p>
            <w:pPr>
              <w:spacing w:after="0"/>
              <w:rPr>
                <w:sz w:val="19"/>
                <w:szCs w:val="19"/>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2019</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December 31, 2017</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December 31, 2019</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2018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June 30, 2018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June 30, 2020</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2018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December 31, 2018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December 31, 2020</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2019</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2021</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June 30, 2019</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June 30, 2021 and thereafter</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2.50 to 1.00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professional fees and other transaction costs related to issuances of debt, non-recurring consulting fees, expenses associated with certain lump sum payments to our union employees and the gains or losses from permitted dispositions and discontinued operations. Consolidated Total Debt, as defined in our Term Loan Agreement, is the aggregate principal amount of indebtedness outstanding. Our total leverage ratio for the four consecutive fiscal quarters ending September 30, 2017 was 3.52 to 1.00.</w:t>
      </w:r>
    </w:p>
    <w:p>
      <w:pPr>
        <w:spacing w:after="0" w:line="18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To maintain compliance with the maximum total leverage ratio over the tenor of the Term Loan and satisfy our liquidity needs, we would have to achieve operating results that reflect a slight improvement to our 2016 Adjusted EBITDA. Means for improving our profitability may include streamlining our support structure, as well as ongoing successful implementation and realization of pricing, productivity and efficiency initiatives, in addition to increased volume, some of which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3"/>
                <w:szCs w:val="13"/>
                <w:b w:val="1"/>
                <w:bCs w:val="1"/>
                <w:color w:val="auto"/>
              </w:rPr>
              <w:t>September 30, 2017</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ind w:left="740"/>
              <w:spacing w:after="0"/>
              <w:rPr>
                <w:sz w:val="20"/>
                <w:szCs w:val="20"/>
                <w:color w:val="auto"/>
              </w:rPr>
            </w:pPr>
            <w:r>
              <w:rPr>
                <w:rFonts w:ascii="Arial" w:cs="Arial" w:eastAsia="Arial" w:hAnsi="Arial"/>
                <w:sz w:val="13"/>
                <w:szCs w:val="13"/>
                <w:b w:val="1"/>
                <w:bCs w:val="1"/>
                <w:color w:val="auto"/>
              </w:rPr>
              <w:t>December 31, 2016</w:t>
            </w:r>
          </w:p>
        </w:tc>
      </w:tr>
      <w:tr>
        <w:trPr>
          <w:trHeight w:val="244"/>
        </w:trPr>
        <w:tc>
          <w:tcPr>
            <w:tcW w:w="514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3"/>
                <w:szCs w:val="13"/>
                <w:color w:val="auto"/>
              </w:rPr>
              <w:t>Fair value</w:t>
            </w:r>
          </w:p>
        </w:tc>
        <w:tc>
          <w:tcPr>
            <w:tcW w:w="28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280" w:type="dxa"/>
            <w:vAlign w:val="bottom"/>
          </w:tcPr>
          <w:p>
            <w:pPr>
              <w:spacing w:after="0"/>
              <w:rPr>
                <w:sz w:val="21"/>
                <w:szCs w:val="21"/>
                <w:color w:val="auto"/>
              </w:rPr>
            </w:pPr>
          </w:p>
        </w:tc>
        <w:tc>
          <w:tcPr>
            <w:tcW w:w="1180" w:type="dxa"/>
            <w:vAlign w:val="bottom"/>
          </w:tcPr>
          <w:p>
            <w:pPr>
              <w:jc w:val="right"/>
              <w:ind w:right="379"/>
              <w:spacing w:after="0"/>
              <w:rPr>
                <w:sz w:val="20"/>
                <w:szCs w:val="20"/>
                <w:color w:val="auto"/>
              </w:rPr>
            </w:pPr>
            <w:r>
              <w:rPr>
                <w:rFonts w:ascii="Arial" w:cs="Arial" w:eastAsia="Arial" w:hAnsi="Arial"/>
                <w:sz w:val="13"/>
                <w:szCs w:val="13"/>
                <w:color w:val="auto"/>
              </w:rPr>
              <w:t>Fair value</w:t>
            </w:r>
          </w:p>
        </w:tc>
      </w:tr>
      <w:tr>
        <w:trPr>
          <w:trHeight w:val="229"/>
        </w:trPr>
        <w:tc>
          <w:tcPr>
            <w:tcW w:w="5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579.6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627.2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638.1</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Lease financing obligations</w:t>
            </w:r>
          </w:p>
        </w:tc>
        <w:tc>
          <w:tcPr>
            <w:tcW w:w="280" w:type="dxa"/>
            <w:vAlign w:val="bottom"/>
          </w:tcPr>
          <w:p>
            <w:pPr>
              <w:spacing w:after="0"/>
              <w:rPr>
                <w:sz w:val="19"/>
                <w:szCs w:val="19"/>
                <w:color w:val="auto"/>
              </w:rPr>
            </w:pPr>
          </w:p>
        </w:tc>
        <w:tc>
          <w:tcPr>
            <w:tcW w:w="1240" w:type="dxa"/>
            <w:vAlign w:val="bottom"/>
          </w:tcPr>
          <w:p>
            <w:pPr>
              <w:jc w:val="right"/>
              <w:ind w:right="42"/>
              <w:spacing w:after="0"/>
              <w:rPr>
                <w:sz w:val="20"/>
                <w:szCs w:val="20"/>
                <w:color w:val="auto"/>
              </w:rPr>
            </w:pPr>
            <w:r>
              <w:rPr>
                <w:rFonts w:ascii="Arial" w:cs="Arial" w:eastAsia="Arial" w:hAnsi="Arial"/>
                <w:sz w:val="17"/>
                <w:szCs w:val="17"/>
                <w:color w:val="auto"/>
              </w:rPr>
              <w:t>262.2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212.3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ind w:left="720"/>
              <w:spacing w:after="0"/>
              <w:rPr>
                <w:sz w:val="20"/>
                <w:szCs w:val="20"/>
                <w:color w:val="auto"/>
              </w:rPr>
            </w:pPr>
            <w:r>
              <w:rPr>
                <w:rFonts w:ascii="Arial" w:cs="Arial" w:eastAsia="Arial" w:hAnsi="Arial"/>
                <w:sz w:val="17"/>
                <w:szCs w:val="17"/>
                <w:color w:val="auto"/>
              </w:rPr>
              <w:t>268.6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259.1</w:t>
            </w:r>
          </w:p>
        </w:tc>
      </w:tr>
      <w:tr>
        <w:trPr>
          <w:trHeight w:val="26"/>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Second A&amp;R CDA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101.8</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941.5</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901.8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ind w:left="720"/>
              <w:spacing w:after="0"/>
              <w:rPr>
                <w:sz w:val="20"/>
                <w:szCs w:val="20"/>
                <w:color w:val="auto"/>
              </w:rPr>
            </w:pPr>
            <w:r>
              <w:rPr>
                <w:rFonts w:ascii="Arial" w:cs="Arial" w:eastAsia="Arial" w:hAnsi="Arial"/>
                <w:sz w:val="17"/>
                <w:szCs w:val="17"/>
                <w:color w:val="auto"/>
              </w:rPr>
              <w:t>997.1</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999.0</w:t>
            </w:r>
          </w:p>
        </w:tc>
      </w:tr>
      <w:tr>
        <w:trPr>
          <w:trHeight w:val="26"/>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The fair values of the Term Loan and the Second A&amp;R CDA were estimated based on observable prices (level two inputs for fair value measurements). The fair value of the lease financing obligations is estimated using a publicly-traded secured loan with similar characteristics (level three input for fair value measurement).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September 30, 2017, our operating lease payment obligations through 2030 totaled $282.5 million and are expected to increase as we lease additional revenue equipment. Additionally, for the nine months ended September 30, 2017, we entered into new operating leases for revenue equipment totaling $26.2 million in future lease payments, payable over an average lease term of five years.</w:t>
      </w:r>
    </w:p>
    <w:p>
      <w:pPr>
        <w:spacing w:after="0" w:line="17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Our capital expenditures for the nine months ended September 30, 2017 and 2016 were $70.8 million and $75.4 million, respectively. These amounts were principally used to fund the purchase of used tractors and trailers, to refurbish engines for our revenue fleet, and for capitalized costs to improve our technology infrastructure.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Qualified and Nonqualified Defined Benefit Pension Plans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Company-sponsored pension costs for the three and nine months ended September 30:</w:t>
      </w:r>
    </w:p>
    <w:p>
      <w:pPr>
        <w:spacing w:after="0" w:line="3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6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w:t>
            </w:r>
          </w:p>
        </w:tc>
        <w:tc>
          <w:tcPr>
            <w:tcW w:w="700" w:type="dxa"/>
            <w:vAlign w:val="bottom"/>
            <w:tcBorders>
              <w:bottom w:val="single" w:sz="8" w:color="auto"/>
            </w:tcBorders>
          </w:tcPr>
          <w:p>
            <w:pPr>
              <w:spacing w:after="0"/>
              <w:rPr>
                <w:sz w:val="15"/>
                <w:szCs w:val="15"/>
                <w:color w:val="auto"/>
              </w:rPr>
            </w:pPr>
          </w:p>
        </w:tc>
      </w:tr>
      <w:tr>
        <w:trPr>
          <w:trHeight w:val="244"/>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96"/>
              </w:rPr>
              <w:t>2016</w:t>
            </w:r>
          </w:p>
        </w:tc>
      </w:tr>
      <w:tr>
        <w:trPr>
          <w:trHeight w:val="229"/>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4.8</w:t>
            </w:r>
          </w:p>
        </w:tc>
      </w:tr>
      <w:tr>
        <w:trPr>
          <w:trHeight w:val="226"/>
        </w:trPr>
        <w:tc>
          <w:tcPr>
            <w:tcW w:w="612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26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7"/>
                <w:szCs w:val="17"/>
                <w:color w:val="auto"/>
              </w:rPr>
              <w:t>38.4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42.0</w:t>
            </w:r>
          </w:p>
        </w:tc>
      </w:tr>
      <w:tr>
        <w:trPr>
          <w:trHeight w:val="26"/>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2"/>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(42.4)</w:t>
            </w:r>
          </w:p>
        </w:tc>
      </w:tr>
      <w:tr>
        <w:trPr>
          <w:trHeight w:val="226"/>
        </w:trPr>
        <w:tc>
          <w:tcPr>
            <w:tcW w:w="6120" w:type="dxa"/>
            <w:vAlign w:val="bottom"/>
          </w:tcPr>
          <w:p>
            <w:pPr>
              <w:ind w:left="20"/>
              <w:spacing w:after="0"/>
              <w:rPr>
                <w:sz w:val="20"/>
                <w:szCs w:val="20"/>
                <w:color w:val="auto"/>
              </w:rPr>
            </w:pPr>
            <w:r>
              <w:rPr>
                <w:rFonts w:ascii="Arial" w:cs="Arial" w:eastAsia="Arial" w:hAnsi="Arial"/>
                <w:sz w:val="17"/>
                <w:szCs w:val="17"/>
                <w:color w:val="auto"/>
              </w:rPr>
              <w:t>Amortization of prior net pension loss</w:t>
            </w:r>
          </w:p>
        </w:tc>
        <w:tc>
          <w:tcPr>
            <w:tcW w:w="26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10.3</w:t>
            </w:r>
          </w:p>
        </w:tc>
      </w:tr>
      <w:tr>
        <w:trPr>
          <w:trHeight w:val="26"/>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9"/>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periodic pension cost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$54.1 million to our Company-sponsored pension plans in 2017 of which we have contributed $39.9 million through September 30,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Our effective tax rate for the three and nine months ended September 30, 2017 was 23.1% and (13.8)%, respectively, compared to 3.5% and 10.5% for the three and nine months ended September 30, 2016, respectively. The significant items impacting the 2017 rates include a benefit recognized due to the application of ASC 740,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w:t>
      </w:r>
      <w:r>
        <w:rPr>
          <w:rFonts w:ascii="Arial" w:cs="Arial" w:eastAsia="Arial" w:hAnsi="Arial"/>
          <w:sz w:val="17"/>
          <w:szCs w:val="17"/>
          <w:color w:val="auto"/>
        </w:rPr>
        <w:t>(“ASC 740”), guidance regarding intra-period tax allocation, a net state and foreign tax provision, foreign withholding taxes related to a dividend from a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certain permanent items, and a change in the valuation allowance established for the net deferred tax asset balance projected for December 31, 2017. The significant items impacting the 2016 rates include a provision for federal alternative minimum tax, a refund from a prior year amended return, a net state and foreign tax provision, certain permanent items, and a change 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valuation allowance established for the net deferred tax asset balance that had been projected for December 31, 2016.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2017 and December 31, 2016, substantially all of our net deferred tax assets were subject to a valuation allowance.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Deficit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reflects the activity in the shares of our common stock for the nine months ended September 30,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(shares in thousands)</w:t>
            </w:r>
          </w:p>
        </w:tc>
        <w:tc>
          <w:tcPr>
            <w:tcW w:w="148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2017</w:t>
            </w:r>
          </w:p>
        </w:tc>
      </w:tr>
      <w:tr>
        <w:trPr>
          <w:trHeight w:val="22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32,473</w:t>
            </w:r>
          </w:p>
        </w:tc>
      </w:tr>
      <w:tr>
        <w:trPr>
          <w:trHeight w:val="226"/>
        </w:trPr>
        <w:tc>
          <w:tcPr>
            <w:tcW w:w="9940" w:type="dxa"/>
            <w:vAlign w:val="bottom"/>
          </w:tcPr>
          <w:p>
            <w:pPr>
              <w:ind w:left="20"/>
              <w:spacing w:after="0"/>
              <w:rPr>
                <w:sz w:val="20"/>
                <w:szCs w:val="20"/>
                <w:color w:val="auto"/>
              </w:rPr>
            </w:pPr>
            <w:r>
              <w:rPr>
                <w:rFonts w:ascii="Arial" w:cs="Arial" w:eastAsia="Arial" w:hAnsi="Arial"/>
                <w:sz w:val="17"/>
                <w:szCs w:val="17"/>
                <w:color w:val="auto"/>
              </w:rPr>
              <w:t>Issuance of equity awards</w:t>
            </w:r>
          </w:p>
        </w:tc>
        <w:tc>
          <w:tcPr>
            <w:tcW w:w="1480" w:type="dxa"/>
            <w:vAlign w:val="bottom"/>
          </w:tcPr>
          <w:p>
            <w:pPr>
              <w:jc w:val="right"/>
              <w:ind w:right="20"/>
              <w:spacing w:after="0"/>
              <w:rPr>
                <w:sz w:val="20"/>
                <w:szCs w:val="20"/>
                <w:color w:val="auto"/>
              </w:rPr>
            </w:pPr>
            <w:r>
              <w:rPr>
                <w:rFonts w:ascii="Arial" w:cs="Arial" w:eastAsia="Arial" w:hAnsi="Arial"/>
                <w:sz w:val="17"/>
                <w:szCs w:val="17"/>
                <w:color w:val="auto"/>
              </w:rPr>
              <w:t>253</w:t>
            </w:r>
          </w:p>
        </w:tc>
      </w:tr>
      <w:tr>
        <w:trPr>
          <w:trHeight w:val="26"/>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32,726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22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calculate basic earnings (loss) per share by dividing our net earnings (loss) by our weighted-average shares outstanding at the end of the period. The calculation for diluted earnings per share adjusts the weighted average shares outstanding for our dilutive unvested shares and stock units using the treasury stock method. Our calculations for basic and dilutive earnings (loss) per share for the three and nine months ended September 30, 2017 and 2016 are as follows:</w:t>
      </w:r>
    </w:p>
    <w:p>
      <w:pPr>
        <w:spacing w:after="0" w:line="365"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w:t>
            </w:r>
          </w:p>
        </w:tc>
        <w:tc>
          <w:tcPr>
            <w:tcW w:w="700" w:type="dxa"/>
            <w:vAlign w:val="bottom"/>
            <w:tcBorders>
              <w:bottom w:val="single" w:sz="8" w:color="auto"/>
            </w:tcBorders>
          </w:tcPr>
          <w:p>
            <w:pPr>
              <w:spacing w:after="0"/>
              <w:rPr>
                <w:sz w:val="15"/>
                <w:szCs w:val="15"/>
                <w:color w:val="auto"/>
              </w:rPr>
            </w:pPr>
          </w:p>
        </w:tc>
      </w:tr>
      <w:tr>
        <w:trPr>
          <w:trHeight w:val="244"/>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 except per share data, shares and stock units in thousands)</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96"/>
              </w:rPr>
              <w:t>2016</w:t>
            </w:r>
          </w:p>
        </w:tc>
      </w:tr>
      <w:tr>
        <w:trPr>
          <w:trHeight w:val="22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and dilutive net income (loss) available to common shareholders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29.0</w:t>
            </w:r>
          </w:p>
        </w:tc>
      </w:tr>
      <w:tr>
        <w:trPr>
          <w:trHeight w:val="302"/>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32,723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32,466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32,550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32,398</w:t>
            </w:r>
          </w:p>
        </w:tc>
      </w:tr>
      <w:tr>
        <w:trPr>
          <w:trHeight w:val="226"/>
        </w:trPr>
        <w:tc>
          <w:tcPr>
            <w:tcW w:w="606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6"/>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2"/>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Unvested shares and stock units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517</w:t>
            </w:r>
          </w:p>
        </w:tc>
      </w:tr>
      <w:tr>
        <w:trPr>
          <w:trHeight w:val="219"/>
        </w:trPr>
        <w:tc>
          <w:tcPr>
            <w:tcW w:w="6060" w:type="dxa"/>
            <w:vAlign w:val="bottom"/>
          </w:tcPr>
          <w:p>
            <w:pPr>
              <w:ind w:left="20"/>
              <w:spacing w:after="0"/>
              <w:rPr>
                <w:sz w:val="20"/>
                <w:szCs w:val="20"/>
                <w:color w:val="auto"/>
              </w:rPr>
            </w:pPr>
            <w:r>
              <w:rPr>
                <w:rFonts w:ascii="Arial" w:cs="Arial" w:eastAsia="Arial" w:hAnsi="Arial"/>
                <w:sz w:val="17"/>
                <w:szCs w:val="17"/>
                <w:color w:val="auto"/>
              </w:rPr>
              <w:t>Dilutive weighted average shares outstanding</w:t>
            </w: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33,592</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33,194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32,550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32,915</w:t>
            </w:r>
          </w:p>
        </w:tc>
      </w:tr>
      <w:tr>
        <w:trPr>
          <w:trHeight w:val="66"/>
        </w:trPr>
        <w:tc>
          <w:tcPr>
            <w:tcW w:w="6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80"/>
        </w:trPr>
        <w:tc>
          <w:tcPr>
            <w:tcW w:w="6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3"/>
        </w:trPr>
        <w:tc>
          <w:tcPr>
            <w:tcW w:w="6060" w:type="dxa"/>
            <w:vAlign w:val="bottom"/>
          </w:tcPr>
          <w:p>
            <w:pPr>
              <w:ind w:left="20"/>
              <w:spacing w:after="0" w:line="263" w:lineRule="exact"/>
              <w:rPr>
                <w:sz w:val="20"/>
                <w:szCs w:val="20"/>
                <w:color w:val="auto"/>
              </w:rPr>
            </w:pPr>
            <w:r>
              <w:rPr>
                <w:rFonts w:ascii="Arial" w:cs="Arial" w:eastAsia="Arial" w:hAnsi="Arial"/>
                <w:sz w:val="17"/>
                <w:szCs w:val="17"/>
                <w:color w:val="auto"/>
              </w:rPr>
              <w:t>Basic earnings (loss) per share</w:t>
            </w:r>
            <w:r>
              <w:rPr>
                <w:rFonts w:ascii="Arial" w:cs="Arial" w:eastAsia="Arial" w:hAnsi="Arial"/>
                <w:sz w:val="23"/>
                <w:szCs w:val="23"/>
                <w:color w:val="auto"/>
                <w:vertAlign w:val="superscript"/>
              </w:rPr>
              <w:t>(a)</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0"/>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22"/>
                <w:szCs w:val="22"/>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22"/>
                <w:szCs w:val="22"/>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22"/>
                <w:szCs w:val="22"/>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0.89</w:t>
            </w:r>
          </w:p>
        </w:tc>
      </w:tr>
      <w:tr>
        <w:trPr>
          <w:trHeight w:val="234"/>
        </w:trPr>
        <w:tc>
          <w:tcPr>
            <w:tcW w:w="6060" w:type="dxa"/>
            <w:vAlign w:val="bottom"/>
          </w:tcPr>
          <w:p>
            <w:pPr>
              <w:ind w:left="20"/>
              <w:spacing w:after="0" w:line="234" w:lineRule="exact"/>
              <w:rPr>
                <w:sz w:val="20"/>
                <w:szCs w:val="20"/>
                <w:color w:val="auto"/>
              </w:rPr>
            </w:pPr>
            <w:r>
              <w:rPr>
                <w:rFonts w:ascii="Arial" w:cs="Arial" w:eastAsia="Arial" w:hAnsi="Arial"/>
                <w:sz w:val="17"/>
                <w:szCs w:val="17"/>
                <w:color w:val="auto"/>
              </w:rPr>
              <w:t>Diluted earnings (loss) per share</w:t>
            </w:r>
            <w:r>
              <w:rPr>
                <w:rFonts w:ascii="Arial" w:cs="Arial" w:eastAsia="Arial" w:hAnsi="Arial"/>
                <w:sz w:val="23"/>
                <w:szCs w:val="23"/>
                <w:color w:val="auto"/>
                <w:vertAlign w:val="superscript"/>
              </w:rPr>
              <w:t>(a)</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0"/>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20"/>
                <w:szCs w:val="20"/>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0.42</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20"/>
                <w:szCs w:val="20"/>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0.88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-154940</wp:posOffset>
            </wp:positionV>
            <wp:extent cx="6760210" cy="160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0210" cy="160020"/>
                    </a:xfrm>
                    <a:prstGeom prst="rect">
                      <a:avLst/>
                    </a:prstGeom>
                    <a:noFill/>
                  </pic:spPr>
                </pic:pic>
              </a:graphicData>
            </a:graphic>
          </wp:anchor>
        </w:drawing>
      </w:r>
    </w:p>
    <w:p>
      <w:pPr>
        <w:ind w:left="600" w:hanging="297"/>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Earnings (loss) per share is based on unrounded figures and not the rounded figures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2017 and 2016, our anti-dilutive unvested shares, options, and stock units were approximately 80,000 and 213,000,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operating income (loss), and operating ratio.</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charge management fees and other corporate service fees to our reporting segments based on the benefits received or an overhead allocation basis. Corporate and other operating losses represent residual operating expenses of the holding company. Corporate identifiable assets primarily consist of cash and cash equivalents and restricted cash. Intersegment revenue primarily relates to transportation services between our segments.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operations by business segment:</w:t>
      </w:r>
    </w:p>
    <w:p>
      <w:pPr>
        <w:spacing w:after="0" w:line="31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14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YRC Freight</w:t>
            </w:r>
          </w:p>
        </w:tc>
        <w:tc>
          <w:tcPr>
            <w:tcW w:w="18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Regional</w:t>
            </w:r>
          </w:p>
        </w:tc>
        <w:tc>
          <w:tcPr>
            <w:tcW w:w="22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Corporate/</w:t>
            </w:r>
          </w:p>
        </w:tc>
        <w:tc>
          <w:tcPr>
            <w:tcW w:w="220" w:type="dxa"/>
            <w:vAlign w:val="bottom"/>
          </w:tcPr>
          <w:p>
            <w:pPr>
              <w:spacing w:after="0"/>
              <w:rPr>
                <w:sz w:val="13"/>
                <w:szCs w:val="13"/>
                <w:color w:val="auto"/>
              </w:rPr>
            </w:pPr>
          </w:p>
        </w:tc>
        <w:tc>
          <w:tcPr>
            <w:tcW w:w="1140" w:type="dxa"/>
            <w:vAlign w:val="bottom"/>
            <w:vMerge w:val="restart"/>
          </w:tcPr>
          <w:p>
            <w:pPr>
              <w:jc w:val="right"/>
              <w:ind w:right="218"/>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179"/>
        </w:trPr>
        <w:tc>
          <w:tcPr>
            <w:tcW w:w="37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Transportation</w:t>
            </w:r>
          </w:p>
        </w:tc>
        <w:tc>
          <w:tcPr>
            <w:tcW w:w="22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Eliminations</w:t>
            </w: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September 30, 2017</w:t>
            </w: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1,075.3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711.6</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(85.3)</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1,701.6</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2016</w:t>
            </w:r>
          </w:p>
        </w:tc>
        <w:tc>
          <w:tcPr>
            <w:tcW w:w="1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1,208.7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642.9</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(81.6)</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1,770.0</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2017</w:t>
            </w:r>
          </w:p>
        </w:tc>
        <w:tc>
          <w:tcPr>
            <w:tcW w:w="1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External revenue</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787.8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463.5</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1,251.2</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26"/>
        </w:trPr>
        <w:tc>
          <w:tcPr>
            <w:tcW w:w="3780" w:type="dxa"/>
            <w:vAlign w:val="bottom"/>
          </w:tcPr>
          <w:p>
            <w:pPr>
              <w:ind w:left="20"/>
              <w:spacing w:after="0"/>
              <w:rPr>
                <w:sz w:val="20"/>
                <w:szCs w:val="20"/>
                <w:color w:val="auto"/>
              </w:rPr>
            </w:pPr>
            <w:r>
              <w:rPr>
                <w:rFonts w:ascii="Arial" w:cs="Arial" w:eastAsia="Arial" w:hAnsi="Arial"/>
                <w:sz w:val="17"/>
                <w:szCs w:val="17"/>
                <w:color w:val="auto"/>
              </w:rPr>
              <w:t>Nine Months Ended September 30, 2017</w:t>
            </w: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2,306.2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1,376.5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3,682.4</w:t>
            </w:r>
          </w:p>
        </w:tc>
        <w:tc>
          <w:tcPr>
            <w:tcW w:w="0" w:type="dxa"/>
            <w:vAlign w:val="bottom"/>
          </w:tcPr>
          <w:p>
            <w:pPr>
              <w:spacing w:after="0"/>
              <w:rPr>
                <w:sz w:val="1"/>
                <w:szCs w:val="1"/>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59.0</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2016</w:t>
            </w:r>
          </w:p>
        </w:tc>
        <w:tc>
          <w:tcPr>
            <w:tcW w:w="1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External revenue</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777.9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443.7</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1,221.3</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26"/>
        </w:trPr>
        <w:tc>
          <w:tcPr>
            <w:tcW w:w="3780" w:type="dxa"/>
            <w:vAlign w:val="bottom"/>
          </w:tcPr>
          <w:p>
            <w:pPr>
              <w:ind w:left="20"/>
              <w:spacing w:after="0"/>
              <w:rPr>
                <w:sz w:val="20"/>
                <w:szCs w:val="20"/>
                <w:color w:val="auto"/>
              </w:rPr>
            </w:pPr>
            <w:r>
              <w:rPr>
                <w:rFonts w:ascii="Arial" w:cs="Arial" w:eastAsia="Arial" w:hAnsi="Arial"/>
                <w:sz w:val="17"/>
                <w:szCs w:val="17"/>
                <w:color w:val="auto"/>
              </w:rPr>
              <w:t>Nine Months Ended September 30, 2016</w:t>
            </w: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2,228.6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1,321.3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3,549.2</w:t>
            </w:r>
          </w:p>
        </w:tc>
        <w:tc>
          <w:tcPr>
            <w:tcW w:w="0" w:type="dxa"/>
            <w:vAlign w:val="bottom"/>
          </w:tcPr>
          <w:p>
            <w:pPr>
              <w:spacing w:after="0"/>
              <w:rPr>
                <w:sz w:val="1"/>
                <w:szCs w:val="1"/>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109.4</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Uncertainties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Labor Law Change</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October 2015, California adopted new rules governing the payment of piece-rate compensation. New California Labor Code section 226.2 sets forth requirements for the payment of a separate hourly wage for “nonproductive” time worked by piece-rate employees, and separate payment for compensable rest and recovery periods to those employees. The Company continues to assess the impact of this new law and ongoing compliance measures. We believe the possible loss or range of loss is not material to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Matters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22" w:lineRule="exact"/>
        <w:rPr>
          <w:sz w:val="20"/>
          <w:szCs w:val="20"/>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economic factors, including (without limitation) customer demand in the retail and manufacturing sectors;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business risks and increasing costs associated with the transportation industry, including increasing equipment, operational and technology costs and disruption from natural disasters;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competition and competitive pressure on pricing;</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of labor disruptions or stoppages if our relationship with our employees and unions were to deteriorate;</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pension expense and funding obligations, subject to interest rate volatility;</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costs relating to our self-insurance claims expenses;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finance the maintenance, acquisition and replacement of revenue equipment and other necessary capital expenditures;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or liability resulting from violation of, federal, state, local and foreign laws and regulations, including (without limitation) labor laws and laws and regulations regarding the environment;</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impediments to our operations and business resulting from anti-terrorism measures;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claims and litigation expense to which we are or may become exposed;</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we may not realize the expected benefits and costs savings from our performance and operational improvement initiatives;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attract and retain qualified drivers and increasing costs of driver compensation;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significant privacy breach or IT system disruption;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of operating in foreign countries;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dependence on key employees;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the cost of fuel or the index upon which we base our fuel surcharge and the effectiveness of our fuel surcharge program in protecting us against fuel price volatility;</w:t>
      </w:r>
    </w:p>
    <w:p>
      <w:pPr>
        <w:spacing w:after="0" w:line="14" w:lineRule="exact"/>
        <w:rPr>
          <w:rFonts w:ascii="Arial" w:cs="Arial" w:eastAsia="Arial" w:hAnsi="Arial"/>
          <w:sz w:val="17"/>
          <w:szCs w:val="17"/>
          <w:color w:val="auto"/>
        </w:rPr>
      </w:pPr>
    </w:p>
    <w:p>
      <w:pPr>
        <w:ind w:left="600" w:hanging="297"/>
        <w:spacing w:after="0" w:line="295"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limitations on our operations, our financing opportunities, potential strategic transactions, acquisitions or dispositions resulting from restrictive covenants in the documents governing our existing and future indebtedness;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failure to comply with the covenants in the documents governing our existing and future indebtedness;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fluctuations in the price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dilution from future issuances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intention not to pay dividends on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we have the ability to issue preferred stock that may adversely affect the rights of holders of our common stock; and</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MD&amp;A includes the following sections: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 xml:space="preserve">Our Business </w:t>
      </w:r>
      <w:r>
        <w:rPr>
          <w:rFonts w:ascii="Arial" w:cs="Arial" w:eastAsia="Arial" w:hAnsi="Arial"/>
          <w:sz w:val="17"/>
          <w:szCs w:val="17"/>
          <w:color w:val="auto"/>
        </w:rPr>
        <w:t>— a brief description of our business and a discussion of how we assess our operating results.</w:t>
      </w:r>
    </w:p>
    <w:p>
      <w:pPr>
        <w:spacing w:after="0" w:line="169"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Consolidated Results of Operations </w:t>
      </w:r>
      <w:r>
        <w:rPr>
          <w:rFonts w:ascii="Arial" w:cs="Arial" w:eastAsia="Arial" w:hAnsi="Arial"/>
          <w:sz w:val="17"/>
          <w:szCs w:val="17"/>
          <w:color w:val="auto"/>
        </w:rPr>
        <w:t>— an analysis of our consolidated results of operations for the three and nine months ended September 30, 2017</w:t>
      </w:r>
      <w:r>
        <w:rPr>
          <w:rFonts w:ascii="Arial" w:cs="Arial" w:eastAsia="Arial" w:hAnsi="Arial"/>
          <w:sz w:val="17"/>
          <w:szCs w:val="17"/>
          <w:b w:val="1"/>
          <w:bCs w:val="1"/>
          <w:color w:val="auto"/>
        </w:rPr>
        <w:t xml:space="preserve"> </w:t>
      </w:r>
      <w:r>
        <w:rPr>
          <w:rFonts w:ascii="Arial" w:cs="Arial" w:eastAsia="Arial" w:hAnsi="Arial"/>
          <w:sz w:val="17"/>
          <w:szCs w:val="17"/>
          <w:color w:val="auto"/>
        </w:rPr>
        <w:t>and 2016.</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Reporting Segment Results of Operations </w:t>
      </w:r>
      <w:r>
        <w:rPr>
          <w:rFonts w:ascii="Arial" w:cs="Arial" w:eastAsia="Arial" w:hAnsi="Arial"/>
          <w:sz w:val="17"/>
          <w:szCs w:val="17"/>
          <w:color w:val="auto"/>
        </w:rPr>
        <w:t>— an analysis of our results of operations for the three and nine months ended September 30, 2017 and</w:t>
      </w:r>
      <w:r>
        <w:rPr>
          <w:rFonts w:ascii="Arial" w:cs="Arial" w:eastAsia="Arial" w:hAnsi="Arial"/>
          <w:sz w:val="17"/>
          <w:szCs w:val="17"/>
          <w:b w:val="1"/>
          <w:bCs w:val="1"/>
          <w:color w:val="auto"/>
        </w:rPr>
        <w:t xml:space="preserve"> </w:t>
      </w:r>
      <w:r>
        <w:rPr>
          <w:rFonts w:ascii="Arial" w:cs="Arial" w:eastAsia="Arial" w:hAnsi="Arial"/>
          <w:sz w:val="17"/>
          <w:szCs w:val="17"/>
          <w:color w:val="auto"/>
        </w:rPr>
        <w:t>2016 for our YRC Freight and Regional Transportation reporting segments.</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Certain Non-GAAP Financial Measures </w:t>
      </w:r>
      <w:r>
        <w:rPr>
          <w:rFonts w:ascii="Arial" w:cs="Arial" w:eastAsia="Arial" w:hAnsi="Arial"/>
          <w:sz w:val="17"/>
          <w:szCs w:val="17"/>
          <w:color w:val="auto"/>
        </w:rPr>
        <w:t>— an analysis of selected non-GAAP financial measures for the three and nine months ended September 30,</w:t>
      </w:r>
      <w:r>
        <w:rPr>
          <w:rFonts w:ascii="Arial" w:cs="Arial" w:eastAsia="Arial" w:hAnsi="Arial"/>
          <w:sz w:val="17"/>
          <w:szCs w:val="17"/>
          <w:b w:val="1"/>
          <w:bCs w:val="1"/>
          <w:color w:val="auto"/>
        </w:rPr>
        <w:t xml:space="preserve"> </w:t>
      </w:r>
      <w:r>
        <w:rPr>
          <w:rFonts w:ascii="Arial" w:cs="Arial" w:eastAsia="Arial" w:hAnsi="Arial"/>
          <w:sz w:val="17"/>
          <w:szCs w:val="17"/>
          <w:color w:val="auto"/>
        </w:rPr>
        <w:t>2017 and 2016 and trailing twelve months ended September 30, 2017 and 2016.</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Financial Condition/Liquidity and Capital Resources </w:t>
      </w:r>
      <w:r>
        <w:rPr>
          <w:rFonts w:ascii="Arial" w:cs="Arial" w:eastAsia="Arial" w:hAnsi="Arial"/>
          <w:sz w:val="17"/>
          <w:szCs w:val="17"/>
          <w:color w:val="auto"/>
        </w:rPr>
        <w:t>— a discussion of our major sources and uses of cash and an analysis of our cash flows and</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contractual obligations and commercial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“third quarter” and “first three quarters” of the years discussed below refer to the three and nine months ended September 30,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Worldwide is a holding company that, through wholly owned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measure the performance of our business on both a consolidated basis and a reporting segment basis. We use several performance metrics, but rely primarily upon operating revenue, operating income (loss), and operating ratio. We also use certain non-GAAP financial measures as secondary measures to assess our operating performance.</w:t>
      </w:r>
    </w:p>
    <w:p>
      <w:pPr>
        <w:spacing w:after="0" w:line="133" w:lineRule="exact"/>
        <w:rPr>
          <w:sz w:val="20"/>
          <w:szCs w:val="20"/>
          <w:color w:val="auto"/>
        </w:rPr>
      </w:pPr>
    </w:p>
    <w:p>
      <w:pPr>
        <w:jc w:val="both"/>
        <w:ind w:left="600" w:hanging="297"/>
        <w:spacing w:after="0" w:line="287" w:lineRule="auto"/>
        <w:tabs>
          <w:tab w:leader="none" w:pos="60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Revenue: </w:t>
      </w:r>
      <w:r>
        <w:rPr>
          <w:rFonts w:ascii="Arial" w:cs="Arial" w:eastAsia="Arial" w:hAnsi="Arial"/>
          <w:sz w:val="15"/>
          <w:szCs w:val="15"/>
          <w:color w:val="auto"/>
        </w:rPr>
        <w:t>Our operating revenue has two primary components: volume (commonly evaluated using number of shipments and weight per shipment)</w:t>
      </w:r>
      <w:r>
        <w:rPr>
          <w:rFonts w:ascii="Arial" w:cs="Arial" w:eastAsia="Arial" w:hAnsi="Arial"/>
          <w:sz w:val="15"/>
          <w:szCs w:val="15"/>
          <w:b w:val="1"/>
          <w:bCs w:val="1"/>
          <w:color w:val="auto"/>
        </w:rPr>
        <w:t xml:space="preserve"> </w:t>
      </w:r>
      <w:r>
        <w:rPr>
          <w:rFonts w:ascii="Arial" w:cs="Arial" w:eastAsia="Arial" w:hAnsi="Arial"/>
          <w:sz w:val="15"/>
          <w:szCs w:val="15"/>
          <w:color w:val="auto"/>
        </w:rPr>
        <w:t>and yield or price (commonly evaluated on a dollar-per-hundred weight basis and a dollar-per-shipment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(loss)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w:t>
      </w:r>
    </w:p>
    <w:p>
      <w:pPr>
        <w:spacing w:after="0" w:line="157" w:lineRule="exact"/>
        <w:rPr>
          <w:rFonts w:ascii="Arial" w:cs="Arial" w:eastAsia="Arial" w:hAnsi="Arial"/>
          <w:sz w:val="15"/>
          <w:szCs w:val="15"/>
          <w:b w:val="1"/>
          <w:bCs w:val="1"/>
          <w:color w:val="auto"/>
        </w:rPr>
      </w:pPr>
    </w:p>
    <w:p>
      <w:pPr>
        <w:ind w:left="600" w:hanging="297"/>
        <w:spacing w:after="0" w:line="274" w:lineRule="auto"/>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our operating revenue less operating expenses. Our consolidated operating income (loss) includes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charges that are not allocated to our YRC Freight and Regional Transportation reporting segments.</w:t>
      </w:r>
    </w:p>
    <w:p>
      <w:pPr>
        <w:spacing w:after="0" w:line="157" w:lineRule="exact"/>
        <w:rPr>
          <w:rFonts w:ascii="Arial" w:cs="Arial" w:eastAsia="Arial" w:hAnsi="Arial"/>
          <w:sz w:val="17"/>
          <w:szCs w:val="17"/>
          <w:b w:val="1"/>
          <w:bCs w:val="1"/>
          <w:color w:val="auto"/>
        </w:rPr>
      </w:pPr>
    </w:p>
    <w:p>
      <w:pPr>
        <w:ind w:left="600" w:hanging="297"/>
        <w:spacing w:after="0" w:line="342" w:lineRule="auto"/>
        <w:tabs>
          <w:tab w:leader="none" w:pos="60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Ratio: </w:t>
      </w:r>
      <w:r>
        <w:rPr>
          <w:rFonts w:ascii="Arial" w:cs="Arial" w:eastAsia="Arial" w:hAnsi="Arial"/>
          <w:sz w:val="15"/>
          <w:szCs w:val="15"/>
          <w:color w:val="auto"/>
        </w:rPr>
        <w:t>Operating ratio is a common operating performance metric used in the trucking industry. It is calculated as (i) 100 percent (ii) minus the result</w:t>
      </w:r>
      <w:r>
        <w:rPr>
          <w:rFonts w:ascii="Arial" w:cs="Arial" w:eastAsia="Arial" w:hAnsi="Arial"/>
          <w:sz w:val="15"/>
          <w:szCs w:val="15"/>
          <w:b w:val="1"/>
          <w:bCs w:val="1"/>
          <w:color w:val="auto"/>
        </w:rPr>
        <w:t xml:space="preserve"> </w:t>
      </w:r>
      <w:r>
        <w:rPr>
          <w:rFonts w:ascii="Arial" w:cs="Arial" w:eastAsia="Arial" w:hAnsi="Arial"/>
          <w:sz w:val="15"/>
          <w:szCs w:val="15"/>
          <w:color w:val="auto"/>
        </w:rPr>
        <w:t>of dividing operating income by operating revenue or (iii) plus the result of dividing operating loss by operating revenue, and expressed as a percentage.</w:t>
      </w:r>
    </w:p>
    <w:p>
      <w:pPr>
        <w:spacing w:after="0" w:line="112" w:lineRule="exact"/>
        <w:rPr>
          <w:rFonts w:ascii="Arial" w:cs="Arial" w:eastAsia="Arial" w:hAnsi="Arial"/>
          <w:sz w:val="15"/>
          <w:szCs w:val="15"/>
          <w:b w:val="1"/>
          <w:bCs w:val="1"/>
          <w:color w:val="auto"/>
        </w:rPr>
      </w:pPr>
    </w:p>
    <w:p>
      <w:pPr>
        <w:ind w:left="600" w:hanging="297"/>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Non-GAAP Financial Measures: </w:t>
      </w:r>
      <w:r>
        <w:rPr>
          <w:rFonts w:ascii="Arial" w:cs="Arial" w:eastAsia="Arial" w:hAnsi="Arial"/>
          <w:sz w:val="17"/>
          <w:szCs w:val="17"/>
          <w:color w:val="auto"/>
        </w:rPr>
        <w:t>We use EBITDA and Adjusted EBITDA, which are non-GAAP financial measures, to assess the following:</w:t>
      </w:r>
    </w:p>
    <w:p>
      <w:pPr>
        <w:spacing w:after="0" w:line="211" w:lineRule="exact"/>
        <w:rPr>
          <w:rFonts w:ascii="Arial" w:cs="Arial" w:eastAsia="Arial" w:hAnsi="Arial"/>
          <w:sz w:val="17"/>
          <w:szCs w:val="17"/>
          <w:b w:val="1"/>
          <w:bCs w:val="1"/>
          <w:color w:val="auto"/>
        </w:rPr>
      </w:pPr>
    </w:p>
    <w:p>
      <w:pPr>
        <w:ind w:left="1200" w:hanging="293"/>
        <w:spacing w:after="0" w:line="269" w:lineRule="auto"/>
        <w:tabs>
          <w:tab w:leader="none" w:pos="1200"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a non-GAAP measure that reflects our earnings before interest, taxes, depreciation, and amortization expense. EBITDA is used for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purposes as a financial measure that reflects our core operating performance.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ind w:left="1200" w:hanging="293"/>
        <w:spacing w:after="0" w:line="251" w:lineRule="auto"/>
        <w:tabs>
          <w:tab w:leader="none" w:pos="120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EBITDA, and further adjusts for letter of credit fees, equity-based compensation expense, net</w:t>
      </w:r>
      <w:r>
        <w:rPr>
          <w:rFonts w:ascii="Arial" w:cs="Arial" w:eastAsia="Arial" w:hAnsi="Arial"/>
          <w:sz w:val="17"/>
          <w:szCs w:val="17"/>
          <w:i w:val="1"/>
          <w:iCs w:val="1"/>
          <w:color w:val="auto"/>
        </w:rPr>
        <w:t xml:space="preserve"> </w:t>
      </w:r>
      <w:r>
        <w:rPr>
          <w:rFonts w:ascii="Arial" w:cs="Arial" w:eastAsia="Arial" w:hAnsi="Arial"/>
          <w:sz w:val="17"/>
          <w:szCs w:val="17"/>
          <w:color w:val="auto"/>
        </w:rPr>
        <w:t>gains or losses on property disposals, restructuring professional fees and other transaction costs related to issuances of debt, non-recurring consulting fees, expenses associated with certain lump sum payments to our union employees and gains or losses from permitted dispositions and discontinued operations, among other items, as defined in our credit facilities. Adjusted EBITDA is used for internal management purposes as a financial measure that reflects our core operating performance, to measure compliance with financial covenants in our credit facilities and to determine certain executive bonus compensation.</w:t>
      </w:r>
    </w:p>
    <w:p>
      <w:pPr>
        <w:spacing w:after="0" w:line="195" w:lineRule="exact"/>
        <w:rPr>
          <w:sz w:val="20"/>
          <w:szCs w:val="20"/>
          <w:color w:val="auto"/>
        </w:rPr>
      </w:pPr>
    </w:p>
    <w:p>
      <w:pPr>
        <w:jc w:val="both"/>
        <w:ind w:left="600"/>
        <w:spacing w:after="0" w:line="270" w:lineRule="auto"/>
        <w:rPr>
          <w:sz w:val="20"/>
          <w:szCs w:val="20"/>
          <w:color w:val="auto"/>
        </w:rPr>
      </w:pPr>
      <w:r>
        <w:rPr>
          <w:rFonts w:ascii="Arial" w:cs="Arial" w:eastAsia="Arial" w:hAnsi="Arial"/>
          <w:sz w:val="16"/>
          <w:szCs w:val="16"/>
          <w:color w:val="auto"/>
        </w:rPr>
        <w:t>We believe our presentation of EBITDA and Adjusted EBITDA is useful to investors and other users as these measures represent key supplemental information our management uses to compare and evaluate our core underlying business results both on a consolidated basis and across our business segments,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covenants in our term loan credit agreement as this measure is calculated as prescribed in our term loan credit agreement and serves as a driving component of key financial covenants.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non-GAAP financial measures have the following limitations:</w:t>
      </w:r>
    </w:p>
    <w:p>
      <w:pPr>
        <w:spacing w:after="0" w:line="169" w:lineRule="exact"/>
        <w:rPr>
          <w:sz w:val="20"/>
          <w:szCs w:val="20"/>
          <w:color w:val="auto"/>
        </w:rPr>
      </w:pPr>
    </w:p>
    <w:p>
      <w:pPr>
        <w:ind w:left="1200" w:hanging="293"/>
        <w:spacing w:after="0"/>
        <w:tabs>
          <w:tab w:leader="none" w:pos="1200" w:val="left"/>
        </w:tabs>
        <w:numPr>
          <w:ilvl w:val="0"/>
          <w:numId w:val="9"/>
        </w:numPr>
        <w:rPr>
          <w:rFonts w:ascii="Arial" w:cs="Arial" w:eastAsia="Arial" w:hAnsi="Arial"/>
          <w:sz w:val="15"/>
          <w:szCs w:val="15"/>
          <w:color w:val="auto"/>
        </w:rPr>
      </w:pPr>
      <w:r>
        <w:rPr>
          <w:rFonts w:ascii="Arial" w:cs="Arial" w:eastAsia="Arial" w:hAnsi="Arial"/>
          <w:sz w:val="15"/>
          <w:szCs w:val="15"/>
          <w:color w:val="auto"/>
        </w:rPr>
        <w:t>EBITDA does not reflect the interest expense or the cash requirements necessary to service interest or fund principal payments on our outstanding debt;</w:t>
      </w:r>
    </w:p>
    <w:p>
      <w:pPr>
        <w:spacing w:after="0" w:line="40" w:lineRule="exact"/>
        <w:rPr>
          <w:rFonts w:ascii="Arial" w:cs="Arial" w:eastAsia="Arial" w:hAnsi="Arial"/>
          <w:sz w:val="15"/>
          <w:szCs w:val="15"/>
          <w:color w:val="auto"/>
        </w:rPr>
      </w:pPr>
    </w:p>
    <w:p>
      <w:pPr>
        <w:jc w:val="both"/>
        <w:ind w:left="1200" w:hanging="293"/>
        <w:spacing w:after="0" w:line="247"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Adjusted EBITDA does not reflect the interest expense or the cash requirements necessary to fund restructuring professional fees and other transaction costs related to issuances of debt, non-recurring consulting fees, letter of credit fees, service interest, principal payments on our outstanding debt or lump sum payments to our union employees required under the Memorandum of Understanding;</w:t>
      </w:r>
    </w:p>
    <w:p>
      <w:pPr>
        <w:ind w:left="1200" w:hanging="293"/>
        <w:spacing w:after="0" w:line="247"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200" w:hanging="293"/>
        <w:spacing w:after="0" w:line="247"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200" w:hanging="293"/>
        <w:spacing w:after="0"/>
        <w:tabs>
          <w:tab w:leader="none" w:pos="12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than we do, potentially limiting its usefulness as a comparative measure.</w:t>
      </w:r>
    </w:p>
    <w:p>
      <w:pPr>
        <w:spacing w:after="0" w:line="218" w:lineRule="exact"/>
        <w:rPr>
          <w:sz w:val="20"/>
          <w:szCs w:val="20"/>
          <w:color w:val="auto"/>
        </w:rPr>
      </w:pPr>
    </w:p>
    <w:p>
      <w:pPr>
        <w:jc w:val="both"/>
        <w:ind w:left="600"/>
        <w:spacing w:after="0" w:line="308" w:lineRule="auto"/>
        <w:rPr>
          <w:sz w:val="20"/>
          <w:szCs w:val="20"/>
          <w:color w:val="auto"/>
        </w:rPr>
      </w:pPr>
      <w:r>
        <w:rPr>
          <w:rFonts w:ascii="Arial" w:cs="Arial" w:eastAsia="Arial" w:hAnsi="Arial"/>
          <w:sz w:val="15"/>
          <w:szCs w:val="15"/>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 For additional information and a reconciliation of our non-GAAP measures and GAAP results, see the “Certain Non-GAAP Financial Measures” section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line="337" w:lineRule="auto"/>
        <w:rPr>
          <w:sz w:val="20"/>
          <w:szCs w:val="20"/>
          <w:color w:val="auto"/>
        </w:rPr>
      </w:pPr>
      <w:r>
        <w:rPr>
          <w:rFonts w:ascii="Arial" w:cs="Arial" w:eastAsia="Arial" w:hAnsi="Arial"/>
          <w:sz w:val="15"/>
          <w:szCs w:val="15"/>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summary consolidated financial information for the third quarter and first three quarters of 2017 and 2016:</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Third Quarter</w:t>
            </w:r>
          </w:p>
        </w:tc>
        <w:tc>
          <w:tcPr>
            <w:tcW w:w="1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w w:val="95"/>
              </w:rPr>
              <w:t>First Three Quarters</w:t>
            </w:r>
          </w:p>
        </w:tc>
        <w:tc>
          <w:tcPr>
            <w:tcW w:w="1380" w:type="dxa"/>
            <w:vAlign w:val="bottom"/>
            <w:tcBorders>
              <w:bottom w:val="single" w:sz="8" w:color="auto"/>
            </w:tcBorders>
          </w:tcPr>
          <w:p>
            <w:pPr>
              <w:spacing w:after="0"/>
              <w:rPr>
                <w:sz w:val="15"/>
                <w:szCs w:val="15"/>
                <w:color w:val="auto"/>
              </w:rPr>
            </w:pPr>
          </w:p>
        </w:tc>
      </w:tr>
      <w:tr>
        <w:trPr>
          <w:trHeight w:val="244"/>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2017</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2016</w:t>
            </w:r>
          </w:p>
        </w:tc>
        <w:tc>
          <w:tcPr>
            <w:tcW w:w="156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Percent Change</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62"/>
              <w:spacing w:after="0"/>
              <w:rPr>
                <w:sz w:val="20"/>
                <w:szCs w:val="20"/>
                <w:color w:val="auto"/>
              </w:rPr>
            </w:pPr>
            <w:r>
              <w:rPr>
                <w:rFonts w:ascii="Arial" w:cs="Arial" w:eastAsia="Arial" w:hAnsi="Arial"/>
                <w:sz w:val="13"/>
                <w:szCs w:val="13"/>
                <w:b w:val="1"/>
                <w:bCs w:val="1"/>
                <w:color w:val="auto"/>
              </w:rPr>
              <w:t>2016</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Percent Change</w:t>
            </w: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1,251.2</w:t>
            </w:r>
          </w:p>
        </w:tc>
        <w:tc>
          <w:tcPr>
            <w:tcW w:w="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7"/>
                <w:szCs w:val="17"/>
                <w:color w:val="auto"/>
              </w:rPr>
              <w:t>1,221.3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3,682.4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7"/>
                <w:szCs w:val="17"/>
                <w:color w:val="auto"/>
              </w:rPr>
              <w:t>3,549.2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3.8 %</w:t>
            </w: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40.1</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82"/>
              <w:spacing w:after="0"/>
              <w:rPr>
                <w:sz w:val="20"/>
                <w:szCs w:val="20"/>
                <w:color w:val="auto"/>
              </w:rPr>
            </w:pPr>
            <w:r>
              <w:rPr>
                <w:rFonts w:ascii="Arial" w:cs="Arial" w:eastAsia="Arial" w:hAnsi="Arial"/>
                <w:sz w:val="17"/>
                <w:szCs w:val="17"/>
                <w:color w:val="auto"/>
              </w:rPr>
              <w:t>38.8</w:t>
            </w:r>
          </w:p>
        </w:tc>
        <w:tc>
          <w:tcPr>
            <w:tcW w:w="1440" w:type="dxa"/>
            <w:vAlign w:val="bottom"/>
          </w:tcPr>
          <w:p>
            <w:pPr>
              <w:jc w:val="right"/>
              <w:spacing w:after="0"/>
              <w:rPr>
                <w:sz w:val="20"/>
                <w:szCs w:val="20"/>
                <w:color w:val="auto"/>
              </w:rPr>
            </w:pPr>
            <w:r>
              <w:rPr>
                <w:rFonts w:ascii="Arial" w:cs="Arial" w:eastAsia="Arial" w:hAnsi="Arial"/>
                <w:sz w:val="17"/>
                <w:szCs w:val="17"/>
                <w:color w:val="auto"/>
              </w:rPr>
              <w:t>3.4 %</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79"/>
              <w:spacing w:after="0"/>
              <w:rPr>
                <w:sz w:val="20"/>
                <w:szCs w:val="20"/>
                <w:color w:val="auto"/>
              </w:rPr>
            </w:pPr>
            <w:r>
              <w:rPr>
                <w:rFonts w:ascii="Arial" w:cs="Arial" w:eastAsia="Arial" w:hAnsi="Arial"/>
                <w:sz w:val="17"/>
                <w:szCs w:val="17"/>
                <w:color w:val="auto"/>
              </w:rPr>
              <w:t>87.1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42"/>
              <w:spacing w:after="0"/>
              <w:rPr>
                <w:sz w:val="20"/>
                <w:szCs w:val="20"/>
                <w:color w:val="auto"/>
              </w:rPr>
            </w:pPr>
            <w:r>
              <w:rPr>
                <w:rFonts w:ascii="Arial" w:cs="Arial" w:eastAsia="Arial" w:hAnsi="Arial"/>
                <w:sz w:val="17"/>
                <w:szCs w:val="17"/>
                <w:color w:val="auto"/>
              </w:rPr>
              <w:t>109.4</w:t>
            </w:r>
          </w:p>
        </w:tc>
        <w:tc>
          <w:tcPr>
            <w:tcW w:w="1380" w:type="dxa"/>
            <w:vAlign w:val="bottom"/>
          </w:tcPr>
          <w:p>
            <w:pPr>
              <w:jc w:val="right"/>
              <w:spacing w:after="0"/>
              <w:rPr>
                <w:sz w:val="20"/>
                <w:szCs w:val="20"/>
                <w:color w:val="auto"/>
              </w:rPr>
            </w:pPr>
            <w:r>
              <w:rPr>
                <w:rFonts w:ascii="Arial" w:cs="Arial" w:eastAsia="Arial" w:hAnsi="Arial"/>
                <w:sz w:val="17"/>
                <w:szCs w:val="17"/>
                <w:color w:val="auto"/>
              </w:rPr>
              <w:t>(20.4)%</w:t>
            </w:r>
          </w:p>
        </w:tc>
      </w:tr>
      <w:tr>
        <w:trPr>
          <w:trHeight w:val="26"/>
        </w:trPr>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Nonoperating expenses, net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36.2</w:t>
            </w:r>
          </w:p>
        </w:tc>
        <w:tc>
          <w:tcPr>
            <w:tcW w:w="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7"/>
                <w:szCs w:val="17"/>
                <w:color w:val="auto"/>
              </w:rPr>
              <w:t>24.4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48.4 %</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90.0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7"/>
                <w:szCs w:val="17"/>
                <w:color w:val="auto"/>
              </w:rPr>
              <w:t>77.0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16.9 %</w:t>
            </w: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3.0</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82"/>
              <w:spacing w:after="0"/>
              <w:rPr>
                <w:sz w:val="20"/>
                <w:szCs w:val="20"/>
                <w:color w:val="auto"/>
              </w:rPr>
            </w:pPr>
            <w:r>
              <w:rPr>
                <w:rFonts w:ascii="Arial" w:cs="Arial" w:eastAsia="Arial" w:hAnsi="Arial"/>
                <w:sz w:val="17"/>
                <w:szCs w:val="17"/>
                <w:color w:val="auto"/>
              </w:rPr>
              <w:t>13.9</w:t>
            </w:r>
          </w:p>
        </w:tc>
        <w:tc>
          <w:tcPr>
            <w:tcW w:w="1440" w:type="dxa"/>
            <w:vAlign w:val="bottom"/>
          </w:tcPr>
          <w:p>
            <w:pPr>
              <w:jc w:val="right"/>
              <w:spacing w:after="0"/>
              <w:rPr>
                <w:sz w:val="20"/>
                <w:szCs w:val="20"/>
                <w:color w:val="auto"/>
              </w:rPr>
            </w:pPr>
            <w:r>
              <w:rPr>
                <w:rFonts w:ascii="Arial" w:cs="Arial" w:eastAsia="Arial" w:hAnsi="Arial"/>
                <w:sz w:val="17"/>
                <w:szCs w:val="17"/>
                <w:color w:val="auto"/>
              </w:rPr>
              <w:t>(78.4)%</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9"/>
              <w:spacing w:after="0"/>
              <w:rPr>
                <w:sz w:val="20"/>
                <w:szCs w:val="20"/>
                <w:color w:val="auto"/>
              </w:rPr>
            </w:pPr>
            <w:r>
              <w:rPr>
                <w:rFonts w:ascii="Arial" w:cs="Arial" w:eastAsia="Arial" w:hAnsi="Arial"/>
                <w:sz w:val="17"/>
                <w:szCs w:val="17"/>
                <w:color w:val="auto"/>
              </w:rPr>
              <w:t>(3.3)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42"/>
              <w:spacing w:after="0"/>
              <w:rPr>
                <w:sz w:val="20"/>
                <w:szCs w:val="20"/>
                <w:color w:val="auto"/>
              </w:rPr>
            </w:pPr>
            <w:r>
              <w:rPr>
                <w:rFonts w:ascii="Arial" w:cs="Arial" w:eastAsia="Arial" w:hAnsi="Arial"/>
                <w:sz w:val="17"/>
                <w:szCs w:val="17"/>
                <w:color w:val="auto"/>
              </w:rPr>
              <w:t>29.0</w:t>
            </w:r>
          </w:p>
        </w:tc>
        <w:tc>
          <w:tcPr>
            <w:tcW w:w="1380" w:type="dxa"/>
            <w:vAlign w:val="bottom"/>
          </w:tcPr>
          <w:p>
            <w:pPr>
              <w:jc w:val="right"/>
              <w:ind w:right="139"/>
              <w:spacing w:after="0"/>
              <w:rPr>
                <w:sz w:val="20"/>
                <w:szCs w:val="20"/>
                <w:color w:val="auto"/>
              </w:rPr>
            </w:pPr>
            <w:r>
              <w:rPr>
                <w:rFonts w:ascii="Arial" w:cs="Arial" w:eastAsia="Arial" w:hAnsi="Arial"/>
                <w:sz w:val="17"/>
                <w:szCs w:val="17"/>
                <w:color w:val="auto"/>
              </w:rPr>
              <w:t>*NM</w:t>
            </w:r>
          </w:p>
        </w:tc>
      </w:tr>
      <w:tr>
        <w:trPr>
          <w:trHeight w:val="179"/>
        </w:trPr>
        <w:tc>
          <w:tcPr>
            <w:tcW w:w="2540" w:type="dxa"/>
            <w:vAlign w:val="bottom"/>
          </w:tcPr>
          <w:p>
            <w:pPr>
              <w:ind w:left="60"/>
              <w:spacing w:after="0"/>
              <w:rPr>
                <w:sz w:val="20"/>
                <w:szCs w:val="20"/>
                <w:color w:val="auto"/>
              </w:rPr>
            </w:pPr>
            <w:r>
              <w:rPr>
                <w:rFonts w:ascii="Arial" w:cs="Arial" w:eastAsia="Arial" w:hAnsi="Arial"/>
                <w:sz w:val="13"/>
                <w:szCs w:val="13"/>
                <w:color w:val="auto"/>
              </w:rPr>
              <w:t>(*) not meaningful</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Quarter of 2017 Compared to the Third Quarter of 2016</w:t>
      </w:r>
    </w:p>
    <w:p>
      <w:pPr>
        <w:spacing w:after="0" w:line="207"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Our consolidated operating revenue increased $29.9 million, or 2.4%, during the third quarter of 2017 compared to the same period in 2016. The increase in revenue is primarily attributed to an increase in fuel surcharge revenue and yield, combined with an improvement in volume at our Regional Transportation segment.</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operating expenses increased $28.6 million, or 2.4%, for the third quarter of 2017 compared to the third quarter of 2016, and consisted primarily of an increase in contractual wages and employee benefit costs, higher fuel costs, and an increase in purchased transportation expense.</w:t>
      </w:r>
    </w:p>
    <w:p>
      <w:pPr>
        <w:spacing w:after="0" w:line="16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spite of the increase in revenues, our third quarter 2017 results were negatively impacted by the hurricanes in late August and September. Our volume and tonnage were unfavorably impacted, primarily at YRC Freight and Holland, due to closures at our customer operations, as well as the closure or reduced operations at certain of our own terminals. Due to delayed deliveries and disruption within the network, our operating expenses were also negatively impacted, driven by the reduction in labor productivity, higher local purchased transportation costs, and an increase in costs to relocate revenue equipment, among other items.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Salaries, wages and employee benefits. Salaries, wages and employee benefits increased $11.0 million, or 1.5%, primarily due to a $7.7 million increase in wages and an $8.2 million increase in employee benefit costs, which are primarily related to contractual rate increases for union employees, partially offset by a $4.0 million decrease in bonus compensation.</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Operating expenses and supplies. </w:t>
      </w:r>
      <w:r>
        <w:rPr>
          <w:rFonts w:ascii="Arial" w:cs="Arial" w:eastAsia="Arial" w:hAnsi="Arial"/>
          <w:sz w:val="17"/>
          <w:szCs w:val="17"/>
          <w:color w:val="auto"/>
        </w:rPr>
        <w:t>Operating expenses and supplies increased $9.7 million, or 4.7%, primarily due to a $6.5 million increase in fuel expense,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driven by higher fuel prices on a per gallon basis and a $4.8 million increase in technology and operating supply costs.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$12.3 million, or 7.8%, primarily due to a $7.5 million increase in vehicle rent expense due to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shortages and higher usage of operating leases for revenue equipment, a $4.1 million increase in local purchased transportation due to increased volume and hurricane-related impacts, and a $2.5 million increase in rail purchased transportation due to an increase in rail miles.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$1.9 million, or 3.0%, primarily due to a reduction in property damage and liability claims expense of $1.5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due to favorable development of current year claims.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losses on disposals of property were $1.3 million in the third quarter of 2017 compared to $0.2 million in the third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2016 primarily due to losses on the sale of revenue equipment.</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Nonoperating expenses, net, increased $11.8 million in the third quarter of 2017 compared to the third quarter of 2016 primarily driven by</w:t>
      </w:r>
      <w:r>
        <w:rPr>
          <w:rFonts w:ascii="Arial" w:cs="Arial" w:eastAsia="Arial" w:hAnsi="Arial"/>
          <w:sz w:val="17"/>
          <w:szCs w:val="17"/>
          <w:i w:val="1"/>
          <w:iCs w:val="1"/>
          <w:color w:val="auto"/>
        </w:rPr>
        <w:t xml:space="preserve"> </w:t>
      </w:r>
      <w:r>
        <w:rPr>
          <w:rFonts w:ascii="Arial" w:cs="Arial" w:eastAsia="Arial" w:hAnsi="Arial"/>
          <w:sz w:val="17"/>
          <w:szCs w:val="17"/>
          <w:color w:val="auto"/>
        </w:rPr>
        <w:t>$6.7 million in transaction costs related to the Term Loan Amendment, which is more fully described in the “Debt and Financing” footnote to the consolidated financial statements, and a $3.4 million increase in foreign currency transaction losses.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effective tax rate for the third quarter of 2017 and 2016 was 23.1% and 3.5%, respectively. Significant items impacting the 2017 rate include a benefit recognized due to application of ASC 740 guidance regarding intra-period tax allocation, a net state and foreign tax provision, foreign withholding taxes related to a dividend from a foreign subsidiary, certain permanent items, and a change in the valuation allowance established for the net deferred tax asset balance projected for December 31, 2017. The significant items impacting the 2016 rate include a provision for federal alternative minimum tax, a refund from a prior year amended return, a net state and foreign tax provision, certain permanent items, and a change in the valuation allowance established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for the net deferred tax asset balance that had been projected for December 31, 2016.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2017 and December 31, 2016, substantially all of our net deferred tax assets were subject to a valuation allowance.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Three Quarters of 2017 Compared to the First Three Quarters of 2016</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operating revenue increased $133.2 million, or 3.8%, during the first three quarters of 2017 compared to the same period in 2016. The increase in revenue is primarily attributed to an increase in volume, fuel surcharge revenue, and yield, excluding fuel surcharge.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operating expenses for the first three quarters of 2017 increased $155.5 million, or 4.5%, compared to the same period in 2016, and consisted primarily of an increase in contractual wages and employee benefit costs, higher fuel costs, and an increase in purchased transportation expense.</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$55.5 million, or 2.6%, primarily due to a $29.6 million increase in wages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$26.4 million increase in employee benefit costs, which are primarily related to contractual rate increases for union employees, combined with an increase in shipping volumes, which required more employee hours to process freight.</w:t>
      </w:r>
    </w:p>
    <w:p>
      <w:pPr>
        <w:spacing w:after="0" w:line="17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 xml:space="preserve">Operating expenses and supplies. </w:t>
      </w:r>
      <w:r>
        <w:rPr>
          <w:rFonts w:ascii="Arial" w:cs="Arial" w:eastAsia="Arial" w:hAnsi="Arial"/>
          <w:sz w:val="15"/>
          <w:szCs w:val="15"/>
          <w:color w:val="auto"/>
        </w:rPr>
        <w:t>Operating expenses and supplies increased $46.9 million, or 7.9%, primarily due to a $34.6 million increase in fuel expense, which was</w:t>
      </w:r>
      <w:r>
        <w:rPr>
          <w:rFonts w:ascii="Arial" w:cs="Arial" w:eastAsia="Arial" w:hAnsi="Arial"/>
          <w:sz w:val="15"/>
          <w:szCs w:val="15"/>
          <w:i w:val="1"/>
          <w:iCs w:val="1"/>
          <w:color w:val="auto"/>
        </w:rPr>
        <w:t xml:space="preserve"> </w:t>
      </w:r>
      <w:r>
        <w:rPr>
          <w:rFonts w:ascii="Arial" w:cs="Arial" w:eastAsia="Arial" w:hAnsi="Arial"/>
          <w:sz w:val="15"/>
          <w:szCs w:val="15"/>
          <w:color w:val="auto"/>
        </w:rPr>
        <w:t>largely driven by higher fuel prices on a per gallon basis. Also, operating expenses increased $13.3 million due to higher technology and operating supply costs.</w:t>
      </w:r>
    </w:p>
    <w:p>
      <w:pPr>
        <w:spacing w:after="0" w:line="12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Purchased transportation</w:t>
      </w:r>
      <w:r>
        <w:rPr>
          <w:rFonts w:ascii="Arial" w:cs="Arial" w:eastAsia="Arial" w:hAnsi="Arial"/>
          <w:sz w:val="15"/>
          <w:szCs w:val="15"/>
          <w:color w:val="auto"/>
        </w:rPr>
        <w:t>. Purchased transportation increased $54.2 million, or 13.3%, primarily due to a $26.1 million increase in vehicle rent expense due to higher</w:t>
      </w:r>
      <w:r>
        <w:rPr>
          <w:rFonts w:ascii="Arial" w:cs="Arial" w:eastAsia="Arial" w:hAnsi="Arial"/>
          <w:sz w:val="15"/>
          <w:szCs w:val="15"/>
          <w:i w:val="1"/>
          <w:iCs w:val="1"/>
          <w:color w:val="auto"/>
        </w:rPr>
        <w:t xml:space="preserve"> </w:t>
      </w:r>
      <w:r>
        <w:rPr>
          <w:rFonts w:ascii="Arial" w:cs="Arial" w:eastAsia="Arial" w:hAnsi="Arial"/>
          <w:sz w:val="15"/>
          <w:szCs w:val="15"/>
          <w:color w:val="auto"/>
        </w:rPr>
        <w:t>usage of leased revenue equipment and equipment shortages, a $16.5 million increase in rail purchased transportation due to an increase in rail miles and higher rail rates which were impacted by increased fuel surcharges, and a $12.1 million increase in the use of local purchased transportation due to higher usage of third-party providers.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$6.8 million, or 3.5%, primarily due to a reduction in property damage and liability claims expense of $9.3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due to unfavorable development of prior year claims that negatively impacted 2016.</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losses on disposals of property were $3.0 million in the first three quarters of 2017 compared to net gains of $11.2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three quarters of 2016 primarily due to the sale of excess real properties.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Nonoperating expenses, net. </w:t>
      </w:r>
      <w:r>
        <w:rPr>
          <w:rFonts w:ascii="Arial" w:cs="Arial" w:eastAsia="Arial" w:hAnsi="Arial"/>
          <w:sz w:val="15"/>
          <w:szCs w:val="15"/>
          <w:color w:val="auto"/>
        </w:rPr>
        <w:t>Nonoperating expenses, net, increased $12.9 million in the first three quarters of 2017 compared to the first three quarters of 2016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driven by a primarily driven by $6.7 million in transaction costs related to the Term Loan Amendment and a $3.7 million increase in foreign currency transaction losses in 2017. A $2.3 million gain on the disposal of JHJ was recorded in the first three quarters of 2016, with no corresponding gain in the first three quarters of 2017.</w:t>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effective tax rate for the first three quarters of 2017 and 2016 was (13.8)% and 10.5%, respectively. The significant items impacting the 2017 rate include a benefit recognized due to application of ASC 740 guidance regarding intra-period tax allocation, a net state and foreign tax provision, foreign withholding taxes related to a dividend from a foreign subsidiary, certain permanent items, and a change in the valuation allowance established for the net deferred tax asset balance projected for December 31, 2017. The significant items impacting the 2016 rate include a provision for federal alternative minimum tax, a refund from a prior year amended return, a net state and foreign tax provision, certain permanent items, and a change in the valuation allowance established for the net deferred tax asset balance that had been projected for December 31,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evaluate our operating performance using our YRC Freight and Regional Transportation reporting segments:</w:t>
      </w:r>
    </w:p>
    <w:p>
      <w:pPr>
        <w:spacing w:after="0" w:line="203" w:lineRule="exact"/>
        <w:rPr>
          <w:sz w:val="20"/>
          <w:szCs w:val="20"/>
          <w:color w:val="auto"/>
        </w:rPr>
      </w:pPr>
    </w:p>
    <w:p>
      <w:pPr>
        <w:jc w:val="both"/>
        <w:ind w:left="600" w:hanging="297"/>
        <w:spacing w:after="0" w:line="260"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YRC Freight </w:t>
      </w:r>
      <w:r>
        <w:rPr>
          <w:rFonts w:ascii="Arial" w:cs="Arial" w:eastAsia="Arial" w:hAnsi="Arial"/>
          <w:sz w:val="17"/>
          <w:szCs w:val="17"/>
          <w:color w:val="auto"/>
        </w:rPr>
        <w:t>is the reporting segment that focuses on longer haul business opportunities with national, regional and international services. YRC Freight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for the movement of industrial, commercial and retail goods, primarily through centralized management. This reporting segment includes our LTL subsidiaries YRC Freight and YRC Reimer.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59" w:lineRule="exact"/>
        <w:rPr>
          <w:sz w:val="20"/>
          <w:szCs w:val="20"/>
          <w:color w:val="auto"/>
        </w:rPr>
      </w:pPr>
    </w:p>
    <w:p>
      <w:pPr>
        <w:ind w:left="600"/>
        <w:spacing w:after="0" w:line="315" w:lineRule="auto"/>
        <w:rPr>
          <w:sz w:val="20"/>
          <w:szCs w:val="20"/>
          <w:color w:val="auto"/>
        </w:rPr>
      </w:pPr>
      <w:r>
        <w:rPr>
          <w:rFonts w:ascii="Arial" w:cs="Arial" w:eastAsia="Arial" w:hAnsi="Arial"/>
          <w:sz w:val="17"/>
          <w:szCs w:val="17"/>
          <w:color w:val="auto"/>
        </w:rPr>
        <w:t>YRC Reimer is a subsidiary located in Canada that specializes in shipments into, across and out of Canada. In addition to the United States and Canada, YRC Freight also serves parts of Mexico and Puerto Rico.</w:t>
      </w:r>
    </w:p>
    <w:p>
      <w:pPr>
        <w:spacing w:after="0" w:line="137" w:lineRule="exact"/>
        <w:rPr>
          <w:sz w:val="20"/>
          <w:szCs w:val="20"/>
          <w:color w:val="auto"/>
        </w:rPr>
      </w:pPr>
    </w:p>
    <w:p>
      <w:pPr>
        <w:jc w:val="both"/>
        <w:ind w:left="600" w:hanging="297"/>
        <w:spacing w:after="0" w:line="284"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 next-day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YRC Freight Results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YRC Freight represented 63.0% of consolidated operating revenue for the third quarter of 2017, as compared to 63.7% for the third quarter of 2016. YRC Freight represented 62.6% of consolidated operating revenue for the first three quarters of 2017, as compared to 62.8% for the first three quarters of 2016. The table below provides summary financial information for YRC Freight for the third quarter and first three quarters of 2017 and 2016:</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3"/>
              <w:spacing w:after="0"/>
              <w:rPr>
                <w:sz w:val="20"/>
                <w:szCs w:val="20"/>
                <w:color w:val="auto"/>
              </w:rPr>
            </w:pPr>
            <w:r>
              <w:rPr>
                <w:rFonts w:ascii="Arial" w:cs="Arial" w:eastAsia="Arial" w:hAnsi="Arial"/>
                <w:sz w:val="13"/>
                <w:szCs w:val="13"/>
                <w:b w:val="1"/>
                <w:bCs w:val="1"/>
                <w:color w:val="auto"/>
              </w:rPr>
              <w:t>Third Quarter</w:t>
            </w:r>
          </w:p>
        </w:tc>
        <w:tc>
          <w:tcPr>
            <w:tcW w:w="1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First Three Quarters</w:t>
            </w:r>
          </w:p>
        </w:tc>
        <w:tc>
          <w:tcPr>
            <w:tcW w:w="1120" w:type="dxa"/>
            <w:vAlign w:val="bottom"/>
            <w:tcBorders>
              <w:bottom w:val="single" w:sz="8" w:color="auto"/>
            </w:tcBorders>
          </w:tcPr>
          <w:p>
            <w:pPr>
              <w:spacing w:after="0"/>
              <w:rPr>
                <w:sz w:val="15"/>
                <w:szCs w:val="15"/>
                <w:color w:val="auto"/>
              </w:rPr>
            </w:pPr>
          </w:p>
        </w:tc>
      </w:tr>
      <w:tr>
        <w:trPr>
          <w:trHeight w:val="244"/>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 Change</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Percent Change</w:t>
            </w:r>
          </w:p>
        </w:tc>
      </w:tr>
      <w:tr>
        <w:trPr>
          <w:trHeight w:val="22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7"/>
                <w:szCs w:val="17"/>
                <w:color w:val="auto"/>
              </w:rPr>
              <w:t>787.8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7"/>
                <w:szCs w:val="17"/>
                <w:color w:val="auto"/>
              </w:rPr>
              <w:t>777.9</w:t>
            </w:r>
          </w:p>
        </w:tc>
        <w:tc>
          <w:tcPr>
            <w:tcW w:w="110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2,306.2</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2,228.6</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7"/>
                <w:szCs w:val="17"/>
                <w:color w:val="auto"/>
              </w:rPr>
              <w:t>3.5%</w:t>
            </w:r>
          </w:p>
        </w:tc>
      </w:tr>
      <w:tr>
        <w:trPr>
          <w:trHeight w:val="226"/>
        </w:trPr>
        <w:tc>
          <w:tcPr>
            <w:tcW w:w="35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40"/>
              <w:spacing w:after="0"/>
              <w:rPr>
                <w:sz w:val="20"/>
                <w:szCs w:val="20"/>
                <w:color w:val="auto"/>
              </w:rPr>
            </w:pPr>
            <w:r>
              <w:rPr>
                <w:rFonts w:ascii="Arial" w:cs="Arial" w:eastAsia="Arial" w:hAnsi="Arial"/>
                <w:sz w:val="17"/>
                <w:szCs w:val="17"/>
                <w:color w:val="auto"/>
              </w:rPr>
              <w:t>20.3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03"/>
              <w:spacing w:after="0"/>
              <w:rPr>
                <w:sz w:val="20"/>
                <w:szCs w:val="20"/>
                <w:color w:val="auto"/>
              </w:rPr>
            </w:pPr>
            <w:r>
              <w:rPr>
                <w:rFonts w:ascii="Arial" w:cs="Arial" w:eastAsia="Arial" w:hAnsi="Arial"/>
                <w:sz w:val="17"/>
                <w:szCs w:val="17"/>
                <w:color w:val="auto"/>
              </w:rPr>
              <w:t>20.8</w:t>
            </w:r>
          </w:p>
        </w:tc>
        <w:tc>
          <w:tcPr>
            <w:tcW w:w="1100" w:type="dxa"/>
            <w:vAlign w:val="bottom"/>
          </w:tcPr>
          <w:p>
            <w:pPr>
              <w:jc w:val="right"/>
              <w:ind w:right="220"/>
              <w:spacing w:after="0"/>
              <w:rPr>
                <w:sz w:val="20"/>
                <w:szCs w:val="20"/>
                <w:color w:val="auto"/>
              </w:rPr>
            </w:pPr>
            <w:r>
              <w:rPr>
                <w:rFonts w:ascii="Arial" w:cs="Arial" w:eastAsia="Arial" w:hAnsi="Arial"/>
                <w:sz w:val="17"/>
                <w:szCs w:val="17"/>
                <w:color w:val="auto"/>
              </w:rPr>
              <w:t>(2.4)%</w:t>
            </w:r>
          </w:p>
        </w:tc>
        <w:tc>
          <w:tcPr>
            <w:tcW w:w="3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00"/>
              <w:spacing w:after="0"/>
              <w:rPr>
                <w:sz w:val="20"/>
                <w:szCs w:val="20"/>
                <w:color w:val="auto"/>
              </w:rPr>
            </w:pPr>
            <w:r>
              <w:rPr>
                <w:rFonts w:ascii="Arial" w:cs="Arial" w:eastAsia="Arial" w:hAnsi="Arial"/>
                <w:sz w:val="17"/>
                <w:szCs w:val="17"/>
                <w:color w:val="auto"/>
              </w:rPr>
              <w:t>37.8</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00"/>
              <w:spacing w:after="0"/>
              <w:rPr>
                <w:sz w:val="20"/>
                <w:szCs w:val="20"/>
                <w:color w:val="auto"/>
              </w:rPr>
            </w:pPr>
            <w:r>
              <w:rPr>
                <w:rFonts w:ascii="Arial" w:cs="Arial" w:eastAsia="Arial" w:hAnsi="Arial"/>
                <w:sz w:val="17"/>
                <w:szCs w:val="17"/>
                <w:color w:val="auto"/>
              </w:rPr>
              <w:t>53.3</w:t>
            </w:r>
          </w:p>
        </w:tc>
        <w:tc>
          <w:tcPr>
            <w:tcW w:w="120" w:type="dxa"/>
            <w:vAlign w:val="bottom"/>
          </w:tcPr>
          <w:p>
            <w:pPr>
              <w:spacing w:after="0"/>
              <w:rPr>
                <w:sz w:val="19"/>
                <w:szCs w:val="19"/>
                <w:color w:val="auto"/>
              </w:rPr>
            </w:pPr>
          </w:p>
        </w:tc>
        <w:tc>
          <w:tcPr>
            <w:tcW w:w="1120" w:type="dxa"/>
            <w:vAlign w:val="bottom"/>
          </w:tcPr>
          <w:p>
            <w:pPr>
              <w:jc w:val="right"/>
              <w:ind w:right="220"/>
              <w:spacing w:after="0"/>
              <w:rPr>
                <w:sz w:val="20"/>
                <w:szCs w:val="20"/>
                <w:color w:val="auto"/>
              </w:rPr>
            </w:pPr>
            <w:r>
              <w:rPr>
                <w:rFonts w:ascii="Arial" w:cs="Arial" w:eastAsia="Arial" w:hAnsi="Arial"/>
                <w:sz w:val="17"/>
                <w:szCs w:val="17"/>
                <w:color w:val="auto"/>
              </w:rPr>
              <w:t>(29.1)%</w:t>
            </w:r>
          </w:p>
        </w:tc>
      </w:tr>
      <w:tr>
        <w:trPr>
          <w:trHeight w:val="271"/>
        </w:trPr>
        <w:tc>
          <w:tcPr>
            <w:tcW w:w="352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97.4%</w:t>
            </w:r>
          </w:p>
        </w:tc>
        <w:tc>
          <w:tcPr>
            <w:tcW w:w="200" w:type="dxa"/>
            <w:vAlign w:val="bottom"/>
          </w:tcPr>
          <w:p>
            <w:pPr>
              <w:spacing w:after="0"/>
              <w:rPr>
                <w:sz w:val="23"/>
                <w:szCs w:val="23"/>
                <w:color w:val="auto"/>
              </w:rPr>
            </w:pPr>
          </w:p>
        </w:tc>
        <w:tc>
          <w:tcPr>
            <w:tcW w:w="1260" w:type="dxa"/>
            <w:vAlign w:val="bottom"/>
          </w:tcPr>
          <w:p>
            <w:pPr>
              <w:jc w:val="right"/>
              <w:ind w:right="63"/>
              <w:spacing w:after="0"/>
              <w:rPr>
                <w:sz w:val="20"/>
                <w:szCs w:val="20"/>
                <w:color w:val="auto"/>
              </w:rPr>
            </w:pPr>
            <w:r>
              <w:rPr>
                <w:rFonts w:ascii="Arial" w:cs="Arial" w:eastAsia="Arial" w:hAnsi="Arial"/>
                <w:sz w:val="17"/>
                <w:szCs w:val="17"/>
                <w:color w:val="auto"/>
              </w:rPr>
              <w:t>97.3%</w:t>
            </w:r>
          </w:p>
        </w:tc>
        <w:tc>
          <w:tcPr>
            <w:tcW w:w="1100" w:type="dxa"/>
            <w:vAlign w:val="bottom"/>
          </w:tcPr>
          <w:p>
            <w:pPr>
              <w:jc w:val="right"/>
              <w:ind w:right="180"/>
              <w:spacing w:after="0"/>
              <w:rPr>
                <w:sz w:val="20"/>
                <w:szCs w:val="20"/>
                <w:color w:val="auto"/>
              </w:rPr>
            </w:pPr>
            <w:r>
              <w:rPr>
                <w:rFonts w:ascii="Arial" w:cs="Arial" w:eastAsia="Arial" w:hAnsi="Arial"/>
                <w:sz w:val="17"/>
                <w:szCs w:val="17"/>
                <w:color w:val="auto"/>
              </w:rPr>
              <w:t>(0.1) pp</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97.6%</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(0.8)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23760" cy="160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3760" cy="160020"/>
                    </a:xfrm>
                    <a:prstGeom prst="rect">
                      <a:avLst/>
                    </a:prstGeom>
                    <a:noFill/>
                  </pic:spPr>
                </pic:pic>
              </a:graphicData>
            </a:graphic>
          </wp:anchor>
        </w:drawing>
      </w:r>
    </w:p>
    <w:p>
      <w:pPr>
        <w:ind w:left="300" w:hanging="299"/>
        <w:spacing w:after="0"/>
        <w:tabs>
          <w:tab w:leader="none" w:pos="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Third Quarter of 2017 Compared to the Third Quarter of 2016</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YRC Freight reported operating revenue of $787.8 million in the third quarter of 2017, an increase of $9.9 million, or 1.3%, compared to the same period in 2016. The increase in revenue is primarily attributed to an increase in fuel surcharge revenue, combined with an improvement in yield, excluding fuel surcharge. The table below summarizes the key revenue metrics for the YRC Freight reporting segment for the third quarter of 2017 compared to the third quarter of 2016:</w:t>
      </w:r>
    </w:p>
    <w:p>
      <w:pPr>
        <w:spacing w:after="0" w:line="36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3"/>
                <w:szCs w:val="13"/>
                <w:b w:val="1"/>
                <w:bCs w:val="1"/>
                <w:color w:val="auto"/>
              </w:rPr>
              <w:t>Third Quarter</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2017</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5"/>
              </w:rPr>
              <w:t>Percent Change</w:t>
            </w:r>
            <w:r>
              <w:rPr>
                <w:rFonts w:ascii="Arial" w:cs="Arial" w:eastAsia="Arial" w:hAnsi="Arial"/>
                <w:sz w:val="8"/>
                <w:szCs w:val="8"/>
                <w:b w:val="1"/>
                <w:bCs w:val="1"/>
                <w:color w:val="auto"/>
                <w:w w:val="95"/>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2"/>
        </w:trPr>
        <w:tc>
          <w:tcPr>
            <w:tcW w:w="476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776.3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763.6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1,592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1,620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25.47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25.31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0.7 %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2,623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2,678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41.96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41.84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24.38</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23.57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3.4 %</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21.81</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21.31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296</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3.8 %</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1,214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1,210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0.4 %</w:t>
            </w:r>
          </w:p>
        </w:tc>
      </w:tr>
      <w:tr>
        <w:trPr>
          <w:trHeight w:val="599"/>
        </w:trPr>
        <w:tc>
          <w:tcPr>
            <w:tcW w:w="4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3"/>
                <w:szCs w:val="13"/>
                <w:b w:val="1"/>
                <w:bCs w:val="1"/>
                <w:color w:val="auto"/>
              </w:rPr>
              <w:t>Third Quarter</w:t>
            </w:r>
          </w:p>
        </w:tc>
        <w:tc>
          <w:tcPr>
            <w:tcW w:w="4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6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601"/>
              <w:spacing w:after="0"/>
              <w:rPr>
                <w:sz w:val="20"/>
                <w:szCs w:val="20"/>
                <w:color w:val="auto"/>
              </w:rPr>
            </w:pPr>
            <w:r>
              <w:rPr>
                <w:rFonts w:ascii="Arial" w:cs="Arial" w:eastAsia="Arial" w:hAnsi="Arial"/>
                <w:sz w:val="13"/>
                <w:szCs w:val="13"/>
                <w:b w:val="1"/>
                <w:bCs w:val="1"/>
                <w:color w:val="auto"/>
              </w:rPr>
              <w:t>2017</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2016</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308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188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787.8</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777.9</w:t>
            </w:r>
          </w:p>
        </w:tc>
        <w:tc>
          <w:tcPr>
            <w:tcW w:w="0" w:type="dxa"/>
            <w:vAlign w:val="bottom"/>
          </w:tcPr>
          <w:p>
            <w:pPr>
              <w:spacing w:after="0"/>
              <w:rPr>
                <w:sz w:val="1"/>
                <w:szCs w:val="1"/>
                <w:color w:val="auto"/>
              </w:rPr>
            </w:pPr>
          </w:p>
        </w:tc>
      </w:tr>
      <w:tr>
        <w:trPr>
          <w:trHeight w:val="257"/>
        </w:trPr>
        <w:tc>
          <w:tcPr>
            <w:tcW w:w="308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7"/>
                <w:szCs w:val="17"/>
                <w:color w:val="auto"/>
                <w:w w:val="99"/>
              </w:rPr>
              <w:t>Change in revenue deferral and other</w:t>
            </w:r>
          </w:p>
        </w:tc>
        <w:tc>
          <w:tcPr>
            <w:tcW w:w="1480" w:type="dxa"/>
            <w:vAlign w:val="bottom"/>
            <w:tcBorders>
              <w:bottom w:val="single" w:sz="8" w:color="BFE4FF"/>
            </w:tcBorders>
            <w:shd w:val="clear" w:color="auto" w:fill="BFE4FF"/>
          </w:tcPr>
          <w:p>
            <w:pPr>
              <w:spacing w:after="0"/>
              <w:rPr>
                <w:sz w:val="22"/>
                <w:szCs w:val="22"/>
                <w:color w:val="auto"/>
              </w:rPr>
            </w:pPr>
          </w:p>
        </w:tc>
        <w:tc>
          <w:tcPr>
            <w:tcW w:w="40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37"/>
        </w:trPr>
        <w:tc>
          <w:tcPr>
            <w:tcW w:w="308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148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776.3</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763.6</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80" w:type="dxa"/>
            <w:vAlign w:val="bottom"/>
            <w:vMerge w:val="restart"/>
          </w:tcPr>
          <w:p>
            <w:pPr>
              <w:jc w:val="right"/>
              <w:ind w:right="876"/>
              <w:spacing w:after="0"/>
              <w:rPr>
                <w:sz w:val="20"/>
                <w:szCs w:val="20"/>
                <w:color w:val="auto"/>
              </w:rPr>
            </w:pPr>
            <w:r>
              <w:rPr>
                <w:rFonts w:ascii="Arial" w:cs="Arial" w:eastAsia="Arial" w:hAnsi="Arial"/>
                <w:sz w:val="17"/>
                <w:szCs w:val="17"/>
                <w:color w:val="auto"/>
              </w:rPr>
              <w:t>19</w:t>
            </w: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8" w:lineRule="exact"/>
        <w:rPr>
          <w:sz w:val="20"/>
          <w:szCs w:val="20"/>
          <w:color w:val="auto"/>
        </w:rPr>
      </w:pPr>
    </w:p>
    <w:p>
      <w:pPr>
        <w:ind w:left="1060" w:hanging="304"/>
        <w:spacing w:after="0"/>
        <w:tabs>
          <w:tab w:leader="none" w:pos="10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YRC Freight was $20.3 million in the third quarter of 2017 compared to operating income of $20.8 million in the third quarter of 2016. Operating expenses increased $10.4 million, or 1.4%, primarily due to an increase in contractual wages and employee benefit costs, higher fuel costs and an increase in purchased transportation expense.</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$1.2 million, or 0.3%, primarily due to a $1.5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which are primarily related to contractual rate increases for union employees.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Operating expenses and supplies</w:t>
      </w:r>
      <w:r>
        <w:rPr>
          <w:rFonts w:ascii="Arial" w:cs="Arial" w:eastAsia="Arial" w:hAnsi="Arial"/>
          <w:sz w:val="17"/>
          <w:szCs w:val="17"/>
          <w:color w:val="auto"/>
        </w:rPr>
        <w:t>. Operating expenses and supplies increased $3.3 million, or 2.5%, primarily due to a $2.1 million increase in fuel expense,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higher fuel prices on a per gallon basis.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$7.9 million, or 6.6%, primarily due to a $4.8 million increase in vehicle rent expense due primarily to</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shortages, a $2.5 million increase in rail purchased transportation due to an increase in rail miles, and a $1.8 million increase in local purchased transportation due to increased volume and hurricane-related impacts.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First Three Quarters of 2017 Compared to the First Three Quarters of 2016</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YRC Freight reported operating revenue of $2,306.2 million in the first three quarters of 2017, an increase of $77.6 million, or 3.5%, compared to the same period in 2016. The increase in revenue is primarily attributed to an increase in volume, fuel surcharge revenue, and yield, excluding fuel surcharge revenue. The table below summarizes the key revenue metrics for the YRC Freight reporting segment for the first three quarters of 2017 compared to the first three quarters of 2016:</w:t>
      </w:r>
    </w:p>
    <w:p>
      <w:pPr>
        <w:spacing w:after="0" w:line="36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3"/>
                <w:szCs w:val="13"/>
                <w:b w:val="1"/>
                <w:bCs w:val="1"/>
                <w:color w:val="auto"/>
                <w:w w:val="97"/>
              </w:rPr>
              <w:t>First Three Quarters</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7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w w:val="91"/>
              </w:rPr>
              <w:t>Percent Change</w:t>
            </w:r>
            <w:r>
              <w:rPr>
                <w:rFonts w:ascii="Arial" w:cs="Arial" w:eastAsia="Arial" w:hAnsi="Arial"/>
                <w:sz w:val="8"/>
                <w:szCs w:val="8"/>
                <w:b w:val="1"/>
                <w:bCs w:val="1"/>
                <w:color w:val="auto"/>
                <w:w w:val="91"/>
              </w:rPr>
              <w:t>(b)</w:t>
            </w: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252"/>
        </w:trPr>
        <w:tc>
          <w:tcPr>
            <w:tcW w:w="4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2"/>
        </w:trPr>
        <w:tc>
          <w:tcPr>
            <w:tcW w:w="47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2,285.3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4,766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7,976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41.98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23.97</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21.47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287</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r>
      <w:tr>
        <w:trPr>
          <w:trHeight w:val="599"/>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3"/>
                <w:szCs w:val="13"/>
                <w:b w:val="1"/>
                <w:bCs w:val="1"/>
                <w:color w:val="auto"/>
              </w:rPr>
              <w:t>First Three Quarters</w:t>
            </w:r>
          </w:p>
        </w:tc>
        <w:tc>
          <w:tcPr>
            <w:tcW w:w="4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4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20"/>
                <w:szCs w:val="20"/>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2017</w:t>
            </w:r>
          </w:p>
        </w:tc>
        <w:tc>
          <w:tcPr>
            <w:tcW w:w="11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2016</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5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2,306.2</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2,228.6</w:t>
            </w:r>
          </w:p>
        </w:tc>
      </w:tr>
      <w:tr>
        <w:trPr>
          <w:trHeight w:val="257"/>
        </w:trPr>
        <w:tc>
          <w:tcPr>
            <w:tcW w:w="45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36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(19.7)</w:t>
            </w:r>
          </w:p>
        </w:tc>
      </w:tr>
      <w:tr>
        <w:trPr>
          <w:trHeight w:val="231"/>
        </w:trPr>
        <w:tc>
          <w:tcPr>
            <w:tcW w:w="45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2,285.3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2,208.9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8255</wp:posOffset>
            </wp:positionV>
            <wp:extent cx="1582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12" w:lineRule="exact"/>
        <w:rPr>
          <w:sz w:val="20"/>
          <w:szCs w:val="20"/>
          <w:color w:val="auto"/>
        </w:rPr>
      </w:pPr>
    </w:p>
    <w:p>
      <w:pPr>
        <w:ind w:left="1060" w:right="3100" w:hanging="304"/>
        <w:spacing w:after="0" w:line="252" w:lineRule="auto"/>
        <w:tabs>
          <w:tab w:leader="none" w:pos="10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ind w:left="1060" w:hanging="304"/>
        <w:spacing w:after="0"/>
        <w:tabs>
          <w:tab w:leader="none" w:pos="10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-290195</wp:posOffset>
            </wp:positionV>
            <wp:extent cx="1582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Operating income for YRC Freight was $37.8 million in the first three quarters of 2017 compared to $53.3 million in the first three quarters of 2016. Operating expenses increased $93.1 million, or 4.3%, primarily due to an increase in contractual wages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employee benefit costs, higher fuel costs, an increase in purchased transportation expense, and an increase in loss on property disposal expense.</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$22.8 million, or 1.8%, primarily due to a $13.8 million increase in wages and an</w:t>
      </w:r>
      <w:r>
        <w:rPr>
          <w:rFonts w:ascii="Arial" w:cs="Arial" w:eastAsia="Arial" w:hAnsi="Arial"/>
          <w:sz w:val="17"/>
          <w:szCs w:val="17"/>
          <w:i w:val="1"/>
          <w:iCs w:val="1"/>
          <w:color w:val="auto"/>
        </w:rPr>
        <w:t xml:space="preserve"> </w:t>
      </w:r>
      <w:r>
        <w:rPr>
          <w:rFonts w:ascii="Arial" w:cs="Arial" w:eastAsia="Arial" w:hAnsi="Arial"/>
          <w:sz w:val="17"/>
          <w:szCs w:val="17"/>
          <w:color w:val="auto"/>
        </w:rPr>
        <w:t>$9.7 million increase in employee benefit costs, which are primarily related to contractual rate increases for union employees, combined with an increase in shipping volumes, which required more employee hours to process freight.</w:t>
      </w:r>
    </w:p>
    <w:p>
      <w:pPr>
        <w:spacing w:after="0" w:line="17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Operating expenses and supplies</w:t>
      </w:r>
      <w:r>
        <w:rPr>
          <w:rFonts w:ascii="Arial" w:cs="Arial" w:eastAsia="Arial" w:hAnsi="Arial"/>
          <w:sz w:val="15"/>
          <w:szCs w:val="15"/>
          <w:color w:val="auto"/>
        </w:rPr>
        <w:t>. Operating expenses and supplies increased $26.7 million, or 7.0%, primarily due to a $19.0 million increase in fuel expense, which was</w:t>
      </w:r>
      <w:r>
        <w:rPr>
          <w:rFonts w:ascii="Arial" w:cs="Arial" w:eastAsia="Arial" w:hAnsi="Arial"/>
          <w:sz w:val="15"/>
          <w:szCs w:val="15"/>
          <w:i w:val="1"/>
          <w:iCs w:val="1"/>
          <w:color w:val="auto"/>
        </w:rPr>
        <w:t xml:space="preserve"> </w:t>
      </w:r>
      <w:r>
        <w:rPr>
          <w:rFonts w:ascii="Arial" w:cs="Arial" w:eastAsia="Arial" w:hAnsi="Arial"/>
          <w:sz w:val="15"/>
          <w:szCs w:val="15"/>
          <w:color w:val="auto"/>
        </w:rPr>
        <w:t>largely driven by higher fuel prices on a per gallon basis. Also, operating expenses increased by $8.5 million due to higher technology and operating supply costs.</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$39.4 million, or 12.7%, primarily due to a $16.5 million increase in rail purchased transportation due to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rail miles and higher rail rates which were impacted by increased fuel surcharges. Vehicle rent expense increased $12.3 million due to higher usage of operating leases and short-term rental expense due to equipment shortages, and local and over-the-road purchased transportation expense increased $8.9 million due to higher usage of third-party providers.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$5.2 million, or 4.3%, primarily due to a reduction in property damage and liability claims expense of $5.2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due to unfavorable development of prior year claims that negatively impacted the second quarter of 2016.</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losses on disposals of property were $1.7 million in the first three quarters of 2017 compared to net gains of $12.0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three quarters of 2016, primarily due to the sale of excess real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Regional Transportation Results</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Regional Transportation represented 37.0% of consolidated operating revenue for the third quarter of 2017, as compared to 36.3% for the third quarter of 2016. Regional Transportation represented 37.4% of consolidated operating revenue for the first three quarters of 2017, as compared to 37.2% for the first three quarters of 2016. The table below provides summary financial information for Regional Transportation for the third quarter and first three quarters of 2017 and 2016:</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Third Quarter</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First Three Quarters</w:t>
            </w:r>
          </w:p>
        </w:tc>
        <w:tc>
          <w:tcPr>
            <w:tcW w:w="1120" w:type="dxa"/>
            <w:vAlign w:val="bottom"/>
            <w:tcBorders>
              <w:bottom w:val="single" w:sz="8" w:color="auto"/>
            </w:tcBorders>
          </w:tcPr>
          <w:p>
            <w:pPr>
              <w:spacing w:after="0"/>
              <w:rPr>
                <w:sz w:val="15"/>
                <w:szCs w:val="15"/>
                <w:color w:val="auto"/>
              </w:rPr>
            </w:pPr>
          </w:p>
        </w:tc>
      </w:tr>
      <w:tr>
        <w:trPr>
          <w:trHeight w:val="244"/>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Percent Change</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Percent Change</w:t>
            </w:r>
          </w:p>
        </w:tc>
      </w:tr>
      <w:tr>
        <w:trPr>
          <w:trHeight w:val="229"/>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463.5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443.7</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1,376.5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1,321.3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7"/>
                <w:szCs w:val="17"/>
                <w:color w:val="auto"/>
              </w:rPr>
              <w:t>4.2%</w:t>
            </w:r>
          </w:p>
        </w:tc>
      </w:tr>
      <w:tr>
        <w:trPr>
          <w:trHeight w:val="226"/>
        </w:trPr>
        <w:tc>
          <w:tcPr>
            <w:tcW w:w="34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00"/>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03"/>
              <w:spacing w:after="0"/>
              <w:rPr>
                <w:sz w:val="20"/>
                <w:szCs w:val="20"/>
                <w:color w:val="auto"/>
              </w:rPr>
            </w:pPr>
            <w:r>
              <w:rPr>
                <w:rFonts w:ascii="Arial" w:cs="Arial" w:eastAsia="Arial" w:hAnsi="Arial"/>
                <w:sz w:val="17"/>
                <w:szCs w:val="17"/>
                <w:color w:val="auto"/>
              </w:rPr>
              <w:t>21.9</w:t>
            </w:r>
          </w:p>
        </w:tc>
        <w:tc>
          <w:tcPr>
            <w:tcW w:w="120" w:type="dxa"/>
            <w:vAlign w:val="bottom"/>
          </w:tcPr>
          <w:p>
            <w:pPr>
              <w:spacing w:after="0"/>
              <w:rPr>
                <w:sz w:val="19"/>
                <w:szCs w:val="19"/>
                <w:color w:val="auto"/>
              </w:rPr>
            </w:pPr>
          </w:p>
        </w:tc>
        <w:tc>
          <w:tcPr>
            <w:tcW w:w="1120" w:type="dxa"/>
            <w:vAlign w:val="bottom"/>
          </w:tcPr>
          <w:p>
            <w:pPr>
              <w:jc w:val="right"/>
              <w:ind w:right="26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00"/>
              <w:spacing w:after="0"/>
              <w:rPr>
                <w:sz w:val="20"/>
                <w:szCs w:val="20"/>
                <w:color w:val="auto"/>
              </w:rPr>
            </w:pPr>
            <w:r>
              <w:rPr>
                <w:rFonts w:ascii="Arial" w:cs="Arial" w:eastAsia="Arial" w:hAnsi="Arial"/>
                <w:sz w:val="17"/>
                <w:szCs w:val="17"/>
                <w:color w:val="auto"/>
              </w:rPr>
              <w:t>59.0</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00"/>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9"/>
                <w:szCs w:val="19"/>
                <w:color w:val="auto"/>
              </w:rPr>
            </w:pPr>
          </w:p>
        </w:tc>
        <w:tc>
          <w:tcPr>
            <w:tcW w:w="1120" w:type="dxa"/>
            <w:vAlign w:val="bottom"/>
          </w:tcPr>
          <w:p>
            <w:pPr>
              <w:jc w:val="right"/>
              <w:ind w:right="240"/>
              <w:spacing w:after="0"/>
              <w:rPr>
                <w:sz w:val="20"/>
                <w:szCs w:val="20"/>
                <w:color w:val="auto"/>
              </w:rPr>
            </w:pPr>
            <w:r>
              <w:rPr>
                <w:rFonts w:ascii="Arial" w:cs="Arial" w:eastAsia="Arial" w:hAnsi="Arial"/>
                <w:sz w:val="17"/>
                <w:szCs w:val="17"/>
                <w:color w:val="auto"/>
              </w:rPr>
              <w:t>(9.1)%</w:t>
            </w:r>
          </w:p>
        </w:tc>
      </w:tr>
      <w:tr>
        <w:trPr>
          <w:trHeight w:val="271"/>
        </w:trPr>
        <w:tc>
          <w:tcPr>
            <w:tcW w:w="344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95.1%</w:t>
            </w:r>
          </w:p>
        </w:tc>
        <w:tc>
          <w:tcPr>
            <w:tcW w:w="120" w:type="dxa"/>
            <w:vAlign w:val="bottom"/>
          </w:tcPr>
          <w:p>
            <w:pPr>
              <w:spacing w:after="0"/>
              <w:rPr>
                <w:sz w:val="23"/>
                <w:szCs w:val="2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(0.3) pp</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95.1%</w:t>
            </w:r>
          </w:p>
        </w:tc>
        <w:tc>
          <w:tcPr>
            <w:tcW w:w="100" w:type="dxa"/>
            <w:vAlign w:val="bottom"/>
          </w:tcPr>
          <w:p>
            <w:pPr>
              <w:spacing w:after="0"/>
              <w:rPr>
                <w:sz w:val="23"/>
                <w:szCs w:val="23"/>
                <w:color w:val="auto"/>
              </w:rPr>
            </w:pPr>
          </w:p>
        </w:tc>
        <w:tc>
          <w:tcPr>
            <w:tcW w:w="1120" w:type="dxa"/>
            <w:vAlign w:val="bottom"/>
          </w:tcPr>
          <w:p>
            <w:pPr>
              <w:jc w:val="right"/>
              <w:ind w:right="200"/>
              <w:spacing w:after="0"/>
              <w:rPr>
                <w:sz w:val="20"/>
                <w:szCs w:val="20"/>
                <w:color w:val="auto"/>
              </w:rPr>
            </w:pPr>
            <w:r>
              <w:rPr>
                <w:rFonts w:ascii="Arial" w:cs="Arial" w:eastAsia="Arial" w:hAnsi="Arial"/>
                <w:sz w:val="17"/>
                <w:szCs w:val="17"/>
                <w:color w:val="auto"/>
              </w:rPr>
              <w:t>(0.6)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56145" cy="160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145" cy="160020"/>
                    </a:xfrm>
                    <a:prstGeom prst="rect">
                      <a:avLst/>
                    </a:prstGeom>
                    <a:noFill/>
                  </pic:spPr>
                </pic:pic>
              </a:graphicData>
            </a:graphic>
          </wp:anchor>
        </w:drawing>
      </w:r>
    </w:p>
    <w:p>
      <w:pPr>
        <w:ind w:left="300" w:hanging="299"/>
        <w:spacing w:after="0"/>
        <w:tabs>
          <w:tab w:leader="none" w:pos="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2"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Third Quarter of 2017 Compared to the Third Quarter of 2016</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$463.5 million for the third quarter of 2017, an increase of $19.8 million, or 4.5%, from the third quarter of 2016. The increase in revenue is primarily attributed to an increase in volume and fuel surcharge revenue, while yield, excluding fuel surcharge, is comparable to prior year. The table below summarizes the key revenue metrics for the Regional Transportation reporting segment for the third quarter of 2017 compared to the third quarter of 2016:</w:t>
      </w: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2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3"/>
                <w:szCs w:val="13"/>
                <w:b w:val="1"/>
                <w:bCs w:val="1"/>
                <w:color w:val="auto"/>
              </w:rPr>
              <w:t>Third Quarter</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w w:val="93"/>
              </w:rPr>
              <w:t>Percent Change</w:t>
            </w:r>
            <w:r>
              <w:rPr>
                <w:rFonts w:ascii="Arial" w:cs="Arial" w:eastAsia="Arial" w:hAnsi="Arial"/>
                <w:sz w:val="8"/>
                <w:szCs w:val="8"/>
                <w:b w:val="1"/>
                <w:bCs w:val="1"/>
                <w:color w:val="auto"/>
                <w:w w:val="93"/>
              </w:rPr>
              <w:t>(b)</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90"/>
                <w:shd w:val="clear" w:color="auto" w:fill="CCEEFF"/>
              </w:rPr>
              <w:t>Total picked up revenue (in millions)</w:t>
            </w: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shd w:val="clear" w:color="auto" w:fill="CCEEFF"/>
              </w:rPr>
              <w:t>(a)</w:t>
            </w:r>
          </w:p>
        </w:tc>
        <w:tc>
          <w:tcPr>
            <w:tcW w:w="580" w:type="dxa"/>
            <w:vAlign w:val="bottom"/>
            <w:vMerge w:val="restart"/>
            <w:shd w:val="clear" w:color="auto" w:fill="CCEEFF"/>
          </w:tcPr>
          <w:p>
            <w:pPr>
              <w:jc w:val="right"/>
              <w:ind w:right="399"/>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463.4</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443.6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72"/>
        </w:trPr>
        <w:tc>
          <w:tcPr>
            <w:tcW w:w="2500" w:type="dxa"/>
            <w:vAlign w:val="bottom"/>
            <w:tcBorders>
              <w:bottom w:val="single" w:sz="8" w:color="CCEEFF"/>
            </w:tcBorders>
            <w:vMerge w:val="continue"/>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4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tonnage (in thousands)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1,975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1,914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31.60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30.38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shipments (in thousands)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2,631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2,622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42.10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41.62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580" w:type="dxa"/>
            <w:vAlign w:val="bottom"/>
          </w:tcPr>
          <w:p>
            <w:pPr>
              <w:jc w:val="right"/>
              <w:ind w:right="399"/>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11.73</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10.52</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shipment</w:t>
            </w:r>
          </w:p>
        </w:tc>
        <w:tc>
          <w:tcPr>
            <w:tcW w:w="580" w:type="dxa"/>
            <w:vAlign w:val="bottom"/>
          </w:tcPr>
          <w:p>
            <w:pPr>
              <w:jc w:val="right"/>
              <w:ind w:right="399"/>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weight per shipment (in pounds)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1,501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1,460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599"/>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3"/>
                <w:szCs w:val="13"/>
                <w:b w:val="1"/>
                <w:bCs w:val="1"/>
                <w:color w:val="auto"/>
              </w:rPr>
              <w:t>Third Quarter</w:t>
            </w:r>
          </w:p>
        </w:tc>
        <w:tc>
          <w:tcPr>
            <w:tcW w:w="4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gridSpan w:val="2"/>
          </w:tcPr>
          <w:p>
            <w:pPr>
              <w:ind w:left="780"/>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581"/>
              <w:spacing w:after="0"/>
              <w:rPr>
                <w:sz w:val="20"/>
                <w:szCs w:val="20"/>
                <w:color w:val="auto"/>
              </w:rPr>
            </w:pPr>
            <w:r>
              <w:rPr>
                <w:rFonts w:ascii="Arial" w:cs="Arial" w:eastAsia="Arial" w:hAnsi="Arial"/>
                <w:sz w:val="13"/>
                <w:szCs w:val="13"/>
                <w:b w:val="1"/>
                <w:bCs w:val="1"/>
                <w:color w:val="auto"/>
              </w:rPr>
              <w:t>2017</w:t>
            </w:r>
          </w:p>
        </w:tc>
        <w:tc>
          <w:tcPr>
            <w:tcW w:w="6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2016</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56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463.5</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443.7</w:t>
            </w:r>
          </w:p>
        </w:tc>
      </w:tr>
      <w:tr>
        <w:trPr>
          <w:trHeight w:val="257"/>
        </w:trPr>
        <w:tc>
          <w:tcPr>
            <w:tcW w:w="4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31"/>
        </w:trPr>
        <w:tc>
          <w:tcPr>
            <w:tcW w:w="456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463.4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8255</wp:posOffset>
            </wp:positionV>
            <wp:extent cx="1574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-194310</wp:posOffset>
            </wp:positionV>
            <wp:extent cx="1574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Regional Transportation was $21.5 million for the third quarter of 2017 compared to $21.9 million for the third quarter of 2016. Operating expenses increased $20.2 million, or 4.8%, primarily due to an increase in contractual wages and employee benefit costs, higher fuel costs and higher usage of purchased transportation.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$12.2 million, or 4.6%, primarily due to a $6.9 million increase in wages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$6.9 million increase in employee benefit costs, which are primarily related to contractual rate increases for union employees, combined with an increase in shipping volumes, which required more employee hours to process freight.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Operating expenses and supplies. </w:t>
      </w:r>
      <w:r>
        <w:rPr>
          <w:rFonts w:ascii="Arial" w:cs="Arial" w:eastAsia="Arial" w:hAnsi="Arial"/>
          <w:sz w:val="17"/>
          <w:szCs w:val="17"/>
          <w:color w:val="auto"/>
        </w:rPr>
        <w:t>Operating expenses and supplies increased $6.4 million, or 7.9%, primarily due to a $4.3 million increase in fuel expense,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driven by higher fuel prices on a per gallon basis.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increased $4.2 million, or 11.7%, primarily due to a $2.7 million increase in vehicle rent expense due to higher usage</w:t>
      </w:r>
      <w:r>
        <w:rPr>
          <w:rFonts w:ascii="Arial" w:cs="Arial" w:eastAsia="Arial" w:hAnsi="Arial"/>
          <w:sz w:val="16"/>
          <w:szCs w:val="16"/>
          <w:i w:val="1"/>
          <w:iCs w:val="1"/>
          <w:color w:val="auto"/>
        </w:rPr>
        <w:t xml:space="preserve"> </w:t>
      </w:r>
      <w:r>
        <w:rPr>
          <w:rFonts w:ascii="Arial" w:cs="Arial" w:eastAsia="Arial" w:hAnsi="Arial"/>
          <w:sz w:val="16"/>
          <w:szCs w:val="16"/>
          <w:color w:val="auto"/>
        </w:rPr>
        <w:t>of operating leases for revenue equipment, and a $2.3 million increase in local purchased transportation expense due to increased volume.</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Other operating expenses</w:t>
      </w:r>
      <w:r>
        <w:rPr>
          <w:rFonts w:ascii="Arial" w:cs="Arial" w:eastAsia="Arial" w:hAnsi="Arial"/>
          <w:sz w:val="17"/>
          <w:szCs w:val="17"/>
          <w:color w:val="auto"/>
        </w:rPr>
        <w:t>. Other operating expenses decreased $0.7 million, or 2.9%, due to a $1.7 million decrease in our property damage and liability claims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favorable development on current year claims which positively impacted the third quarter of 2017 and unfavorable development of prior year claims that negatively impacted the third quarter of 2016, which was partially offset by increased cargo claims.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First Three Quarters of 2017 Compared to the First Three Quarters of 2016</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$1,376.5 million for the first three quarters of 2017, an increase of $55.2 million, or 4.2%, from the first three quarters of 2016. The increase in revenue is primarily attributed to an increase in volume and fuel surcharge revenue, while yield, excluding fuel surcharge, is comparable to prior year. The table below summarizes the key revenue metrics for the Regional Transportation reporting segment for the first three quarters of 2017 compared to the first three quarters of 2016:</w:t>
      </w: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7"/>
          </w:tcPr>
          <w:p>
            <w:pPr>
              <w:jc w:val="right"/>
              <w:ind w:right="820"/>
              <w:spacing w:after="0"/>
              <w:rPr>
                <w:sz w:val="20"/>
                <w:szCs w:val="20"/>
                <w:color w:val="auto"/>
              </w:rPr>
            </w:pPr>
            <w:r>
              <w:rPr>
                <w:rFonts w:ascii="Arial" w:cs="Arial" w:eastAsia="Arial" w:hAnsi="Arial"/>
                <w:sz w:val="13"/>
                <w:szCs w:val="13"/>
                <w:b w:val="1"/>
                <w:bCs w:val="1"/>
                <w:color w:val="auto"/>
              </w:rPr>
              <w:t>First Three Quarters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4"/>
        </w:trPr>
        <w:tc>
          <w:tcPr>
            <w:tcW w:w="474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gridSpan w:val="2"/>
          </w:tcPr>
          <w:p>
            <w:pPr>
              <w:jc w:val="right"/>
              <w:ind w:right="44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w w:val="93"/>
              </w:rPr>
              <w:t>Percent Change</w:t>
            </w:r>
            <w:r>
              <w:rPr>
                <w:rFonts w:ascii="Arial" w:cs="Arial" w:eastAsia="Arial" w:hAnsi="Arial"/>
                <w:sz w:val="8"/>
                <w:szCs w:val="8"/>
                <w:b w:val="1"/>
                <w:bCs w:val="1"/>
                <w:color w:val="auto"/>
                <w:w w:val="93"/>
              </w:rPr>
              <w:t>(b)</w:t>
            </w: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2"/>
        </w:trPr>
        <w:tc>
          <w:tcPr>
            <w:tcW w:w="47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1,378.8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5,935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7,902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11.61</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r>
      <w:tr>
        <w:trPr>
          <w:trHeight w:val="26"/>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1,502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r>
      <w:tr>
        <w:trPr>
          <w:trHeight w:val="599"/>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w w:val="95"/>
              </w:rPr>
              <w:t>First Three Quarters</w:t>
            </w:r>
          </w:p>
        </w:tc>
        <w:tc>
          <w:tcPr>
            <w:tcW w:w="4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4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20"/>
                <w:szCs w:val="20"/>
                <w:color w:val="auto"/>
              </w:rPr>
            </w:pPr>
          </w:p>
        </w:tc>
        <w:tc>
          <w:tcPr>
            <w:tcW w:w="1260" w:type="dxa"/>
            <w:vAlign w:val="bottom"/>
            <w:gridSpan w:val="4"/>
          </w:tcPr>
          <w:p>
            <w:pPr>
              <w:jc w:val="right"/>
              <w:ind w:right="99"/>
              <w:spacing w:after="0"/>
              <w:rPr>
                <w:sz w:val="20"/>
                <w:szCs w:val="20"/>
                <w:color w:val="auto"/>
              </w:rPr>
            </w:pPr>
            <w:r>
              <w:rPr>
                <w:rFonts w:ascii="Arial" w:cs="Arial" w:eastAsia="Arial" w:hAnsi="Arial"/>
                <w:sz w:val="13"/>
                <w:szCs w:val="13"/>
                <w:b w:val="1"/>
                <w:bCs w:val="1"/>
                <w:color w:val="auto"/>
              </w:rPr>
              <w:t>2017</w:t>
            </w:r>
          </w:p>
        </w:tc>
        <w:tc>
          <w:tcPr>
            <w:tcW w:w="11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2016</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62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1,376.5</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1,321.3</w:t>
            </w:r>
          </w:p>
        </w:tc>
      </w:tr>
      <w:tr>
        <w:trPr>
          <w:trHeight w:val="257"/>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31"/>
        </w:trPr>
        <w:tc>
          <w:tcPr>
            <w:tcW w:w="462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8255</wp:posOffset>
            </wp:positionV>
            <wp:extent cx="1534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-194310</wp:posOffset>
            </wp:positionV>
            <wp:extent cx="1534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Regional Transportation was $59.0 million for the first three quarters of 2017, as compared to $64.9 million for the first three quarters of 2016. Operating expenses increased by a $61.1 million, or 4.9%, primarily due to an increase in contractual wages and employee benefit costs, higher fuel costs and higher usage of purchased transportation.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$30.5 million, or 3.8%, primarily due to a $15.2 million increase in wages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$19.0 million increase in employee benefit costs, which are primarily related to contractual rate increases for union employees, combined with an increase in shipping volumes, which required more employee hours to process freight.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Operating expenses and supplies. </w:t>
      </w:r>
      <w:r>
        <w:rPr>
          <w:rFonts w:ascii="Arial" w:cs="Arial" w:eastAsia="Arial" w:hAnsi="Arial"/>
          <w:sz w:val="17"/>
          <w:szCs w:val="17"/>
          <w:color w:val="auto"/>
        </w:rPr>
        <w:t>Operating expenses and supplies increased $21.7 million, or 9.1%, primarily due to a $15.7 million increase in fuel expense,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driven by higher fuel prices on a per gallon basis.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$14.5 million, or 14.7%, primarily due to a $13.8 million increase in vehicle rent expense due to higher</w:t>
      </w:r>
      <w:r>
        <w:rPr>
          <w:rFonts w:ascii="Arial" w:cs="Arial" w:eastAsia="Arial" w:hAnsi="Arial"/>
          <w:sz w:val="17"/>
          <w:szCs w:val="17"/>
          <w:i w:val="1"/>
          <w:iCs w:val="1"/>
          <w:color w:val="auto"/>
        </w:rPr>
        <w:t xml:space="preserve"> </w:t>
      </w:r>
      <w:r>
        <w:rPr>
          <w:rFonts w:ascii="Arial" w:cs="Arial" w:eastAsia="Arial" w:hAnsi="Arial"/>
          <w:sz w:val="17"/>
          <w:szCs w:val="17"/>
          <w:color w:val="auto"/>
        </w:rPr>
        <w:t>usage of operating leases for revenue equipment.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Other operating expenses</w:t>
      </w:r>
      <w:r>
        <w:rPr>
          <w:rFonts w:ascii="Arial" w:cs="Arial" w:eastAsia="Arial" w:hAnsi="Arial"/>
          <w:sz w:val="17"/>
          <w:szCs w:val="17"/>
          <w:color w:val="auto"/>
        </w:rPr>
        <w:t>. Other operating expenses decreased $1.7 million, or 2.3%, due to a $4.1 million decrease in our property damage and liability claims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favorable development on current year claims which positively impacted the first three quarters of 2017 and unfavorable development of prior year claims that negatively impacted the first three quarters of 2016. This was partially offset by a $1.4 million increase in operating taxes, primarily due to more fuel gallons purchased, and a $1.1 million increase in cargo claims expense.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Financial Measures</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Adjusted EBITDA</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reconciliation of net income (loss) to EBITDA and EBITDA to Adjusted EBITDA (defined in our Term Loan Agreement as “Consolidated EBITDA”) for the third quarter and first three quarters of 2017 and 2016, and the trailing twelve months ended September 30, 2017 and 2016,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4"/>
          </w:tcPr>
          <w:p>
            <w:pPr>
              <w:ind w:left="220"/>
              <w:spacing w:after="0"/>
              <w:rPr>
                <w:sz w:val="20"/>
                <w:szCs w:val="20"/>
                <w:color w:val="auto"/>
              </w:rPr>
            </w:pPr>
            <w:r>
              <w:rPr>
                <w:rFonts w:ascii="Arial" w:cs="Arial" w:eastAsia="Arial" w:hAnsi="Arial"/>
                <w:sz w:val="13"/>
                <w:szCs w:val="13"/>
                <w:b w:val="1"/>
                <w:bCs w:val="1"/>
                <w:color w:val="auto"/>
              </w:rPr>
              <w:t>Third Quarter</w:t>
            </w:r>
          </w:p>
        </w:tc>
        <w:tc>
          <w:tcPr>
            <w:tcW w:w="160" w:type="dxa"/>
            <w:vAlign w:val="bottom"/>
          </w:tcPr>
          <w:p>
            <w:pPr>
              <w:spacing w:after="0"/>
              <w:rPr>
                <w:sz w:val="15"/>
                <w:szCs w:val="15"/>
                <w:color w:val="auto"/>
              </w:rPr>
            </w:pPr>
          </w:p>
        </w:tc>
        <w:tc>
          <w:tcPr>
            <w:tcW w:w="1880" w:type="dxa"/>
            <w:vAlign w:val="bottom"/>
            <w:gridSpan w:val="5"/>
          </w:tcPr>
          <w:p>
            <w:pPr>
              <w:ind w:left="100"/>
              <w:spacing w:after="0"/>
              <w:rPr>
                <w:sz w:val="20"/>
                <w:szCs w:val="20"/>
                <w:color w:val="auto"/>
              </w:rPr>
            </w:pPr>
            <w:r>
              <w:rPr>
                <w:rFonts w:ascii="Arial" w:cs="Arial" w:eastAsia="Arial" w:hAnsi="Arial"/>
                <w:sz w:val="13"/>
                <w:szCs w:val="13"/>
                <w:b w:val="1"/>
                <w:bCs w:val="1"/>
                <w:color w:val="auto"/>
              </w:rPr>
              <w:t>First Three Quarters</w:t>
            </w:r>
          </w:p>
        </w:tc>
        <w:tc>
          <w:tcPr>
            <w:tcW w:w="180" w:type="dxa"/>
            <w:vAlign w:val="bottom"/>
          </w:tcPr>
          <w:p>
            <w:pPr>
              <w:spacing w:after="0"/>
              <w:rPr>
                <w:sz w:val="15"/>
                <w:szCs w:val="15"/>
                <w:color w:val="auto"/>
              </w:rPr>
            </w:pPr>
          </w:p>
        </w:tc>
        <w:tc>
          <w:tcPr>
            <w:tcW w:w="2080" w:type="dxa"/>
            <w:vAlign w:val="bottom"/>
            <w:gridSpan w:val="4"/>
          </w:tcPr>
          <w:p>
            <w:pPr>
              <w:jc w:val="right"/>
              <w:ind w:right="137"/>
              <w:spacing w:after="0"/>
              <w:rPr>
                <w:sz w:val="20"/>
                <w:szCs w:val="20"/>
                <w:color w:val="auto"/>
              </w:rPr>
            </w:pPr>
            <w:r>
              <w:rPr>
                <w:rFonts w:ascii="Arial" w:cs="Arial" w:eastAsia="Arial" w:hAnsi="Arial"/>
                <w:sz w:val="13"/>
                <w:szCs w:val="13"/>
                <w:b w:val="1"/>
                <w:bCs w:val="1"/>
                <w:color w:val="auto"/>
                <w:w w:val="98"/>
              </w:rPr>
              <w:t>Trailing Twelve Months Ended</w:t>
            </w:r>
          </w:p>
        </w:tc>
        <w:tc>
          <w:tcPr>
            <w:tcW w:w="0" w:type="dxa"/>
            <w:vAlign w:val="bottom"/>
          </w:tcPr>
          <w:p>
            <w:pPr>
              <w:spacing w:after="0"/>
              <w:rPr>
                <w:sz w:val="1"/>
                <w:szCs w:val="1"/>
                <w:color w:val="auto"/>
              </w:rPr>
            </w:pPr>
          </w:p>
        </w:tc>
      </w:tr>
      <w:tr>
        <w:trPr>
          <w:trHeight w:val="141"/>
        </w:trPr>
        <w:tc>
          <w:tcPr>
            <w:tcW w:w="5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b w:val="1"/>
                <w:bCs w:val="1"/>
                <w:color w:val="auto"/>
                <w:w w:val="96"/>
              </w:rPr>
              <w:t>2017</w:t>
            </w: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b w:val="1"/>
                <w:bCs w:val="1"/>
                <w:color w:val="auto"/>
              </w:rPr>
              <w:t>2016</w:t>
            </w: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vMerge w:val="restart"/>
          </w:tcPr>
          <w:p>
            <w:pPr>
              <w:jc w:val="right"/>
              <w:ind w:right="118"/>
              <w:spacing w:after="0"/>
              <w:rPr>
                <w:sz w:val="20"/>
                <w:szCs w:val="20"/>
                <w:color w:val="auto"/>
              </w:rPr>
            </w:pPr>
            <w:r>
              <w:rPr>
                <w:rFonts w:ascii="Arial" w:cs="Arial" w:eastAsia="Arial" w:hAnsi="Arial"/>
                <w:sz w:val="13"/>
                <w:szCs w:val="13"/>
                <w:b w:val="1"/>
                <w:bCs w:val="1"/>
                <w:color w:val="auto"/>
              </w:rPr>
              <w:t>2017</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3"/>
                <w:szCs w:val="13"/>
                <w:b w:val="1"/>
                <w:bCs w:val="1"/>
                <w:color w:val="auto"/>
              </w:rPr>
              <w:t>2016</w:t>
            </w:r>
          </w:p>
        </w:tc>
        <w:tc>
          <w:tcPr>
            <w:tcW w:w="340" w:type="dxa"/>
            <w:vAlign w:val="bottom"/>
          </w:tcPr>
          <w:p>
            <w:pPr>
              <w:spacing w:after="0"/>
              <w:rPr>
                <w:sz w:val="12"/>
                <w:szCs w:val="12"/>
                <w:color w:val="auto"/>
              </w:rPr>
            </w:pPr>
          </w:p>
        </w:tc>
        <w:tc>
          <w:tcPr>
            <w:tcW w:w="1360" w:type="dxa"/>
            <w:vAlign w:val="bottom"/>
            <w:tcBorders>
              <w:top w:val="single" w:sz="8" w:color="auto"/>
            </w:tcBorders>
            <w:gridSpan w:val="3"/>
          </w:tcPr>
          <w:p>
            <w:pPr>
              <w:ind w:left="100"/>
              <w:spacing w:after="0" w:line="141" w:lineRule="exact"/>
              <w:rPr>
                <w:sz w:val="20"/>
                <w:szCs w:val="20"/>
                <w:color w:val="auto"/>
              </w:rPr>
            </w:pPr>
            <w:r>
              <w:rPr>
                <w:rFonts w:ascii="Arial" w:cs="Arial" w:eastAsia="Arial" w:hAnsi="Arial"/>
                <w:sz w:val="13"/>
                <w:szCs w:val="13"/>
                <w:b w:val="1"/>
                <w:bCs w:val="1"/>
                <w:color w:val="auto"/>
              </w:rPr>
              <w:t>September 30,</w:t>
            </w:r>
          </w:p>
        </w:tc>
        <w:tc>
          <w:tcPr>
            <w:tcW w:w="900" w:type="dxa"/>
            <w:vAlign w:val="bottom"/>
            <w:tcBorders>
              <w:top w:val="single" w:sz="8" w:color="auto"/>
            </w:tcBorders>
            <w:gridSpan w:val="2"/>
          </w:tcPr>
          <w:p>
            <w:pPr>
              <w:ind w:left="40"/>
              <w:spacing w:after="0" w:line="141" w:lineRule="exact"/>
              <w:rPr>
                <w:sz w:val="20"/>
                <w:szCs w:val="20"/>
                <w:color w:val="auto"/>
              </w:rPr>
            </w:pPr>
            <w:r>
              <w:rPr>
                <w:rFonts w:ascii="Arial" w:cs="Arial" w:eastAsia="Arial" w:hAnsi="Arial"/>
                <w:sz w:val="13"/>
                <w:szCs w:val="13"/>
                <w:b w:val="1"/>
                <w:bCs w:val="1"/>
                <w:color w:val="auto"/>
                <w:w w:val="94"/>
              </w:rPr>
              <w:t>September 30,</w:t>
            </w:r>
          </w:p>
        </w:tc>
        <w:tc>
          <w:tcPr>
            <w:tcW w:w="0" w:type="dxa"/>
            <w:vAlign w:val="bottom"/>
          </w:tcPr>
          <w:p>
            <w:pPr>
              <w:spacing w:after="0"/>
              <w:rPr>
                <w:sz w:val="1"/>
                <w:szCs w:val="1"/>
                <w:color w:val="auto"/>
              </w:rPr>
            </w:pPr>
          </w:p>
        </w:tc>
      </w:tr>
      <w:tr>
        <w:trPr>
          <w:trHeight w:val="179"/>
        </w:trPr>
        <w:tc>
          <w:tcPr>
            <w:tcW w:w="52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2017</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net income (loss) to Adjusted EBITDA:</w:t>
            </w: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38"/>
              <w:spacing w:after="0"/>
              <w:rPr>
                <w:sz w:val="20"/>
                <w:szCs w:val="20"/>
                <w:color w:val="auto"/>
              </w:rPr>
            </w:pPr>
            <w:r>
              <w:rPr>
                <w:rFonts w:ascii="Arial" w:cs="Arial" w:eastAsia="Arial" w:hAnsi="Arial"/>
                <w:sz w:val="17"/>
                <w:szCs w:val="17"/>
                <w:color w:val="auto"/>
              </w:rPr>
              <w:t>3.0</w:t>
            </w:r>
          </w:p>
        </w:tc>
        <w:tc>
          <w:tcPr>
            <w:tcW w:w="360" w:type="dxa"/>
            <w:vAlign w:val="bottom"/>
          </w:tcPr>
          <w:p>
            <w:pPr>
              <w:spacing w:after="0"/>
              <w:rPr>
                <w:sz w:val="19"/>
                <w:szCs w:val="19"/>
                <w:color w:val="auto"/>
              </w:rPr>
            </w:pPr>
          </w:p>
        </w:tc>
        <w:tc>
          <w:tcPr>
            <w:tcW w:w="560" w:type="dxa"/>
            <w:vAlign w:val="bottom"/>
          </w:tcPr>
          <w:p>
            <w:pPr>
              <w:jc w:val="right"/>
              <w:ind w:right="17"/>
              <w:spacing w:after="0"/>
              <w:rPr>
                <w:sz w:val="20"/>
                <w:szCs w:val="20"/>
                <w:color w:val="auto"/>
              </w:rPr>
            </w:pPr>
            <w:r>
              <w:rPr>
                <w:rFonts w:ascii="Arial" w:cs="Arial" w:eastAsia="Arial" w:hAnsi="Arial"/>
                <w:sz w:val="17"/>
                <w:szCs w:val="17"/>
                <w:color w:val="auto"/>
                <w:w w:val="92"/>
              </w:rPr>
              <w:t>$ 13.9</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(3.3)</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7"/>
              <w:spacing w:after="0"/>
              <w:rPr>
                <w:sz w:val="20"/>
                <w:szCs w:val="20"/>
                <w:color w:val="auto"/>
              </w:rPr>
            </w:pPr>
            <w:r>
              <w:rPr>
                <w:rFonts w:ascii="Arial" w:cs="Arial" w:eastAsia="Arial" w:hAnsi="Arial"/>
                <w:sz w:val="17"/>
                <w:szCs w:val="17"/>
                <w:color w:val="auto"/>
              </w:rPr>
              <w:t>29.0</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(10.8)</w:t>
            </w:r>
          </w:p>
        </w:tc>
        <w:tc>
          <w:tcPr>
            <w:tcW w:w="3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w w:val="96"/>
              </w:rPr>
              <w:t>25.9</w:t>
            </w: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25.5</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76.7</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77.6</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102.1</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103.8</w:t>
            </w:r>
          </w:p>
        </w:tc>
        <w:tc>
          <w:tcPr>
            <w:tcW w:w="0" w:type="dxa"/>
            <w:vAlign w:val="bottom"/>
          </w:tcPr>
          <w:p>
            <w:pPr>
              <w:spacing w:after="0"/>
              <w:rPr>
                <w:sz w:val="1"/>
                <w:szCs w:val="1"/>
                <w:color w:val="auto"/>
              </w:rPr>
            </w:pPr>
          </w:p>
        </w:tc>
      </w:tr>
      <w:tr>
        <w:trPr>
          <w:trHeight w:val="226"/>
        </w:trPr>
        <w:tc>
          <w:tcPr>
            <w:tcW w:w="5260" w:type="dxa"/>
            <w:vAlign w:val="bottom"/>
          </w:tcPr>
          <w:p>
            <w:pPr>
              <w:ind w:left="360"/>
              <w:spacing w:after="0"/>
              <w:rPr>
                <w:sz w:val="20"/>
                <w:szCs w:val="20"/>
                <w:color w:val="auto"/>
              </w:rPr>
            </w:pPr>
            <w:r>
              <w:rPr>
                <w:rFonts w:ascii="Arial" w:cs="Arial" w:eastAsia="Arial" w:hAnsi="Arial"/>
                <w:sz w:val="17"/>
                <w:szCs w:val="17"/>
                <w:color w:val="auto"/>
              </w:rPr>
              <w:t>Income tax expense (benefit)</w:t>
            </w:r>
          </w:p>
        </w:tc>
        <w:tc>
          <w:tcPr>
            <w:tcW w:w="140" w:type="dxa"/>
            <w:vAlign w:val="bottom"/>
          </w:tcPr>
          <w:p>
            <w:pPr>
              <w:spacing w:after="0"/>
              <w:rPr>
                <w:sz w:val="19"/>
                <w:szCs w:val="19"/>
                <w:color w:val="auto"/>
              </w:rPr>
            </w:pPr>
          </w:p>
        </w:tc>
        <w:tc>
          <w:tcPr>
            <w:tcW w:w="460" w:type="dxa"/>
            <w:vAlign w:val="bottom"/>
          </w:tcPr>
          <w:p>
            <w:pPr>
              <w:jc w:val="right"/>
              <w:ind w:right="38"/>
              <w:spacing w:after="0"/>
              <w:rPr>
                <w:sz w:val="20"/>
                <w:szCs w:val="20"/>
                <w:color w:val="auto"/>
              </w:rPr>
            </w:pPr>
            <w:r>
              <w:rPr>
                <w:rFonts w:ascii="Arial" w:cs="Arial" w:eastAsia="Arial" w:hAnsi="Arial"/>
                <w:sz w:val="17"/>
                <w:szCs w:val="17"/>
                <w:color w:val="auto"/>
              </w:rPr>
              <w:t>0.9</w:t>
            </w:r>
          </w:p>
        </w:tc>
        <w:tc>
          <w:tcPr>
            <w:tcW w:w="360" w:type="dxa"/>
            <w:vAlign w:val="bottom"/>
          </w:tcPr>
          <w:p>
            <w:pPr>
              <w:spacing w:after="0"/>
              <w:rPr>
                <w:sz w:val="19"/>
                <w:szCs w:val="19"/>
                <w:color w:val="auto"/>
              </w:rPr>
            </w:pP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0.5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38"/>
              <w:spacing w:after="0"/>
              <w:rPr>
                <w:sz w:val="20"/>
                <w:szCs w:val="20"/>
                <w:color w:val="auto"/>
              </w:rPr>
            </w:pPr>
            <w:r>
              <w:rPr>
                <w:rFonts w:ascii="Arial" w:cs="Arial" w:eastAsia="Arial" w:hAnsi="Arial"/>
                <w:sz w:val="17"/>
                <w:szCs w:val="17"/>
                <w:color w:val="auto"/>
              </w:rPr>
              <w:t>0.4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37"/>
              <w:spacing w:after="0"/>
              <w:rPr>
                <w:sz w:val="20"/>
                <w:szCs w:val="20"/>
                <w:color w:val="auto"/>
              </w:rPr>
            </w:pPr>
            <w:r>
              <w:rPr>
                <w:rFonts w:ascii="Arial" w:cs="Arial" w:eastAsia="Arial" w:hAnsi="Arial"/>
                <w:sz w:val="17"/>
                <w:szCs w:val="17"/>
                <w:color w:val="auto"/>
              </w:rPr>
              <w:t>3.4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38"/>
              <w:spacing w:after="0"/>
              <w:rPr>
                <w:sz w:val="20"/>
                <w:szCs w:val="20"/>
                <w:color w:val="auto"/>
              </w:rPr>
            </w:pPr>
            <w:r>
              <w:rPr>
                <w:rFonts w:ascii="Arial" w:cs="Arial" w:eastAsia="Arial" w:hAnsi="Arial"/>
                <w:sz w:val="17"/>
                <w:szCs w:val="17"/>
                <w:color w:val="auto"/>
              </w:rPr>
              <w:t>0.1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w w:val="96"/>
              </w:rPr>
              <w:t>36.7</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40.3</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w w:val="93"/>
              </w:rPr>
              <w:t>111.0</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9"/>
              </w:rPr>
              <w:t>119.5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151.3</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159.6</w:t>
            </w:r>
          </w:p>
        </w:tc>
        <w:tc>
          <w:tcPr>
            <w:tcW w:w="0" w:type="dxa"/>
            <w:vAlign w:val="bottom"/>
          </w:tcPr>
          <w:p>
            <w:pPr>
              <w:spacing w:after="0"/>
              <w:rPr>
                <w:sz w:val="1"/>
                <w:szCs w:val="1"/>
                <w:color w:val="auto"/>
              </w:rPr>
            </w:pPr>
          </w:p>
        </w:tc>
      </w:tr>
      <w:tr>
        <w:trPr>
          <w:trHeight w:val="219"/>
        </w:trPr>
        <w:tc>
          <w:tcPr>
            <w:tcW w:w="5260" w:type="dxa"/>
            <w:vAlign w:val="bottom"/>
          </w:tcPr>
          <w:p>
            <w:pPr>
              <w:ind w:left="20"/>
              <w:spacing w:after="0"/>
              <w:rPr>
                <w:sz w:val="20"/>
                <w:szCs w:val="20"/>
                <w:color w:val="auto"/>
              </w:rPr>
            </w:pPr>
            <w:r>
              <w:rPr>
                <w:rFonts w:ascii="Arial" w:cs="Arial" w:eastAsia="Arial" w:hAnsi="Arial"/>
                <w:sz w:val="17"/>
                <w:szCs w:val="17"/>
                <w:color w:val="auto"/>
              </w:rPr>
              <w:t>EBITDA</w:t>
            </w: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w w:val="96"/>
              </w:rPr>
              <w:t>66.5</w:t>
            </w:r>
          </w:p>
        </w:tc>
        <w:tc>
          <w:tcPr>
            <w:tcW w:w="360" w:type="dxa"/>
            <w:vAlign w:val="bottom"/>
          </w:tcPr>
          <w:p>
            <w:pPr>
              <w:spacing w:after="0"/>
              <w:rPr>
                <w:sz w:val="19"/>
                <w:szCs w:val="19"/>
                <w:color w:val="auto"/>
              </w:rPr>
            </w:pPr>
          </w:p>
        </w:tc>
        <w:tc>
          <w:tcPr>
            <w:tcW w:w="5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80.2</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w w:val="89"/>
              </w:rPr>
              <w:t>184.8</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9"/>
              </w:rPr>
              <w:t>229.5</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242.7</w:t>
            </w: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256.8</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for Term Loan Agreement:</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6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140" w:type="dxa"/>
            <w:vAlign w:val="bottom"/>
          </w:tcPr>
          <w:p>
            <w:pPr>
              <w:spacing w:after="0"/>
              <w:rPr>
                <w:sz w:val="19"/>
                <w:szCs w:val="19"/>
                <w:color w:val="auto"/>
              </w:rPr>
            </w:pPr>
          </w:p>
        </w:tc>
        <w:tc>
          <w:tcPr>
            <w:tcW w:w="460" w:type="dxa"/>
            <w:vAlign w:val="bottom"/>
          </w:tcPr>
          <w:p>
            <w:pPr>
              <w:jc w:val="right"/>
              <w:ind w:right="38"/>
              <w:spacing w:after="0"/>
              <w:rPr>
                <w:sz w:val="20"/>
                <w:szCs w:val="20"/>
                <w:color w:val="auto"/>
              </w:rPr>
            </w:pPr>
            <w:r>
              <w:rPr>
                <w:rFonts w:ascii="Arial" w:cs="Arial" w:eastAsia="Arial" w:hAnsi="Arial"/>
                <w:sz w:val="17"/>
                <w:szCs w:val="17"/>
                <w:color w:val="auto"/>
              </w:rPr>
              <w:t>1.3</w:t>
            </w:r>
          </w:p>
        </w:tc>
        <w:tc>
          <w:tcPr>
            <w:tcW w:w="360" w:type="dxa"/>
            <w:vAlign w:val="bottom"/>
          </w:tcPr>
          <w:p>
            <w:pPr>
              <w:spacing w:after="0"/>
              <w:rPr>
                <w:sz w:val="19"/>
                <w:szCs w:val="19"/>
                <w:color w:val="auto"/>
              </w:rPr>
            </w:pP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0.2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38"/>
              <w:spacing w:after="0"/>
              <w:rPr>
                <w:sz w:val="20"/>
                <w:szCs w:val="20"/>
                <w:color w:val="auto"/>
              </w:rPr>
            </w:pPr>
            <w:r>
              <w:rPr>
                <w:rFonts w:ascii="Arial" w:cs="Arial" w:eastAsia="Arial" w:hAnsi="Arial"/>
                <w:sz w:val="17"/>
                <w:szCs w:val="17"/>
                <w:color w:val="auto"/>
              </w:rPr>
              <w:t>3.0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(11.2)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w:t>
            </w: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5.1</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6.0</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6.8</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26"/>
        </w:trPr>
        <w:tc>
          <w:tcPr>
            <w:tcW w:w="5260" w:type="dxa"/>
            <w:vAlign w:val="bottom"/>
          </w:tcPr>
          <w:p>
            <w:pPr>
              <w:ind w:left="360"/>
              <w:spacing w:after="0"/>
              <w:rPr>
                <w:sz w:val="20"/>
                <w:szCs w:val="20"/>
                <w:color w:val="auto"/>
              </w:rPr>
            </w:pPr>
            <w:r>
              <w:rPr>
                <w:rFonts w:ascii="Arial" w:cs="Arial" w:eastAsia="Arial" w:hAnsi="Arial"/>
                <w:sz w:val="17"/>
                <w:szCs w:val="17"/>
                <w:color w:val="auto"/>
              </w:rPr>
              <w:t>Restructuring professional fees</w:t>
            </w:r>
          </w:p>
        </w:tc>
        <w:tc>
          <w:tcPr>
            <w:tcW w:w="140" w:type="dxa"/>
            <w:vAlign w:val="bottom"/>
          </w:tcPr>
          <w:p>
            <w:pPr>
              <w:spacing w:after="0"/>
              <w:rPr>
                <w:sz w:val="19"/>
                <w:szCs w:val="19"/>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20" w:type="dxa"/>
            <w:vAlign w:val="bottom"/>
          </w:tcPr>
          <w:p>
            <w:pPr>
              <w:jc w:val="right"/>
              <w:ind w:right="38"/>
              <w:spacing w:after="0"/>
              <w:rPr>
                <w:sz w:val="20"/>
                <w:szCs w:val="20"/>
                <w:color w:val="auto"/>
              </w:rPr>
            </w:pPr>
            <w:r>
              <w:rPr>
                <w:rFonts w:ascii="Arial" w:cs="Arial" w:eastAsia="Arial" w:hAnsi="Arial"/>
                <w:sz w:val="17"/>
                <w:szCs w:val="17"/>
                <w:color w:val="auto"/>
              </w:rPr>
              <w:t>2.2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ind w:right="38"/>
              <w:spacing w:after="0"/>
              <w:rPr>
                <w:sz w:val="20"/>
                <w:szCs w:val="20"/>
                <w:color w:val="auto"/>
              </w:rPr>
            </w:pPr>
            <w:r>
              <w:rPr>
                <w:rFonts w:ascii="Arial" w:cs="Arial" w:eastAsia="Arial" w:hAnsi="Arial"/>
                <w:sz w:val="17"/>
                <w:szCs w:val="17"/>
                <w:color w:val="auto"/>
              </w:rPr>
              <w:t>2.2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Transaction costs related to issuances of debt</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6.7</w:t>
            </w: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6.7</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6.7</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5260" w:type="dxa"/>
            <w:vAlign w:val="bottom"/>
          </w:tcPr>
          <w:p>
            <w:pPr>
              <w:ind w:left="360"/>
              <w:spacing w:after="0"/>
              <w:rPr>
                <w:sz w:val="20"/>
                <w:szCs w:val="20"/>
                <w:color w:val="auto"/>
              </w:rPr>
            </w:pPr>
            <w:r>
              <w:rPr>
                <w:rFonts w:ascii="Arial" w:cs="Arial" w:eastAsia="Arial" w:hAnsi="Arial"/>
                <w:sz w:val="17"/>
                <w:szCs w:val="17"/>
                <w:color w:val="auto"/>
              </w:rPr>
              <w:t>Permitted dispositions and other</w:t>
            </w:r>
          </w:p>
        </w:tc>
        <w:tc>
          <w:tcPr>
            <w:tcW w:w="140" w:type="dxa"/>
            <w:vAlign w:val="bottom"/>
          </w:tcPr>
          <w:p>
            <w:pPr>
              <w:spacing w:after="0"/>
              <w:rPr>
                <w:sz w:val="19"/>
                <w:szCs w:val="19"/>
                <w:color w:val="auto"/>
              </w:rPr>
            </w:pPr>
          </w:p>
        </w:tc>
        <w:tc>
          <w:tcPr>
            <w:tcW w:w="460" w:type="dxa"/>
            <w:vAlign w:val="bottom"/>
          </w:tcPr>
          <w:p>
            <w:pPr>
              <w:jc w:val="right"/>
              <w:ind w:right="38"/>
              <w:spacing w:after="0"/>
              <w:rPr>
                <w:sz w:val="20"/>
                <w:szCs w:val="20"/>
                <w:color w:val="auto"/>
              </w:rPr>
            </w:pPr>
            <w:r>
              <w:rPr>
                <w:rFonts w:ascii="Arial" w:cs="Arial" w:eastAsia="Arial" w:hAnsi="Arial"/>
                <w:sz w:val="17"/>
                <w:szCs w:val="17"/>
                <w:color w:val="auto"/>
              </w:rPr>
              <w:t>0.3</w:t>
            </w:r>
          </w:p>
        </w:tc>
        <w:tc>
          <w:tcPr>
            <w:tcW w:w="360" w:type="dxa"/>
            <w:vAlign w:val="bottom"/>
          </w:tcPr>
          <w:p>
            <w:pPr>
              <w:spacing w:after="0"/>
              <w:rPr>
                <w:sz w:val="19"/>
                <w:szCs w:val="19"/>
                <w:color w:val="auto"/>
              </w:rPr>
            </w:pP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2.2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38"/>
              <w:spacing w:after="0"/>
              <w:rPr>
                <w:sz w:val="20"/>
                <w:szCs w:val="20"/>
                <w:color w:val="auto"/>
              </w:rPr>
            </w:pPr>
            <w:r>
              <w:rPr>
                <w:rFonts w:ascii="Arial" w:cs="Arial" w:eastAsia="Arial" w:hAnsi="Arial"/>
                <w:sz w:val="17"/>
                <w:szCs w:val="17"/>
                <w:color w:val="auto"/>
              </w:rPr>
              <w:t>1.1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37"/>
              <w:spacing w:after="0"/>
              <w:rPr>
                <w:sz w:val="20"/>
                <w:szCs w:val="20"/>
                <w:color w:val="auto"/>
              </w:rPr>
            </w:pPr>
            <w:r>
              <w:rPr>
                <w:rFonts w:ascii="Arial" w:cs="Arial" w:eastAsia="Arial" w:hAnsi="Arial"/>
                <w:sz w:val="17"/>
                <w:szCs w:val="17"/>
                <w:color w:val="auto"/>
              </w:rPr>
              <w:t>1.8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38"/>
              <w:spacing w:after="0"/>
              <w:rPr>
                <w:sz w:val="20"/>
                <w:szCs w:val="20"/>
                <w:color w:val="auto"/>
              </w:rPr>
            </w:pPr>
            <w:r>
              <w:rPr>
                <w:rFonts w:ascii="Arial" w:cs="Arial" w:eastAsia="Arial" w:hAnsi="Arial"/>
                <w:sz w:val="17"/>
                <w:szCs w:val="17"/>
                <w:color w:val="auto"/>
              </w:rPr>
              <w:t>2.3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Equity-based compensation expense</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w:t>
            </w: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5.3</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6.0</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6.6</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6"/>
        </w:trPr>
        <w:tc>
          <w:tcPr>
            <w:tcW w:w="5260" w:type="dxa"/>
            <w:vAlign w:val="bottom"/>
          </w:tcPr>
          <w:p>
            <w:pPr>
              <w:ind w:left="360"/>
              <w:spacing w:after="0"/>
              <w:rPr>
                <w:sz w:val="20"/>
                <w:szCs w:val="20"/>
                <w:color w:val="auto"/>
              </w:rPr>
            </w:pPr>
            <w:r>
              <w:rPr>
                <w:rFonts w:ascii="Arial" w:cs="Arial" w:eastAsia="Arial" w:hAnsi="Arial"/>
                <w:sz w:val="17"/>
                <w:szCs w:val="17"/>
                <w:color w:val="auto"/>
              </w:rPr>
              <w:t>Amortization of ratification bonus</w:t>
            </w:r>
          </w:p>
        </w:tc>
        <w:tc>
          <w:tcPr>
            <w:tcW w:w="140" w:type="dxa"/>
            <w:vAlign w:val="bottom"/>
          </w:tcPr>
          <w:p>
            <w:pPr>
              <w:spacing w:after="0"/>
              <w:rPr>
                <w:sz w:val="19"/>
                <w:szCs w:val="19"/>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20" w:type="dxa"/>
            <w:vAlign w:val="bottom"/>
          </w:tcPr>
          <w:p>
            <w:pPr>
              <w:jc w:val="right"/>
              <w:ind w:right="37"/>
              <w:spacing w:after="0"/>
              <w:rPr>
                <w:sz w:val="20"/>
                <w:szCs w:val="20"/>
                <w:color w:val="auto"/>
              </w:rPr>
            </w:pPr>
            <w:r>
              <w:rPr>
                <w:rFonts w:ascii="Arial" w:cs="Arial" w:eastAsia="Arial" w:hAnsi="Arial"/>
                <w:sz w:val="17"/>
                <w:szCs w:val="17"/>
                <w:color w:val="auto"/>
              </w:rPr>
              <w:t>4.6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Non-union pension settlement charge</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52"/>
        </w:trPr>
        <w:tc>
          <w:tcPr>
            <w:tcW w:w="526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3.6</w:t>
            </w:r>
          </w:p>
        </w:tc>
        <w:tc>
          <w:tcPr>
            <w:tcW w:w="36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7.5</w:t>
            </w: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3.1</w:t>
            </w: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6.5</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w w:val="96"/>
              </w:rPr>
              <w:t>81.4</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2"/>
              </w:rPr>
              <w:t>$ 85.5</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w w:val="89"/>
              </w:rPr>
              <w:t>215.7</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9"/>
              </w:rPr>
              <w:t>239.8</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273.4</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305.8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Adjusted EBITDA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Adjusted EBITDA by segment for the third quarter and first three quarters of 2017 and 2016:</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3"/>
                <w:szCs w:val="13"/>
                <w:b w:val="1"/>
                <w:bCs w:val="1"/>
                <w:color w:val="auto"/>
              </w:rPr>
              <w:t>First Three Quarters</w:t>
            </w:r>
          </w:p>
        </w:tc>
        <w:tc>
          <w:tcPr>
            <w:tcW w:w="0" w:type="dxa"/>
            <w:vAlign w:val="bottom"/>
          </w:tcPr>
          <w:p>
            <w:pPr>
              <w:spacing w:after="0"/>
              <w:rPr>
                <w:sz w:val="1"/>
                <w:szCs w:val="1"/>
                <w:color w:val="auto"/>
              </w:rPr>
            </w:pPr>
          </w:p>
        </w:tc>
      </w:tr>
      <w:tr>
        <w:trPr>
          <w:trHeight w:val="24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6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by segment:</w:t>
            </w:r>
          </w:p>
        </w:tc>
        <w:tc>
          <w:tcPr>
            <w:tcW w:w="26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YRC Freight</w:t>
            </w:r>
          </w:p>
        </w:tc>
        <w:tc>
          <w:tcPr>
            <w:tcW w:w="2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42"/>
              <w:spacing w:after="0"/>
              <w:rPr>
                <w:sz w:val="20"/>
                <w:szCs w:val="20"/>
                <w:color w:val="auto"/>
              </w:rPr>
            </w:pPr>
            <w:r>
              <w:rPr>
                <w:rFonts w:ascii="Arial" w:cs="Arial" w:eastAsia="Arial" w:hAnsi="Arial"/>
                <w:sz w:val="17"/>
                <w:szCs w:val="17"/>
                <w:color w:val="auto"/>
              </w:rPr>
              <w:t>42.6</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9"/>
              <w:spacing w:after="0"/>
              <w:rPr>
                <w:sz w:val="20"/>
                <w:szCs w:val="20"/>
                <w:color w:val="auto"/>
              </w:rPr>
            </w:pPr>
            <w:r>
              <w:rPr>
                <w:rFonts w:ascii="Arial" w:cs="Arial" w:eastAsia="Arial" w:hAnsi="Arial"/>
                <w:sz w:val="17"/>
                <w:szCs w:val="17"/>
                <w:color w:val="auto"/>
              </w:rPr>
              <w:t>45.3</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2"/>
              <w:spacing w:after="0"/>
              <w:rPr>
                <w:sz w:val="20"/>
                <w:szCs w:val="20"/>
                <w:color w:val="auto"/>
              </w:rPr>
            </w:pPr>
            <w:r>
              <w:rPr>
                <w:rFonts w:ascii="Arial" w:cs="Arial" w:eastAsia="Arial" w:hAnsi="Arial"/>
                <w:sz w:val="17"/>
                <w:szCs w:val="17"/>
                <w:color w:val="auto"/>
              </w:rPr>
              <w:t>105.8</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119.3</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Regional Transportation</w:t>
            </w:r>
          </w:p>
        </w:tc>
        <w:tc>
          <w:tcPr>
            <w:tcW w:w="2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38.7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110.3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121.3</w:t>
            </w: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Corporate and other</w:t>
            </w:r>
          </w:p>
        </w:tc>
        <w:tc>
          <w:tcPr>
            <w:tcW w:w="2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215.7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239.8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636"/>
              <w:spacing w:after="0"/>
              <w:rPr>
                <w:sz w:val="20"/>
                <w:szCs w:val="20"/>
                <w:color w:val="auto"/>
              </w:rPr>
            </w:pPr>
            <w:r>
              <w:rPr>
                <w:rFonts w:ascii="Arial" w:cs="Arial" w:eastAsia="Arial" w:hAnsi="Arial"/>
                <w:sz w:val="17"/>
                <w:szCs w:val="17"/>
                <w:color w:val="auto"/>
              </w:rPr>
              <w:t>24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38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operating income (loss), by segment, to Adjusted EBITDA for the third quarter and first three quarters of 2017 and 2016,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3"/>
                <w:szCs w:val="13"/>
                <w:b w:val="1"/>
                <w:bCs w:val="1"/>
                <w:color w:val="auto"/>
              </w:rPr>
              <w:t>First Three Quarters</w:t>
            </w: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2016</w:t>
            </w: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to Adjusted EBITDA:</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20.3</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37.8</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53.3</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63.6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67.9</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Amortization of ratification bonus</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3.0</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3.2</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42.6</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45.3</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105.8</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119.3</w:t>
            </w:r>
          </w:p>
        </w:tc>
      </w:tr>
      <w:tr>
        <w:trPr>
          <w:trHeight w:val="26"/>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551"/>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3"/>
                <w:szCs w:val="13"/>
                <w:b w:val="1"/>
                <w:bCs w:val="1"/>
                <w:color w:val="auto"/>
              </w:rPr>
              <w:t>First Three Quarters</w:t>
            </w: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2016</w:t>
            </w: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to Adjusted EBITDA:</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21.5</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59.0</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64.9</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51.6</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0.9</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Amortization of ratification bonus</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1.6</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0.3</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38.7</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110.3</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121.3</w:t>
            </w:r>
          </w:p>
        </w:tc>
      </w:tr>
      <w:tr>
        <w:trPr>
          <w:trHeight w:val="26"/>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551"/>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Third Quarter</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3"/>
                <w:szCs w:val="13"/>
                <w:b w:val="1"/>
                <w:bCs w:val="1"/>
                <w:color w:val="auto"/>
              </w:rPr>
              <w:t>First Three Quarters</w:t>
            </w: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Corporate and other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2016</w:t>
            </w: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loss to Adjusted EBITDA:</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Gains on property disposals, net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0.1</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Restructuring professional fees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Permitted dispositions and other</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1.8</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Equity-based compensation expense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6.0</w:t>
            </w:r>
          </w:p>
        </w:tc>
      </w:tr>
      <w:tr>
        <w:trPr>
          <w:trHeight w:val="252"/>
        </w:trPr>
        <w:tc>
          <w:tcPr>
            <w:tcW w:w="652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0.2</w:t>
            </w:r>
          </w:p>
        </w:tc>
      </w:tr>
      <w:tr>
        <w:trPr>
          <w:trHeight w:val="24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tabs>
          <w:tab w:leader="none" w:pos="28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2"/>
          <w:szCs w:val="12"/>
          <w:color w:val="auto"/>
        </w:rPr>
        <w:t>As required under our Term Loan Agreement, Other, net shown in the above tables consists of the impact of certain items to be included in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principal sources of liquidity are cash and cash equivalents, available borrowings under our ABL Facility and any prospective cash flow from operations. As of September 30, 2017, our availability under our ABL Facility was $94.0 million, which is derived by reducing the amount that may be advanced against eligible receivables plus eligible borrowing base cash by certain reserves imposed by the ABL Agent and our $356.0 million of outstanding letters of credit. Of the $94.0 million in availability, our Managed Accessibility was $49.0 million based on our springing fixed charge coverage ratio (as set forth in our ABL Facility). Our cash and cash equivalents and Managed Accessibility was $209.8 million as of September 30, 2017.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making payments on our equipment leases, and funding capital expenditures.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of September 30, 2017, we had $962.4 million in aggregate par value of outstanding indebtedness, the majority of which matures in 3-5 years. We also have future funding obligations for our single-employer pension plans and various multi-employer pension funds. We expect our funding obligations for the remainder of 2017 for our single-employer pension plans and multi-employer pension funds will be $14.2 million and $23.8 million, respectively. In addition, we have, and will continue to have, operating lease obligations. As of September 30, 2017, our operating lease payment obligations through 2030 totaled $282.5 million and are expected to increase as we lease additional revenue equipment. Additionally, for the first three quarters of 2017, we entered into new operating leases for revenue equipment totaling $26.2 million in future lease payments, payable over an average lease term of five years.</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capital expenditures for the first three quarters of 2017 and 2016 were $70.8 million and $75.4 million, respectively. These amounts were principally used to fund the purchase of used tractors and trailers, to refurbish engines for our revenue fleet, and for capitalized costs to improve our technology infrastructure.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2017, our Standard &amp; Poor’s Corporate Family Rating was “B-” with a stable outlook and Moody’s Investor Service Corporate Family Rating was “B3” with a positive outlook.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Term Loan Agreement has certain financial covenants that, among other things, restricts certain capital expenditures and requires us to not exceed a maximum total leverage ratio (defined as Consolidated Total Debt divided by Consolidated Adjusted EBITDA). These covenants were modified as part of the Term Loan Amendment on July 26, 2017, which is more fully described in the “Debt and Financing” footnote to the consolidated financial statements. At September 30, 2017, we were in compliance with all such covenants.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To maintain compliance with the maximum total leverage ratio over the tenor of the Term Loan and satisfy our liquidity needs, we would have to achieve operating results that reflect a slight improvement to our 2016 Adjusted EBITDA. Means for improving our profitability may include streamlining our support structure, as well as ongoing successful implementation and realization of pricing, productivity and efficiency initiatives, in addition to increased volume, some of which are outside of our control. During the first half of 2017, the Company strategically identified opportunities to streamline overhead costs and reduce operational inefficiencies and those cost reductions continue to be expected through the remainder of 2017.</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Cash Flow</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Cash flows provided by operating activities were $64.2 million during the first three quarters of 2017, compared to $86.0 million during the first three quarters of 2016. The decrease in operating cash flows was primarily attributable to a $29.1 million increase in accounts receivable, impacted by growth in operating revenue and an increase to days sales outstanding, a $23.5 million decrease in cash from net income (adjusted for non-cash operating items), partially offset by a $30.8 million decrease to other working capital accounts primarily related to the timing of payments.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Cash Flow</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Cash flows provided by investing activities was $22.4 million during the first three quarters of 2017 compared to $44.9 million during the first three quarters of 2016, largely driven by a net receipt of $85.0 million in restricted escrow refunds in 2017 compared to a net receipt of $79.2 million in 2016. Offsetting this increase, net proceeds from the disposal of property decreased $18.3 million during the first three quarters of 2017 as compared to the first three quarters of 2016, and cash flows in 2016 included $14.6 million in net proceeds from the sale of JHJ with no similar cash flow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Cash Flow</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Cash flows used in financing activities for the first three quarters of 2017 and 2016 was $62.5 million and $28.3 million, respectively, which consists primarily of repayments on our long-term debt as well as the payment of debt issuance costs in 2017.</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September 30, 2017.</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Cash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our cash outflows that we are contractually obligated to make as of September 30, 2017: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4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Total</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1-3 years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4"/>
              </w:rPr>
              <w:t>More than 5 years</w:t>
            </w:r>
          </w:p>
        </w:tc>
      </w:tr>
      <w:tr>
        <w:trPr>
          <w:trHeight w:val="249"/>
        </w:trPr>
        <w:tc>
          <w:tcPr>
            <w:tcW w:w="4120" w:type="dxa"/>
            <w:vAlign w:val="bottom"/>
            <w:shd w:val="clear" w:color="auto" w:fill="BFE4FF"/>
          </w:tcPr>
          <w:p>
            <w:pPr>
              <w:ind w:left="260"/>
              <w:spacing w:after="0" w:line="250" w:lineRule="exact"/>
              <w:rPr>
                <w:sz w:val="20"/>
                <w:szCs w:val="20"/>
                <w:color w:val="auto"/>
              </w:rPr>
            </w:pPr>
            <w:r>
              <w:rPr>
                <w:rFonts w:ascii="Arial" w:cs="Arial" w:eastAsia="Arial" w:hAnsi="Arial"/>
                <w:sz w:val="17"/>
                <w:szCs w:val="17"/>
                <w:color w:val="auto"/>
              </w:rPr>
              <w:t>ABL Facility</w:t>
            </w:r>
            <w:r>
              <w:rPr>
                <w:rFonts w:ascii="Arial" w:cs="Arial" w:eastAsia="Arial" w:hAnsi="Arial"/>
                <w:sz w:val="23"/>
                <w:szCs w:val="23"/>
                <w:color w:val="auto"/>
                <w:vertAlign w:val="superscript"/>
              </w:rPr>
              <w:t>(a)</w:t>
            </w:r>
          </w:p>
        </w:tc>
        <w:tc>
          <w:tcPr>
            <w:tcW w:w="320" w:type="dxa"/>
            <w:vAlign w:val="bottom"/>
            <w:shd w:val="clear" w:color="auto" w:fill="BFE4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28.4</w:t>
            </w:r>
          </w:p>
        </w:tc>
        <w:tc>
          <w:tcPr>
            <w:tcW w:w="2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7.1</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jc w:val="right"/>
              <w:ind w:right="7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7.0</w:t>
            </w:r>
          </w:p>
        </w:tc>
        <w:tc>
          <w:tcPr>
            <w:tcW w:w="100" w:type="dxa"/>
            <w:vAlign w:val="bottom"/>
            <w:shd w:val="clear" w:color="auto" w:fill="BFE4FF"/>
          </w:tcPr>
          <w:p>
            <w:pPr>
              <w:spacing w:after="0"/>
              <w:rPr>
                <w:sz w:val="21"/>
                <w:szCs w:val="21"/>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Term Loan</w:t>
            </w:r>
            <w:r>
              <w:rPr>
                <w:rFonts w:ascii="Arial" w:cs="Arial" w:eastAsia="Arial" w:hAnsi="Arial"/>
                <w:sz w:val="23"/>
                <w:szCs w:val="23"/>
                <w:color w:val="auto"/>
                <w:vertAlign w:val="superscript"/>
              </w:rPr>
              <w:t>(b)</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865.8</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148.5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641.7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shd w:val="clear" w:color="auto" w:fill="BFE4FF"/>
          </w:tcPr>
          <w:p>
            <w:pPr>
              <w:ind w:left="260"/>
              <w:spacing w:after="0" w:line="252" w:lineRule="exact"/>
              <w:rPr>
                <w:sz w:val="20"/>
                <w:szCs w:val="20"/>
                <w:color w:val="auto"/>
              </w:rPr>
            </w:pPr>
            <w:r>
              <w:rPr>
                <w:rFonts w:ascii="Arial" w:cs="Arial" w:eastAsia="Arial" w:hAnsi="Arial"/>
                <w:sz w:val="17"/>
                <w:szCs w:val="17"/>
                <w:color w:val="auto"/>
              </w:rPr>
              <w:t>Lease financing obligations</w:t>
            </w:r>
            <w:r>
              <w:rPr>
                <w:rFonts w:ascii="Arial" w:cs="Arial" w:eastAsia="Arial" w:hAnsi="Arial"/>
                <w:sz w:val="23"/>
                <w:szCs w:val="23"/>
                <w:color w:val="auto"/>
                <w:vertAlign w:val="superscript"/>
              </w:rPr>
              <w:t>(c)</w:t>
            </w:r>
          </w:p>
        </w:tc>
        <w:tc>
          <w:tcPr>
            <w:tcW w:w="320" w:type="dxa"/>
            <w:vAlign w:val="bottom"/>
            <w:shd w:val="clear" w:color="auto" w:fill="BFE4FF"/>
          </w:tcPr>
          <w:p>
            <w:pPr>
              <w:spacing w:after="0"/>
              <w:rPr>
                <w:sz w:val="21"/>
                <w:szCs w:val="21"/>
                <w:color w:val="auto"/>
              </w:rPr>
            </w:pP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110.8</w:t>
            </w:r>
          </w:p>
        </w:tc>
        <w:tc>
          <w:tcPr>
            <w:tcW w:w="28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42.9</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39.7</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BFE4FF"/>
          </w:tcPr>
          <w:p>
            <w:pPr>
              <w:spacing w:after="0"/>
              <w:rPr>
                <w:sz w:val="21"/>
                <w:szCs w:val="21"/>
                <w:color w:val="auto"/>
              </w:rPr>
            </w:pPr>
          </w:p>
        </w:tc>
        <w:tc>
          <w:tcPr>
            <w:tcW w:w="14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14.1</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Pension deferral obligations</w:t>
            </w:r>
            <w:r>
              <w:rPr>
                <w:rFonts w:ascii="Arial" w:cs="Arial" w:eastAsia="Arial" w:hAnsi="Arial"/>
                <w:sz w:val="23"/>
                <w:szCs w:val="23"/>
                <w:color w:val="auto"/>
                <w:vertAlign w:val="superscript"/>
              </w:rPr>
              <w:t>(d)</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117.1</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109.5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13"/>
        </w:trPr>
        <w:tc>
          <w:tcPr>
            <w:tcW w:w="4120" w:type="dxa"/>
            <w:vAlign w:val="bottom"/>
            <w:shd w:val="clear" w:color="auto" w:fill="BFE4FF"/>
          </w:tcPr>
          <w:p>
            <w:pPr>
              <w:ind w:left="260"/>
              <w:spacing w:after="0"/>
              <w:rPr>
                <w:sz w:val="20"/>
                <w:szCs w:val="20"/>
                <w:color w:val="auto"/>
              </w:rPr>
            </w:pPr>
            <w:r>
              <w:rPr>
                <w:rFonts w:ascii="Arial" w:cs="Arial" w:eastAsia="Arial" w:hAnsi="Arial"/>
                <w:sz w:val="17"/>
                <w:szCs w:val="17"/>
                <w:color w:val="auto"/>
                <w:w w:val="94"/>
              </w:rPr>
              <w:t>Workers’ compensation, property damage and liability</w:t>
            </w:r>
          </w:p>
        </w:tc>
        <w:tc>
          <w:tcPr>
            <w:tcW w:w="32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r>
      <w:tr>
        <w:trPr>
          <w:trHeight w:val="240"/>
        </w:trPr>
        <w:tc>
          <w:tcPr>
            <w:tcW w:w="4120" w:type="dxa"/>
            <w:vAlign w:val="bottom"/>
            <w:shd w:val="clear" w:color="auto" w:fill="BFE4FF"/>
          </w:tcPr>
          <w:p>
            <w:pPr>
              <w:ind w:left="260"/>
              <w:spacing w:after="0" w:line="241" w:lineRule="exact"/>
              <w:rPr>
                <w:sz w:val="20"/>
                <w:szCs w:val="20"/>
                <w:color w:val="auto"/>
              </w:rPr>
            </w:pPr>
            <w:r>
              <w:rPr>
                <w:rFonts w:ascii="Arial" w:cs="Arial" w:eastAsia="Arial" w:hAnsi="Arial"/>
                <w:sz w:val="17"/>
                <w:szCs w:val="17"/>
                <w:color w:val="auto"/>
              </w:rPr>
              <w:t>claims obligations</w:t>
            </w:r>
            <w:r>
              <w:rPr>
                <w:rFonts w:ascii="Arial" w:cs="Arial" w:eastAsia="Arial" w:hAnsi="Arial"/>
                <w:sz w:val="23"/>
                <w:szCs w:val="23"/>
                <w:color w:val="auto"/>
                <w:vertAlign w:val="superscript"/>
              </w:rPr>
              <w:t>(e)</w:t>
            </w:r>
          </w:p>
        </w:tc>
        <w:tc>
          <w:tcPr>
            <w:tcW w:w="320" w:type="dxa"/>
            <w:vAlign w:val="bottom"/>
            <w:shd w:val="clear" w:color="auto" w:fill="BFE4FF"/>
          </w:tcPr>
          <w:p>
            <w:pPr>
              <w:spacing w:after="0"/>
              <w:rPr>
                <w:sz w:val="20"/>
                <w:szCs w:val="20"/>
                <w:color w:val="auto"/>
              </w:rPr>
            </w:pP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365.8</w:t>
            </w:r>
          </w:p>
        </w:tc>
        <w:tc>
          <w:tcPr>
            <w:tcW w:w="280" w:type="dxa"/>
            <w:vAlign w:val="bottom"/>
            <w:shd w:val="clear" w:color="auto" w:fill="BFE4FF"/>
          </w:tcPr>
          <w:p>
            <w:pPr>
              <w:spacing w:after="0"/>
              <w:rPr>
                <w:sz w:val="20"/>
                <w:szCs w:val="20"/>
                <w:color w:val="auto"/>
              </w:rPr>
            </w:pP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99.0</w:t>
            </w:r>
          </w:p>
        </w:tc>
        <w:tc>
          <w:tcPr>
            <w:tcW w:w="100" w:type="dxa"/>
            <w:vAlign w:val="bottom"/>
            <w:shd w:val="clear" w:color="auto" w:fill="BFE4FF"/>
          </w:tcPr>
          <w:p>
            <w:pPr>
              <w:spacing w:after="0"/>
              <w:rPr>
                <w:sz w:val="20"/>
                <w:szCs w:val="20"/>
                <w:color w:val="auto"/>
              </w:rPr>
            </w:pPr>
          </w:p>
        </w:tc>
        <w:tc>
          <w:tcPr>
            <w:tcW w:w="260" w:type="dxa"/>
            <w:vAlign w:val="bottom"/>
            <w:shd w:val="clear" w:color="auto" w:fill="BFE4FF"/>
          </w:tcPr>
          <w:p>
            <w:pPr>
              <w:spacing w:after="0"/>
              <w:rPr>
                <w:sz w:val="20"/>
                <w:szCs w:val="20"/>
                <w:color w:val="auto"/>
              </w:rPr>
            </w:pP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117.1</w:t>
            </w:r>
          </w:p>
        </w:tc>
        <w:tc>
          <w:tcPr>
            <w:tcW w:w="120" w:type="dxa"/>
            <w:vAlign w:val="bottom"/>
            <w:shd w:val="clear" w:color="auto" w:fill="BFE4FF"/>
          </w:tcPr>
          <w:p>
            <w:pPr>
              <w:spacing w:after="0"/>
              <w:rPr>
                <w:sz w:val="20"/>
                <w:szCs w:val="20"/>
                <w:color w:val="auto"/>
              </w:rPr>
            </w:pPr>
          </w:p>
        </w:tc>
        <w:tc>
          <w:tcPr>
            <w:tcW w:w="260" w:type="dxa"/>
            <w:vAlign w:val="bottom"/>
            <w:shd w:val="clear" w:color="auto" w:fill="BFE4FF"/>
          </w:tcPr>
          <w:p>
            <w:pPr>
              <w:spacing w:after="0"/>
              <w:rPr>
                <w:sz w:val="20"/>
                <w:szCs w:val="20"/>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BFE4FF"/>
          </w:tcPr>
          <w:p>
            <w:pPr>
              <w:spacing w:after="0"/>
              <w:rPr>
                <w:sz w:val="20"/>
                <w:szCs w:val="20"/>
                <w:color w:val="auto"/>
              </w:rPr>
            </w:pPr>
          </w:p>
        </w:tc>
        <w:tc>
          <w:tcPr>
            <w:tcW w:w="140" w:type="dxa"/>
            <w:vAlign w:val="bottom"/>
            <w:shd w:val="clear" w:color="auto" w:fill="BFE4FF"/>
          </w:tcPr>
          <w:p>
            <w:pPr>
              <w:spacing w:after="0"/>
              <w:rPr>
                <w:sz w:val="20"/>
                <w:szCs w:val="20"/>
                <w:color w:val="auto"/>
              </w:rPr>
            </w:pP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97.7</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Operating leases</w:t>
            </w:r>
            <w:r>
              <w:rPr>
                <w:rFonts w:ascii="Arial" w:cs="Arial" w:eastAsia="Arial" w:hAnsi="Arial"/>
                <w:sz w:val="23"/>
                <w:szCs w:val="23"/>
                <w:color w:val="auto"/>
                <w:vertAlign w:val="superscript"/>
              </w:rPr>
              <w:t>(f)</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282.5</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99.7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127.2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13.9</w:t>
            </w:r>
          </w:p>
        </w:tc>
      </w:tr>
      <w:tr>
        <w:trPr>
          <w:trHeight w:val="252"/>
        </w:trPr>
        <w:tc>
          <w:tcPr>
            <w:tcW w:w="4120" w:type="dxa"/>
            <w:vAlign w:val="bottom"/>
            <w:shd w:val="clear" w:color="auto" w:fill="BFE4FF"/>
          </w:tcPr>
          <w:p>
            <w:pPr>
              <w:ind w:left="260"/>
              <w:spacing w:after="0" w:line="252" w:lineRule="exact"/>
              <w:rPr>
                <w:sz w:val="20"/>
                <w:szCs w:val="20"/>
                <w:color w:val="auto"/>
              </w:rPr>
            </w:pPr>
            <w:r>
              <w:rPr>
                <w:rFonts w:ascii="Arial" w:cs="Arial" w:eastAsia="Arial" w:hAnsi="Arial"/>
                <w:sz w:val="17"/>
                <w:szCs w:val="17"/>
                <w:color w:val="auto"/>
              </w:rPr>
              <w:t>Other contractual obligations</w:t>
            </w:r>
            <w:r>
              <w:rPr>
                <w:rFonts w:ascii="Arial" w:cs="Arial" w:eastAsia="Arial" w:hAnsi="Arial"/>
                <w:sz w:val="23"/>
                <w:szCs w:val="23"/>
                <w:color w:val="auto"/>
                <w:vertAlign w:val="superscript"/>
              </w:rPr>
              <w:t>(g)</w:t>
            </w:r>
          </w:p>
        </w:tc>
        <w:tc>
          <w:tcPr>
            <w:tcW w:w="320" w:type="dxa"/>
            <w:vAlign w:val="bottom"/>
            <w:shd w:val="clear" w:color="auto" w:fill="BFE4FF"/>
          </w:tcPr>
          <w:p>
            <w:pPr>
              <w:spacing w:after="0"/>
              <w:rPr>
                <w:sz w:val="21"/>
                <w:szCs w:val="21"/>
                <w:color w:val="auto"/>
              </w:rPr>
            </w:pP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17.6</w:t>
            </w:r>
          </w:p>
        </w:tc>
        <w:tc>
          <w:tcPr>
            <w:tcW w:w="28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0.6</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200" w:type="dxa"/>
            <w:vAlign w:val="bottom"/>
            <w:gridSpan w:val="2"/>
            <w:shd w:val="clear" w:color="auto" w:fill="BFE4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 xml:space="preserve">Capital expenditures and other </w:t>
            </w:r>
            <w:r>
              <w:rPr>
                <w:rFonts w:ascii="Arial" w:cs="Arial" w:eastAsia="Arial" w:hAnsi="Arial"/>
                <w:sz w:val="23"/>
                <w:szCs w:val="23"/>
                <w:color w:val="auto"/>
                <w:vertAlign w:val="superscript"/>
              </w:rPr>
              <w:t>(h)</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101.2</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101.2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49"/>
        </w:trPr>
        <w:tc>
          <w:tcPr>
            <w:tcW w:w="412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Total contractual obligations</w:t>
            </w:r>
          </w:p>
        </w:tc>
        <w:tc>
          <w:tcPr>
            <w:tcW w:w="320" w:type="dxa"/>
            <w:vAlign w:val="bottom"/>
            <w:tcBorders>
              <w:top w:val="single" w:sz="8" w:color="auto"/>
              <w:bottom w:val="single" w:sz="8" w:color="BFE4FF"/>
            </w:tcBorders>
            <w:shd w:val="clear" w:color="auto" w:fill="BFE4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BFE4FF"/>
            </w:tcBorders>
            <w:shd w:val="clear" w:color="auto" w:fill="BFE4FF"/>
          </w:tcPr>
          <w:p>
            <w:pPr>
              <w:jc w:val="right"/>
              <w:ind w:right="58"/>
              <w:spacing w:after="0"/>
              <w:rPr>
                <w:sz w:val="20"/>
                <w:szCs w:val="20"/>
                <w:color w:val="auto"/>
              </w:rPr>
            </w:pPr>
            <w:r>
              <w:rPr>
                <w:rFonts w:ascii="Arial" w:cs="Arial" w:eastAsia="Arial" w:hAnsi="Arial"/>
                <w:sz w:val="17"/>
                <w:szCs w:val="17"/>
                <w:color w:val="auto"/>
              </w:rPr>
              <w:t>1,889.2</w:t>
            </w:r>
          </w:p>
        </w:tc>
        <w:tc>
          <w:tcPr>
            <w:tcW w:w="28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450.1</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BFE4FF"/>
            </w:tcBorders>
            <w:shd w:val="clear" w:color="auto" w:fill="BFE4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BFE4FF"/>
            </w:tcBorders>
            <w:shd w:val="clear" w:color="auto" w:fill="BFE4FF"/>
          </w:tcPr>
          <w:p>
            <w:pPr>
              <w:jc w:val="right"/>
              <w:ind w:right="39"/>
              <w:spacing w:after="0"/>
              <w:rPr>
                <w:sz w:val="20"/>
                <w:szCs w:val="20"/>
                <w:color w:val="auto"/>
              </w:rPr>
            </w:pPr>
            <w:r>
              <w:rPr>
                <w:rFonts w:ascii="Arial" w:cs="Arial" w:eastAsia="Arial" w:hAnsi="Arial"/>
                <w:sz w:val="17"/>
                <w:szCs w:val="17"/>
                <w:color w:val="auto"/>
              </w:rPr>
              <w:t>556.9</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BFE4FF"/>
            </w:tcBorders>
            <w:shd w:val="clear" w:color="auto" w:fill="BFE4FF"/>
          </w:tcPr>
          <w:p>
            <w:pPr>
              <w:jc w:val="right"/>
              <w:ind w:right="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756.5</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4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BFE4FF"/>
            </w:tcBorders>
            <w:shd w:val="clear" w:color="auto" w:fill="BFE4FF"/>
          </w:tcPr>
          <w:p>
            <w:pPr>
              <w:jc w:val="right"/>
              <w:ind w:right="18"/>
              <w:spacing w:after="0"/>
              <w:rPr>
                <w:sz w:val="20"/>
                <w:szCs w:val="20"/>
                <w:color w:val="auto"/>
              </w:rPr>
            </w:pPr>
            <w:r>
              <w:rPr>
                <w:rFonts w:ascii="Arial" w:cs="Arial" w:eastAsia="Arial" w:hAnsi="Arial"/>
                <w:sz w:val="17"/>
                <w:szCs w:val="17"/>
                <w:color w:val="auto"/>
              </w:rPr>
              <w:t>125.7</w:t>
            </w:r>
          </w:p>
        </w:tc>
      </w:tr>
      <w:tr>
        <w:trPr>
          <w:trHeight w:val="20"/>
        </w:trPr>
        <w:tc>
          <w:tcPr>
            <w:tcW w:w="4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300" w:hanging="299"/>
        <w:spacing w:after="0"/>
        <w:tabs>
          <w:tab w:leader="none" w:pos="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ABL Facility includes future payments for the letter of credit and unused line fees and are not included on the Company’s consolidated balance sheets.</w:t>
      </w:r>
    </w:p>
    <w:p>
      <w:pPr>
        <w:spacing w:after="0" w:line="51" w:lineRule="exact"/>
        <w:rPr>
          <w:rFonts w:ascii="Arial" w:cs="Arial" w:eastAsia="Arial" w:hAnsi="Arial"/>
          <w:sz w:val="13"/>
          <w:szCs w:val="13"/>
          <w:color w:val="auto"/>
        </w:rPr>
      </w:pPr>
    </w:p>
    <w:p>
      <w:pPr>
        <w:ind w:left="300" w:hanging="299"/>
        <w:spacing w:after="0"/>
        <w:tabs>
          <w:tab w:leader="none" w:pos="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Term Loan includes principal and interest payments, but excludes unamortized discounts. The extended maturity date to July 26, 2022 is subject to the extension of the Second A&amp;R CDA.</w:t>
      </w:r>
    </w:p>
    <w:p>
      <w:pPr>
        <w:spacing w:after="0" w:line="13" w:lineRule="exact"/>
        <w:rPr>
          <w:rFonts w:ascii="Arial" w:cs="Arial" w:eastAsia="Arial" w:hAnsi="Arial"/>
          <w:sz w:val="13"/>
          <w:szCs w:val="13"/>
          <w:color w:val="auto"/>
        </w:rPr>
      </w:pPr>
    </w:p>
    <w:p>
      <w:pPr>
        <w:ind w:left="300" w:hanging="299"/>
        <w:spacing w:after="0" w:line="242" w:lineRule="auto"/>
        <w:tabs>
          <w:tab w:leader="none" w:pos="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lease financing obligations include interest payments of $70.9 million and principal payments of $39.9 million. The remaining principal obligation is offset by the estimated book value of leased property at the expiration date of each lease agreement.</w:t>
      </w:r>
    </w:p>
    <w:p>
      <w:pPr>
        <w:ind w:left="300" w:hanging="299"/>
        <w:spacing w:after="0"/>
        <w:tabs>
          <w:tab w:leader="none" w:pos="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Pension deferral obligations includes principal and interest payments on the Second A&amp;R CDA.</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Operating leases represent future payments, which include interest, under contractual lease arrangements primarily for revenue equipment and are not included on the Company’s consolidated balance sheets.</w:t>
      </w:r>
    </w:p>
    <w:p>
      <w:pPr>
        <w:spacing w:after="0" w:line="13" w:lineRule="exact"/>
        <w:rPr>
          <w:rFonts w:ascii="Arial" w:cs="Arial" w:eastAsia="Arial" w:hAnsi="Arial"/>
          <w:sz w:val="12"/>
          <w:szCs w:val="12"/>
          <w:color w:val="auto"/>
        </w:rPr>
      </w:pPr>
    </w:p>
    <w:p>
      <w:pPr>
        <w:ind w:left="300" w:hanging="299"/>
        <w:spacing w:after="0"/>
        <w:tabs>
          <w:tab w:leader="none" w:pos="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Capital expenditure obligations primarily includes noncancelable purchase and lease orders for revenue equipment not yet delivered and are not included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8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Other Commercial Commitments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table reflects other commercial commitments or potential cash outflows that may result from a contingent event, such as a need to borrow short-term funds due to insufficient free cash flow.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Amount of Commitment Expiration Per Period</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4"/>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w w:val="98"/>
              </w:rPr>
              <w:t>Less than 1 year</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More than 5 years</w:t>
            </w:r>
          </w:p>
        </w:tc>
      </w:tr>
      <w:tr>
        <w:trPr>
          <w:trHeight w:val="249"/>
        </w:trPr>
        <w:tc>
          <w:tcPr>
            <w:tcW w:w="35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ABL Facility availability </w:t>
            </w:r>
            <w:r>
              <w:rPr>
                <w:rFonts w:ascii="Arial" w:cs="Arial" w:eastAsia="Arial" w:hAnsi="Arial"/>
                <w:sz w:val="23"/>
                <w:szCs w:val="23"/>
                <w:color w:val="auto"/>
                <w:vertAlign w:val="superscript"/>
              </w:rPr>
              <w:t>(a)</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94.0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94.0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tcPr>
          <w:p>
            <w:pPr>
              <w:ind w:left="20"/>
              <w:spacing w:after="0" w:line="252" w:lineRule="exact"/>
              <w:rPr>
                <w:sz w:val="20"/>
                <w:szCs w:val="20"/>
                <w:color w:val="auto"/>
              </w:rPr>
            </w:pPr>
            <w:r>
              <w:rPr>
                <w:rFonts w:ascii="Arial" w:cs="Arial" w:eastAsia="Arial" w:hAnsi="Arial"/>
                <w:sz w:val="17"/>
                <w:szCs w:val="17"/>
                <w:color w:val="auto"/>
              </w:rPr>
              <w:t>Letters of credit</w:t>
            </w:r>
            <w:r>
              <w:rPr>
                <w:rFonts w:ascii="Arial" w:cs="Arial" w:eastAsia="Arial" w:hAnsi="Arial"/>
                <w:sz w:val="23"/>
                <w:szCs w:val="23"/>
                <w:color w:val="auto"/>
                <w:vertAlign w:val="superscript"/>
              </w:rPr>
              <w:t>(b)</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356.0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356.0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Surety bonds</w:t>
            </w:r>
            <w:r>
              <w:rPr>
                <w:rFonts w:ascii="Arial" w:cs="Arial" w:eastAsia="Arial" w:hAnsi="Arial"/>
                <w:sz w:val="23"/>
                <w:szCs w:val="23"/>
                <w:color w:val="auto"/>
                <w:vertAlign w:val="superscript"/>
              </w:rPr>
              <w:t>(c)</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128.7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115.2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19"/>
        </w:trPr>
        <w:tc>
          <w:tcPr>
            <w:tcW w:w="3540" w:type="dxa"/>
            <w:vAlign w:val="bottom"/>
          </w:tcPr>
          <w:p>
            <w:pPr>
              <w:ind w:left="20"/>
              <w:spacing w:after="0"/>
              <w:rPr>
                <w:sz w:val="20"/>
                <w:szCs w:val="20"/>
                <w:color w:val="auto"/>
              </w:rPr>
            </w:pPr>
            <w:r>
              <w:rPr>
                <w:rFonts w:ascii="Arial" w:cs="Arial" w:eastAsia="Arial" w:hAnsi="Arial"/>
                <w:sz w:val="17"/>
                <w:szCs w:val="17"/>
                <w:color w:val="auto"/>
              </w:rPr>
              <w:t>Total commercial commitments</w:t>
            </w: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578.7</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115.2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450.0</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7"/>
                <w:szCs w:val="17"/>
                <w:color w:val="auto"/>
              </w:rPr>
              <w:t>—</w:t>
            </w:r>
          </w:p>
        </w:tc>
      </w:tr>
      <w:tr>
        <w:trPr>
          <w:trHeight w:val="26"/>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line="252" w:lineRule="auto"/>
        <w:tabs>
          <w:tab w:leader="none" w:pos="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Availability under the ABL Facility is derived by reducing the amount that may be advanced against eligible receivables plus eligible borrowing base cash by certain reserves imposed by the ABL Agent and our outstanding letters of credit. Managed Accessibility was $49.0 million.</w:t>
      </w:r>
    </w:p>
    <w:p>
      <w:pPr>
        <w:ind w:left="300" w:hanging="299"/>
        <w:spacing w:after="0" w:line="242" w:lineRule="auto"/>
        <w:tabs>
          <w:tab w:leader="none" w:pos="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00" w:hanging="299"/>
        <w:spacing w:after="0" w:line="258" w:lineRule="auto"/>
        <w:tabs>
          <w:tab w:leader="none" w:pos="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07" w:lineRule="exact"/>
        <w:rPr>
          <w:sz w:val="20"/>
          <w:szCs w:val="20"/>
          <w:color w:val="auto"/>
        </w:rPr>
      </w:pPr>
    </w:p>
    <w:p>
      <w:pPr>
        <w:ind w:left="60"/>
        <w:spacing w:after="0" w:line="269" w:lineRule="auto"/>
        <w:rPr>
          <w:sz w:val="20"/>
          <w:szCs w:val="20"/>
          <w:color w:val="auto"/>
        </w:rPr>
      </w:pPr>
      <w:r>
        <w:rPr>
          <w:rFonts w:ascii="Arial" w:cs="Arial" w:eastAsia="Arial" w:hAnsi="Arial"/>
          <w:sz w:val="17"/>
          <w:szCs w:val="17"/>
          <w:color w:val="auto"/>
        </w:rPr>
        <w:t>We have no off-balance sheet arrangements other than operating leases, other contractual obligations for service agreements and capital purchases, letters of credit and surety bonds, which are reflected in the above tables.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Disclosures About Market Risk</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primarily exposed to the market risk associated with unfavorable movements in interest rates, foreign currencies, and fuel price volatility. The risk inherent in our market risk-sensitive instruments and positions is the potential loss or increased expense arising from adverse changes in those factors. There have been no material changes to our market risk policies or our market risk-sensitive instruments and positions as described in our annual report on Form 10-K for the year ended December 31, 2016.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September 30, 2017 and have concluded that our disclosure controls and procedures were effective as of September 30, 2017.</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are in the process of implementing the human resources and payroll modules of a new comprehensive enterprise resource planning (ERP) system across most of our operating companies, with a phased-in implementation approach, in which the first phase goes live January 1, 2018. The system implementation was designed, in part, to enhance the overall system of internal control over financial reporting through enhanced automation and streamlining business processes across operating companies. Although the processes that constitute our internal control over financial reporting will be affected by the implementation, the Company is performing pre-implementation procedures as part of its assessment of the effectiveness of internal control over financial reporting. We do not believe that the implementation will have a material adverse effect on our internal controls over financial reporting.</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than as described above, there were no changes in our internal controls over financial reporting that occurred during the fiscal quarter ended September 30, 2017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PART II—OTHER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discuss legal proceedings in the “Commitments, Contingencies and Uncertainties” note to our consolidated financial statements included with this quarterly report on Form 10-Q, and that discussion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0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There were no material changes during the quarter to the Risk Factors disclosed in Part I, Item 1A - “Risk Factors” in our annual report on Form 10-K for the year ended December 31, 2016.</w:t>
      </w:r>
    </w:p>
    <w:p>
      <w:pPr>
        <w:sectPr>
          <w:pgSz w:w="11900" w:h="16838" w:orient="portrait"/>
          <w:cols w:equalWidth="0" w:num="1">
            <w:col w:w="11380"/>
          </w:cols>
          <w:pgMar w:left="240" w:top="121" w:right="279" w:bottom="1440" w:gutter="0" w:footer="0" w:header="0"/>
        </w:sect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6. Exhibits</w:t>
      </w:r>
    </w:p>
    <w:p>
      <w:pPr>
        <w:spacing w:after="0" w:line="200" w:lineRule="exact"/>
        <w:rPr>
          <w:sz w:val="20"/>
          <w:szCs w:val="20"/>
          <w:color w:val="auto"/>
        </w:rPr>
      </w:pPr>
    </w:p>
    <w:p>
      <w:pPr>
        <w:spacing w:after="0" w:line="383" w:lineRule="exact"/>
        <w:rPr>
          <w:sz w:val="20"/>
          <w:szCs w:val="20"/>
          <w:color w:val="auto"/>
        </w:rPr>
      </w:pPr>
    </w:p>
    <w:p>
      <w:pPr>
        <w:ind w:left="20"/>
        <w:spacing w:after="0"/>
        <w:rPr>
          <w:rFonts w:ascii="Arial" w:cs="Arial" w:eastAsia="Arial" w:hAnsi="Arial"/>
          <w:sz w:val="17"/>
          <w:szCs w:val="17"/>
          <w:u w:val="single" w:color="auto"/>
          <w:color w:val="0000FF"/>
        </w:rPr>
      </w:pPr>
      <w:hyperlink r:id="rId26">
        <w:r>
          <w:rPr>
            <w:rFonts w:ascii="Arial" w:cs="Arial" w:eastAsia="Arial" w:hAnsi="Arial"/>
            <w:sz w:val="17"/>
            <w:szCs w:val="17"/>
            <w:u w:val="single" w:color="auto"/>
            <w:color w:val="0000FF"/>
          </w:rPr>
          <w:t>10.1</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rFonts w:ascii="Arial" w:cs="Arial" w:eastAsia="Arial" w:hAnsi="Arial"/>
          <w:sz w:val="17"/>
          <w:szCs w:val="17"/>
          <w:u w:val="single" w:color="auto"/>
          <w:color w:val="0000FF"/>
        </w:rPr>
      </w:pPr>
      <w:hyperlink w:anchor="page32">
        <w:r>
          <w:rPr>
            <w:rFonts w:ascii="Arial" w:cs="Arial" w:eastAsia="Arial" w:hAnsi="Arial"/>
            <w:sz w:val="17"/>
            <w:szCs w:val="17"/>
            <w:u w:val="single" w:color="auto"/>
            <w:color w:val="0000FF"/>
          </w:rPr>
          <w:t>31.1*</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33">
        <w:r>
          <w:rPr>
            <w:rFonts w:ascii="Arial" w:cs="Arial" w:eastAsia="Arial" w:hAnsi="Arial"/>
            <w:sz w:val="17"/>
            <w:szCs w:val="17"/>
            <w:u w:val="single" w:color="auto"/>
            <w:color w:val="0000FF"/>
          </w:rPr>
          <w:t>31.2*</w:t>
        </w:r>
      </w:hyperlink>
    </w:p>
    <w:p>
      <w:pPr>
        <w:spacing w:after="0" w:line="200" w:lineRule="exact"/>
        <w:rPr>
          <w:sz w:val="20"/>
          <w:szCs w:val="20"/>
          <w:color w:val="auto"/>
        </w:rPr>
      </w:pPr>
    </w:p>
    <w:p>
      <w:pPr>
        <w:spacing w:after="0" w:line="272" w:lineRule="exact"/>
        <w:rPr>
          <w:sz w:val="20"/>
          <w:szCs w:val="20"/>
          <w:color w:val="auto"/>
        </w:rPr>
      </w:pPr>
    </w:p>
    <w:p>
      <w:pPr>
        <w:ind w:left="20"/>
        <w:spacing w:after="0"/>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32.1*</w:t>
        </w:r>
      </w:hyperlink>
    </w:p>
    <w:p>
      <w:pPr>
        <w:spacing w:after="0" w:line="200" w:lineRule="exact"/>
        <w:rPr>
          <w:sz w:val="20"/>
          <w:szCs w:val="20"/>
          <w:color w:val="auto"/>
        </w:rPr>
      </w:pPr>
    </w:p>
    <w:p>
      <w:pPr>
        <w:spacing w:after="0" w:line="272" w:lineRule="exact"/>
        <w:rPr>
          <w:sz w:val="20"/>
          <w:szCs w:val="20"/>
          <w:color w:val="auto"/>
        </w:rPr>
      </w:pPr>
    </w:p>
    <w:p>
      <w:pPr>
        <w:ind w:left="20"/>
        <w:spacing w:after="0"/>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32.2*</w:t>
        </w:r>
      </w:hyperlink>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101.SCH*</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58" w:lineRule="auto"/>
        <w:rPr>
          <w:rFonts w:ascii="Arial" w:cs="Arial" w:eastAsia="Arial" w:hAnsi="Arial"/>
          <w:sz w:val="17"/>
          <w:szCs w:val="17"/>
          <w:u w:val="single" w:color="auto"/>
          <w:color w:val="0000FF"/>
        </w:rPr>
      </w:pPr>
      <w:hyperlink r:id="rId26">
        <w:r>
          <w:rPr>
            <w:rFonts w:ascii="Arial" w:cs="Arial" w:eastAsia="Arial" w:hAnsi="Arial"/>
            <w:sz w:val="17"/>
            <w:szCs w:val="17"/>
            <w:u w:val="single" w:color="auto"/>
            <w:color w:val="0000FF"/>
          </w:rPr>
          <w:t>Amendment No. 4 and Refinancing Amendment to Credit Agreement by and among the Company, certain of its subsidiaries, the lenders party thereto</w:t>
        </w:r>
      </w:hyperlink>
      <w:r>
        <w:rPr>
          <w:rFonts w:ascii="Arial" w:cs="Arial" w:eastAsia="Arial" w:hAnsi="Arial"/>
          <w:sz w:val="17"/>
          <w:szCs w:val="17"/>
          <w:u w:val="single" w:color="auto"/>
          <w:color w:val="0000FF"/>
        </w:rPr>
        <w:t xml:space="preserve"> </w:t>
      </w:r>
      <w:hyperlink r:id="rId26">
        <w:r>
          <w:rPr>
            <w:rFonts w:ascii="Arial" w:cs="Arial" w:eastAsia="Arial" w:hAnsi="Arial"/>
            <w:sz w:val="17"/>
            <w:szCs w:val="17"/>
            <w:u w:val="single" w:color="auto"/>
            <w:color w:val="0000FF"/>
          </w:rPr>
          <w:t>and Credit Suisse AG, Cayman Islands Branch, as administrative agent (incorporated by reference to Exhibit 10.1 to Current Report on Form 8-K,</w:t>
        </w:r>
      </w:hyperlink>
      <w:r>
        <w:rPr>
          <w:rFonts w:ascii="Arial" w:cs="Arial" w:eastAsia="Arial" w:hAnsi="Arial"/>
          <w:sz w:val="17"/>
          <w:szCs w:val="17"/>
          <w:u w:val="single" w:color="auto"/>
          <w:color w:val="0000FF"/>
        </w:rPr>
        <w:t xml:space="preserve"> </w:t>
      </w:r>
      <w:hyperlink r:id="rId26">
        <w:r>
          <w:rPr>
            <w:rFonts w:ascii="Arial" w:cs="Arial" w:eastAsia="Arial" w:hAnsi="Arial"/>
            <w:sz w:val="17"/>
            <w:szCs w:val="17"/>
            <w:u w:val="single" w:color="auto"/>
            <w:color w:val="0000FF"/>
          </w:rPr>
          <w:t>filed on July 26, 2017, File No. 000-12255).</w:t>
        </w:r>
      </w:hyperlink>
    </w:p>
    <w:p>
      <w:pPr>
        <w:spacing w:after="0" w:line="339" w:lineRule="exact"/>
        <w:rPr>
          <w:rFonts w:ascii="Arial" w:cs="Arial" w:eastAsia="Arial" w:hAnsi="Arial"/>
          <w:sz w:val="17"/>
          <w:szCs w:val="17"/>
          <w:u w:val="single" w:color="auto"/>
          <w:color w:val="0000FF"/>
        </w:rPr>
      </w:pPr>
    </w:p>
    <w:p>
      <w:pPr>
        <w:ind w:right="140"/>
        <w:spacing w:after="0" w:line="269" w:lineRule="auto"/>
        <w:rPr>
          <w:rFonts w:ascii="Arial" w:cs="Arial" w:eastAsia="Arial" w:hAnsi="Arial"/>
          <w:sz w:val="17"/>
          <w:szCs w:val="17"/>
          <w:u w:val="single" w:color="auto"/>
          <w:color w:val="0000FF"/>
        </w:rPr>
      </w:pPr>
      <w:hyperlink w:anchor="page32">
        <w:r>
          <w:rPr>
            <w:rFonts w:ascii="Arial" w:cs="Arial" w:eastAsia="Arial" w:hAnsi="Arial"/>
            <w:sz w:val="17"/>
            <w:szCs w:val="17"/>
            <w:u w:val="single" w:color="auto"/>
            <w:color w:val="0000FF"/>
          </w:rPr>
          <w:t>Certification of James L. Welch filed pursuant to Exchange Act Rules 13a-14 and 15d-14, as adopted pursuant to Section 302 of the Sarbanes-Oxley</w:t>
        </w:r>
      </w:hyperlink>
      <w:r>
        <w:rPr>
          <w:rFonts w:ascii="Arial" w:cs="Arial" w:eastAsia="Arial" w:hAnsi="Arial"/>
          <w:sz w:val="17"/>
          <w:szCs w:val="17"/>
          <w:u w:val="single" w:color="auto"/>
          <w:color w:val="0000FF"/>
        </w:rPr>
        <w:t xml:space="preserve"> </w:t>
      </w:r>
      <w:hyperlink w:anchor="page32">
        <w:r>
          <w:rPr>
            <w:rFonts w:ascii="Arial" w:cs="Arial" w:eastAsia="Arial" w:hAnsi="Arial"/>
            <w:sz w:val="17"/>
            <w:szCs w:val="17"/>
            <w:u w:val="single" w:color="auto"/>
            <w:color w:val="0000FF"/>
          </w:rPr>
          <w:t>Act of 2002.</w:t>
        </w:r>
      </w:hyperlink>
    </w:p>
    <w:p>
      <w:pPr>
        <w:spacing w:after="0" w:line="329" w:lineRule="exact"/>
        <w:rPr>
          <w:sz w:val="20"/>
          <w:szCs w:val="20"/>
          <w:color w:val="auto"/>
        </w:rPr>
      </w:pPr>
    </w:p>
    <w:p>
      <w:pPr>
        <w:ind w:right="280"/>
        <w:spacing w:after="0" w:line="269" w:lineRule="auto"/>
        <w:rPr>
          <w:rFonts w:ascii="Arial" w:cs="Arial" w:eastAsia="Arial" w:hAnsi="Arial"/>
          <w:sz w:val="17"/>
          <w:szCs w:val="17"/>
          <w:u w:val="single" w:color="auto"/>
          <w:color w:val="0000FF"/>
        </w:rPr>
      </w:pPr>
      <w:hyperlink w:anchor="page33">
        <w:r>
          <w:rPr>
            <w:rFonts w:ascii="Arial" w:cs="Arial" w:eastAsia="Arial" w:hAnsi="Arial"/>
            <w:sz w:val="17"/>
            <w:szCs w:val="17"/>
            <w:u w:val="single" w:color="auto"/>
            <w:color w:val="0000FF"/>
          </w:rPr>
          <w:t>Certification of Stephanie D. Fisher filed pursuant to Exchange Act Rules 13a-14 and 15d-14, as adopted pursuant to Section 302 of the Sarbanes-</w:t>
        </w:r>
      </w:hyperlink>
      <w:hyperlink w:anchor="page33">
        <w:r>
          <w:rPr>
            <w:rFonts w:ascii="Arial" w:cs="Arial" w:eastAsia="Arial" w:hAnsi="Arial"/>
            <w:sz w:val="17"/>
            <w:szCs w:val="17"/>
            <w:u w:val="single" w:color="auto"/>
            <w:color w:val="0000FF"/>
          </w:rPr>
          <w:t>Oxley Act of 2002.</w:t>
        </w:r>
      </w:hyperlink>
    </w:p>
    <w:p>
      <w:pPr>
        <w:spacing w:after="0" w:line="329" w:lineRule="exact"/>
        <w:rPr>
          <w:sz w:val="20"/>
          <w:szCs w:val="20"/>
          <w:color w:val="auto"/>
        </w:rPr>
      </w:pPr>
    </w:p>
    <w:p>
      <w:pPr>
        <w:spacing w:after="0"/>
        <w:rPr>
          <w:rFonts w:ascii="Arial" w:cs="Arial" w:eastAsia="Arial" w:hAnsi="Arial"/>
          <w:sz w:val="15"/>
          <w:szCs w:val="15"/>
          <w:u w:val="single" w:color="auto"/>
          <w:color w:val="0000FF"/>
        </w:rPr>
      </w:pPr>
      <w:hyperlink w:anchor="page34">
        <w:r>
          <w:rPr>
            <w:rFonts w:ascii="Arial" w:cs="Arial" w:eastAsia="Arial" w:hAnsi="Arial"/>
            <w:sz w:val="15"/>
            <w:szCs w:val="15"/>
            <w:u w:val="single" w:color="auto"/>
            <w:color w:val="0000FF"/>
          </w:rPr>
          <w:t>Certification of James L. Welch furnished pursuant to 18 U.S.C. Section 1350, as adopted pursuant to Section 906 of the Sarbanes-Oxley Act of 2002.</w:t>
        </w:r>
      </w:hyperlink>
    </w:p>
    <w:p>
      <w:pPr>
        <w:spacing w:after="0" w:line="394" w:lineRule="exact"/>
        <w:rPr>
          <w:sz w:val="20"/>
          <w:szCs w:val="20"/>
          <w:color w:val="auto"/>
        </w:rPr>
      </w:pPr>
    </w:p>
    <w:p>
      <w:pPr>
        <w:ind w:right="160"/>
        <w:spacing w:after="0" w:line="269" w:lineRule="auto"/>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Certification of Stephanie D. Fisher furnished pursuant to 18 U.S.C. Section 1350, as adopted pursuant to Section 906 of the Sarbanes-Oxley Act of</w:t>
        </w:r>
      </w:hyperlink>
      <w:r>
        <w:rPr>
          <w:rFonts w:ascii="Arial" w:cs="Arial" w:eastAsia="Arial" w:hAnsi="Arial"/>
          <w:sz w:val="17"/>
          <w:szCs w:val="17"/>
          <w:u w:val="single" w:color="auto"/>
          <w:color w:val="0000FF"/>
        </w:rPr>
        <w:t xml:space="preserve"> </w:t>
      </w:r>
      <w:hyperlink w:anchor="page35">
        <w:r>
          <w:rPr>
            <w:rFonts w:ascii="Arial" w:cs="Arial" w:eastAsia="Arial" w:hAnsi="Arial"/>
            <w:sz w:val="17"/>
            <w:szCs w:val="17"/>
            <w:u w:val="single" w:color="auto"/>
            <w:color w:val="0000FF"/>
          </w:rPr>
          <w:t>2002.</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XBRL Instance Document</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Schema</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w:t>
      </w:r>
    </w:p>
    <w:p>
      <w:pPr>
        <w:spacing w:after="0" w:line="200" w:lineRule="exact"/>
        <w:rPr>
          <w:sz w:val="20"/>
          <w:szCs w:val="20"/>
          <w:color w:val="auto"/>
        </w:rPr>
      </w:pPr>
    </w:p>
    <w:p>
      <w:pPr>
        <w:sectPr>
          <w:pgSz w:w="11900" w:h="16838" w:orient="portrait"/>
          <w:cols w:equalWidth="0" w:num="2">
            <w:col w:w="1080" w:space="200"/>
            <w:col w:w="10100"/>
          </w:cols>
          <w:pgMar w:left="240" w:top="121" w:right="27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 Indicates documents filed herewith.</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80"/>
          </w:cols>
          <w:pgMar w:left="240" w:top="121" w:right="279" w:bottom="1440" w:gutter="0" w:footer="0" w:header="0"/>
          <w:type w:val="continuous"/>
        </w:sectPr>
      </w:pPr>
    </w:p>
    <w:bookmarkStart w:id="30" w:name="page31"/>
    <w:bookmarkEnd w:id="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15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YRC WORLDWIDE INC.</w:t>
            </w:r>
          </w:p>
        </w:tc>
      </w:tr>
      <w:tr>
        <w:trPr>
          <w:trHeight w:val="856"/>
        </w:trPr>
        <w:tc>
          <w:tcPr>
            <w:tcW w:w="5580" w:type="dxa"/>
            <w:vAlign w:val="bottom"/>
          </w:tcPr>
          <w:p>
            <w:pPr>
              <w:spacing w:after="0"/>
              <w:rPr>
                <w:sz w:val="20"/>
                <w:szCs w:val="20"/>
                <w:color w:val="auto"/>
              </w:rPr>
            </w:pPr>
            <w:r>
              <w:rPr>
                <w:rFonts w:ascii="Arial" w:cs="Arial" w:eastAsia="Arial" w:hAnsi="Arial"/>
                <w:sz w:val="17"/>
                <w:szCs w:val="17"/>
                <w:color w:val="auto"/>
              </w:rPr>
              <w:t>Date: November 2, 2017</w:t>
            </w:r>
          </w:p>
        </w:tc>
        <w:tc>
          <w:tcPr>
            <w:tcW w:w="5820" w:type="dxa"/>
            <w:vAlign w:val="bottom"/>
          </w:tcPr>
          <w:p>
            <w:pPr>
              <w:ind w:left="140"/>
              <w:spacing w:after="0"/>
              <w:rPr>
                <w:sz w:val="20"/>
                <w:szCs w:val="20"/>
                <w:color w:val="auto"/>
              </w:rPr>
            </w:pPr>
            <w:r>
              <w:rPr>
                <w:rFonts w:ascii="Arial" w:cs="Arial" w:eastAsia="Arial" w:hAnsi="Arial"/>
                <w:sz w:val="17"/>
                <w:szCs w:val="17"/>
                <w:color w:val="auto"/>
              </w:rPr>
              <w:t>/s/ James L. Welch</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James L. Welch</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Executive Officer</w:t>
            </w:r>
          </w:p>
        </w:tc>
      </w:tr>
      <w:tr>
        <w:trPr>
          <w:trHeight w:val="554"/>
        </w:trPr>
        <w:tc>
          <w:tcPr>
            <w:tcW w:w="5580" w:type="dxa"/>
            <w:vAlign w:val="bottom"/>
          </w:tcPr>
          <w:p>
            <w:pPr>
              <w:spacing w:after="0"/>
              <w:rPr>
                <w:sz w:val="20"/>
                <w:szCs w:val="20"/>
                <w:color w:val="auto"/>
              </w:rPr>
            </w:pPr>
            <w:r>
              <w:rPr>
                <w:rFonts w:ascii="Arial" w:cs="Arial" w:eastAsia="Arial" w:hAnsi="Arial"/>
                <w:sz w:val="17"/>
                <w:szCs w:val="17"/>
                <w:color w:val="auto"/>
              </w:rPr>
              <w:t>Date: November 2, 2017</w:t>
            </w:r>
          </w:p>
        </w:tc>
        <w:tc>
          <w:tcPr>
            <w:tcW w:w="5820" w:type="dxa"/>
            <w:vAlign w:val="bottom"/>
          </w:tcPr>
          <w:p>
            <w:pPr>
              <w:ind w:left="140"/>
              <w:spacing w:after="0"/>
              <w:rPr>
                <w:sz w:val="20"/>
                <w:szCs w:val="20"/>
                <w:color w:val="auto"/>
              </w:rPr>
            </w:pPr>
            <w:r>
              <w:rPr>
                <w:rFonts w:ascii="Arial" w:cs="Arial" w:eastAsia="Arial" w:hAnsi="Arial"/>
                <w:sz w:val="17"/>
                <w:szCs w:val="17"/>
                <w:color w:val="auto"/>
              </w:rPr>
              <w:t>/s/ Stephanie D. Fisher</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Stephanie D. Fisher</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Financial Officer</w:t>
            </w:r>
          </w:p>
        </w:tc>
      </w:tr>
      <w:tr>
        <w:trPr>
          <w:trHeight w:val="755"/>
        </w:trPr>
        <w:tc>
          <w:tcPr>
            <w:tcW w:w="558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7"/>
                <w:szCs w:val="17"/>
                <w:color w:val="auto"/>
              </w:rPr>
              <w:t>31</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7"/>
          <w:szCs w:val="17"/>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James L. Welch, certify that:</w:t>
      </w:r>
    </w:p>
    <w:p>
      <w:pPr>
        <w:spacing w:after="0" w:line="81" w:lineRule="exact"/>
        <w:rPr>
          <w:sz w:val="20"/>
          <w:szCs w:val="20"/>
          <w:color w:val="auto"/>
        </w:rPr>
      </w:pPr>
    </w:p>
    <w:p>
      <w:pPr>
        <w:ind w:left="600" w:hanging="599"/>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November 2, 2017</w:t>
      </w:r>
      <w:r>
        <w:rPr>
          <w:sz w:val="20"/>
          <w:szCs w:val="20"/>
          <w:color w:val="auto"/>
        </w:rPr>
        <w:tab/>
      </w:r>
      <w:r>
        <w:rPr>
          <w:rFonts w:ascii="Arial" w:cs="Arial" w:eastAsia="Arial" w:hAnsi="Arial"/>
          <w:sz w:val="14"/>
          <w:szCs w:val="14"/>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James L. Welch</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7"/>
          <w:szCs w:val="17"/>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Stephanie D. Fisher, certify that:</w:t>
      </w:r>
    </w:p>
    <w:p>
      <w:pPr>
        <w:spacing w:after="0" w:line="81" w:lineRule="exact"/>
        <w:rPr>
          <w:sz w:val="20"/>
          <w:szCs w:val="20"/>
          <w:color w:val="auto"/>
        </w:rPr>
      </w:pPr>
    </w:p>
    <w:p>
      <w:pPr>
        <w:ind w:left="600" w:hanging="599"/>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November 2, 2017</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5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jc w:val="both"/>
        <w:ind w:right="50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September 30, 2017,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 (a) or 15 (d)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November 2, 2017</w:t>
      </w:r>
      <w:r>
        <w:rPr>
          <w:sz w:val="20"/>
          <w:szCs w:val="20"/>
          <w:color w:val="auto"/>
        </w:rPr>
        <w:tab/>
      </w:r>
      <w:r>
        <w:rPr>
          <w:rFonts w:ascii="Arial" w:cs="Arial" w:eastAsia="Arial" w:hAnsi="Arial"/>
          <w:sz w:val="14"/>
          <w:szCs w:val="14"/>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James L. Welch</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September 30, 2017, as filed with the Securities and Exchange Commission on the date hereof (the “Report”), I, Stephanie D. Fisher, Chief Financial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 (a) or 15 (d)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November 2, 2017</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5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lvl w:ilvl="1">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26" Type="http://schemas.openxmlformats.org/officeDocument/2006/relationships/hyperlink" Target="http://www.sec.gov/Archives/edgar/data/716006/000119312517236543/d42860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2019-12-29T03:45:32Z</dcterms:created>
  <dcterms:modified xsi:type="dcterms:W3CDTF">2019-12-29T03:45:32Z</dcterms:modified>
</cp:coreProperties>
</file>