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38753dsc13d.htm"/>
      <w:bookmarkStart w:id="1" w:name="ksd538753dsc13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13D </w:t>
      </w:r>
    </w:p>
    <w:p>
      <w:pPr>
        <w:pStyle w:val="TextBody"/>
        <w:bidi w:val="0"/>
        <w:spacing w:before="0" w:after="0"/>
        <w:jc w:val="center"/>
        <w:rPr>
          <w:rFonts w:ascii="Times New Roman" w:hAnsi="Times New Roman"/>
          <w:b/>
          <w:sz w:val="24"/>
        </w:rPr>
      </w:pPr>
      <w:r>
        <w:rPr>
          <w:rFonts w:ascii="Times New Roman" w:hAnsi="Times New Roman"/>
          <w:b/>
          <w:sz w:val="24"/>
        </w:rPr>
        <w:t xml:space="preserve">(Rule 13d-101)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Yellow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$0.01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985510106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MFN Partners Management, LP </w:t>
      </w:r>
    </w:p>
    <w:p>
      <w:pPr>
        <w:pStyle w:val="TextBody"/>
        <w:bidi w:val="0"/>
        <w:spacing w:before="0" w:after="0"/>
        <w:jc w:val="center"/>
        <w:rPr>
          <w:rFonts w:ascii="Times New Roman" w:hAnsi="Times New Roman"/>
          <w:b/>
          <w:sz w:val="20"/>
        </w:rPr>
      </w:pPr>
      <w:r>
        <w:rPr>
          <w:rFonts w:ascii="Times New Roman" w:hAnsi="Times New Roman"/>
          <w:b/>
          <w:sz w:val="20"/>
        </w:rPr>
        <w:t xml:space="preserve">222 Berkeley Street, 13th Floor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 02116 </w:t>
      </w:r>
    </w:p>
    <w:p>
      <w:pPr>
        <w:pStyle w:val="TextBody"/>
        <w:bidi w:val="0"/>
        <w:spacing w:before="0" w:after="0"/>
        <w:jc w:val="center"/>
        <w:rPr>
          <w:rFonts w:ascii="Times New Roman" w:hAnsi="Times New Roman"/>
          <w:b/>
          <w:sz w:val="20"/>
        </w:rPr>
      </w:pPr>
      <w:r>
        <w:rPr>
          <w:rFonts w:ascii="Times New Roman" w:hAnsi="Times New Roman"/>
          <w:b/>
          <w:sz w:val="20"/>
        </w:rPr>
        <w:t xml:space="preserve">Attn: Jonathan Reisman </w:t>
      </w:r>
    </w:p>
    <w:p>
      <w:pPr>
        <w:pStyle w:val="TextBody"/>
        <w:bidi w:val="0"/>
        <w:spacing w:before="0" w:after="0"/>
        <w:jc w:val="center"/>
        <w:rPr>
          <w:rFonts w:ascii="Times New Roman" w:hAnsi="Times New Roman"/>
          <w:sz w:val="20"/>
        </w:rPr>
      </w:pPr>
      <w:r>
        <w:rPr>
          <w:rFonts w:ascii="Times New Roman" w:hAnsi="Times New Roman"/>
          <w:b/>
          <w:sz w:val="20"/>
        </w:rPr>
        <w:t>Tel:</w:t>
      </w:r>
      <w:r>
        <w:rPr>
          <w:rFonts w:ascii="Times New Roman" w:hAnsi="Times New Roman"/>
          <w:sz w:val="20"/>
        </w:rPr>
        <w:t> </w:t>
      </w:r>
      <w:r>
        <w:rPr>
          <w:rFonts w:ascii="Times New Roman" w:hAnsi="Times New Roman"/>
          <w:b/>
          <w:sz w:val="20"/>
        </w:rPr>
        <w:t xml:space="preserve">(617) 443-2040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w:t>
      </w:r>
    </w:p>
    <w:p>
      <w:pPr>
        <w:pStyle w:val="TextBody"/>
        <w:bidi w:val="0"/>
        <w:spacing w:before="240" w:after="0"/>
        <w:jc w:val="center"/>
        <w:rPr>
          <w:rFonts w:ascii="Times New Roman" w:hAnsi="Times New Roman"/>
          <w:b/>
          <w:sz w:val="20"/>
        </w:rPr>
      </w:pPr>
      <w:r>
        <w:rPr>
          <w:rFonts w:ascii="Times New Roman" w:hAnsi="Times New Roman"/>
          <w:b/>
          <w:sz w:val="20"/>
        </w:rPr>
        <w:t xml:space="preserve">July 20,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the filing person has previously filed a statement on Schedule 13G to report the acquisition which is the subject of this Schedule 13D, and is filing this schedule because of Rule 13d-1(e), 13d-1(f) or 13d-1(g), check the following box.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6"/>
        <w:gridCol w:w="129"/>
        <w:gridCol w:w="741"/>
        <w:gridCol w:w="307"/>
        <w:gridCol w:w="307"/>
        <w:gridCol w:w="307"/>
        <w:gridCol w:w="7865"/>
      </w:tblGrid>
      <w:tr>
        <w:trPr/>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44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MFN Partners, LP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I.R.S. IDENTIFICATION NO. OF ABOVE PERSON (ENTITIES ONLY) (VOLUNTARY)</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WC</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444"/>
        <w:gridCol w:w="176"/>
        <w:gridCol w:w="7202"/>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02"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7.  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8.</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9.</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10.</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02"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24.6% (1)</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PN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51,983,126 shares of Common Stock outstanding as of April 28, 2023, as reported in the Issuers Report on Form 10-Q for the period ended March 31, 2023 filed with the Securities and Exchange Commission on May 3,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6"/>
        <w:gridCol w:w="129"/>
        <w:gridCol w:w="741"/>
        <w:gridCol w:w="307"/>
        <w:gridCol w:w="307"/>
        <w:gridCol w:w="307"/>
        <w:gridCol w:w="7865"/>
      </w:tblGrid>
      <w:tr>
        <w:trPr/>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44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MFN Partners GP, LLC</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I.R.S. IDENTIFICATION NO. OF ABOVE PERSON (ENTITIES ONLY) (VOLUNTARY)</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444"/>
        <w:gridCol w:w="176"/>
        <w:gridCol w:w="7202"/>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02"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7.  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8.</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9.</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10.</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02"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24.6% (1)</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51,983,126 shares of Common Stock outstanding as of April 28, 2023, as reported in the Issuers Report on Form 10-Q for the period ended March 31, 2023 filed with the Securities and Exchange Commission on May 3,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6"/>
        <w:gridCol w:w="129"/>
        <w:gridCol w:w="741"/>
        <w:gridCol w:w="307"/>
        <w:gridCol w:w="307"/>
        <w:gridCol w:w="307"/>
        <w:gridCol w:w="7865"/>
      </w:tblGrid>
      <w:tr>
        <w:trPr/>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44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MFN Partners Management, LP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I.R.S. IDENTIFICATION NO. OF ABOVE PERSON (ENTITIES ONLY) (VOLUNTARY)</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444"/>
        <w:gridCol w:w="176"/>
        <w:gridCol w:w="7202"/>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02"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7.  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8.</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9.</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10.</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02"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24.6% (1)</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IA, PN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51,983,126 shares of Common Stock outstanding as of April 28, 2023, as reported in the Issuers Report on Form 10-Q for the period ended March 31, 2023 filed with the Securities and Exchange Commission on May 3,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6"/>
        <w:gridCol w:w="129"/>
        <w:gridCol w:w="741"/>
        <w:gridCol w:w="307"/>
        <w:gridCol w:w="307"/>
        <w:gridCol w:w="307"/>
        <w:gridCol w:w="7865"/>
      </w:tblGrid>
      <w:tr>
        <w:trPr/>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44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MFN Partners Management, LLC</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I.R.S. IDENTIFICATION NO. OF ABOVE PERSON (ENTITIES ONLY) (VOLUNTARY)</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444"/>
        <w:gridCol w:w="176"/>
        <w:gridCol w:w="7202"/>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02"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7.  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8.</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9.</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10.</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02"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24.6% (1)</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51,983,126 shares of Common Stock outstanding as of April 28, 2023, as reported in the Issuers Report on Form 10-Q for the period ended March 31, 2023 filed with the Securities and Exchange Commission on May 3,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6"/>
        <w:gridCol w:w="129"/>
        <w:gridCol w:w="741"/>
        <w:gridCol w:w="307"/>
        <w:gridCol w:w="307"/>
        <w:gridCol w:w="307"/>
        <w:gridCol w:w="7865"/>
      </w:tblGrid>
      <w:tr>
        <w:trPr/>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44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Michael F. DeMichele</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I.R.S. IDENTIFICATION NO. OF ABOVE PERSON (ENTITIES ONLY) (VOLUNTARY)</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United States</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444"/>
        <w:gridCol w:w="176"/>
        <w:gridCol w:w="7202"/>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02"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7.  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8.</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9.</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10.</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02"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24.6% (1)</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51,983,126 shares of Common Stock outstanding as of April 28, 2023, as reported in the Issuers Report on Form 10-Q for the period ended March 31, 2023 filed with the Securities and Exchange Commission on May 3,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46"/>
        <w:gridCol w:w="129"/>
        <w:gridCol w:w="741"/>
        <w:gridCol w:w="307"/>
        <w:gridCol w:w="307"/>
        <w:gridCol w:w="307"/>
        <w:gridCol w:w="7865"/>
      </w:tblGrid>
      <w:tr>
        <w:trPr/>
        <w:tc>
          <w:tcPr>
            <w:tcW w:w="44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7865" w:type="dxa"/>
            <w:tcBorders/>
            <w:vAlign w:val="center"/>
          </w:tcPr>
          <w:p>
            <w:pPr>
              <w:pStyle w:val="TableContents"/>
              <w:bidi w:val="0"/>
              <w:spacing w:before="0" w:after="283"/>
              <w:jc w:val="left"/>
              <w:rPr>
                <w:sz w:val="4"/>
                <w:szCs w:val="4"/>
              </w:rPr>
            </w:pPr>
            <w:r>
              <w:rPr>
                <w:sz w:val="4"/>
                <w:szCs w:val="4"/>
              </w:rPr>
            </w:r>
          </w:p>
        </w:tc>
      </w:tr>
      <w:tr>
        <w:trPr/>
        <w:tc>
          <w:tcPr>
            <w:tcW w:w="44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7"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Farhad Nanji</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I.R.S. IDENTIFICATION NO. OF ABOVE PERSON (ENTITIES ONLY) (VOLUNTARY)</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SOURCE OF FUNDS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AF</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5.</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DISCLOSURE OF LEGAL PROCEEDINGS IS REQUIRED PURSUANT TO ITEM 2(d) or 2(e)</w:t>
            </w:r>
          </w:p>
          <w:p>
            <w:pPr>
              <w:pStyle w:val="TableContents"/>
              <w:bidi w:val="0"/>
              <w:spacing w:before="0" w:after="0"/>
              <w:jc w:val="left"/>
              <w:rPr/>
            </w:pPr>
            <w:r>
              <w:rPr/>
              <w:t> </w:t>
            </w:r>
          </w:p>
          <w:p>
            <w:pPr>
              <w:pStyle w:val="TableContents"/>
              <w:bidi w:val="0"/>
              <w:spacing w:before="0" w:after="20"/>
              <w:jc w:val="left"/>
              <w:rPr/>
            </w:pPr>
            <w:r>
              <w:rPr/>
              <w:t>  ☐</w:t>
            </w:r>
          </w:p>
        </w:tc>
      </w:tr>
      <w:tr>
        <w:trPr/>
        <w:tc>
          <w:tcPr>
            <w:tcW w:w="44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7"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Canada</w:t>
            </w:r>
          </w:p>
        </w:tc>
      </w:tr>
    </w:tbl>
    <w:tbl>
      <w:tblPr>
        <w:tblW w:w="4950" w:type="pct"/>
        <w:jc w:val="left"/>
        <w:tblInd w:w="0" w:type="dxa"/>
        <w:tblLayout w:type="fixed"/>
        <w:tblCellMar>
          <w:top w:w="0" w:type="dxa"/>
          <w:left w:w="0" w:type="dxa"/>
          <w:bottom w:w="0" w:type="dxa"/>
          <w:right w:w="0" w:type="dxa"/>
        </w:tblCellMar>
      </w:tblPr>
      <w:tblGrid>
        <w:gridCol w:w="725"/>
        <w:gridCol w:w="504"/>
        <w:gridCol w:w="875"/>
        <w:gridCol w:w="176"/>
        <w:gridCol w:w="444"/>
        <w:gridCol w:w="176"/>
        <w:gridCol w:w="7202"/>
      </w:tblGrid>
      <w:tr>
        <w:trPr/>
        <w:tc>
          <w:tcPr>
            <w:tcW w:w="725"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202" w:type="dxa"/>
            <w:tcBorders/>
            <w:vAlign w:val="center"/>
          </w:tcPr>
          <w:p>
            <w:pPr>
              <w:pStyle w:val="TableContents"/>
              <w:bidi w:val="0"/>
              <w:spacing w:before="0" w:after="283"/>
              <w:jc w:val="left"/>
              <w:rPr>
                <w:sz w:val="4"/>
                <w:szCs w:val="4"/>
              </w:rPr>
            </w:pPr>
            <w:r>
              <w:rPr>
                <w:sz w:val="4"/>
                <w:szCs w:val="4"/>
              </w:rPr>
            </w:r>
          </w:p>
        </w:tc>
      </w:tr>
      <w:tr>
        <w:trPr/>
        <w:tc>
          <w:tcPr>
            <w:tcW w:w="210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0"/>
              <w:jc w:val="center"/>
              <w:rPr>
                <w:rFonts w:ascii="Times New Roman" w:hAnsi="Times New Roman"/>
                <w:sz w:val="20"/>
              </w:rPr>
            </w:pPr>
            <w:r>
              <w:rPr>
                <w:rFonts w:ascii="Times New Roman" w:hAnsi="Times New Roman"/>
                <w:sz w:val="20"/>
              </w:rPr>
              <w:t>WITH</w:t>
            </w:r>
          </w:p>
          <w:p>
            <w:pPr>
              <w:pStyle w:val="TableContents"/>
              <w:bidi w:val="0"/>
              <w:spacing w:before="0" w:after="20"/>
              <w:jc w:val="left"/>
              <w:rPr/>
            </w:pPr>
            <w:r>
              <w:rPr/>
              <w:t>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7.  </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8.</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44" w:type="dxa"/>
            <w:tcBorders>
              <w:bottom w:val="single" w:sz="2" w:space="0" w:color="000000"/>
            </w:tcBorders>
            <w:tcMar>
              <w:bottom w:w="28" w:type="dxa"/>
            </w:tcMar>
          </w:tcPr>
          <w:p>
            <w:pPr>
              <w:pStyle w:val="TableContents"/>
              <w:bidi w:val="0"/>
              <w:spacing w:before="0" w:after="283"/>
              <w:jc w:val="left"/>
              <w:rPr/>
            </w:pPr>
            <w:r>
              <w:rPr/>
              <w:t>  </w:t>
            </w:r>
            <w:r>
              <w:rPr/>
              <w:t>9.</w:t>
            </w:r>
          </w:p>
        </w:tc>
        <w:tc>
          <w:tcPr>
            <w:tcW w:w="17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202"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2104" w:type="dxa"/>
            <w:gridSpan w:val="3"/>
            <w:vMerge w:val="continue"/>
            <w:tcBorders>
              <w:left w:val="single" w:sz="2" w:space="0" w:color="000000"/>
            </w:tcBorders>
            <w:tcMar>
              <w:left w:w="160" w:type="dxa"/>
            </w:tcMar>
            <w:vAlign w:val="center"/>
          </w:tcPr>
          <w:p>
            <w:pPr>
              <w:pStyle w:val="Normal"/>
              <w:bidi w:val="0"/>
              <w:jc w:val="left"/>
              <w:rPr/>
            </w:pPr>
            <w:r>
              <w:rPr/>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444" w:type="dxa"/>
            <w:tcBorders/>
          </w:tcPr>
          <w:p>
            <w:pPr>
              <w:pStyle w:val="TableContents"/>
              <w:bidi w:val="0"/>
              <w:spacing w:before="0" w:after="283"/>
              <w:jc w:val="left"/>
              <w:rPr/>
            </w:pPr>
            <w:r>
              <w:rPr/>
              <w:t>10.</w:t>
            </w:r>
          </w:p>
        </w:tc>
        <w:tc>
          <w:tcPr>
            <w:tcW w:w="176" w:type="dxa"/>
            <w:tcBorders>
              <w:left w:val="single" w:sz="2" w:space="0" w:color="000000"/>
            </w:tcBorders>
            <w:tcMar>
              <w:left w:w="28" w:type="dxa"/>
            </w:tcMar>
            <w:vAlign w:val="bottom"/>
          </w:tcPr>
          <w:p>
            <w:pPr>
              <w:pStyle w:val="TableContents"/>
              <w:bidi w:val="0"/>
              <w:spacing w:before="0" w:after="283"/>
              <w:jc w:val="left"/>
              <w:rPr/>
            </w:pPr>
            <w:r>
              <w:rPr/>
              <w:t>  </w:t>
            </w:r>
          </w:p>
        </w:tc>
        <w:tc>
          <w:tcPr>
            <w:tcW w:w="7202"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11.  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12,771,943</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(11)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(11)</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24.6% (1)</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51,983,126 shares of Common Stock outstanding as of April 28, 2023, as reported in the Issuers Report on Form 10-Q for the period ended March 31, 2023 filed with the Securities and Exchange Commission on May 3,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13D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Security and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statement on Schedule 13D relates to the Common Stock, $0.01 par value per share (the Common Stock), of Yellow Corporation (the Issuer). The Issuers principal executive office is located at 501 Commerce Street, Suite 1120, Nashville, Tennessee, 37203.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and Background.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This Schedule 13D is being filed by and on behalf of (i) MFN Partners, LP (the Partnership); (ii) MFN Partners GP, LLC (MFN GP), as the general partner of the Partnership; (iii) MFN Partners Management, LP (MFN Management), as the investment adviser to the Partnership; (iv) MFN Partners Management, LLC (MFN LLC), as the general partner of MFN Management; (v) Michael F. DeMichele, as a managing member of MFN GP and of MFN LLC; and (vi) Farhad Nanji, as a managing member of MFN GP and of MFN LLC (each, a Reporting Person and collectively, the Reporting Persons). The Reporting Persons are making this single, joint filing and the agreement among the Reporting Persons to file jointly is attached hereto as Exhibit A. The execution and filing of such joint filing agreement shall not be construed as an admission that the Reporting Persons are a group, or have agreed to act as a group. Each of the Reporting Persons disclaims beneficial ownership of the shares reported herein except to the extent of its or his pecuniary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(b) The principal business address of each Reporting Person is c/o MFN Partners Management, LP, 222 Berkeley Street, 13th Floor, Boston, MA 02116. </w:t>
      </w:r>
    </w:p>
    <w:p>
      <w:pPr>
        <w:pStyle w:val="TextBody"/>
        <w:bidi w:val="0"/>
        <w:spacing w:before="240" w:after="0"/>
        <w:jc w:val="left"/>
        <w:rPr>
          <w:rFonts w:ascii="Times New Roman" w:hAnsi="Times New Roman"/>
          <w:sz w:val="20"/>
        </w:rPr>
      </w:pPr>
      <w:r>
        <w:rPr>
          <w:rFonts w:ascii="Times New Roman" w:hAnsi="Times New Roman"/>
          <w:sz w:val="20"/>
        </w:rPr>
        <w:t xml:space="preserve">(c) The Partnership is a private investment partnership, the principal business of which is to make investments. The principal business of MFN GP is to act as the general partner of the Partnership. The principal business of MFN Management is to act as the investment adviser to the Partnership. The principal business of MFN LLC is to act as the general partner of MFN Management. Michael F. DeMichele and Farhad Nanji are managing members of MFN GP and of MFN LLC. </w:t>
      </w:r>
    </w:p>
    <w:p>
      <w:pPr>
        <w:pStyle w:val="TextBody"/>
        <w:bidi w:val="0"/>
        <w:spacing w:before="240" w:after="0"/>
        <w:jc w:val="left"/>
        <w:rPr>
          <w:rFonts w:ascii="Times New Roman" w:hAnsi="Times New Roman"/>
          <w:sz w:val="20"/>
        </w:rPr>
      </w:pPr>
      <w:r>
        <w:rPr>
          <w:rFonts w:ascii="Times New Roman" w:hAnsi="Times New Roman"/>
          <w:sz w:val="20"/>
        </w:rPr>
        <w:t xml:space="preserve">(d)-(e) During the last five years, no Reporting Person has (i) been convicted in any criminal proceeding (excluding traffic violations or similar misdemeanors) or (ii) been a party to a civil proceeding of a judicial or administrative body of competent jurisdiction resulting in its being subject to a judgment, decree or final order enjoining future violations of, or prohibiting or mandating activities subject to, federal or state securities laws or finding any violation with respect to such laws. </w:t>
      </w:r>
    </w:p>
    <w:p>
      <w:pPr>
        <w:pStyle w:val="TextBody"/>
        <w:bidi w:val="0"/>
        <w:spacing w:before="240" w:after="0"/>
        <w:jc w:val="left"/>
        <w:rPr>
          <w:rFonts w:ascii="Times New Roman" w:hAnsi="Times New Roman"/>
          <w:sz w:val="20"/>
        </w:rPr>
      </w:pPr>
      <w:r>
        <w:rPr>
          <w:rFonts w:ascii="Times New Roman" w:hAnsi="Times New Roman"/>
          <w:sz w:val="20"/>
        </w:rPr>
        <w:t xml:space="preserve">(f) The Partnership is a Delaware limited partnership. MFN GP is a Delaware limited liability company. MFN Management is a Delaware limited partnership. MFN LLC is a Delaware limited liability company. Michael F. DeMichele is a citizen of the United States and Farhad Nanji is citizen of Canada.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Source and Amount of Funds or Other Consideration.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shares of Common Stock reported herein are directly held by the Partnership and were acquired for the account of the Partnership in multiple transactions that occurred from July 10, 2023 through July 28, 2023, for aggregate consideration of approximately $10,775,331.81 (including commissions). The source of funds used to acquire the Common Stock was the working capital of the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Transaction.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Reporting Persons acquired the shares of Common Stock set forth in Item 5 and hold their shares of Common Stock for investment purposes. Subject to a number of factors, including market conditions and their general investment and trading policies, the Reporting Persons may, in the ordinary course of their business, acquire additional shares of or dispose of the shares of Common Stock that they beneficially own. These acquisitions or dispositions may occur in open market transactions or privately negotiated transactions or through other methods.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(including as part of or in connection with any bankruptcy or potential bankruptcy proceeding), each of the Reporting Persons may consider the feasibility and advisability of various alternative courses of action with respect to the Reporting Persons investment in the Issuer, including engaging in discussions with the Issuer, its board of directors (including any committee thereof), other current or prospective holders of Common Stock and other securities of the Issuer, existing and potential creditors of the Issuer, committees of creditors and/or equity holders of the Issuer, existing and potential strategic and funding partners, potential acquirers of the Issuer and/or its assets, financial and other consultants and advisors and other third parties about any of the following, including, without limitation: (a) the acquisition or disposition of Common Stock, including through derivative transactions, which may include security-based swaps and short sales; (b) an extraordinary corporate transaction, such as a merger, reorganization or liquidation, involving the Issuer or any of its subsidiaries; (c) a sale or transfer of a material amount of assets of the Issuer or any of its subsidiaries; (d) changes in the present board of directors or management of the Issuer; (e) a material change in the present capitalization or dividend policy of the Issuer; (f) other material changes in the Issuers business or corporate structure; (g) changes in the Issuers articles of incorporation or bylaws or other actions that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causing a class of equity securities of the Issuer to become eligible for termination of registration pursuant to Section 12 of the Exchange Act; or (j) any action similar to those enumerated above. Except as described in this Item 4, the Reporting Persons do not currently have any plans or proposals that relate to or would result in any of the actions specified in clause (a) through (j)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intend to review their investment in the Issuer from time to time on the basis of various factors, including the Issuers business, financial condition, results of operations and prospects, general economic and industry conditions, the securities markets in general and those for the Issuers stock in particular, as well as other developments.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in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 (b) The information requested by these paragraphs is incorporated herein by reference to the information provided on the cover pages to this Schedule 13D. </w:t>
      </w:r>
    </w:p>
    <w:p>
      <w:pPr>
        <w:pStyle w:val="TextBody"/>
        <w:bidi w:val="0"/>
        <w:spacing w:before="240" w:after="0"/>
        <w:jc w:val="left"/>
        <w:rPr>
          <w:rFonts w:ascii="Times New Roman" w:hAnsi="Times New Roman"/>
          <w:sz w:val="20"/>
        </w:rPr>
      </w:pPr>
      <w:r>
        <w:rPr>
          <w:rFonts w:ascii="Times New Roman" w:hAnsi="Times New Roman"/>
          <w:sz w:val="20"/>
        </w:rPr>
        <w:t xml:space="preserve">(c) Information with respect to all transactions in the Common Stock effected during the past sixty days by the Reporting Persons is incorporated herein by reference to Exhibit B attached hereto . </w:t>
      </w:r>
    </w:p>
    <w:p>
      <w:pPr>
        <w:pStyle w:val="TextBody"/>
        <w:bidi w:val="0"/>
        <w:spacing w:before="240" w:after="0"/>
        <w:jc w:val="left"/>
        <w:rPr>
          <w:rFonts w:ascii="Times New Roman" w:hAnsi="Times New Roman"/>
          <w:sz w:val="20"/>
        </w:rPr>
      </w:pPr>
      <w:r>
        <w:rPr>
          <w:rFonts w:ascii="Times New Roman" w:hAnsi="Times New Roman"/>
          <w:sz w:val="20"/>
        </w:rPr>
        <w:t xml:space="preserve">(d) No other person has the right to receive or the power to direct the receipt of dividends from, or the proceeds from the sale of, the shares of Common Stock reported herein. </w:t>
      </w:r>
    </w:p>
    <w:p>
      <w:pPr>
        <w:pStyle w:val="TextBody"/>
        <w:bidi w:val="0"/>
        <w:spacing w:before="240" w:after="0"/>
        <w:jc w:val="left"/>
        <w:rPr>
          <w:rFonts w:ascii="Times New Roman" w:hAnsi="Times New Roman"/>
          <w:sz w:val="20"/>
        </w:rPr>
      </w:pPr>
      <w:r>
        <w:rPr>
          <w:rFonts w:ascii="Times New Roman" w:hAnsi="Times New Roman"/>
          <w:sz w:val="20"/>
        </w:rPr>
        <w:t xml:space="preserve">(e) 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Contracts, Arrangements, Understandings or Relationships with Respect to Securities of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to be Filed as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Exhibit AJoint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Exhibit BTransactions Effected During the Past Sixty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CUSIP No. 985510106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their knowledge and belief, the undersigned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Dated: July 31,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49"/>
        <w:gridCol w:w="65"/>
        <w:gridCol w:w="3268"/>
      </w:tblGrid>
      <w:tr>
        <w:trPr/>
        <w:tc>
          <w:tcPr>
            <w:tcW w:w="749"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LP</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268"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749" w:type="dxa"/>
            <w:tcBorders/>
            <w:vAlign w:val="bottom"/>
          </w:tcPr>
          <w:p>
            <w:pPr>
              <w:pStyle w:val="TableContents"/>
              <w:bidi w:val="0"/>
              <w:spacing w:before="0" w:after="283"/>
              <w:jc w:val="left"/>
              <w:rPr/>
            </w:pPr>
            <w:r>
              <w:rPr/>
              <w:t>Name: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Jonathan Reisman</w:t>
            </w:r>
          </w:p>
        </w:tc>
      </w:tr>
      <w:tr>
        <w:trPr/>
        <w:tc>
          <w:tcPr>
            <w:tcW w:w="749" w:type="dxa"/>
            <w:tcBorders/>
            <w:vAlign w:val="bottom"/>
          </w:tcPr>
          <w:p>
            <w:pPr>
              <w:pStyle w:val="TableContents"/>
              <w:bidi w:val="0"/>
              <w:spacing w:before="0" w:after="283"/>
              <w:jc w:val="left"/>
              <w:rPr/>
            </w:pPr>
            <w:r>
              <w:rPr/>
              <w:t>Title: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GP, LLC</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268"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749" w:type="dxa"/>
            <w:tcBorders/>
            <w:vAlign w:val="bottom"/>
          </w:tcPr>
          <w:p>
            <w:pPr>
              <w:pStyle w:val="TableContents"/>
              <w:bidi w:val="0"/>
              <w:spacing w:before="0" w:after="283"/>
              <w:jc w:val="left"/>
              <w:rPr/>
            </w:pPr>
            <w:r>
              <w:rPr/>
              <w:t>Name: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Jonathan Reisman</w:t>
            </w:r>
          </w:p>
        </w:tc>
      </w:tr>
      <w:tr>
        <w:trPr/>
        <w:tc>
          <w:tcPr>
            <w:tcW w:w="749" w:type="dxa"/>
            <w:tcBorders/>
            <w:vAlign w:val="bottom"/>
          </w:tcPr>
          <w:p>
            <w:pPr>
              <w:pStyle w:val="TableContents"/>
              <w:bidi w:val="0"/>
              <w:spacing w:before="0" w:after="283"/>
              <w:jc w:val="left"/>
              <w:rPr/>
            </w:pPr>
            <w:r>
              <w:rPr/>
              <w:t>Title: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MANAGEMENT, LP</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268"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749" w:type="dxa"/>
            <w:tcBorders/>
            <w:vAlign w:val="bottom"/>
          </w:tcPr>
          <w:p>
            <w:pPr>
              <w:pStyle w:val="TableContents"/>
              <w:bidi w:val="0"/>
              <w:spacing w:before="0" w:after="283"/>
              <w:jc w:val="left"/>
              <w:rPr/>
            </w:pPr>
            <w:r>
              <w:rPr/>
              <w:t>Name: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Jonathan Reisman</w:t>
            </w:r>
          </w:p>
        </w:tc>
      </w:tr>
      <w:tr>
        <w:trPr/>
        <w:tc>
          <w:tcPr>
            <w:tcW w:w="749" w:type="dxa"/>
            <w:tcBorders/>
            <w:vAlign w:val="bottom"/>
          </w:tcPr>
          <w:p>
            <w:pPr>
              <w:pStyle w:val="TableContents"/>
              <w:bidi w:val="0"/>
              <w:spacing w:before="0" w:after="283"/>
              <w:jc w:val="left"/>
              <w:rPr/>
            </w:pPr>
            <w:r>
              <w:rPr/>
              <w:t>Title: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MANAGEMENT, LLC</w:t>
            </w:r>
          </w:p>
        </w:tc>
      </w:tr>
      <w:tr>
        <w:trPr>
          <w:trHeight w:val="240" w:hRule="atLeast"/>
        </w:trPr>
        <w:tc>
          <w:tcPr>
            <w:tcW w:w="749" w:type="dxa"/>
            <w:tcBorders/>
            <w:vAlign w:val="center"/>
          </w:tcPr>
          <w:p>
            <w:pPr>
              <w:pStyle w:val="TableContents"/>
              <w:bidi w:val="0"/>
              <w:spacing w:before="0" w:after="283"/>
              <w:jc w:val="left"/>
              <w:rPr>
                <w:sz w:val="4"/>
                <w:szCs w:val="4"/>
              </w:rPr>
            </w:pPr>
            <w:r>
              <w:rPr>
                <w:sz w:val="4"/>
                <w:szCs w:val="4"/>
              </w:rPr>
            </w:r>
          </w:p>
        </w:tc>
        <w:tc>
          <w:tcPr>
            <w:tcW w:w="3333" w:type="dxa"/>
            <w:gridSpan w:val="2"/>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pPr>
            <w:r>
              <w:rPr/>
              <w:t>By:</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c>
          <w:tcPr>
            <w:tcW w:w="3268"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749" w:type="dxa"/>
            <w:tcBorders/>
            <w:vAlign w:val="bottom"/>
          </w:tcPr>
          <w:p>
            <w:pPr>
              <w:pStyle w:val="TableContents"/>
              <w:bidi w:val="0"/>
              <w:spacing w:before="0" w:after="283"/>
              <w:jc w:val="left"/>
              <w:rPr/>
            </w:pPr>
            <w:r>
              <w:rPr/>
              <w:t>Name: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Jonathan Reisman</w:t>
            </w:r>
          </w:p>
        </w:tc>
      </w:tr>
      <w:tr>
        <w:trPr/>
        <w:tc>
          <w:tcPr>
            <w:tcW w:w="749" w:type="dxa"/>
            <w:tcBorders/>
            <w:vAlign w:val="bottom"/>
          </w:tcPr>
          <w:p>
            <w:pPr>
              <w:pStyle w:val="TableContents"/>
              <w:bidi w:val="0"/>
              <w:spacing w:before="0" w:after="283"/>
              <w:jc w:val="left"/>
              <w:rPr/>
            </w:pPr>
            <w:r>
              <w:rPr/>
              <w:t>Title:</w:t>
            </w:r>
          </w:p>
        </w:tc>
        <w:tc>
          <w:tcPr>
            <w:tcW w:w="65" w:type="dxa"/>
            <w:tcBorders/>
            <w:vAlign w:val="bottom"/>
          </w:tcPr>
          <w:p>
            <w:pPr>
              <w:pStyle w:val="TableContents"/>
              <w:bidi w:val="0"/>
              <w:spacing w:before="0" w:after="283"/>
              <w:jc w:val="left"/>
              <w:rPr/>
            </w:pPr>
            <w:r>
              <w:rPr/>
              <w:t> </w:t>
            </w:r>
          </w:p>
        </w:tc>
        <w:tc>
          <w:tcPr>
            <w:tcW w:w="3268" w:type="dxa"/>
            <w:tcBorders/>
            <w:vAlign w:val="bottom"/>
          </w:tcPr>
          <w:p>
            <w:pPr>
              <w:pStyle w:val="TableContents"/>
              <w:bidi w:val="0"/>
              <w:spacing w:before="0" w:after="283"/>
              <w:jc w:val="left"/>
              <w:rPr/>
            </w:pPr>
            <w:r>
              <w:rPr/>
              <w:t>Authorized Person</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097"/>
        <w:gridCol w:w="279"/>
        <w:gridCol w:w="1706"/>
      </w:tblGrid>
      <w:tr>
        <w:trPr/>
        <w:tc>
          <w:tcPr>
            <w:tcW w:w="2097"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FARHAD NANJI</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Farhad Nanji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Farhad Nanji, individually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MICHAEL F. DEMICHELE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Michael F. DeMichele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Michael F. DeMichele, individually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left"/>
        <w:rPr>
          <w:rFonts w:ascii="Times New Roman" w:hAnsi="Times New Roman"/>
          <w:sz w:val="20"/>
        </w:rPr>
      </w:pPr>
      <w:bookmarkStart w:id="2" w:name="d538753dex99a.htm"/>
      <w:bookmarkStart w:id="3" w:name="ksd538753dex99a"/>
      <w:bookmarkEnd w:id="2"/>
      <w:bookmarkEnd w:id="3"/>
      <w:r>
        <w:rPr>
          <w:rFonts w:ascii="Times New Roman" w:hAnsi="Times New Roman"/>
          <w:sz w:val="20"/>
        </w:rPr>
        <w:t xml:space="preserve">CUSIP No. 985510106 </w:t>
      </w:r>
      <w:r>
        <w:br w:type="page"/>
      </w:r>
    </w:p>
    <w:p>
      <w:pPr>
        <w:pStyle w:val="TextBody"/>
        <w:bidi w:val="0"/>
        <w:spacing w:before="0" w:after="0"/>
        <w:jc w:val="left"/>
        <w:rPr/>
      </w:pPr>
      <w:r>
        <w:rPr/>
        <w:t> </w:t>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 that the statement on Schedule 13D to which this Agreement is annexed as Exhibit A, and any amendments thereto, is and will be filed on behalf of each of them in accordance with the provisions of Rule 13d-1(k) under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Dated: July 31,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73"/>
        <w:gridCol w:w="73"/>
        <w:gridCol w:w="3536"/>
      </w:tblGrid>
      <w:tr>
        <w:trPr/>
        <w:tc>
          <w:tcPr>
            <w:tcW w:w="473"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LP</w:t>
            </w:r>
          </w:p>
        </w:tc>
      </w:tr>
      <w:tr>
        <w:trPr>
          <w:trHeight w:val="240" w:hRule="atLeast"/>
        </w:trPr>
        <w:tc>
          <w:tcPr>
            <w:tcW w:w="473" w:type="dxa"/>
            <w:tcBorders/>
            <w:vAlign w:val="center"/>
          </w:tcPr>
          <w:p>
            <w:pPr>
              <w:pStyle w:val="TableContents"/>
              <w:bidi w:val="0"/>
              <w:spacing w:before="0" w:after="283"/>
              <w:jc w:val="left"/>
              <w:rPr>
                <w:sz w:val="4"/>
                <w:szCs w:val="4"/>
              </w:rPr>
            </w:pPr>
            <w:r>
              <w:rPr>
                <w:sz w:val="4"/>
                <w:szCs w:val="4"/>
              </w:rPr>
            </w:r>
          </w:p>
        </w:tc>
        <w:tc>
          <w:tcPr>
            <w:tcW w:w="3609" w:type="dxa"/>
            <w:gridSpan w:val="2"/>
            <w:tcBorders/>
            <w:vAlign w:val="center"/>
          </w:tcPr>
          <w:p>
            <w:pPr>
              <w:pStyle w:val="TableContents"/>
              <w:bidi w:val="0"/>
              <w:spacing w:before="0" w:after="283"/>
              <w:jc w:val="left"/>
              <w:rPr>
                <w:sz w:val="4"/>
                <w:szCs w:val="4"/>
              </w:rPr>
            </w:pPr>
            <w:r>
              <w:rPr>
                <w:sz w:val="4"/>
                <w:szCs w:val="4"/>
              </w:rPr>
            </w:r>
          </w:p>
        </w:tc>
      </w:tr>
      <w:tr>
        <w:trPr/>
        <w:tc>
          <w:tcPr>
            <w:tcW w:w="473"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36"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4082" w:type="dxa"/>
            <w:gridSpan w:val="3"/>
            <w:tcBorders/>
            <w:vAlign w:val="bottom"/>
          </w:tcPr>
          <w:p>
            <w:pPr>
              <w:pStyle w:val="TableContents"/>
              <w:bidi w:val="0"/>
              <w:spacing w:before="0" w:after="283"/>
              <w:jc w:val="left"/>
              <w:rPr/>
            </w:pPr>
            <w:r>
              <w:rPr/>
              <w:t>Name: Jonathan Reisman</w:t>
            </w:r>
          </w:p>
        </w:tc>
      </w:tr>
      <w:tr>
        <w:trPr/>
        <w:tc>
          <w:tcPr>
            <w:tcW w:w="4082" w:type="dxa"/>
            <w:gridSpan w:val="3"/>
            <w:tcBorders/>
            <w:vAlign w:val="bottom"/>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GP, LLC</w:t>
            </w:r>
          </w:p>
        </w:tc>
      </w:tr>
      <w:tr>
        <w:trPr>
          <w:trHeight w:val="240" w:hRule="atLeast"/>
        </w:trPr>
        <w:tc>
          <w:tcPr>
            <w:tcW w:w="473" w:type="dxa"/>
            <w:tcBorders/>
            <w:vAlign w:val="center"/>
          </w:tcPr>
          <w:p>
            <w:pPr>
              <w:pStyle w:val="TableContents"/>
              <w:bidi w:val="0"/>
              <w:spacing w:before="0" w:after="283"/>
              <w:jc w:val="left"/>
              <w:rPr>
                <w:sz w:val="4"/>
                <w:szCs w:val="4"/>
              </w:rPr>
            </w:pPr>
            <w:r>
              <w:rPr>
                <w:sz w:val="4"/>
                <w:szCs w:val="4"/>
              </w:rPr>
            </w:r>
          </w:p>
        </w:tc>
        <w:tc>
          <w:tcPr>
            <w:tcW w:w="3609" w:type="dxa"/>
            <w:gridSpan w:val="2"/>
            <w:tcBorders/>
            <w:vAlign w:val="center"/>
          </w:tcPr>
          <w:p>
            <w:pPr>
              <w:pStyle w:val="TableContents"/>
              <w:bidi w:val="0"/>
              <w:spacing w:before="0" w:after="283"/>
              <w:jc w:val="left"/>
              <w:rPr>
                <w:sz w:val="4"/>
                <w:szCs w:val="4"/>
              </w:rPr>
            </w:pPr>
            <w:r>
              <w:rPr>
                <w:sz w:val="4"/>
                <w:szCs w:val="4"/>
              </w:rPr>
            </w:r>
          </w:p>
        </w:tc>
      </w:tr>
      <w:tr>
        <w:trPr/>
        <w:tc>
          <w:tcPr>
            <w:tcW w:w="473"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36"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4082" w:type="dxa"/>
            <w:gridSpan w:val="3"/>
            <w:tcBorders/>
            <w:vAlign w:val="bottom"/>
          </w:tcPr>
          <w:p>
            <w:pPr>
              <w:pStyle w:val="TableContents"/>
              <w:bidi w:val="0"/>
              <w:spacing w:before="0" w:after="283"/>
              <w:jc w:val="left"/>
              <w:rPr/>
            </w:pPr>
            <w:r>
              <w:rPr/>
              <w:t>Name: Jonathan Reisman</w:t>
            </w:r>
          </w:p>
        </w:tc>
      </w:tr>
      <w:tr>
        <w:trPr/>
        <w:tc>
          <w:tcPr>
            <w:tcW w:w="4082" w:type="dxa"/>
            <w:gridSpan w:val="3"/>
            <w:tcBorders/>
            <w:vAlign w:val="bottom"/>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MANAGEMENT, LP</w:t>
            </w:r>
          </w:p>
        </w:tc>
      </w:tr>
      <w:tr>
        <w:trPr>
          <w:trHeight w:val="240" w:hRule="atLeast"/>
        </w:trPr>
        <w:tc>
          <w:tcPr>
            <w:tcW w:w="473" w:type="dxa"/>
            <w:tcBorders/>
            <w:vAlign w:val="center"/>
          </w:tcPr>
          <w:p>
            <w:pPr>
              <w:pStyle w:val="TableContents"/>
              <w:bidi w:val="0"/>
              <w:spacing w:before="0" w:after="283"/>
              <w:jc w:val="left"/>
              <w:rPr>
                <w:sz w:val="4"/>
                <w:szCs w:val="4"/>
              </w:rPr>
            </w:pPr>
            <w:r>
              <w:rPr>
                <w:sz w:val="4"/>
                <w:szCs w:val="4"/>
              </w:rPr>
            </w:r>
          </w:p>
        </w:tc>
        <w:tc>
          <w:tcPr>
            <w:tcW w:w="3609" w:type="dxa"/>
            <w:gridSpan w:val="2"/>
            <w:tcBorders/>
            <w:vAlign w:val="center"/>
          </w:tcPr>
          <w:p>
            <w:pPr>
              <w:pStyle w:val="TableContents"/>
              <w:bidi w:val="0"/>
              <w:spacing w:before="0" w:after="283"/>
              <w:jc w:val="left"/>
              <w:rPr>
                <w:sz w:val="4"/>
                <w:szCs w:val="4"/>
              </w:rPr>
            </w:pPr>
            <w:r>
              <w:rPr>
                <w:sz w:val="4"/>
                <w:szCs w:val="4"/>
              </w:rPr>
            </w:r>
          </w:p>
        </w:tc>
      </w:tr>
      <w:tr>
        <w:trPr/>
        <w:tc>
          <w:tcPr>
            <w:tcW w:w="473"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36"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4082" w:type="dxa"/>
            <w:gridSpan w:val="3"/>
            <w:tcBorders/>
            <w:vAlign w:val="bottom"/>
          </w:tcPr>
          <w:p>
            <w:pPr>
              <w:pStyle w:val="TableContents"/>
              <w:bidi w:val="0"/>
              <w:spacing w:before="0" w:after="283"/>
              <w:jc w:val="left"/>
              <w:rPr/>
            </w:pPr>
            <w:r>
              <w:rPr/>
              <w:t>Name: Jonathan Reisman</w:t>
            </w:r>
          </w:p>
        </w:tc>
      </w:tr>
      <w:tr>
        <w:trPr/>
        <w:tc>
          <w:tcPr>
            <w:tcW w:w="4082" w:type="dxa"/>
            <w:gridSpan w:val="3"/>
            <w:tcBorders/>
            <w:vAlign w:val="bottom"/>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MFN PARTNERS MANAGEMENT, LLC</w:t>
            </w:r>
          </w:p>
        </w:tc>
      </w:tr>
      <w:tr>
        <w:trPr>
          <w:trHeight w:val="240" w:hRule="atLeast"/>
        </w:trPr>
        <w:tc>
          <w:tcPr>
            <w:tcW w:w="473" w:type="dxa"/>
            <w:tcBorders/>
            <w:vAlign w:val="center"/>
          </w:tcPr>
          <w:p>
            <w:pPr>
              <w:pStyle w:val="TableContents"/>
              <w:bidi w:val="0"/>
              <w:spacing w:before="0" w:after="283"/>
              <w:jc w:val="left"/>
              <w:rPr>
                <w:sz w:val="4"/>
                <w:szCs w:val="4"/>
              </w:rPr>
            </w:pPr>
            <w:r>
              <w:rPr>
                <w:sz w:val="4"/>
                <w:szCs w:val="4"/>
              </w:rPr>
            </w:r>
          </w:p>
        </w:tc>
        <w:tc>
          <w:tcPr>
            <w:tcW w:w="3609" w:type="dxa"/>
            <w:gridSpan w:val="2"/>
            <w:tcBorders/>
            <w:vAlign w:val="center"/>
          </w:tcPr>
          <w:p>
            <w:pPr>
              <w:pStyle w:val="TableContents"/>
              <w:bidi w:val="0"/>
              <w:spacing w:before="0" w:after="283"/>
              <w:jc w:val="left"/>
              <w:rPr>
                <w:sz w:val="4"/>
                <w:szCs w:val="4"/>
              </w:rPr>
            </w:pPr>
            <w:r>
              <w:rPr>
                <w:sz w:val="4"/>
                <w:szCs w:val="4"/>
              </w:rPr>
            </w:r>
          </w:p>
        </w:tc>
      </w:tr>
      <w:tr>
        <w:trPr/>
        <w:tc>
          <w:tcPr>
            <w:tcW w:w="473" w:type="dxa"/>
            <w:tcBorders/>
          </w:tcPr>
          <w:p>
            <w:pPr>
              <w:pStyle w:val="TableContents"/>
              <w:bidi w:val="0"/>
              <w:spacing w:before="0" w:after="283"/>
              <w:jc w:val="left"/>
              <w:rPr/>
            </w:pPr>
            <w:r>
              <w:rPr/>
              <w:t>By:</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36" w:type="dxa"/>
            <w:tcBorders>
              <w:bottom w:val="single" w:sz="2" w:space="0" w:color="000000"/>
            </w:tcBorders>
            <w:tcMar>
              <w:bottom w:w="28" w:type="dxa"/>
            </w:tcMar>
          </w:tcPr>
          <w:p>
            <w:pPr>
              <w:pStyle w:val="TableContents"/>
              <w:bidi w:val="0"/>
              <w:spacing w:before="0" w:after="283"/>
              <w:jc w:val="left"/>
              <w:rPr/>
            </w:pPr>
            <w:r>
              <w:rPr/>
              <w:t>/s/ Jonathan Reisman</w:t>
            </w:r>
          </w:p>
        </w:tc>
      </w:tr>
      <w:tr>
        <w:trPr/>
        <w:tc>
          <w:tcPr>
            <w:tcW w:w="4082" w:type="dxa"/>
            <w:gridSpan w:val="3"/>
            <w:tcBorders/>
            <w:vAlign w:val="bottom"/>
          </w:tcPr>
          <w:p>
            <w:pPr>
              <w:pStyle w:val="TableContents"/>
              <w:bidi w:val="0"/>
              <w:spacing w:before="0" w:after="283"/>
              <w:jc w:val="left"/>
              <w:rPr/>
            </w:pPr>
            <w:r>
              <w:rPr/>
              <w:t>Name: Jonathan Reisman</w:t>
            </w:r>
          </w:p>
        </w:tc>
      </w:tr>
      <w:tr>
        <w:trPr/>
        <w:tc>
          <w:tcPr>
            <w:tcW w:w="4082" w:type="dxa"/>
            <w:gridSpan w:val="3"/>
            <w:tcBorders/>
            <w:vAlign w:val="bottom"/>
          </w:tcPr>
          <w:p>
            <w:pPr>
              <w:pStyle w:val="TableContents"/>
              <w:bidi w:val="0"/>
              <w:spacing w:before="0" w:after="283"/>
              <w:jc w:val="left"/>
              <w:rPr/>
            </w:pPr>
            <w:r>
              <w:rPr/>
              <w:t>Title: Authorized Person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FARHAD NANJI</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Farhad Nanji</w:t>
            </w:r>
          </w:p>
        </w:tc>
      </w:tr>
      <w:tr>
        <w:trPr/>
        <w:tc>
          <w:tcPr>
            <w:tcW w:w="4082" w:type="dxa"/>
            <w:gridSpan w:val="3"/>
            <w:tcBorders/>
          </w:tcPr>
          <w:p>
            <w:pPr>
              <w:pStyle w:val="TableContents"/>
              <w:bidi w:val="0"/>
              <w:spacing w:before="0" w:after="283"/>
              <w:jc w:val="left"/>
              <w:rPr/>
            </w:pPr>
            <w:r>
              <w:rPr/>
              <w:t>Farhad Nanji, individually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MICHAEL F. DEMICHELE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Michael F. DeMichele</w:t>
            </w:r>
          </w:p>
        </w:tc>
      </w:tr>
      <w:tr>
        <w:trPr/>
        <w:tc>
          <w:tcPr>
            <w:tcW w:w="4082" w:type="dxa"/>
            <w:gridSpan w:val="3"/>
            <w:tcBorders/>
          </w:tcPr>
          <w:p>
            <w:pPr>
              <w:pStyle w:val="TableContents"/>
              <w:bidi w:val="0"/>
              <w:spacing w:before="0" w:after="283"/>
              <w:jc w:val="left"/>
              <w:rPr/>
            </w:pPr>
            <w:r>
              <w:rPr/>
              <w:t>Michael F. DeMichele, individually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left"/>
        <w:rPr>
          <w:rFonts w:ascii="Times New Roman" w:hAnsi="Times New Roman"/>
          <w:sz w:val="20"/>
        </w:rPr>
      </w:pPr>
      <w:bookmarkStart w:id="4" w:name="d538753dex99b.htm"/>
      <w:bookmarkStart w:id="5" w:name="ksd538753dex99b"/>
      <w:bookmarkEnd w:id="4"/>
      <w:bookmarkEnd w:id="5"/>
      <w:r>
        <w:rPr>
          <w:rFonts w:ascii="Times New Roman" w:hAnsi="Times New Roman"/>
          <w:sz w:val="20"/>
        </w:rPr>
        <w:t xml:space="preserve">CUSIP No. 985510106 </w:t>
      </w:r>
      <w:r>
        <w:br w:type="page"/>
      </w:r>
    </w:p>
    <w:p>
      <w:pPr>
        <w:pStyle w:val="TextBody"/>
        <w:bidi w:val="0"/>
        <w:spacing w:before="0" w:after="0"/>
        <w:jc w:val="left"/>
        <w:rPr/>
      </w:pPr>
      <w:r>
        <w:rPr/>
        <w:t> </w:t>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TRANSACTIONS EFFECTED DURING THE PAST SIXTY DAYS </w:t>
      </w:r>
    </w:p>
    <w:p>
      <w:pPr>
        <w:pStyle w:val="TextBody"/>
        <w:bidi w:val="0"/>
        <w:spacing w:before="240" w:after="0"/>
        <w:jc w:val="left"/>
        <w:rPr>
          <w:rFonts w:ascii="Times New Roman" w:hAnsi="Times New Roman"/>
          <w:sz w:val="20"/>
        </w:rPr>
      </w:pPr>
      <w:r>
        <w:rPr>
          <w:rFonts w:ascii="Times New Roman" w:hAnsi="Times New Roman"/>
          <w:sz w:val="20"/>
        </w:rPr>
        <w:t xml:space="preserve">All of the below transactions in the Common Stock were traded in the ordinary course over the Nasdaq Stock Market LLC, and the purchaser was MFN Partners, LP.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7"/>
        <w:gridCol w:w="121"/>
        <w:gridCol w:w="2406"/>
        <w:gridCol w:w="121"/>
        <w:gridCol w:w="2429"/>
        <w:gridCol w:w="121"/>
        <w:gridCol w:w="2320"/>
      </w:tblGrid>
      <w:tr>
        <w:trPr/>
        <w:tc>
          <w:tcPr>
            <w:tcW w:w="268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r>
      <w:tr>
        <w:trPr/>
        <w:tc>
          <w:tcPr>
            <w:tcW w:w="26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Transaction Date</w:t>
            </w:r>
          </w:p>
        </w:tc>
        <w:tc>
          <w:tcPr>
            <w:tcW w:w="121" w:type="dxa"/>
            <w:tcBorders/>
            <w:vAlign w:val="bottom"/>
          </w:tcPr>
          <w:p>
            <w:pPr>
              <w:pStyle w:val="TableContents"/>
              <w:bidi w:val="0"/>
              <w:spacing w:before="0" w:after="283"/>
              <w:jc w:val="left"/>
              <w:rPr/>
            </w:pPr>
            <w:r>
              <w:rPr/>
              <w:t>  </w:t>
            </w:r>
          </w:p>
        </w:tc>
        <w:tc>
          <w:tcPr>
            <w:tcW w:w="24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Transaction Type</w:t>
            </w:r>
          </w:p>
        </w:tc>
        <w:tc>
          <w:tcPr>
            <w:tcW w:w="121" w:type="dxa"/>
            <w:tcBorders/>
            <w:vAlign w:val="bottom"/>
          </w:tcPr>
          <w:p>
            <w:pPr>
              <w:pStyle w:val="TableContents"/>
              <w:bidi w:val="0"/>
              <w:spacing w:before="0" w:after="283"/>
              <w:jc w:val="left"/>
              <w:rPr/>
            </w:pPr>
            <w:r>
              <w:rPr/>
              <w:t>  </w:t>
            </w:r>
          </w:p>
        </w:tc>
        <w:tc>
          <w:tcPr>
            <w:tcW w:w="24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Amount of Securities</w:t>
            </w:r>
          </w:p>
        </w:tc>
        <w:tc>
          <w:tcPr>
            <w:tcW w:w="121" w:type="dxa"/>
            <w:tcBorders/>
            <w:vAlign w:val="bottom"/>
          </w:tcPr>
          <w:p>
            <w:pPr>
              <w:pStyle w:val="TableContents"/>
              <w:bidi w:val="0"/>
              <w:spacing w:before="0" w:after="283"/>
              <w:jc w:val="left"/>
              <w:rPr/>
            </w:pPr>
            <w:r>
              <w:rPr/>
              <w:t>  </w:t>
            </w:r>
          </w:p>
        </w:tc>
        <w:tc>
          <w:tcPr>
            <w:tcW w:w="23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Price Per Share</w:t>
            </w:r>
          </w:p>
        </w:tc>
      </w:tr>
      <w:tr>
        <w:trPr/>
        <w:tc>
          <w:tcPr>
            <w:tcW w:w="2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7/10/2023</w:t>
            </w:r>
          </w:p>
        </w:tc>
        <w:tc>
          <w:tcPr>
            <w:tcW w:w="121"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right"/>
              <w:rPr/>
            </w:pPr>
            <w:r>
              <w:rPr/>
              <w:t>Purchase</w:t>
            </w:r>
          </w:p>
        </w:tc>
        <w:tc>
          <w:tcPr>
            <w:tcW w:w="121"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172,267</w:t>
            </w:r>
          </w:p>
        </w:tc>
        <w:tc>
          <w:tcPr>
            <w:tcW w:w="121" w:type="dxa"/>
            <w:tcBorders/>
            <w:shd w:fill="CCEEFF" w:val="clear"/>
            <w:vAlign w:val="bottom"/>
          </w:tcPr>
          <w:p>
            <w:pPr>
              <w:pStyle w:val="TableContents"/>
              <w:bidi w:val="0"/>
              <w:spacing w:before="0" w:after="283"/>
              <w:jc w:val="left"/>
              <w:rPr/>
            </w:pPr>
            <w:r>
              <w:rPr/>
              <w:t>  </w:t>
            </w:r>
          </w:p>
        </w:tc>
        <w:tc>
          <w:tcPr>
            <w:tcW w:w="2320" w:type="dxa"/>
            <w:tcBorders/>
            <w:shd w:fill="CCEEFF" w:val="clear"/>
            <w:vAlign w:val="bottom"/>
          </w:tcPr>
          <w:p>
            <w:pPr>
              <w:pStyle w:val="TableContents"/>
              <w:bidi w:val="0"/>
              <w:spacing w:before="0" w:after="283"/>
              <w:jc w:val="right"/>
              <w:rPr/>
            </w:pPr>
            <w:r>
              <w:rPr/>
              <w:t>$0.87</w:t>
            </w:r>
          </w:p>
        </w:tc>
      </w:tr>
      <w:tr>
        <w:trPr/>
        <w:tc>
          <w:tcPr>
            <w:tcW w:w="2687" w:type="dxa"/>
            <w:tcBorders/>
          </w:tcPr>
          <w:p>
            <w:pPr>
              <w:pStyle w:val="TableContents"/>
              <w:bidi w:val="0"/>
              <w:spacing w:before="0" w:after="0"/>
              <w:jc w:val="left"/>
              <w:rPr>
                <w:rFonts w:ascii="Times New Roman" w:hAnsi="Times New Roman"/>
                <w:sz w:val="20"/>
              </w:rPr>
            </w:pPr>
            <w:r>
              <w:rPr>
                <w:rFonts w:ascii="Times New Roman" w:hAnsi="Times New Roman"/>
                <w:sz w:val="20"/>
              </w:rPr>
              <w:t>7/12/2023</w:t>
            </w:r>
          </w:p>
        </w:tc>
        <w:tc>
          <w:tcPr>
            <w:tcW w:w="121" w:type="dxa"/>
            <w:tcBorders/>
            <w:vAlign w:val="bottom"/>
          </w:tcPr>
          <w:p>
            <w:pPr>
              <w:pStyle w:val="TableContents"/>
              <w:bidi w:val="0"/>
              <w:spacing w:before="0" w:after="283"/>
              <w:jc w:val="left"/>
              <w:rPr/>
            </w:pPr>
            <w:r>
              <w:rPr/>
              <w:t>  </w:t>
            </w:r>
          </w:p>
        </w:tc>
        <w:tc>
          <w:tcPr>
            <w:tcW w:w="2406" w:type="dxa"/>
            <w:tcBorders/>
            <w:vAlign w:val="bottom"/>
          </w:tcPr>
          <w:p>
            <w:pPr>
              <w:pStyle w:val="TableContents"/>
              <w:bidi w:val="0"/>
              <w:spacing w:before="0" w:after="283"/>
              <w:jc w:val="right"/>
              <w:rPr/>
            </w:pPr>
            <w:r>
              <w:rPr/>
              <w:t>Purchase</w:t>
            </w:r>
          </w:p>
        </w:tc>
        <w:tc>
          <w:tcPr>
            <w:tcW w:w="121"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638,020</w:t>
            </w:r>
          </w:p>
        </w:tc>
        <w:tc>
          <w:tcPr>
            <w:tcW w:w="121" w:type="dxa"/>
            <w:tcBorders/>
            <w:vAlign w:val="bottom"/>
          </w:tcPr>
          <w:p>
            <w:pPr>
              <w:pStyle w:val="TableContents"/>
              <w:bidi w:val="0"/>
              <w:spacing w:before="0" w:after="283"/>
              <w:jc w:val="left"/>
              <w:rPr/>
            </w:pPr>
            <w:r>
              <w:rPr/>
              <w:t>  </w:t>
            </w:r>
          </w:p>
        </w:tc>
        <w:tc>
          <w:tcPr>
            <w:tcW w:w="2320" w:type="dxa"/>
            <w:tcBorders/>
            <w:vAlign w:val="bottom"/>
          </w:tcPr>
          <w:p>
            <w:pPr>
              <w:pStyle w:val="TableContents"/>
              <w:bidi w:val="0"/>
              <w:spacing w:before="0" w:after="283"/>
              <w:jc w:val="right"/>
              <w:rPr/>
            </w:pPr>
            <w:r>
              <w:rPr/>
              <w:t>$0.95 (1)</w:t>
            </w:r>
          </w:p>
        </w:tc>
      </w:tr>
      <w:tr>
        <w:trPr/>
        <w:tc>
          <w:tcPr>
            <w:tcW w:w="2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7/18/2023</w:t>
            </w:r>
          </w:p>
        </w:tc>
        <w:tc>
          <w:tcPr>
            <w:tcW w:w="121"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right"/>
              <w:rPr/>
            </w:pPr>
            <w:r>
              <w:rPr/>
              <w:t>Purchase</w:t>
            </w:r>
          </w:p>
        </w:tc>
        <w:tc>
          <w:tcPr>
            <w:tcW w:w="121"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843,930</w:t>
            </w:r>
          </w:p>
        </w:tc>
        <w:tc>
          <w:tcPr>
            <w:tcW w:w="121" w:type="dxa"/>
            <w:tcBorders/>
            <w:shd w:fill="CCEEFF" w:val="clear"/>
            <w:vAlign w:val="bottom"/>
          </w:tcPr>
          <w:p>
            <w:pPr>
              <w:pStyle w:val="TableContents"/>
              <w:bidi w:val="0"/>
              <w:spacing w:before="0" w:after="283"/>
              <w:jc w:val="left"/>
              <w:rPr/>
            </w:pPr>
            <w:r>
              <w:rPr/>
              <w:t>  </w:t>
            </w:r>
          </w:p>
        </w:tc>
        <w:tc>
          <w:tcPr>
            <w:tcW w:w="2320" w:type="dxa"/>
            <w:tcBorders/>
            <w:shd w:fill="CCEEFF" w:val="clear"/>
            <w:vAlign w:val="bottom"/>
          </w:tcPr>
          <w:p>
            <w:pPr>
              <w:pStyle w:val="TableContents"/>
              <w:bidi w:val="0"/>
              <w:spacing w:before="0" w:after="283"/>
              <w:jc w:val="right"/>
              <w:rPr/>
            </w:pPr>
            <w:r>
              <w:rPr/>
              <w:t>$0.97</w:t>
            </w:r>
          </w:p>
        </w:tc>
      </w:tr>
      <w:tr>
        <w:trPr/>
        <w:tc>
          <w:tcPr>
            <w:tcW w:w="2687" w:type="dxa"/>
            <w:tcBorders/>
          </w:tcPr>
          <w:p>
            <w:pPr>
              <w:pStyle w:val="TableContents"/>
              <w:bidi w:val="0"/>
              <w:spacing w:before="0" w:after="0"/>
              <w:jc w:val="left"/>
              <w:rPr>
                <w:rFonts w:ascii="Times New Roman" w:hAnsi="Times New Roman"/>
                <w:sz w:val="20"/>
              </w:rPr>
            </w:pPr>
            <w:r>
              <w:rPr>
                <w:rFonts w:ascii="Times New Roman" w:hAnsi="Times New Roman"/>
                <w:sz w:val="20"/>
              </w:rPr>
              <w:t>7/19/2023</w:t>
            </w:r>
          </w:p>
        </w:tc>
        <w:tc>
          <w:tcPr>
            <w:tcW w:w="121" w:type="dxa"/>
            <w:tcBorders/>
            <w:vAlign w:val="bottom"/>
          </w:tcPr>
          <w:p>
            <w:pPr>
              <w:pStyle w:val="TableContents"/>
              <w:bidi w:val="0"/>
              <w:spacing w:before="0" w:after="283"/>
              <w:jc w:val="left"/>
              <w:rPr/>
            </w:pPr>
            <w:r>
              <w:rPr/>
              <w:t>  </w:t>
            </w:r>
          </w:p>
        </w:tc>
        <w:tc>
          <w:tcPr>
            <w:tcW w:w="2406" w:type="dxa"/>
            <w:tcBorders/>
            <w:vAlign w:val="bottom"/>
          </w:tcPr>
          <w:p>
            <w:pPr>
              <w:pStyle w:val="TableContents"/>
              <w:bidi w:val="0"/>
              <w:spacing w:before="0" w:after="283"/>
              <w:jc w:val="right"/>
              <w:rPr/>
            </w:pPr>
            <w:r>
              <w:rPr/>
              <w:t>Purchase</w:t>
            </w:r>
          </w:p>
        </w:tc>
        <w:tc>
          <w:tcPr>
            <w:tcW w:w="121"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595,783</w:t>
            </w:r>
          </w:p>
        </w:tc>
        <w:tc>
          <w:tcPr>
            <w:tcW w:w="121" w:type="dxa"/>
            <w:tcBorders/>
            <w:vAlign w:val="bottom"/>
          </w:tcPr>
          <w:p>
            <w:pPr>
              <w:pStyle w:val="TableContents"/>
              <w:bidi w:val="0"/>
              <w:spacing w:before="0" w:after="283"/>
              <w:jc w:val="left"/>
              <w:rPr/>
            </w:pPr>
            <w:r>
              <w:rPr/>
              <w:t>  </w:t>
            </w:r>
          </w:p>
        </w:tc>
        <w:tc>
          <w:tcPr>
            <w:tcW w:w="2320" w:type="dxa"/>
            <w:tcBorders/>
            <w:vAlign w:val="bottom"/>
          </w:tcPr>
          <w:p>
            <w:pPr>
              <w:pStyle w:val="TableContents"/>
              <w:bidi w:val="0"/>
              <w:spacing w:before="0" w:after="283"/>
              <w:jc w:val="right"/>
              <w:rPr/>
            </w:pPr>
            <w:r>
              <w:rPr/>
              <w:t>$1.04</w:t>
            </w:r>
          </w:p>
        </w:tc>
      </w:tr>
      <w:tr>
        <w:trPr/>
        <w:tc>
          <w:tcPr>
            <w:tcW w:w="2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7/20/2023</w:t>
            </w:r>
          </w:p>
        </w:tc>
        <w:tc>
          <w:tcPr>
            <w:tcW w:w="121"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right"/>
              <w:rPr/>
            </w:pPr>
            <w:r>
              <w:rPr/>
              <w:t>Purchase</w:t>
            </w:r>
          </w:p>
        </w:tc>
        <w:tc>
          <w:tcPr>
            <w:tcW w:w="121"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500,000</w:t>
            </w:r>
          </w:p>
        </w:tc>
        <w:tc>
          <w:tcPr>
            <w:tcW w:w="121" w:type="dxa"/>
            <w:tcBorders/>
            <w:shd w:fill="CCEEFF" w:val="clear"/>
            <w:vAlign w:val="bottom"/>
          </w:tcPr>
          <w:p>
            <w:pPr>
              <w:pStyle w:val="TableContents"/>
              <w:bidi w:val="0"/>
              <w:spacing w:before="0" w:after="283"/>
              <w:jc w:val="left"/>
              <w:rPr/>
            </w:pPr>
            <w:r>
              <w:rPr/>
              <w:t>  </w:t>
            </w:r>
          </w:p>
        </w:tc>
        <w:tc>
          <w:tcPr>
            <w:tcW w:w="2320" w:type="dxa"/>
            <w:tcBorders/>
            <w:shd w:fill="CCEEFF" w:val="clear"/>
            <w:vAlign w:val="bottom"/>
          </w:tcPr>
          <w:p>
            <w:pPr>
              <w:pStyle w:val="TableContents"/>
              <w:bidi w:val="0"/>
              <w:spacing w:before="0" w:after="283"/>
              <w:jc w:val="right"/>
              <w:rPr/>
            </w:pPr>
            <w:r>
              <w:rPr/>
              <w:t>$1.03</w:t>
            </w:r>
          </w:p>
        </w:tc>
      </w:tr>
      <w:tr>
        <w:trPr/>
        <w:tc>
          <w:tcPr>
            <w:tcW w:w="2687" w:type="dxa"/>
            <w:tcBorders/>
          </w:tcPr>
          <w:p>
            <w:pPr>
              <w:pStyle w:val="TableContents"/>
              <w:bidi w:val="0"/>
              <w:spacing w:before="0" w:after="0"/>
              <w:jc w:val="left"/>
              <w:rPr>
                <w:rFonts w:ascii="Times New Roman" w:hAnsi="Times New Roman"/>
                <w:sz w:val="20"/>
              </w:rPr>
            </w:pPr>
            <w:r>
              <w:rPr>
                <w:rFonts w:ascii="Times New Roman" w:hAnsi="Times New Roman"/>
                <w:sz w:val="20"/>
              </w:rPr>
              <w:t>7/21/2023</w:t>
            </w:r>
          </w:p>
        </w:tc>
        <w:tc>
          <w:tcPr>
            <w:tcW w:w="121" w:type="dxa"/>
            <w:tcBorders/>
            <w:vAlign w:val="bottom"/>
          </w:tcPr>
          <w:p>
            <w:pPr>
              <w:pStyle w:val="TableContents"/>
              <w:bidi w:val="0"/>
              <w:spacing w:before="0" w:after="283"/>
              <w:jc w:val="left"/>
              <w:rPr/>
            </w:pPr>
            <w:r>
              <w:rPr/>
              <w:t>  </w:t>
            </w:r>
          </w:p>
        </w:tc>
        <w:tc>
          <w:tcPr>
            <w:tcW w:w="2406" w:type="dxa"/>
            <w:tcBorders/>
            <w:vAlign w:val="bottom"/>
          </w:tcPr>
          <w:p>
            <w:pPr>
              <w:pStyle w:val="TableContents"/>
              <w:bidi w:val="0"/>
              <w:spacing w:before="0" w:after="283"/>
              <w:jc w:val="right"/>
              <w:rPr/>
            </w:pPr>
            <w:r>
              <w:rPr/>
              <w:t>Purchase</w:t>
            </w:r>
          </w:p>
        </w:tc>
        <w:tc>
          <w:tcPr>
            <w:tcW w:w="121"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112,206</w:t>
            </w:r>
          </w:p>
        </w:tc>
        <w:tc>
          <w:tcPr>
            <w:tcW w:w="121" w:type="dxa"/>
            <w:tcBorders/>
            <w:vAlign w:val="bottom"/>
          </w:tcPr>
          <w:p>
            <w:pPr>
              <w:pStyle w:val="TableContents"/>
              <w:bidi w:val="0"/>
              <w:spacing w:before="0" w:after="283"/>
              <w:jc w:val="left"/>
              <w:rPr/>
            </w:pPr>
            <w:r>
              <w:rPr/>
              <w:t>  </w:t>
            </w:r>
          </w:p>
        </w:tc>
        <w:tc>
          <w:tcPr>
            <w:tcW w:w="2320" w:type="dxa"/>
            <w:tcBorders/>
            <w:vAlign w:val="bottom"/>
          </w:tcPr>
          <w:p>
            <w:pPr>
              <w:pStyle w:val="TableContents"/>
              <w:bidi w:val="0"/>
              <w:spacing w:before="0" w:after="283"/>
              <w:jc w:val="right"/>
              <w:rPr/>
            </w:pPr>
            <w:r>
              <w:rPr/>
              <w:t>$1.05</w:t>
            </w:r>
          </w:p>
        </w:tc>
      </w:tr>
      <w:tr>
        <w:trPr/>
        <w:tc>
          <w:tcPr>
            <w:tcW w:w="2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7/24/2023</w:t>
            </w:r>
          </w:p>
        </w:tc>
        <w:tc>
          <w:tcPr>
            <w:tcW w:w="121"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right"/>
              <w:rPr/>
            </w:pPr>
            <w:r>
              <w:rPr/>
              <w:t>Purchase</w:t>
            </w:r>
          </w:p>
        </w:tc>
        <w:tc>
          <w:tcPr>
            <w:tcW w:w="121"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1,164,349</w:t>
            </w:r>
          </w:p>
        </w:tc>
        <w:tc>
          <w:tcPr>
            <w:tcW w:w="121" w:type="dxa"/>
            <w:tcBorders/>
            <w:shd w:fill="CCEEFF" w:val="clear"/>
            <w:vAlign w:val="bottom"/>
          </w:tcPr>
          <w:p>
            <w:pPr>
              <w:pStyle w:val="TableContents"/>
              <w:bidi w:val="0"/>
              <w:spacing w:before="0" w:after="283"/>
              <w:jc w:val="left"/>
              <w:rPr/>
            </w:pPr>
            <w:r>
              <w:rPr/>
              <w:t>  </w:t>
            </w:r>
          </w:p>
        </w:tc>
        <w:tc>
          <w:tcPr>
            <w:tcW w:w="2320" w:type="dxa"/>
            <w:tcBorders/>
            <w:shd w:fill="CCEEFF" w:val="clear"/>
            <w:vAlign w:val="bottom"/>
          </w:tcPr>
          <w:p>
            <w:pPr>
              <w:pStyle w:val="TableContents"/>
              <w:bidi w:val="0"/>
              <w:spacing w:before="0" w:after="283"/>
              <w:jc w:val="right"/>
              <w:rPr/>
            </w:pPr>
            <w:r>
              <w:rPr/>
              <w:t>$1.27 (2)</w:t>
            </w:r>
          </w:p>
        </w:tc>
      </w:tr>
      <w:tr>
        <w:trPr/>
        <w:tc>
          <w:tcPr>
            <w:tcW w:w="2687" w:type="dxa"/>
            <w:tcBorders/>
          </w:tcPr>
          <w:p>
            <w:pPr>
              <w:pStyle w:val="TableContents"/>
              <w:bidi w:val="0"/>
              <w:spacing w:before="0" w:after="0"/>
              <w:jc w:val="left"/>
              <w:rPr>
                <w:rFonts w:ascii="Times New Roman" w:hAnsi="Times New Roman"/>
                <w:sz w:val="20"/>
              </w:rPr>
            </w:pPr>
            <w:r>
              <w:rPr>
                <w:rFonts w:ascii="Times New Roman" w:hAnsi="Times New Roman"/>
                <w:sz w:val="20"/>
              </w:rPr>
              <w:t>7/25/2023</w:t>
            </w:r>
          </w:p>
        </w:tc>
        <w:tc>
          <w:tcPr>
            <w:tcW w:w="121" w:type="dxa"/>
            <w:tcBorders/>
            <w:vAlign w:val="bottom"/>
          </w:tcPr>
          <w:p>
            <w:pPr>
              <w:pStyle w:val="TableContents"/>
              <w:bidi w:val="0"/>
              <w:spacing w:before="0" w:after="283"/>
              <w:jc w:val="left"/>
              <w:rPr/>
            </w:pPr>
            <w:r>
              <w:rPr/>
              <w:t>  </w:t>
            </w:r>
          </w:p>
        </w:tc>
        <w:tc>
          <w:tcPr>
            <w:tcW w:w="2406" w:type="dxa"/>
            <w:tcBorders/>
            <w:vAlign w:val="bottom"/>
          </w:tcPr>
          <w:p>
            <w:pPr>
              <w:pStyle w:val="TableContents"/>
              <w:bidi w:val="0"/>
              <w:spacing w:before="0" w:after="283"/>
              <w:jc w:val="right"/>
              <w:rPr/>
            </w:pPr>
            <w:r>
              <w:rPr/>
              <w:t>Purchase</w:t>
            </w:r>
          </w:p>
        </w:tc>
        <w:tc>
          <w:tcPr>
            <w:tcW w:w="121"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540,000</w:t>
            </w:r>
          </w:p>
        </w:tc>
        <w:tc>
          <w:tcPr>
            <w:tcW w:w="121" w:type="dxa"/>
            <w:tcBorders/>
            <w:vAlign w:val="bottom"/>
          </w:tcPr>
          <w:p>
            <w:pPr>
              <w:pStyle w:val="TableContents"/>
              <w:bidi w:val="0"/>
              <w:spacing w:before="0" w:after="283"/>
              <w:jc w:val="left"/>
              <w:rPr/>
            </w:pPr>
            <w:r>
              <w:rPr/>
              <w:t>  </w:t>
            </w:r>
          </w:p>
        </w:tc>
        <w:tc>
          <w:tcPr>
            <w:tcW w:w="2320" w:type="dxa"/>
            <w:tcBorders/>
            <w:vAlign w:val="bottom"/>
          </w:tcPr>
          <w:p>
            <w:pPr>
              <w:pStyle w:val="TableContents"/>
              <w:bidi w:val="0"/>
              <w:spacing w:before="0" w:after="283"/>
              <w:jc w:val="right"/>
              <w:rPr/>
            </w:pPr>
            <w:r>
              <w:rPr/>
              <w:t>$1.26 (3)</w:t>
            </w:r>
          </w:p>
        </w:tc>
      </w:tr>
      <w:tr>
        <w:trPr/>
        <w:tc>
          <w:tcPr>
            <w:tcW w:w="2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7/26/2023</w:t>
            </w:r>
          </w:p>
        </w:tc>
        <w:tc>
          <w:tcPr>
            <w:tcW w:w="121"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right"/>
              <w:rPr/>
            </w:pPr>
            <w:r>
              <w:rPr/>
              <w:t>Purchase</w:t>
            </w:r>
          </w:p>
        </w:tc>
        <w:tc>
          <w:tcPr>
            <w:tcW w:w="121"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1,389,038</w:t>
            </w:r>
          </w:p>
        </w:tc>
        <w:tc>
          <w:tcPr>
            <w:tcW w:w="121" w:type="dxa"/>
            <w:tcBorders/>
            <w:shd w:fill="CCEEFF" w:val="clear"/>
            <w:vAlign w:val="bottom"/>
          </w:tcPr>
          <w:p>
            <w:pPr>
              <w:pStyle w:val="TableContents"/>
              <w:bidi w:val="0"/>
              <w:spacing w:before="0" w:after="283"/>
              <w:jc w:val="left"/>
              <w:rPr/>
            </w:pPr>
            <w:r>
              <w:rPr/>
              <w:t>  </w:t>
            </w:r>
          </w:p>
        </w:tc>
        <w:tc>
          <w:tcPr>
            <w:tcW w:w="2320" w:type="dxa"/>
            <w:tcBorders/>
            <w:shd w:fill="CCEEFF" w:val="clear"/>
            <w:vAlign w:val="bottom"/>
          </w:tcPr>
          <w:p>
            <w:pPr>
              <w:pStyle w:val="TableContents"/>
              <w:bidi w:val="0"/>
              <w:spacing w:before="0" w:after="283"/>
              <w:jc w:val="right"/>
              <w:rPr/>
            </w:pPr>
            <w:r>
              <w:rPr/>
              <w:t>$1.03 (4)</w:t>
            </w:r>
          </w:p>
        </w:tc>
      </w:tr>
      <w:tr>
        <w:trPr/>
        <w:tc>
          <w:tcPr>
            <w:tcW w:w="2687" w:type="dxa"/>
            <w:tcBorders/>
          </w:tcPr>
          <w:p>
            <w:pPr>
              <w:pStyle w:val="TableContents"/>
              <w:bidi w:val="0"/>
              <w:spacing w:before="0" w:after="0"/>
              <w:jc w:val="left"/>
              <w:rPr>
                <w:rFonts w:ascii="Times New Roman" w:hAnsi="Times New Roman"/>
                <w:sz w:val="20"/>
              </w:rPr>
            </w:pPr>
            <w:r>
              <w:rPr>
                <w:rFonts w:ascii="Times New Roman" w:hAnsi="Times New Roman"/>
                <w:sz w:val="20"/>
              </w:rPr>
              <w:t>7/27/2023</w:t>
            </w:r>
          </w:p>
        </w:tc>
        <w:tc>
          <w:tcPr>
            <w:tcW w:w="121" w:type="dxa"/>
            <w:tcBorders/>
            <w:vAlign w:val="bottom"/>
          </w:tcPr>
          <w:p>
            <w:pPr>
              <w:pStyle w:val="TableContents"/>
              <w:bidi w:val="0"/>
              <w:spacing w:before="0" w:after="283"/>
              <w:jc w:val="left"/>
              <w:rPr/>
            </w:pPr>
            <w:r>
              <w:rPr/>
              <w:t>  </w:t>
            </w:r>
          </w:p>
        </w:tc>
        <w:tc>
          <w:tcPr>
            <w:tcW w:w="2406" w:type="dxa"/>
            <w:tcBorders/>
            <w:vAlign w:val="bottom"/>
          </w:tcPr>
          <w:p>
            <w:pPr>
              <w:pStyle w:val="TableContents"/>
              <w:bidi w:val="0"/>
              <w:spacing w:before="0" w:after="283"/>
              <w:jc w:val="right"/>
              <w:rPr/>
            </w:pPr>
            <w:r>
              <w:rPr/>
              <w:t>Purchase</w:t>
            </w:r>
          </w:p>
        </w:tc>
        <w:tc>
          <w:tcPr>
            <w:tcW w:w="121" w:type="dxa"/>
            <w:tcBorders/>
            <w:vAlign w:val="bottom"/>
          </w:tcPr>
          <w:p>
            <w:pPr>
              <w:pStyle w:val="TableContents"/>
              <w:bidi w:val="0"/>
              <w:spacing w:before="0" w:after="283"/>
              <w:jc w:val="left"/>
              <w:rPr/>
            </w:pPr>
            <w:r>
              <w:rPr/>
              <w:t>  </w:t>
            </w:r>
          </w:p>
        </w:tc>
        <w:tc>
          <w:tcPr>
            <w:tcW w:w="2429" w:type="dxa"/>
            <w:tcBorders/>
            <w:vAlign w:val="bottom"/>
          </w:tcPr>
          <w:p>
            <w:pPr>
              <w:pStyle w:val="TableContents"/>
              <w:bidi w:val="0"/>
              <w:spacing w:before="0" w:after="283"/>
              <w:jc w:val="right"/>
              <w:rPr/>
            </w:pPr>
            <w:r>
              <w:rPr/>
              <w:t>3,793,862</w:t>
            </w:r>
          </w:p>
        </w:tc>
        <w:tc>
          <w:tcPr>
            <w:tcW w:w="121" w:type="dxa"/>
            <w:tcBorders/>
            <w:vAlign w:val="bottom"/>
          </w:tcPr>
          <w:p>
            <w:pPr>
              <w:pStyle w:val="TableContents"/>
              <w:bidi w:val="0"/>
              <w:spacing w:before="0" w:after="283"/>
              <w:jc w:val="left"/>
              <w:rPr/>
            </w:pPr>
            <w:r>
              <w:rPr/>
              <w:t>  </w:t>
            </w:r>
          </w:p>
        </w:tc>
        <w:tc>
          <w:tcPr>
            <w:tcW w:w="2320" w:type="dxa"/>
            <w:tcBorders/>
            <w:vAlign w:val="bottom"/>
          </w:tcPr>
          <w:p>
            <w:pPr>
              <w:pStyle w:val="TableContents"/>
              <w:bidi w:val="0"/>
              <w:spacing w:before="0" w:after="283"/>
              <w:jc w:val="right"/>
              <w:rPr/>
            </w:pPr>
            <w:r>
              <w:rPr/>
              <w:t>$0.57 (5)</w:t>
            </w:r>
          </w:p>
        </w:tc>
      </w:tr>
      <w:tr>
        <w:trPr/>
        <w:tc>
          <w:tcPr>
            <w:tcW w:w="26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7/28/2023</w:t>
            </w:r>
          </w:p>
        </w:tc>
        <w:tc>
          <w:tcPr>
            <w:tcW w:w="121" w:type="dxa"/>
            <w:tcBorders/>
            <w:shd w:fill="CCEEFF" w:val="clear"/>
            <w:vAlign w:val="bottom"/>
          </w:tcPr>
          <w:p>
            <w:pPr>
              <w:pStyle w:val="TableContents"/>
              <w:bidi w:val="0"/>
              <w:spacing w:before="0" w:after="283"/>
              <w:jc w:val="left"/>
              <w:rPr/>
            </w:pPr>
            <w:r>
              <w:rPr/>
              <w:t>  </w:t>
            </w:r>
          </w:p>
        </w:tc>
        <w:tc>
          <w:tcPr>
            <w:tcW w:w="2406" w:type="dxa"/>
            <w:tcBorders/>
            <w:shd w:fill="CCEEFF" w:val="clear"/>
            <w:vAlign w:val="bottom"/>
          </w:tcPr>
          <w:p>
            <w:pPr>
              <w:pStyle w:val="TableContents"/>
              <w:bidi w:val="0"/>
              <w:spacing w:before="0" w:after="283"/>
              <w:jc w:val="right"/>
              <w:rPr/>
            </w:pPr>
            <w:r>
              <w:rPr/>
              <w:t>Purchase</w:t>
            </w:r>
          </w:p>
        </w:tc>
        <w:tc>
          <w:tcPr>
            <w:tcW w:w="121" w:type="dxa"/>
            <w:tcBorders/>
            <w:shd w:fill="CCEEFF" w:val="clear"/>
            <w:vAlign w:val="bottom"/>
          </w:tcPr>
          <w:p>
            <w:pPr>
              <w:pStyle w:val="TableContents"/>
              <w:bidi w:val="0"/>
              <w:spacing w:before="0" w:after="283"/>
              <w:jc w:val="left"/>
              <w:rPr/>
            </w:pPr>
            <w:r>
              <w:rPr/>
              <w:t>  </w:t>
            </w:r>
          </w:p>
        </w:tc>
        <w:tc>
          <w:tcPr>
            <w:tcW w:w="2429" w:type="dxa"/>
            <w:tcBorders/>
            <w:shd w:fill="CCEEFF" w:val="clear"/>
            <w:vAlign w:val="bottom"/>
          </w:tcPr>
          <w:p>
            <w:pPr>
              <w:pStyle w:val="TableContents"/>
              <w:bidi w:val="0"/>
              <w:spacing w:before="0" w:after="283"/>
              <w:jc w:val="right"/>
              <w:rPr/>
            </w:pPr>
            <w:r>
              <w:rPr/>
              <w:t>3,022,488</w:t>
            </w:r>
          </w:p>
        </w:tc>
        <w:tc>
          <w:tcPr>
            <w:tcW w:w="121" w:type="dxa"/>
            <w:tcBorders/>
            <w:shd w:fill="CCEEFF" w:val="clear"/>
            <w:vAlign w:val="bottom"/>
          </w:tcPr>
          <w:p>
            <w:pPr>
              <w:pStyle w:val="TableContents"/>
              <w:bidi w:val="0"/>
              <w:spacing w:before="0" w:after="283"/>
              <w:jc w:val="left"/>
              <w:rPr/>
            </w:pPr>
            <w:r>
              <w:rPr/>
              <w:t>  </w:t>
            </w:r>
          </w:p>
        </w:tc>
        <w:tc>
          <w:tcPr>
            <w:tcW w:w="2320" w:type="dxa"/>
            <w:tcBorders/>
            <w:shd w:fill="CCEEFF" w:val="clear"/>
            <w:vAlign w:val="bottom"/>
          </w:tcPr>
          <w:p>
            <w:pPr>
              <w:pStyle w:val="TableContents"/>
              <w:bidi w:val="0"/>
              <w:spacing w:before="0" w:after="283"/>
              <w:jc w:val="right"/>
              <w:rPr/>
            </w:pPr>
            <w:r>
              <w:rPr/>
              <w:t>$0.65 (6)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reported for the Common Stock is a weighted average price. These shares were purchased in multiple transactions at prices ranging from $0.93 to $0.97. The Reporting Person undertakes to provide, upon request by the staff of the Securities and Exchange Commission, full information regarding the number of shares purchased at each separate price within the range set forth in this footnote.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reported for the Common Stock is a weighted average price. These shares were purchased in multiple transactions at prices ranging from $1.18 to $1.35. The Reporting Person undertakes to provide, upon request by the staff of the Securities and Exchange Commission, full information regarding the number of shares purchased at each separate price within the range set forth in this footnote.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reported for the Common Stock is a weighted average price. These shares were purchased in multiple transactions at prices ranging from $1.03 to $1.34. The Reporting Person undertakes to provide, upon request by the staff of the Securities and Exchange Commission, full information regarding the number of shares purchased at each separate price within the range set forth in this footnote.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reported for the Common Stock is a weighted average price. These shares were purchased in multiple transactions at prices ranging from $0.81 to $1.09. The Reporting Person undertakes to provide, upon request by the staff of the Securities and Exchange Commission, full information regarding the number of shares purchased at each separate price within the range set forth in this footnote.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reported for the Common Stock is a weighted average price. These shares were purchased in multiple transactions at prices ranging from $0.46 to $0.76. The Reporting Person undertakes to provide, upon request by the staff of the Securities and Exchange Commission, full information regarding the number of shares purchased at each separate price within the range set forth in this footnote.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reported for the Common Stock is a weighted average price. These shares were purchased in multiple transactions at prices ranging from $0.60 to $0.70. The Reporting Person undertakes to provide, upon request by the staff of the Securities and Exchange Commission, full information regarding the number of shares purchased at each separate price within the range set forth in this footnote.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3296</Words>
  <Characters>16670</Characters>
  <CharactersWithSpaces>20418</CharactersWithSpaces>
  <Paragraphs>829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EX-99.B</dc:title>
</cp:coreProperties>
</file>