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55880</wp:posOffset>
            </wp:positionV>
            <wp:extent cx="11144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-137160</wp:posOffset>
            </wp:positionV>
            <wp:extent cx="1114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-97790</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p>
      <w:pPr>
        <w:spacing w:after="0" w:line="15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sectPr>
          <w:pgSz w:w="11900" w:h="16838" w:orient="portrait"/>
          <w:cols w:equalWidth="0" w:num="2">
            <w:col w:w="6460" w:space="720"/>
            <w:col w:w="4060"/>
          </w:cols>
          <w:pgMar w:left="320" w:top="41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0-12255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88265</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YRC Worldwide Inc.</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69215</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1"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5040" w:type="dxa"/>
            <w:vAlign w:val="bottom"/>
          </w:tcPr>
          <w:p>
            <w:pPr>
              <w:jc w:val="center"/>
              <w:ind w:right="16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48-0948788</w:t>
            </w:r>
          </w:p>
        </w:tc>
      </w:tr>
      <w:tr>
        <w:trPr>
          <w:trHeight w:val="149"/>
        </w:trPr>
        <w:tc>
          <w:tcPr>
            <w:tcW w:w="5040" w:type="dxa"/>
            <w:vAlign w:val="bottom"/>
          </w:tcPr>
          <w:p>
            <w:pPr>
              <w:jc w:val="center"/>
              <w:ind w:right="16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jc w:val="center"/>
              <w:ind w:left="16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4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5"/>
        </w:trPr>
        <w:tc>
          <w:tcPr>
            <w:tcW w:w="504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w w:val="99"/>
              </w:rPr>
              <w:t>10990 Roe Avenue, Overland Park, Kansas</w:t>
            </w:r>
          </w:p>
        </w:tc>
        <w:tc>
          <w:tcPr>
            <w:tcW w:w="28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66211</w:t>
            </w:r>
          </w:p>
        </w:tc>
      </w:tr>
      <w:tr>
        <w:trPr>
          <w:trHeight w:val="190"/>
        </w:trPr>
        <w:tc>
          <w:tcPr>
            <w:tcW w:w="504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4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(913) 696-6100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YRCW</w:t>
            </w:r>
          </w:p>
        </w:tc>
        <w:tc>
          <w:tcPr>
            <w:tcW w:w="12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57150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3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16" w:right="3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140" w:space="720"/>
            <w:col w:w="4340" w:space="720"/>
            <w:col w:w="2280" w:space="720"/>
            <w:col w:w="320"/>
          </w:cols>
          <w:pgMar w:left="320" w:top="416" w:right="339" w:bottom="1440" w:gutter="0" w:footer="0" w:header="0"/>
          <w:type w:val="continuous"/>
        </w:sectPr>
      </w:pP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sectPr>
          <w:pgSz w:w="11900" w:h="16838" w:orient="portrait"/>
          <w:cols w:equalWidth="0" w:num="6">
            <w:col w:w="2140" w:space="720"/>
            <w:col w:w="160" w:space="260"/>
            <w:col w:w="3560" w:space="720"/>
            <w:col w:w="160" w:space="200"/>
            <w:col w:w="2280" w:space="720"/>
            <w:col w:w="320"/>
          </w:cols>
          <w:pgMar w:left="320" w:top="416"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90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Outstanding at October 29, 2020</w:t>
            </w:r>
          </w:p>
        </w:tc>
      </w:tr>
      <w:tr>
        <w:trPr>
          <w:trHeight w:val="22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4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53,280,855 shares</w:t>
            </w:r>
          </w:p>
        </w:tc>
      </w:tr>
      <w:tr>
        <w:trPr>
          <w:trHeight w:val="961"/>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Item</w:t>
            </w:r>
          </w:p>
        </w:tc>
        <w:tc>
          <w:tcPr>
            <w:tcW w:w="10340" w:type="dxa"/>
            <w:vAlign w:val="bottom"/>
            <w:vMerge w:val="restart"/>
          </w:tcPr>
          <w:p>
            <w:pPr>
              <w:ind w:left="37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 FINANCIAL INFORMATION</w:t>
              </w:r>
            </w:hyperlink>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03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Sheets – September 30, 2020 and December 31,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Statements of Consolidated Comprehensive Income (Loss) - Three and Nine Months Ended September 30, 2020 and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Statements of Consolidated Cash Flows - Nine Months Ended September 30, 2020 and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Statements of Consolidated Shareholders’ Deficit - Three and Nine Months Ended September 30, 2020 and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Quantitative and Qualitative Disclosures About Market Risk</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Controls and Procedures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340" w:type="dxa"/>
            <w:vAlign w:val="bottom"/>
          </w:tcPr>
          <w:p>
            <w:pPr>
              <w:ind w:left="386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PART II – OTHER INFORMATION</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Legal Proceedings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1034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Risk Factors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Not Applicable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Not Applicable</w:t>
      </w:r>
    </w:p>
    <w:tbl>
      <w:tblPr>
        <w:tblLayout w:type="fixed"/>
        <w:tblInd w:w="0" w:type="dxa"/>
        <w:tblCellMar>
          <w:top w:w="0" w:type="dxa"/>
          <w:left w:w="0" w:type="dxa"/>
          <w:bottom w:w="0" w:type="dxa"/>
          <w:right w:w="0" w:type="dxa"/>
        </w:tblCellMar>
      </w:tblPr>
      <w:tr>
        <w:trPr>
          <w:trHeight w:val="20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5</w:t>
            </w:r>
          </w:p>
        </w:tc>
        <w:tc>
          <w:tcPr>
            <w:tcW w:w="3400" w:type="dxa"/>
            <w:vAlign w:val="bottom"/>
          </w:tcPr>
          <w:p>
            <w:pPr>
              <w:ind w:left="2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Other Information</w:t>
              </w:r>
            </w:hyperlink>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Pr>
          <w:p>
            <w:pPr>
              <w:ind w:left="20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Exhibits</w:t>
              </w:r>
            </w:hyperlink>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280" w:type="dxa"/>
            <w:vAlign w:val="bottom"/>
          </w:tcPr>
          <w:p>
            <w:pPr>
              <w:spacing w:after="0"/>
              <w:rPr>
                <w:sz w:val="20"/>
                <w:szCs w:val="20"/>
                <w:color w:val="auto"/>
              </w:rPr>
            </w:pPr>
          </w:p>
        </w:tc>
        <w:tc>
          <w:tcPr>
            <w:tcW w:w="3400" w:type="dxa"/>
            <w:vAlign w:val="bottom"/>
          </w:tcPr>
          <w:p>
            <w:pPr>
              <w:ind w:left="2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Signatures</w:t>
              </w:r>
            </w:hyperlink>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648"/>
        </w:trPr>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5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7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millions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amounts held in escrow</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(2,012.0)</w:t>
            </w:r>
          </w:p>
        </w:tc>
        <w:tc>
          <w:tcPr>
            <w:tcW w:w="1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(1,991.3)</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300" w:type="dxa"/>
            <w:vAlign w:val="bottom"/>
          </w:tcPr>
          <w:p>
            <w:pPr>
              <w:spacing w:after="0"/>
              <w:rPr>
                <w:sz w:val="19"/>
                <w:szCs w:val="19"/>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Wages, vacations and employee benefits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Claims and insurance accruals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accrued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and accrued liabilities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 and financing, less current portion</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Claims and other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Cumulative preferred stock, $1 par value per share</w:t>
            </w:r>
          </w:p>
        </w:tc>
        <w:tc>
          <w:tcPr>
            <w:tcW w:w="20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surplus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(2,347.2)</w:t>
            </w:r>
          </w:p>
        </w:tc>
        <w:tc>
          <w:tcPr>
            <w:tcW w:w="1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(2,312.4)</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(266.8)</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(410 shares)</w:t>
            </w:r>
          </w:p>
        </w:tc>
        <w:tc>
          <w:tcPr>
            <w:tcW w:w="20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0"/>
        </w:trPr>
        <w:tc>
          <w:tcPr>
            <w:tcW w:w="77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(323.1)</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STATEMENTS OF CONSOLIDATED COMPREHENSIVE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September 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Non-union pension and postretirement benefits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Common Shares Outstanding -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Common Shares Outstanding -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 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STATEMENTS OF CONSOLIDATED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Lease amortization and accretion expense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Lease payments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r>
      <w:tr>
        <w:trPr>
          <w:trHeight w:val="230"/>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Equity-based compensation and employee benefits expense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Non-union pension settlement charge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Gains on property disposals,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 benefit, net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noncash items,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operating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7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long-term debt, net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(576.2)</w:t>
            </w: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for tax withheld on equity-based compensation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Amounts Held in Escrow</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Amounts Held in Escrow, Beginning of Period</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Amounts Held in Escrow,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payment, net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STATEMENTS OF CONSOLIDATED SHAREHOLDERS’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September 30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r>
              <w:rPr>
                <w:rFonts w:ascii="Times New Roman" w:cs="Times New Roman" w:eastAsia="Times New Roman" w:hAnsi="Times New Roman"/>
                <w:sz w:val="18"/>
                <w:szCs w:val="18"/>
                <w:u w:val="single" w:color="auto"/>
                <w:color w:val="auto"/>
              </w:rPr>
              <w:t>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(2,345.2)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 UST commitment fee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adjustment</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actuarial gain</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r>
              <w:rPr>
                <w:rFonts w:ascii="Times New Roman" w:cs="Times New Roman" w:eastAsia="Times New Roman" w:hAnsi="Times New Roman"/>
                <w:sz w:val="18"/>
                <w:szCs w:val="18"/>
                <w:u w:val="single" w:color="auto"/>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8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7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2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(2,208.4)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2,329.2</w:t>
            </w: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(2,257.5)</w:t>
            </w: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Pension, net of tax:</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prior net losses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Settlement adjustment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actuarial gain</w:t>
            </w:r>
          </w:p>
        </w:tc>
        <w:tc>
          <w:tcPr>
            <w:tcW w:w="14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gridSpan w:val="2"/>
            <w:vMerge w:val="continue"/>
          </w:tcPr>
          <w:p>
            <w:pPr>
              <w:spacing w:after="0"/>
              <w:rPr>
                <w:sz w:val="19"/>
                <w:szCs w:val="19"/>
                <w:color w:val="auto"/>
              </w:rPr>
            </w:pP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YRC Worldwide provides for the movement of industrial, commercial and retail goods through our LTL subsidiaries including USF Holland LLC (“Holland”), New Penn Motor Express LLC (“New Penn”), USF Reddaway Inc. (“Reddaway”), YRC Inc. and YRC Freight Canada Company (both doing business as, and herein referred to as, “YRC Freight”). Our LTL companies provide regional, national and international services through a consolidated network of facilities located across the United States, Canada, and Puerto Rico. We also offer services through HNRY Logistics, Inc. (“HNRY Logistics”), our customer-specific logistics solutions provider, specializing in truckload, residential, and warehouse solutions.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approximately 80% of our labor force is subject to collective bargaining agreements, which predominantly expire on March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Basis of Presentation</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Holland and Reddaway consist of thirteen weeks that end on a Saturday either before or after the end of March, June and September, whereas all other companies’ quarters end on the natural calendar quarter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our 2019 annual report on Form 10-K, our Chief Operating Decision Maker began evaluating performance and business results, as well as making resource and operating decisions under the single segment view as a result of the business transformation that began during 2019. As such, a single segment view is presented in this Form 10-Q. See further details in our 2019 annual report as filed March 11,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considered the disclosure requirements for revenue disaggregation guidance in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noted that our business transformation has led to one consolidated LTL network as we joined our national and regional operations and no longer measure revenues by geographies. The following table presents disaggregated revenue by revenue source between LTL shipments and total. LTL shipments are defined as shipments less than 10,000 pounds that move in our network.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Disaggregated Revenue (in millions)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revenue</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Recently-Issued Accounting Standards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there are recently issued accounting standards that are applicable to the Company, none of these standards are expected to have a material impact on our consolidated financial statements and accompanying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3. Debt and Financing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debt as of September 30, 2020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80" w:type="dxa"/>
            <w:vAlign w:val="bottom"/>
          </w:tcPr>
          <w:p>
            <w:pPr>
              <w:spacing w:after="0"/>
              <w:rPr>
                <w:sz w:val="12"/>
                <w:szCs w:val="12"/>
                <w:color w:val="auto"/>
              </w:rPr>
            </w:pPr>
          </w:p>
        </w:tc>
        <w:tc>
          <w:tcPr>
            <w:tcW w:w="8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Term Loan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(a)</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UST Loan Tranche A</w:t>
            </w:r>
            <w:r>
              <w:rPr>
                <w:rFonts w:ascii="Times New Roman" w:cs="Times New Roman" w:eastAsia="Times New Roman" w:hAnsi="Times New Roman"/>
                <w:sz w:val="15"/>
                <w:szCs w:val="15"/>
                <w:color w:val="auto"/>
              </w:rPr>
              <w:t>(b)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(c)</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UST Loan Tranche B</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Second A&amp;R CDA</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Unsecured Second A&amp;R CDA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Unsecured Second A&amp;R CDA</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lease financing obligations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based on the Eurodollar rate, which is currently determined by the 1, 3 or 6-month LIBOR, with a floor of 1.0%, plus a fixed margin of 7.5%.</w:t>
      </w:r>
    </w:p>
    <w:p>
      <w:pPr>
        <w:spacing w:after="0" w:line="3" w:lineRule="exact"/>
        <w:rPr>
          <w:rFonts w:ascii="Times New Roman" w:cs="Times New Roman" w:eastAsia="Times New Roman" w:hAnsi="Times New Roman"/>
          <w:sz w:val="14"/>
          <w:szCs w:val="14"/>
          <w:color w:val="auto"/>
        </w:rPr>
      </w:pPr>
    </w:p>
    <w:p>
      <w:pPr>
        <w:ind w:left="400" w:right="20" w:hanging="392"/>
        <w:spacing w:after="0"/>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 Value and the Book Value both reflect the accumulated cash funds that have been drawn and the accumulated paid-in-kind interest, which was $1.7 million as of September 30, 2020.</w:t>
      </w:r>
    </w:p>
    <w:p>
      <w:pPr>
        <w:spacing w:after="0" w:line="136" w:lineRule="exact"/>
        <w:rPr>
          <w:rFonts w:ascii="Times New Roman" w:cs="Times New Roman" w:eastAsia="Times New Roman" w:hAnsi="Times New Roman"/>
          <w:sz w:val="14"/>
          <w:szCs w:val="14"/>
          <w:color w:val="auto"/>
        </w:rPr>
      </w:pPr>
    </w:p>
    <w:p>
      <w:pPr>
        <w:ind w:left="400" w:hanging="392"/>
        <w:spacing w:after="0" w:line="221"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interest rate based on the Eurodollar rate, which is currently determined by the 1, 2, 3 or 6-month LIBOR, with a floor of 1.0%, plus a fixed margin of 3.5%.</w:t>
      </w:r>
    </w:p>
    <w:p>
      <w:pPr>
        <w:ind w:left="400" w:hanging="392"/>
        <w:spacing w:after="0"/>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for lease financing obligations is derived from the difference between total rent payment and calculated principal amortization over the life of lease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-483235</wp:posOffset>
            </wp:positionV>
            <wp:extent cx="33089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Treasury Loan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7, 2020, the Company and certain of its subsidiaries, as guarantors (the “Term Guarantors”), entered into the UST Tranche A Term Loan Credit Agreement (the “Tranche A UST Credit Agreement”) with The Bank of New York Mellon, as administrative agent and collateral agent and the UST Tranche B Term Loan Credit Agreement (the “Tranche B UST Credit Agreement” and together with the Tranche A UST Credit Agreement, the “UST Credit Agreements”) with The Bank of New York Mellon, as administrative agent and collateral agent, pursuant to which the United States Treasury (“UST”) committed to an aggregate of $700.0 million to the Company pursuant to the Coronavirus Aid, Relief, and Economic Security Act (the “CARES Act”). The obligations of the Company under the UST Credit Agreements are unconditionally guaranteed by the Term Guarantors.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UST Credit Agreements have maturity dates of September 30, 2024, with a single payment at maturity of the outstanding balance. The Tranche A UST Credit Agreement consists of a $300.0 million term loan and bears interest at a rate of Eurodollar rate (subject to a floor of 1.0%) plus a margin of 3.5% per annum, consisting of 1.50% in cash and the remainder paid-in-kind. Proceeds from the Tranche A UST Credit Agreement will primarily be used to meet the Company’s contractual obligations and maintain working capital. The Tranche B UST Credit Agreement consists of a $400.0 million term loan and bears interest at a rate of Eurodollar rate (subject to a floor of 1.0%) plus a margin of 3.5% per annum, paid in cash. Proceeds from the Tranche B UST Credit Agreement will be used predominantly for the acquisition of tractors and trailers. Each agreement requires that the Company must maintain minimum “Liquidity” (defined in the UST Credit Agreements to indicate that such amount is calculated as the Company’s unrestricted cash on hand plus the amount of “Availability” (as defined in the loan agreement for the ABL Facility (as defined below)) to the extent such Availability could be borrowed under the ABL Facility) of $125.0 million and a minimum Adjusted EBITDA commencing with the fiscal quarter ending December 31, 2021, to be not less than $100.0 million for the four quarters ending December 31, 2021, $150.0 million for the four quarters ending March 31, 2022, and $200.0 million thereafter. Obligations under the UST Credit Agreements are secured by a perfected first priority security interest in the escrow or controlled account supporting the respective UST Credit Facility, certain tractors and trailers (in the case of the UST Tranche B Credit Facility) and a perfected junior priority security interest (subject in each case to permitted liens) in substantially all other assets of the Company and the Term Guarantors, subject to certain exceptions.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UST Credit Agreements will be funded through a series of draws made over time as the proceeds are utilized for the purposes outlined by the agreements. Borrowings are subject to the various requirements stated in the UST Credit Agreements. As of September 30, 2020, $245.0 million of funds have been drawn on the Tranche A Credit Agreement and no funds have been drawn on the Tranche B UST Credit Agreement. The funds drawn after September 30, 2020 on the Tranche B UST Credit agreement are further described in the “Subsequent Events” footnote to the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15,943,753 shares of common stock as consideration related to the UST Credit Agreements, which has impacted both the capital surplus and common stock, for the par value per share. Accordingly, the fair value of those shares at issuance of approximately $46.7 million was recorded as a commitment fee that will be amortized into interest expense on a straight-line basis over the term of the availability of the UST funds, which ends on September 30, 2024. The Company classified the unamortized commitment fee both as a non-current asset, included within other assets, and as a reduction to long-term debt and financing, less current portion, for the remaining balance associated with the undrawn UST funds and the drawn UST funds, respectively, on our consolidated balance sheet. Prospectively, as the Company draws funds, a portion of the commitment fee will be reclassified from other assets to a reduction to long-term debt and financing, less current portion, based on the amount of UST funds drawn compared to total UST funds available. As of September 30, 2020, a total of $15.4 million of unamortized commitment fees are classified as a reduction to long-term debt and financing and the residual balance of $28.6 million remains in other assets.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issued to the UST are subject to a Voting Trust Agreement (the “Voting Trust Agreement”) entered on July 9, 2020 which provides that all shares of the Company’s common stock owned by the UST shall be delivered to a voting trust and voted in proportion as all other common stock shares are voted, subject to certain exceptions defined therein. Additionally, prior to one year after the date of the Voting Trust Agreement, the shares may not be transferred without either the Company’s consent or other certain exceptions defined therein.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UST Credit Agreements, the Company incurred $12.2 million in debt issuance costs for the origination, legal and related fees. The debt issuance costs will be amortized into interest expense on a straight-line basis over the term of the UST funds, which ends September 30, 2024. The Company classified the debt issuance costs both as a non-current asset, included within other assets, and as a reduction to long-term debt and financing, less current portion, for the remaining balances associated with the undrawn UST Funds and the drawn UST funds, respectively, on our consolidated balance sheet. Prospectively, as the Company draws funds, a portion of the debt issuance costs will be reclassified from other assets to a reduction to long-term debt and financing, less current portion, based on the amount of UST funds drawn compared to total UST funds available. As of September 30, 2020, a total of $4.1 million of unamortized debt issuance costs are classified as a reduction to long-term debt and financing and the residual balance of $7.4 million remains in other assets.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defined in our UST Credit Agreements and the New Term Loan Agreement (defined below), as amended, (collectively, the “TL Agreements”)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 defined in our filings with the Securities and Exchange Commission (the “SEC”), in accordance with its definition in the Prior Term Loan Agreement, will not be included in the calculation of Adjusted EBITDA under the UST Credit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Term Loan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11, 2019, the Company and certain of its subsidiaries, as guarantors (the “Term Guarantors”), amended and restated the existing credit facilities under the credit agreement dated February 13, 2014 (the “Prior Term Loan Agreement”) and entered into a $600.0 million term loan agreement (“New Term Loan”) with funds managed by Apollo Global Management, LLC acting collectively as lead lender, and Cortland Products Corp, as administrative agent and collateral agent. The obligations of the Company under the agreement governing (the “New Term Loan Agreement”) are unconditionally guaranteed by the Term Guarantors.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Term Loan has a maturity date of June 30, 2024, with a single payment due at maturity of the outstanding balance. The New Term Loan initially bore interest at Eurodollar rate (subject to a floor of 1.0%) plus a margin of 7.5% per annum, payable at least quarterly in cash, subject to a 1.0% margin step down in the event the Company achieves greater than $400.0 million in trailing-twelve-month Adjusted EBITDA. Obligations under the New Term Loan are secured by a perfected first priority security interest in (subject to permitted liens) assets of the Company and the Term Guarantors, including but not limited to all of the Company’s wholly owned terminals, tractors and trailers, subject to certain limited exceptions.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On April 7, 2020, the Company and certain of its subsidiaries entered into Amendment No. 1 (the “First New Term Loan Amendment”) to the New Term Loan Agreement as a result of expected future covenant and liquidity tightening due to unprecedented economic deterioration. Beginning the last two weeks of March 2020, our industry and the economy at-large experienced an unexpected and significant decline in economic activity due to the impact of the 2019 novel coronavirus disease (“COVID-19”) and the resulting business shutdown and shelter-in-place orders made across North America by various governmental entities and private enterprises. The First New Term Loan Amendment principally provided additional liquidity allowing the Company to defer quarterly interest payments for the quarter ended March 31, 2020 and the quarter ending June 30, 2020 with almost all of such interest to be paid-in-kind. The First New Term Loan Amendment also provided for a waiver with respect to the Consolidated EBITDA financial covenant during each fiscal quarter during the fiscal year ending December 31, 2020. The interest rate was retroactively reset to a fixed 14% during the first six months of 2020.</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7, 2020, the Company and the Term Guarantors entered into Amendment No. 2 (the “Second New Term Loan Amendment”) to the New Term Loan Agreement. The material terms of the Second New Term Loan Amendment include, among other things, a consent to the refinancing and conforming changes to the description of collateral set forth in the UST Credit Agreements, permanently capitalizing previously paid-in-kind interest on borrowings under the New Term Loan Agreement, that all future interest shall accrue at Eurodollar rate plus a margin of 7.5% per annum and 6.5% per annum in the case of alternative base rate borrowings paid in cash and a requirement that the Company must maintain minimum Liquidity of $125.0 million and a minimum Consolidated EBITDA commencing with the fiscal quarter ending December 31, 2021, to be not less than $100.0 million for the four quarters ending December 31, 2021, $150.0 million for the four quarters ending March 31, 2022 and $200.0 million thereafter, and an extension of the EBITDA covenant holiday through the fiscal quarter ending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$450 Million ABL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13, 2014, we entered into our $450 million asset-based loan facility (the “ABL Facility”) from a syndicate of banks arranged by Citizens Bank N.A. (formerly known as RBS Citizens, N.A.) (the “ABL Agent”), Merrill Lynch, Pierce, Fenner &amp; Smith and CIT Finance LLC. YRC Worldwide and our subsidiaries, YRC Freight, Reddaway, Holland and New Penn are borrowers under the ABL Facility, and certain of the Company’s domestic subsidiaries are guarantors thereunder.</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option, borrowings under the ABL Facility bear interest at either: (i) the applicable LIBOR rate plus 2.25%, as amended, or (ii) the base rate (as defined in the ABL Facility) plus 1.25%, as amended.</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Letter of credit fees equal to the applicable LIBOR margin in effect, 2.25% as amended,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7, 2020, the Company and certain of its subsidiaries entered into Amendment No. 6 (the “ABL Treasury Amendment”) in which the maturity date of the ABL Facility was extended to January 9, 2024 and it included a consent to the refinancing and conforming changes to the description of collateral set forth in the UST Credit Agreements as well as an increase of 0.5% to applicable margin to borrowings under the ABL Facility (which increase is already reflected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borrowings under our ABL Facility and any prospective net cash flow from operations. As of September 30, 2020, our maximum availability under our ABL Facility was $61.0 million, and our managed accessibility was $19.6 million. “Managed Accessibility” represents the maximum amount we would access on the ABL Facility and is adjusted for eligible receivables plus eligible borrowing base cash measured as of September 30, 2020. Maximum availability is derived by reducing the amount that may be advanced against eligible receivables plus eligible borrowing base cash by certain reserves imposed by the ABL Agent and our $353.3 million of outstanding letters of credit. Our Managed Accessibility of $19.6 million represents the maximum amount we would access on the ABL Facility and is adjusted for eligible receivables plus eligible borrowing base cash measured at September 30, 2020. The credit agreement governing the ABL Facility permits adjustments from eligible borrowing base cash to restricted cash prior to the compliance measurement date of October 15, 2020.</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December 31, 2019 borrowing base certificate, which was filed in January of 2020, we transferred $29.0 million of cash into restricted cash as permitted under the ABL Facility, which transfer effectively put our cash and cash equivalents and Managed Accessibility to $80.4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cash and cash equivalents and Managed Accessibility: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placed (into)/out of restricted cash subsequent to period end</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Accessibility</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 and Managed Accessibility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TL Agreements include a financial covenant requirement for the Company to maintain a minimum Liquidity. The Company is in compliance with the applicable financial covenant as of September 30,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only applicable financial covenant until December 31, 2021 is the Liquidity requirement of $125.0 million. With Liquidity as of September 30, 2020 of $453.7 million, UST loan availability, and forecasted operating results, management concludes it probable the Company will meet this covenant requirement for the next twelve months.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 value and estimated fair values of our long-term debt, including current maturities and other financial instruments, are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584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Book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Book Value</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Term Loan</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UST Loan Tranche A</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UST Loan Tranche B</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Second A&amp;R CDA</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values of the New Term Loan and the Second Amended and Restated Contribution Deferral Agreement (the “Second A&amp;R CDA”) were estimated based on observable prices (level two inputs for fair value measurements). The fair value of the UST Loan Tranche A is estimated using certain inputs that are unobservable (level three input for fair value measurement). The fair value of the lease financing obligations are estimated using a publicly traded secured loan with similar characteristics (level three input for fair value measurement).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4. Leases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Leases (in millions)</w:t>
            </w:r>
          </w:p>
        </w:tc>
        <w:tc>
          <w:tcPr>
            <w:tcW w:w="31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3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299.4</w:t>
            </w:r>
          </w:p>
        </w:tc>
        <w:tc>
          <w:tcPr>
            <w:tcW w:w="6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w:t>
            </w:r>
          </w:p>
        </w:tc>
        <w:tc>
          <w:tcPr>
            <w:tcW w:w="3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236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620" w:type="dxa"/>
            <w:vAlign w:val="bottom"/>
            <w:gridSpan w:val="4"/>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5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Other current and accrued liabilities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1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Claims and other liabilities</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5"/>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 (in millions)</w:t>
            </w: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auto"/>
            </w:tcBorders>
            <w:vMerge w:val="continue"/>
          </w:tcPr>
          <w:p>
            <w:pPr>
              <w:spacing w:after="0"/>
              <w:rPr>
                <w:sz w:val="13"/>
                <w:szCs w:val="13"/>
                <w:color w:val="auto"/>
              </w:rPr>
            </w:pPr>
          </w:p>
        </w:tc>
        <w:tc>
          <w:tcPr>
            <w:tcW w:w="314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5"/>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Purchased transportation; Fuel, operating</w:t>
            </w:r>
          </w:p>
        </w:tc>
        <w:tc>
          <w:tcPr>
            <w:tcW w:w="420" w:type="dxa"/>
            <w:vAlign w:val="bottom"/>
            <w:gridSpan w:val="2"/>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7"/>
                <w:szCs w:val="17"/>
                <w:color w:val="auto"/>
              </w:rPr>
            </w:pPr>
          </w:p>
        </w:tc>
        <w:tc>
          <w:tcPr>
            <w:tcW w:w="3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gridSpan w:val="2"/>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2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740" w:type="dxa"/>
            <w:vAlign w:val="bottom"/>
            <w:gridSpan w:val="4"/>
            <w:vMerge w:val="restart"/>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spacing w:after="0"/>
              <w:rPr>
                <w:sz w:val="10"/>
                <w:szCs w:val="10"/>
                <w:color w:val="auto"/>
              </w:rPr>
            </w:pPr>
          </w:p>
        </w:tc>
        <w:tc>
          <w:tcPr>
            <w:tcW w:w="31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and supplies</w:t>
            </w:r>
          </w:p>
        </w:tc>
        <w:tc>
          <w:tcPr>
            <w:tcW w:w="420" w:type="dxa"/>
            <w:vAlign w:val="bottom"/>
            <w:gridSpan w:val="2"/>
            <w:vMerge w:val="continue"/>
            <w:shd w:val="clear" w:color="auto" w:fill="CFF0FC"/>
          </w:tcPr>
          <w:p>
            <w:pPr>
              <w:spacing w:after="0"/>
              <w:rPr>
                <w:sz w:val="10"/>
                <w:szCs w:val="10"/>
                <w:color w:val="auto"/>
              </w:rPr>
            </w:pPr>
          </w:p>
        </w:tc>
        <w:tc>
          <w:tcPr>
            <w:tcW w:w="820" w:type="dxa"/>
            <w:vAlign w:val="bottom"/>
            <w:gridSpan w:val="3"/>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gridSpan w:val="3"/>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3"/>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gridSpan w:val="4"/>
            <w:vMerge w:val="continue"/>
            <w:shd w:val="clear" w:color="auto" w:fill="CFF0FC"/>
          </w:tcPr>
          <w:p>
            <w:pPr>
              <w:spacing w:after="0"/>
              <w:rPr>
                <w:sz w:val="10"/>
                <w:szCs w:val="10"/>
                <w:color w:val="auto"/>
              </w:rPr>
            </w:pPr>
          </w:p>
        </w:tc>
        <w:tc>
          <w:tcPr>
            <w:tcW w:w="740" w:type="dxa"/>
            <w:vAlign w:val="bottom"/>
            <w:gridSpan w:val="4"/>
            <w:vMerge w:val="continue"/>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rPr>
                <w:sz w:val="9"/>
                <w:szCs w:val="9"/>
                <w:color w:val="auto"/>
              </w:rPr>
            </w:pPr>
          </w:p>
        </w:tc>
        <w:tc>
          <w:tcPr>
            <w:tcW w:w="31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Short-term cost</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transportation; Fuel, operating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color w:val="auto"/>
                <w:w w:val="88"/>
              </w:rPr>
              <w:t>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 and supplies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31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transportation; Fuel, operating</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20" w:type="dxa"/>
            <w:vAlign w:val="bottom"/>
            <w:gridSpan w:val="4"/>
            <w:vMerge w:val="restart"/>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88"/>
              </w:rPr>
              <w:t>7.1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spacing w:after="0"/>
              <w:rPr>
                <w:sz w:val="10"/>
                <w:szCs w:val="10"/>
                <w:color w:val="auto"/>
              </w:rPr>
            </w:pPr>
          </w:p>
        </w:tc>
        <w:tc>
          <w:tcPr>
            <w:tcW w:w="31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and supplies</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gridSpan w:val="3"/>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3"/>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gridSpan w:val="4"/>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rPr>
                <w:sz w:val="9"/>
                <w:szCs w:val="9"/>
                <w:color w:val="auto"/>
              </w:rPr>
            </w:pPr>
          </w:p>
        </w:tc>
        <w:tc>
          <w:tcPr>
            <w:tcW w:w="31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gridSpan w:val="4"/>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88"/>
              </w:rPr>
              <w:t>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color w:val="auto"/>
                <w:w w:val="88"/>
              </w:rPr>
              <w:t>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Remaining Maturities of Lease Liabilities</w:t>
            </w:r>
          </w:p>
        </w:tc>
        <w:tc>
          <w:tcPr>
            <w:tcW w:w="2360" w:type="dxa"/>
            <w:vAlign w:val="bottom"/>
          </w:tcPr>
          <w:p>
            <w:pPr>
              <w:spacing w:after="0"/>
              <w:rPr>
                <w:sz w:val="24"/>
                <w:szCs w:val="24"/>
                <w:color w:val="auto"/>
              </w:rPr>
            </w:pPr>
          </w:p>
        </w:tc>
        <w:tc>
          <w:tcPr>
            <w:tcW w:w="21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3140" w:type="dxa"/>
            <w:vAlign w:val="bottom"/>
            <w:tcBorders>
              <w:top w:val="single" w:sz="8" w:color="auto"/>
            </w:tcBorders>
            <w:gridSpan w:val="2"/>
            <w:shd w:val="clear" w:color="auto" w:fill="CFF0FC"/>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4"/>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After 2024</w:t>
            </w:r>
          </w:p>
        </w:tc>
        <w:tc>
          <w:tcPr>
            <w:tcW w:w="2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19"/>
                <w:szCs w:val="19"/>
                <w:color w:val="auto"/>
              </w:rPr>
            </w:pP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2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Weighted-Average Remaining Lease</w:t>
            </w:r>
          </w:p>
        </w:tc>
        <w:tc>
          <w:tcPr>
            <w:tcW w:w="60" w:type="dxa"/>
            <w:vAlign w:val="bottom"/>
          </w:tcPr>
          <w:p>
            <w:pPr>
              <w:spacing w:after="0"/>
              <w:rPr>
                <w:sz w:val="24"/>
                <w:szCs w:val="24"/>
                <w:color w:val="auto"/>
              </w:rPr>
            </w:pPr>
          </w:p>
        </w:tc>
        <w:tc>
          <w:tcPr>
            <w:tcW w:w="2580" w:type="dxa"/>
            <w:vAlign w:val="bottom"/>
            <w:gridSpan w:val="1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0" w:type="dxa"/>
            <w:vAlign w:val="bottom"/>
          </w:tcPr>
          <w:p>
            <w:pPr>
              <w:spacing w:after="0"/>
              <w:rPr>
                <w:sz w:val="1"/>
                <w:szCs w:val="1"/>
                <w:color w:val="auto"/>
              </w:rPr>
            </w:pPr>
          </w:p>
        </w:tc>
      </w:tr>
      <w:tr>
        <w:trPr>
          <w:trHeight w:val="10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and percent)</w:t>
            </w:r>
          </w:p>
        </w:tc>
        <w:tc>
          <w:tcPr>
            <w:tcW w:w="2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58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60" w:type="dxa"/>
            <w:vAlign w:val="bottom"/>
            <w:tcBorders>
              <w:bottom w:val="single" w:sz="8" w:color="auto"/>
            </w:tcBorders>
            <w:vMerge w:val="continue"/>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4"/>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60" w:type="dxa"/>
            <w:vAlign w:val="bottom"/>
            <w:gridSpan w:val="8"/>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12.5%</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8"/>
          </w:tcPr>
          <w:p>
            <w:pPr>
              <w:jc w:val="center"/>
              <w:ind w:left="130"/>
              <w:spacing w:after="0"/>
              <w:rPr>
                <w:sz w:val="20"/>
                <w:szCs w:val="20"/>
                <w:color w:val="auto"/>
              </w:rPr>
            </w:pPr>
            <w:r>
              <w:rPr>
                <w:rFonts w:ascii="Times New Roman" w:cs="Times New Roman" w:eastAsia="Times New Roman" w:hAnsi="Times New Roman"/>
                <w:sz w:val="18"/>
                <w:szCs w:val="18"/>
                <w:color w:val="auto"/>
                <w:w w:val="98"/>
              </w:rPr>
              <w:t>10.5%</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Information (in millions)</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leases(a)</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400" w:hanging="392"/>
        <w:spacing w:after="0"/>
        <w:tabs>
          <w:tab w:leader="none" w:pos="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arising from operating leases are reported in operating activities on the statements of consolidated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Employee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and Nonqualified Defined Benefit Pension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Company-sponsored pension plan costs for the three and nine months ended September 30: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net pension loss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adjustment</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2020, net periodic pension cost included a non-union pension settlement charge for the Yellow Corporation Pension Plan (the “Yellow Plan”) of $1.9 million. The pension settlement charge was triggered due to the amount of lump sum benefit payments distributed from plan assets in 2020. The lump sum benefit payments reduce pension obligations and are funded from existing pension plan assets and therefore do not impact the Company’s cash balance. As a result of this settlement, the Company was required to measure the Yellow Plan as of July 31, 2020.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plan liabilities increased by $37.5 million largely due to decreasing discount rates, plan assets specific to the Yellow Plan increased by $146.9 million as a result of larger than expected return on plan assets held in a master trust over our three pension plans. The return on plan assets was achieved primarily on the strength of one investment where we have trading restrictions in place until late in the fourth quarter of 2020. The net impact of the remeasurement yielded an improvement in the funded status of the Yellow Plan from a net liability of $118.5 million as of December 31, 2019 to a net asset of $0.2 million as of September 30, 2020.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other two plans held in the same master trust, the Roadway LLC Pension Plan and the YRC Retirement Pension Plan, have not been remeasured as they did not trigger a similar settlement charge and will be remeasured on December 31,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contributed $16.6 million to our Company-sponsored pension plans through September 30, 2020. Due to funding relief provided by the CARES Act, we are not required to make the remaining $15.2 million of required annual contributions until January 1, 2021 but required contributions may be made sooner.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Income Taxes</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2020 was 83.8% and 35.1%, respectively, compared to 3.0% and 1.2%, respectively, for the three and nine months ended September 30, 2019. The significant items impacting the 2020 rates include a benefit from the reversal of liability for an uncertain tax position resulting from statute expiration,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2020. The significant items impacting the 2019 rates include a benefit recognized due to application of the exception to the rules regarding intraperiod tax allocation, a provision for net state and foreign taxes, certain permanent items and a change in the valuation allowance established for the net deferred tax asset balance that had been projected for December 31, 2019. We recognize valuation allowances on deferred tax assets if, based on the weight of the evidence, we determine it is more likely than not such assets will not be realized. Changes in valuation allowances are included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September 30, 2020 and December 31, 2019, substantially all of our net deferred tax assets were subject to a valuation allowance.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Loss Per Share</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our net loss position for each of the three and nine months ended September 30, 2020 and September 30, 2019, we do not report dilutive securities for these periods. At September 30, 2020 and 2019, our anti-dilutive unvested shares, options, and stock units were approximately 125,000 and 319,000,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2020, the Company issued 15,943,753 shares of common stock to the UST in connection with the execution of the UST Credit Agreements. These shares have been included in the average common shares outstanding used to calculate loss per share for the three and nine month periods ended September 30, 2020 from the date the shares were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Contingencies and Uncertainties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Defense Complaints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United States on behalf of the United States Department of Defense filed a Complaint in Intervention (“Complaint”) against the Company in the U.S. District in the Western District of New York captioned </w:t>
      </w:r>
      <w:r>
        <w:rPr>
          <w:rFonts w:ascii="Times New Roman" w:cs="Times New Roman" w:eastAsia="Times New Roman" w:hAnsi="Times New Roman"/>
          <w:sz w:val="18"/>
          <w:szCs w:val="18"/>
          <w:i w:val="1"/>
          <w:iCs w:val="1"/>
          <w:color w:val="auto"/>
        </w:rPr>
        <w:t>United States ex rel. James Hannum v. YRC Freight, Inc.; Roadway Express,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and Yellow Transportation, Inc., </w:t>
      </w:r>
      <w:r>
        <w:rPr>
          <w:rFonts w:ascii="Times New Roman" w:cs="Times New Roman" w:eastAsia="Times New Roman" w:hAnsi="Times New Roman"/>
          <w:sz w:val="18"/>
          <w:szCs w:val="18"/>
          <w:color w:val="auto"/>
        </w:rPr>
        <w:t>Civil Action No. 08-0811(A). The Complaint alleges that the Company violated the False Claims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overcharging the Department of Defense for freight carrier services by failing to comply with the contractual terms of freight contracts between the Department of Defense and the Company and related government procurement rules. The Complaint also alleges claims for unjust enrichment and breach of contract. Under the False Claims Act, the Complaint seeks treble damages, civil penalties, attorneys’ fees and costs of suit, all in unspecified amounts. The remaining common causes of action seek an undetermined amount for an alleged breach of contract or alternatively causes constituting unjust enrichment or a payment by mistake. The Company has moved to dismiss the case, and the court heard oral arguments on the motion on August 12, 2019. On July 17, 2020, the court granted the Company’s motion to dismiss in part with respect to one claim and denied it in all other respects. Management believes the Company has meritorious defenses against the remaining counts and intends to vigorously defend this action. We are unable to estimate the possible loss, or range of possible loss, associated with these claims at this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 Securities Complaint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2019, a purported class action lawsuit captioned </w:t>
      </w:r>
      <w:r>
        <w:rPr>
          <w:rFonts w:ascii="Times New Roman" w:cs="Times New Roman" w:eastAsia="Times New Roman" w:hAnsi="Times New Roman"/>
          <w:sz w:val="18"/>
          <w:szCs w:val="18"/>
          <w:i w:val="1"/>
          <w:iCs w:val="1"/>
          <w:color w:val="auto"/>
        </w:rPr>
        <w:t>Christina Lewis v. YRC Worldwide Inc., et al.,</w:t>
      </w:r>
      <w:r>
        <w:rPr>
          <w:rFonts w:ascii="Times New Roman" w:cs="Times New Roman" w:eastAsia="Times New Roman" w:hAnsi="Times New Roman"/>
          <w:sz w:val="18"/>
          <w:szCs w:val="18"/>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alleged that the defendants had violated Sections 10(b) and 20(a) of the Securities Exchange Act of 1934 by making false and misleading statements relating to the Company’s freight billing practices as alleged in the Department of Defense complaint described above. The action included claims for damages, including interest, and an award of reasonable costs and attorneys’ fees. The co-lead plaintiffs filed an amended complaint on June 14, 2019, and the defendants moved to dismiss it on July 15, 2019. On March 27, 2020, the court granted defendants’ motion to dismiss in its entirety and entered judgment closing the case. The co-lead plaintiffs filed a notice of appeal to the U.S. Court of Appeals for the Second Circuit on April 27, 2020. That appeal is pending.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Complaint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2019, a putative shareholder filed an action derivatively and on behalf of the Company naming James L. Welch, Jamie G. Pierson, Stephanie D. Fisher, Raymond J. Bromark, Douglas A. Carty, William R. Davidson, Matthew A. Doheny, Robert L. Friedman, James E. Hoffman, Michael J. Kneeland, Patricia M. Nazemetz, and James F. Winestock individually as defendants and the Company as the nominal defendant. In an amended complaint, filed on October 15, 2019, Darren D. Hawkins was added as a defendant. The case, captioned </w:t>
      </w:r>
      <w:r>
        <w:rPr>
          <w:rFonts w:ascii="Times New Roman" w:cs="Times New Roman" w:eastAsia="Times New Roman" w:hAnsi="Times New Roman"/>
          <w:sz w:val="18"/>
          <w:szCs w:val="18"/>
          <w:i w:val="1"/>
          <w:iCs w:val="1"/>
          <w:color w:val="auto"/>
        </w:rPr>
        <w:t>Hastey v. Welch, et al.</w:t>
      </w:r>
      <w:r>
        <w:rPr>
          <w:rFonts w:ascii="Times New Roman" w:cs="Times New Roman" w:eastAsia="Times New Roman" w:hAnsi="Times New Roman"/>
          <w:sz w:val="18"/>
          <w:szCs w:val="18"/>
          <w:color w:val="auto"/>
        </w:rPr>
        <w:t>, Case No. 2:19-cv-2266-KGG, was filed in the United States District Court for the District of Kansas. The Complaint alleged that the Company was exposed to harm by the individual defendants’ purported conduct concerning its freight-billing practices as alleged in the Department of Defense Complaint and the Class Action Securities Complaint described above. The Complaint asserted that the individual defendants’ purported conduct violated Section 14(a) of the Securities Exchange Act of 1934 and that they breached their fiduciary duties, were unjustly enriched, and engaged in corporate waste. On March 30, 2020, the Court granted the Company’s and individual defendants’ motion to dismiss, dismissing Plaintiff’s Section 14(a) claim with prejudice, and declining to exercise supplemental jurisdiction over the remaining claims and thus dismissing them without prejudice. The Court further denied as moot motions to intervene in the action that had been filed by three putative shareholders.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2019, another putative shareholder filed an action derivatively and on behalf of the Company in the United States District Court for the District of Delaware naming the same defendants as did the October 15, 2019 amended complaint in the </w:t>
      </w:r>
      <w:r>
        <w:rPr>
          <w:rFonts w:ascii="Times New Roman" w:cs="Times New Roman" w:eastAsia="Times New Roman" w:hAnsi="Times New Roman"/>
          <w:sz w:val="18"/>
          <w:szCs w:val="18"/>
          <w:i w:val="1"/>
          <w:iCs w:val="1"/>
          <w:color w:val="auto"/>
        </w:rPr>
        <w:t>Hastey</w:t>
      </w:r>
      <w:r>
        <w:rPr>
          <w:rFonts w:ascii="Times New Roman" w:cs="Times New Roman" w:eastAsia="Times New Roman" w:hAnsi="Times New Roman"/>
          <w:sz w:val="18"/>
          <w:szCs w:val="18"/>
          <w:color w:val="auto"/>
        </w:rPr>
        <w:t xml:space="preserve"> case. The case is captioned </w:t>
      </w:r>
      <w:r>
        <w:rPr>
          <w:rFonts w:ascii="Times New Roman" w:cs="Times New Roman" w:eastAsia="Times New Roman" w:hAnsi="Times New Roman"/>
          <w:sz w:val="18"/>
          <w:szCs w:val="18"/>
          <w:i w:val="1"/>
          <w:iCs w:val="1"/>
          <w:color w:val="auto"/>
        </w:rPr>
        <w:t>Broughton v. Hawkins,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w:t>
      </w:r>
      <w:r>
        <w:rPr>
          <w:rFonts w:ascii="Times New Roman" w:cs="Times New Roman" w:eastAsia="Times New Roman" w:hAnsi="Times New Roman"/>
          <w:sz w:val="18"/>
          <w:szCs w:val="18"/>
          <w:color w:val="auto"/>
        </w:rPr>
        <w:t>Case No. 1:19-cv-01958-UNA, and makes claims similar to those made in</w:t>
      </w:r>
      <w:r>
        <w:rPr>
          <w:rFonts w:ascii="Times New Roman" w:cs="Times New Roman" w:eastAsia="Times New Roman" w:hAnsi="Times New Roman"/>
          <w:sz w:val="18"/>
          <w:szCs w:val="18"/>
          <w:i w:val="1"/>
          <w:iCs w:val="1"/>
          <w:color w:val="auto"/>
        </w:rPr>
        <w:t xml:space="preserve"> Hastey</w:t>
      </w:r>
      <w:r>
        <w:rPr>
          <w:rFonts w:ascii="Times New Roman" w:cs="Times New Roman" w:eastAsia="Times New Roman" w:hAnsi="Times New Roman"/>
          <w:sz w:val="18"/>
          <w:szCs w:val="18"/>
          <w:color w:val="auto"/>
        </w:rPr>
        <w:t>. After a motion to dismiss the</w:t>
      </w:r>
      <w:r>
        <w:rPr>
          <w:rFonts w:ascii="Times New Roman" w:cs="Times New Roman" w:eastAsia="Times New Roman" w:hAnsi="Times New Roman"/>
          <w:sz w:val="18"/>
          <w:szCs w:val="18"/>
          <w:i w:val="1"/>
          <w:iCs w:val="1"/>
          <w:color w:val="auto"/>
        </w:rPr>
        <w:t xml:space="preserve"> Broughton </w:t>
      </w:r>
      <w:r>
        <w:rPr>
          <w:rFonts w:ascii="Times New Roman" w:cs="Times New Roman" w:eastAsia="Times New Roman" w:hAnsi="Times New Roman"/>
          <w:sz w:val="18"/>
          <w:szCs w:val="18"/>
          <w:color w:val="auto"/>
        </w:rPr>
        <w:t>Complaint was filed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 2019, Plaintiff filed an unopposed motion for voluntary dismissal of her Complaint without prejudice on February 19, 2020. The court granted the motion on April 20,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Related Party Transactions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deemed a related party under the applicable accounting standards with the United Stated federal government as a result of entering the UST Credit Agreements and the associated issuance of common stock to the UST. In the ordinary course of business, the Company has continued to regularly transact with various authorities associated with the United States federal government (the “U.S. government”) and to also operate in an industry subject to various U.S. government regulations. These transactions and regulatory oversight relationships include the Company providing a full range of transportation services to various U.S. government entities and the Company being subject to certain applicable U.S. government regulations such as those of the U.S. Departments of Transportation and Homeland Security, as examples.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Subsequent Events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2020, the Company received $74.8 million of funds on an initial draw of the Tranche B UST Credit Agreement, which is more fully described in the “Debt and Financing” footnote to the consolidated financial statements. These funds are required to be used to fund the purchase of tractors and trailers.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ind w:right="4220"/>
        <w:spacing w:after="0" w:line="485" w:lineRule="auto"/>
        <w:rPr>
          <w:sz w:val="20"/>
          <w:szCs w:val="20"/>
          <w:color w:val="auto"/>
        </w:rPr>
      </w:pPr>
      <w:r>
        <w:rPr>
          <w:rFonts w:ascii="Times New Roman" w:cs="Times New Roman" w:eastAsia="Times New Roman" w:hAnsi="Times New Roman"/>
          <w:sz w:val="18"/>
          <w:szCs w:val="18"/>
          <w:u w:val="single" w:color="auto"/>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color w:val="auto"/>
        </w:rPr>
        <w:t>Cautionary Note Regarding Forward-Looking Statements</w:t>
      </w:r>
    </w:p>
    <w:p>
      <w:pPr>
        <w:spacing w:after="0" w:line="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32" w:lineRule="exact"/>
        <w:rPr>
          <w:sz w:val="20"/>
          <w:szCs w:val="20"/>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results of operations, financial condition and cash flows;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including (without limitation) impacts of COVID-19 and customer demand in the retail and manufacturing sectors;</w:t>
      </w:r>
    </w:p>
    <w:p>
      <w:pPr>
        <w:spacing w:after="0" w:line="63" w:lineRule="exact"/>
        <w:rPr>
          <w:rFonts w:ascii="Times New Roman" w:cs="Times New Roman" w:eastAsia="Times New Roman" w:hAnsi="Times New Roman"/>
          <w:sz w:val="18"/>
          <w:szCs w:val="18"/>
          <w:color w:val="auto"/>
        </w:rPr>
      </w:pPr>
    </w:p>
    <w:p>
      <w:pPr>
        <w:jc w:val="both"/>
        <w:ind w:left="800" w:hanging="401"/>
        <w:spacing w:after="0" w:line="26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3" w:lineRule="exact"/>
        <w:rPr>
          <w:rFonts w:ascii="Times New Roman" w:cs="Times New Roman" w:eastAsia="Times New Roman" w:hAnsi="Times New Roman"/>
          <w:sz w:val="18"/>
          <w:szCs w:val="18"/>
          <w:color w:val="auto"/>
        </w:rPr>
      </w:pPr>
    </w:p>
    <w:p>
      <w:pPr>
        <w:ind w:left="800" w:hanging="401"/>
        <w:spacing w:after="0" w:line="28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the documents governing our existing and future indebtedness, including financial covenants under our senior credit facilities, in light of recent operating results;</w:t>
      </w:r>
    </w:p>
    <w:p>
      <w:pPr>
        <w:spacing w:after="0" w:line="1" w:lineRule="exact"/>
        <w:rPr>
          <w:rFonts w:ascii="Times New Roman" w:cs="Times New Roman" w:eastAsia="Times New Roman" w:hAnsi="Times New Roman"/>
          <w:sz w:val="18"/>
          <w:szCs w:val="18"/>
          <w:color w:val="auto"/>
        </w:rPr>
      </w:pPr>
    </w:p>
    <w:p>
      <w:pPr>
        <w:ind w:left="800" w:right="20" w:hanging="401"/>
        <w:spacing w:after="0" w:line="28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risks and increasing costs associated with the transportation industry, including increasing equipment, operational and technology costs and disruption from natural disasters;</w:t>
      </w:r>
    </w:p>
    <w:p>
      <w:pPr>
        <w:spacing w:after="0" w:line="1"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 on pricing;</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labor disruptions or stoppages if our relationship with our employees and unions were to deteriorate;</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pension expense and funding obligations, subject to interest rate volatility;</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relating to our self-insurance claims expenses;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finance the maintenance, acquisition and replacement of revenue equipment and other necessary capital expenditures;</w:t>
      </w:r>
    </w:p>
    <w:p>
      <w:pPr>
        <w:spacing w:after="0" w:line="63" w:lineRule="exact"/>
        <w:rPr>
          <w:rFonts w:ascii="Times New Roman" w:cs="Times New Roman" w:eastAsia="Times New Roman" w:hAnsi="Times New Roman"/>
          <w:sz w:val="18"/>
          <w:szCs w:val="18"/>
          <w:color w:val="auto"/>
        </w:rPr>
      </w:pPr>
    </w:p>
    <w:p>
      <w:pPr>
        <w:ind w:left="800" w:hanging="401"/>
        <w:spacing w:after="0" w:line="28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impediments to our operations and business resulting from anti-terrorism measures;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claims and litigation expense to which we are or may become exposed;</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not realize the expected benefits and costs savings from our performance and operational improvement initiatives;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drivers and increasing costs of driver compensation;</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privacy breach or IT system disruption;</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operating in foreign countries;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employees;</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63" w:lineRule="exact"/>
        <w:rPr>
          <w:rFonts w:ascii="Times New Roman" w:cs="Times New Roman" w:eastAsia="Times New Roman" w:hAnsi="Times New Roman"/>
          <w:sz w:val="18"/>
          <w:szCs w:val="18"/>
          <w:color w:val="auto"/>
        </w:rPr>
      </w:pPr>
    </w:p>
    <w:p>
      <w:pPr>
        <w:ind w:left="800" w:hanging="401"/>
        <w:spacing w:after="0" w:line="28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fuel and changes in the cost of fuel or the index upon which we base our fuel surcharge and the effectiveness of our fuel surcharge program in protecting us against fuel price volatility;</w:t>
      </w:r>
    </w:p>
    <w:p>
      <w:pPr>
        <w:spacing w:after="0" w:line="1" w:lineRule="exact"/>
        <w:rPr>
          <w:rFonts w:ascii="Times New Roman" w:cs="Times New Roman" w:eastAsia="Times New Roman" w:hAnsi="Times New Roman"/>
          <w:sz w:val="18"/>
          <w:szCs w:val="18"/>
          <w:color w:val="auto"/>
        </w:rPr>
      </w:pPr>
    </w:p>
    <w:p>
      <w:pPr>
        <w:ind w:left="800" w:hanging="401"/>
        <w:spacing w:after="0" w:line="28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future issuances of our common stock;</w:t>
      </w:r>
    </w:p>
    <w:p>
      <w:pPr>
        <w:spacing w:after="0" w:line="6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not to pay dividends on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800" w:hanging="401"/>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the ability to issue preferred stock that may adversely affect the rights of holders of our common stock; and</w:t>
      </w:r>
    </w:p>
    <w:p>
      <w:pPr>
        <w:spacing w:after="0" w:line="63" w:lineRule="exact"/>
        <w:rPr>
          <w:rFonts w:ascii="Times New Roman" w:cs="Times New Roman" w:eastAsia="Times New Roman" w:hAnsi="Times New Roman"/>
          <w:sz w:val="18"/>
          <w:szCs w:val="18"/>
          <w:color w:val="auto"/>
        </w:rPr>
      </w:pPr>
    </w:p>
    <w:p>
      <w:pPr>
        <w:ind w:left="800" w:hanging="401"/>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includes the following sections:</w:t>
      </w:r>
    </w:p>
    <w:p>
      <w:pPr>
        <w:spacing w:after="0" w:line="1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Our Business </w:t>
      </w:r>
      <w:r>
        <w:rPr>
          <w:rFonts w:ascii="Times New Roman" w:cs="Times New Roman" w:eastAsia="Times New Roman" w:hAnsi="Times New Roman"/>
          <w:sz w:val="18"/>
          <w:szCs w:val="18"/>
          <w:color w:val="auto"/>
        </w:rPr>
        <w:t>— a brief description of our business and a discussion of how we assess our operating results.</w:t>
      </w:r>
    </w:p>
    <w:p>
      <w:pPr>
        <w:spacing w:after="0" w:line="185"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of Operations </w:t>
      </w:r>
      <w:r>
        <w:rPr>
          <w:rFonts w:ascii="Times New Roman" w:cs="Times New Roman" w:eastAsia="Times New Roman" w:hAnsi="Times New Roman"/>
          <w:sz w:val="18"/>
          <w:szCs w:val="18"/>
          <w:color w:val="auto"/>
        </w:rPr>
        <w:t>— an analysis of our consolidated results of operations for the three and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and 2019.</w:t>
      </w:r>
    </w:p>
    <w:p>
      <w:pPr>
        <w:spacing w:after="0" w:line="128"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Certain Non-GAAP Financial Measures </w:t>
      </w:r>
      <w:r>
        <w:rPr>
          <w:rFonts w:ascii="Times New Roman" w:cs="Times New Roman" w:eastAsia="Times New Roman" w:hAnsi="Times New Roman"/>
          <w:sz w:val="18"/>
          <w:szCs w:val="18"/>
          <w:color w:val="auto"/>
        </w:rPr>
        <w:t>— presentation and an analysis of selected non-GAAP financial measures for the three and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2020 and 2019 and trailing-twelve-months ended September 30, 2020 and 2019.</w:t>
      </w:r>
    </w:p>
    <w:p>
      <w:pPr>
        <w:spacing w:after="0" w:line="114"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Condition/Liquidity and Capital Resources </w:t>
      </w:r>
      <w:r>
        <w:rPr>
          <w:rFonts w:ascii="Times New Roman" w:cs="Times New Roman" w:eastAsia="Times New Roman" w:hAnsi="Times New Roman"/>
          <w:sz w:val="18"/>
          <w:szCs w:val="18"/>
          <w:color w:val="auto"/>
        </w:rPr>
        <w:t>— a discussion of our major sources and uses of cash and an analysis of our cash 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aggregate contractual obligations and commercial commitments.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quarter” and “first three quarters” of the years discussed below refer to the three and nine months ended September 30,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8"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 The Company is currently modernizing the holding company brand of Yellow and expects to reinvigorate its use in the coming months.</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measure the performance of our business using several metrics, but rely primarily upon (without limitation) operating revenue, operating income (loss), and operating ratio. We also use certain non-GAAP financial measures as secondary measures to assess our operating performance.</w:t>
      </w:r>
    </w:p>
    <w:p>
      <w:pPr>
        <w:spacing w:after="0" w:line="117" w:lineRule="exact"/>
        <w:rPr>
          <w:sz w:val="20"/>
          <w:szCs w:val="20"/>
          <w:color w:val="auto"/>
        </w:rPr>
      </w:pPr>
    </w:p>
    <w:p>
      <w:pPr>
        <w:jc w:val="both"/>
        <w:ind w:left="800" w:hanging="401"/>
        <w:spacing w:after="0" w:line="254"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Revenue: </w:t>
      </w:r>
      <w:r>
        <w:rPr>
          <w:rFonts w:ascii="Times New Roman" w:cs="Times New Roman" w:eastAsia="Times New Roman" w:hAnsi="Times New Roman"/>
          <w:sz w:val="18"/>
          <w:szCs w:val="18"/>
          <w:color w:val="auto"/>
        </w:rPr>
        <w:t>Our operating revenue has two primary components: volume (commonly evaluated using tonnage, tonnage per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41"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18"/>
          <w:szCs w:val="18"/>
          <w:color w:val="auto"/>
        </w:rPr>
        <w:t>Operating income (loss) is operating revenue less operating expenses.</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Ratio: </w:t>
      </w:r>
      <w:r>
        <w:rPr>
          <w:rFonts w:ascii="Times New Roman" w:cs="Times New Roman" w:eastAsia="Times New Roman" w:hAnsi="Times New Roman"/>
          <w:sz w:val="18"/>
          <w:szCs w:val="18"/>
          <w:color w:val="auto"/>
        </w:rPr>
        <w:t>Operating ratio is a common operating performance measure used in the trucking industry. It is calculated as (i) 100 percent</w:t>
      </w:r>
    </w:p>
    <w:p>
      <w:pPr>
        <w:spacing w:after="0" w:line="31" w:lineRule="exact"/>
        <w:rPr>
          <w:rFonts w:ascii="Times New Roman" w:cs="Times New Roman" w:eastAsia="Times New Roman" w:hAnsi="Times New Roman"/>
          <w:sz w:val="18"/>
          <w:szCs w:val="18"/>
          <w:color w:val="auto"/>
        </w:rPr>
      </w:pPr>
    </w:p>
    <w:p>
      <w:pPr>
        <w:ind w:left="800" w:hanging="9"/>
        <w:spacing w:after="0" w:line="260"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the result of dividing operating income by operating revenue or (iii) plus the result of dividing operating loss by operating revenue, and is expressed as a percentage.</w:t>
      </w:r>
    </w:p>
    <w:p>
      <w:pPr>
        <w:spacing w:after="0" w:line="136" w:lineRule="exact"/>
        <w:rPr>
          <w:rFonts w:ascii="Times New Roman" w:cs="Times New Roman" w:eastAsia="Times New Roman" w:hAnsi="Times New Roman"/>
          <w:sz w:val="18"/>
          <w:szCs w:val="18"/>
          <w:color w:val="auto"/>
        </w:rPr>
      </w:pPr>
    </w:p>
    <w:p>
      <w:pPr>
        <w:ind w:left="5540" w:right="120" w:hanging="5141"/>
        <w:spacing w:after="0" w:line="537" w:lineRule="auto"/>
        <w:tabs>
          <w:tab w:leader="none" w:pos="7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We use EBITDA and Adjusted EBITDA, which are non-GAAP financial measures, to assess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8" w:name="page19"/>
    <w:bookmarkEnd w:id="18"/>
    <w:p>
      <w:pPr>
        <w:ind w:left="1180" w:hanging="389"/>
        <w:spacing w:after="0" w:line="266" w:lineRule="auto"/>
        <w:tabs>
          <w:tab w:leader="none" w:pos="11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a non-GAAP measure that reflects our earnings before interest, taxes, depreciation, and amortization expense. EBITDA is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internal management purposes as a financial measure that reflects our core operating performance.</w:t>
      </w:r>
    </w:p>
    <w:p>
      <w:pPr>
        <w:spacing w:after="0" w:line="131" w:lineRule="exact"/>
        <w:rPr>
          <w:rFonts w:ascii="Courier New" w:cs="Courier New" w:eastAsia="Courier New" w:hAnsi="Courier New"/>
          <w:sz w:val="18"/>
          <w:szCs w:val="18"/>
          <w:color w:val="auto"/>
        </w:rPr>
      </w:pPr>
    </w:p>
    <w:p>
      <w:pPr>
        <w:jc w:val="both"/>
        <w:ind w:left="1180" w:hanging="389"/>
        <w:spacing w:after="0" w:line="252" w:lineRule="auto"/>
        <w:tabs>
          <w:tab w:leader="none" w:pos="118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 non-GAAP measure that reflects EBITDA, and further adjusts for letter of credit fees,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Consolidated EBITDA in such future period to the extent paid). All references to “Adjusted EBITDA” throughout this section and the rest of this report refer to “Adjusted EBITDA” calculated under our TL Agreements (defined therein as “Consolidated EBITDA”) unless otherwise specified. Consolidated EBITDA is also a defined term in our ABL Facility and the definition there aligns with the prior definition of Consolidated EBITDA under the Prior Term Loan Agreement. Adjusted EBITDA is used for internal management purposes as a financial measure that reflects our core operating performance, to measure compliance with financial covenants in our TL Agreements and to determine certain management and employee bonus compensation.</w:t>
      </w:r>
    </w:p>
    <w:p>
      <w:pPr>
        <w:spacing w:after="0" w:line="147" w:lineRule="exact"/>
        <w:rPr>
          <w:sz w:val="20"/>
          <w:szCs w:val="20"/>
          <w:color w:val="auto"/>
        </w:rPr>
      </w:pPr>
    </w:p>
    <w:p>
      <w:pPr>
        <w:jc w:val="both"/>
        <w:ind w:left="800"/>
        <w:spacing w:after="0" w:line="256" w:lineRule="auto"/>
        <w:rPr>
          <w:sz w:val="20"/>
          <w:szCs w:val="20"/>
          <w:color w:val="auto"/>
        </w:rPr>
      </w:pPr>
      <w:r>
        <w:rPr>
          <w:rFonts w:ascii="Times New Roman" w:cs="Times New Roman" w:eastAsia="Times New Roman" w:hAnsi="Times New Roman"/>
          <w:sz w:val="18"/>
          <w:szCs w:val="18"/>
          <w:color w:val="auto"/>
        </w:rPr>
        <w:t>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 in our TL Agreements as this measure is calculated as defined in our TL Agreements and serves as a driving component of our key financial covenants.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Our non-GAAP financial measures have the following limitations:</w:t>
      </w:r>
    </w:p>
    <w:p>
      <w:pPr>
        <w:spacing w:after="0" w:line="185" w:lineRule="exact"/>
        <w:rPr>
          <w:sz w:val="20"/>
          <w:szCs w:val="20"/>
          <w:color w:val="auto"/>
        </w:rPr>
      </w:pPr>
    </w:p>
    <w:p>
      <w:pPr>
        <w:ind w:left="1180" w:hanging="389"/>
        <w:spacing w:after="0" w:line="264" w:lineRule="auto"/>
        <w:tabs>
          <w:tab w:leader="none" w:pos="11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EBITDA does not reflect the interest expense or the cash requirements necessary to service interest or fund principal payments on our outstanding debt;</w:t>
      </w:r>
    </w:p>
    <w:p>
      <w:pPr>
        <w:spacing w:after="0" w:line="135" w:lineRule="exact"/>
        <w:rPr>
          <w:rFonts w:ascii="Courier New" w:cs="Courier New" w:eastAsia="Courier New" w:hAnsi="Courier New"/>
          <w:sz w:val="18"/>
          <w:szCs w:val="18"/>
          <w:color w:val="auto"/>
        </w:rPr>
      </w:pPr>
    </w:p>
    <w:p>
      <w:pPr>
        <w:jc w:val="both"/>
        <w:ind w:left="1180" w:hanging="389"/>
        <w:spacing w:after="0" w:line="256" w:lineRule="auto"/>
        <w:tabs>
          <w:tab w:leader="none" w:pos="11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or nonrecurring consulting fees, among other items;</w:t>
      </w:r>
    </w:p>
    <w:p>
      <w:pPr>
        <w:spacing w:after="0" w:line="145" w:lineRule="exact"/>
        <w:rPr>
          <w:rFonts w:ascii="Courier New" w:cs="Courier New" w:eastAsia="Courier New" w:hAnsi="Courier New"/>
          <w:sz w:val="18"/>
          <w:szCs w:val="18"/>
          <w:color w:val="auto"/>
        </w:rPr>
      </w:pPr>
    </w:p>
    <w:p>
      <w:pPr>
        <w:ind w:left="1180" w:hanging="389"/>
        <w:spacing w:after="0" w:line="264" w:lineRule="auto"/>
        <w:tabs>
          <w:tab w:leader="none" w:pos="11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spacing w:after="0" w:line="135" w:lineRule="exact"/>
        <w:rPr>
          <w:rFonts w:ascii="Courier New" w:cs="Courier New" w:eastAsia="Courier New" w:hAnsi="Courier New"/>
          <w:sz w:val="18"/>
          <w:szCs w:val="18"/>
          <w:color w:val="auto"/>
        </w:rPr>
      </w:pPr>
    </w:p>
    <w:p>
      <w:pPr>
        <w:ind w:left="1180" w:right="20" w:hanging="389"/>
        <w:spacing w:after="0" w:line="264" w:lineRule="auto"/>
        <w:tabs>
          <w:tab w:leader="none" w:pos="11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spacing w:after="0" w:line="135" w:lineRule="exact"/>
        <w:rPr>
          <w:rFonts w:ascii="Courier New" w:cs="Courier New" w:eastAsia="Courier New" w:hAnsi="Courier New"/>
          <w:sz w:val="18"/>
          <w:szCs w:val="18"/>
          <w:color w:val="auto"/>
        </w:rPr>
      </w:pPr>
    </w:p>
    <w:p>
      <w:pPr>
        <w:ind w:left="1180" w:hanging="389"/>
        <w:spacing w:after="0" w:line="264" w:lineRule="auto"/>
        <w:tabs>
          <w:tab w:leader="none" w:pos="118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potentially limiting its usefulness as a comparative measure.</w:t>
      </w:r>
    </w:p>
    <w:p>
      <w:pPr>
        <w:spacing w:after="0" w:line="136"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outbreak of COVID-19 has significantly impacted 2020 results and may continue to do so in future reporting periods. The full extent of the outbreak, related business and travel restrictions and changes to behavior intended to reduce the virus’s spread are uncertain and continue to evolve. While transportation is an essential business, and we have continued to operate without any material business interruptions, there has been a negative impact to the demand for transportation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Our shipping volumes began to decline in late March and were depressed compared to prior year throughout the first nine months of 2020. However, volumes have improved during the third quarter. Given the amount of economic uncertainty, including uncertainty about how and when federal, state and local governments will lift business and travel restrictions, it is difficult to predict how long we may experience negative year-over-year trends. Additionally, the demand for crude oil has seen a decline during the third quarter which will continue to put downward pressure on our fuel surcharge revenues. As shipping revenues decrease, the need to manage liquidity becomes increasingly important and actions the Company has taken are more fully described in Financial Condition, Liquidity and Capital Resources. As of September 30, 2020, there have been no significant charges related to bad debt due to the global outbreak of COVID-19.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have not experienced any significant information technology outages that have impacted day-to-day operations, our control environment and operations continue to operate as they did before the outbreak of COVID-19.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CARES Act contained certain income tax provisions intended to provide relief to taxpayers, but the Company does not anticipate these will have any significant impact on our tax rate, current or deferred tax provision, or cash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2019, the Company launched a multi-year enterprise transformation strategy to achieve long-term profitability and cash flow. Our strategic roadmap was built upon the proven alliance of our LTL regional and national networks, as well as our recently launched multi-mode freight brokerage solutions, to provide a broad portfolio of freight and business services to our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accomplished four foundational components during 2019:</w:t>
      </w:r>
    </w:p>
    <w:p>
      <w:pPr>
        <w:spacing w:after="0" w:line="374" w:lineRule="exact"/>
        <w:rPr>
          <w:sz w:val="20"/>
          <w:szCs w:val="20"/>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a new five-year labor contract;</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a term loan with improved and more flexible terms;</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Reorganized the field leadership structure to streamline decision making and enhance execution; and</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reorganization of the enterprise-wide sales 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the next phase of our transformation includes:</w:t>
      </w:r>
    </w:p>
    <w:p>
      <w:pPr>
        <w:spacing w:after="0" w:line="185" w:lineRule="exact"/>
        <w:rPr>
          <w:sz w:val="20"/>
          <w:szCs w:val="20"/>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optimization;</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migration;</w:t>
      </w:r>
    </w:p>
    <w:p>
      <w:pPr>
        <w:spacing w:after="0" w:line="18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evaluation.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focus for the next phase of the enterprise transformation strategy is to operationally transform the movement of freight through our network and the technology used in the process. In the initial phase of our plan to optimize operations, which spanned most of 2019, two of our companies operated independently out of the same service area. Under the New National Master Freight Agreement that was ratified on May 14, 2019, we have the opportunity to consolidate service centers across our operating companies, along with the ability to implement strategic changes of operations, to optimize utilization of our assets and resources. We believe service center consolidation presents the greatest opportunity for this initiative. We launched our first consolidation in late 2019, with the emphasis of facility evaluation occurring in 2020. By rationalizing the number of physical locations in the network while maintaining geographic coverage, we will improve density which should allow for improved service for our valued customers. We anticipate these efforts have allowed us to recognize cost savings in our linehaul and pick-up and delivery operations due to improved density, increased asset utilization, and optimization of route planning and labor resources, but we believe COVID-19 impacts have masked the full impact of those improvements. Over time, this initiative should continue to enhance service and strategically position our network for the growing demand of our customers and their supply chain needs, provide productivity improvements and streamline our cost structure as we seek to optimize resources across the network, including facilities, infrastructure and human capital. We intend to consolidate individual operating company systems into a single platform, with the end goal of improving profitability and the customer experience. By streamlining systems, we are providing our customers access to five brands through one network and one enterprise-wide service offering.</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investment remains a top priority for us. We believe our UST Credit Agreements will enable a significant increase in the amount of capital we are able to invest in revenue equipment to improve the age of our fleet as there is an immediate return in improved fuel miles per gallon and reduced vehicle maintenance expense. To properly execute on our transformation plan, we are committed to investing in technology in order to enhance the customer experience and improve our operational flexibilities.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summary consolidated financial information for the third quarter and first three quarters 2020 and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7"/>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First Three Quarters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 in</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Dollar Amounts</w:t>
            </w: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Quarters</w:t>
            </w:r>
          </w:p>
        </w:tc>
        <w:tc>
          <w:tcPr>
            <w:tcW w:w="0" w:type="dxa"/>
            <w:vAlign w:val="bottom"/>
          </w:tcPr>
          <w:p>
            <w:pPr>
              <w:spacing w:after="0"/>
              <w:rPr>
                <w:sz w:val="1"/>
                <w:szCs w:val="1"/>
                <w:color w:val="auto"/>
              </w:rPr>
            </w:pPr>
          </w:p>
        </w:tc>
      </w:tr>
      <w:tr>
        <w:trPr>
          <w:trHeight w:val="156"/>
        </w:trPr>
        <w:tc>
          <w:tcPr>
            <w:tcW w:w="2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3,711.7</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Salaries, wages and employee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benefits</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1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1"/>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Fuel, operating expenses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on property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disposals,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(45.3)</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2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7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(0.5)</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(18.8)</w:t>
            </w:r>
          </w:p>
        </w:tc>
        <w:tc>
          <w:tcPr>
            <w:tcW w:w="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8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7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*Not meaningful</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2020 Compared to the Third quarter of 2019</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of operations in the third quarter of 2020 were impacted by the outbreak of COVID-19 as shipping volumes decreased from typical levels especially earlier in the quarter and in certain markets that have seen greater case levels of COVID-19. Downward pressure on diesel prices reduced the amount of fuel surcharge revenues the Company was able to price in our services. As such, our consolidated operating revenue decreased $73.4 million, or 5.8%, during the third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trends in shipping volumes and shortages for certain labor resources, the Company maintained a lower headcount than historical levels. In addition, the Company’s results reflect decreases in variable expenses, including fuel and maintenance, among others. Offsetting these variable expense decreases the Company paid higher contractual wage and benefit rates for union employees.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$69.0 million, or 5.6%, primarily as a result of decreases in variable expenses. Further material changes are provided below.</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operating expenses and supplies. </w:t>
      </w:r>
      <w:r>
        <w:rPr>
          <w:rFonts w:ascii="Times New Roman" w:cs="Times New Roman" w:eastAsia="Times New Roman" w:hAnsi="Times New Roman"/>
          <w:sz w:val="18"/>
          <w:szCs w:val="18"/>
          <w:color w:val="auto"/>
        </w:rPr>
        <w:t>Fuel, operating expenses and supplies decreased $43.7 million, or 20.0%, primarily due to a $27.9 million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fuel expense, which was largely a result of lower fuel prices and fewer miles driven. Additional decreases resulted from cost reduction efforts, including an $8.3 million reduction in professional services, a $5.3 million decrease in other employee expenses, and a $3.7 million decrease in vehicle maintenance.</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Purchased transportation. </w:t>
      </w:r>
      <w:r>
        <w:rPr>
          <w:rFonts w:ascii="Times New Roman" w:cs="Times New Roman" w:eastAsia="Times New Roman" w:hAnsi="Times New Roman"/>
          <w:sz w:val="18"/>
          <w:szCs w:val="18"/>
          <w:color w:val="auto"/>
        </w:rPr>
        <w:t>Purchased transportation increased $16.4 million, or 10.2%, primarily due a $7.3 million increase in third-party costs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customer-specific logistics solutions and a $7.0 million increase in over-the-road purchased transportation expense.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w:t>
      </w:r>
      <w:r>
        <w:rPr>
          <w:rFonts w:ascii="Times New Roman" w:cs="Times New Roman" w:eastAsia="Times New Roman" w:hAnsi="Times New Roman"/>
          <w:sz w:val="18"/>
          <w:szCs w:val="18"/>
          <w:color w:val="auto"/>
        </w:rPr>
        <w:t>Our effective tax rate for the third quarter of 2020 and 2019 was 83.8% and 3.0%, respectively. The significant items impacting the 2020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 benefit from the reversal of liability for an uncertain tax position resulting from statute expiration,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2020. The significant items impacting the 2019 rate include a benefit recognized due to application of the exception to the rules regarding intraperiod tax allocation, a provision for net state and foreign taxes,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certain permanent items and a change in the valuation allowance established for the net deferred tax asset balance that had been projected for December 31, 2019.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carry-forward periods, reversals of existing deferred tax liabilities and tax planning strategies that potentially enhance the likelihood of the realization of a deferred tax asset. At September 30, 2020 and December 31, 2019, substantially all of our net deferred tax assets were subject to a valuation allowance.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key revenue metrics for the third quarter of 2020 compared to the third quarter of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12"/>
                <w:szCs w:val="12"/>
                <w:b w:val="1"/>
                <w:bCs w:val="1"/>
                <w:color w:val="auto"/>
              </w:rPr>
              <w:t>(a)</w:t>
            </w:r>
          </w:p>
        </w:tc>
      </w:tr>
      <w:tr>
        <w:trPr>
          <w:trHeight w:val="223"/>
        </w:trPr>
        <w:tc>
          <w:tcPr>
            <w:tcW w:w="6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Workdays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(in millions)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1,076.1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LTL tonnage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2,584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tonnage per workday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40.38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LTL shipments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4,480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shipments per workday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LTL picked up revenue per hundred weight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per hundred weight (excluding fuel surcharge)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18.90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LTL picked up revenue per shipment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per shipment (excluding fuel surcharge)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LTL weight per shipment (in pounds)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picked up revenue (in millions)</w:t>
            </w:r>
            <w:r>
              <w:rPr>
                <w:rFonts w:ascii="Times New Roman" w:cs="Times New Roman" w:eastAsia="Times New Roman" w:hAnsi="Times New Roman"/>
                <w:sz w:val="15"/>
                <w:szCs w:val="15"/>
                <w:color w:val="auto"/>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1,179.1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tonnage per workday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51.49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4,609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shipments per workday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72.02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17.89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 surcharge)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16.29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1,430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553"/>
        </w:trPr>
        <w:tc>
          <w:tcPr>
            <w:tcW w:w="6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3"/>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 xml:space="preserve">(b) </w:t>
            </w:r>
            <w:r>
              <w:rPr>
                <w:rFonts w:ascii="Times New Roman" w:cs="Times New Roman" w:eastAsia="Times New Roman" w:hAnsi="Times New Roman"/>
                <w:sz w:val="17"/>
                <w:szCs w:val="17"/>
                <w:color w:val="auto"/>
              </w:rPr>
              <w:t>Reconciliation of operating revenue to total picked up revenue:</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00" w:type="dxa"/>
            <w:vAlign w:val="bottom"/>
          </w:tcPr>
          <w:p>
            <w:pPr>
              <w:spacing w:after="0"/>
              <w:rPr>
                <w:sz w:val="19"/>
                <w:szCs w:val="19"/>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1,256.8</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picked up revenue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spacing w:after="0" w:line="3"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 and the impact of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First Three Quarters of 2020 Compared to the First Three Quarters of 2019</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in the first three quarters of 2020 were impacted by the outbreak of COVID-19 especially during the second quarter. As such, our consolidated operating revenue decreased $362.6 million, or 9.8%, during the first three quarters of 2020 compared to the same period in 2019 primarily due to decreased shipping volumes.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the downturn in volume the Company reduced variable expenses congruent with shipping volume decreases, including labor through furloughs and reduced headcount, maintenance, and purchased transportation, among others. Offsetting these variable expense decreases was an increase in contractual wage and benefit rates, which impacted salaries, wages and employee benefits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$399.0 million, or 10.8%, for the first three quarters of 2020 compared to the first three quarters of 2019. Total operating expenses excluding the gains on property disposals decreased $357.3 million, or 9.6%, for the same periods primarily as a result of decreases in variable expenses. Further material changes are provided below.</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operating expenses and supplies. </w:t>
      </w:r>
      <w:r>
        <w:rPr>
          <w:rFonts w:ascii="Times New Roman" w:cs="Times New Roman" w:eastAsia="Times New Roman" w:hAnsi="Times New Roman"/>
          <w:sz w:val="18"/>
          <w:szCs w:val="18"/>
          <w:color w:val="auto"/>
        </w:rPr>
        <w:t>Fuel, operating expenses and supplies decreased $137.1 million, or 20.1%, primarily due to a $81.6 million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fuel expense, which was largely a result of fewer miles driven and lower prices. Cost reduction efforts, included a $19.7 million decrease in professional services, a $14.5 million decrease in other employee expenses, and lastly an $11.3 million decrease in other operating expense primarily related to vendor bankruptcy and settlement charges incurred in the prior year with no such expense in the current year.</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Purchased transportation. </w:t>
      </w:r>
      <w:r>
        <w:rPr>
          <w:rFonts w:ascii="Times New Roman" w:cs="Times New Roman" w:eastAsia="Times New Roman" w:hAnsi="Times New Roman"/>
          <w:sz w:val="18"/>
          <w:szCs w:val="18"/>
          <w:color w:val="auto"/>
        </w:rPr>
        <w:t>Purchased transportation decreased $25.7 million, or 5.5%, primarily due to a $15.2 million decrease in local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expense, and a $12.9 million decrease in rail purchased transportation expense, partially offset by a $9.0 million increase in third-party costs due to the growth in customer-specific logistics solutions.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Gains on property disposals</w:t>
      </w:r>
      <w:r>
        <w:rPr>
          <w:rFonts w:ascii="Times New Roman" w:cs="Times New Roman" w:eastAsia="Times New Roman" w:hAnsi="Times New Roman"/>
          <w:sz w:val="18"/>
          <w:szCs w:val="18"/>
          <w:color w:val="auto"/>
        </w:rPr>
        <w:t>. Net gains on disposals of property were $45.3 million in 2020, which were primarily the result of the sale of one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net gains of $3.6 million in 2019, as a result of gains on the sales of real property.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Impairment charges</w:t>
      </w:r>
      <w:r>
        <w:rPr>
          <w:rFonts w:ascii="Times New Roman" w:cs="Times New Roman" w:eastAsia="Times New Roman" w:hAnsi="Times New Roman"/>
          <w:sz w:val="18"/>
          <w:szCs w:val="18"/>
          <w:color w:val="auto"/>
        </w:rPr>
        <w:t>. During the first quarter of 2019, we recorded an $8.2 million impairment charge that reflects the write-down of an intangible asset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rebranding strategies, leading to the discontinued use of a tradename.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w:t>
      </w:r>
      <w:r>
        <w:rPr>
          <w:rFonts w:ascii="Times New Roman" w:cs="Times New Roman" w:eastAsia="Times New Roman" w:hAnsi="Times New Roman"/>
          <w:sz w:val="18"/>
          <w:szCs w:val="18"/>
          <w:color w:val="auto"/>
        </w:rPr>
        <w:t>Our effective tax rate for the first three quarters of 2020 and 2019 was 35.1% and 1.2% respectively. The significant items impacting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include a benefit from the reversal of liability for an uncertain tax position resulting from statute expiration, a benefit recognized due to application of the exception to the rules regarding intraperiod tax allocation, a provision for net state and foreign taxes, certain permanent items and a change in the valuation allowance established for the net deferred tax asset balance projected for December 31, 2020. The significant items impacting the 2019 rate include a benefit recognized due to application of the exception to the rules regarding intraperiod tax allocation, a provision for net state and foreign taxes, certain permanent items and a change in the valuation allowance established for the net deferred tax asset balance that had been projected for December 31,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First Three Quarters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 Change</w:t>
            </w:r>
            <w:r>
              <w:rPr>
                <w:rFonts w:ascii="Times New Roman" w:cs="Times New Roman" w:eastAsia="Times New Roman" w:hAnsi="Times New Roman"/>
                <w:sz w:val="12"/>
                <w:szCs w:val="12"/>
                <w:b w:val="1"/>
                <w:bCs w:val="1"/>
                <w:color w:val="auto"/>
              </w:rPr>
              <w:t>(a)</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Workdays</w:t>
            </w: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(in millions)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3,055.5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LTL tonnage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7,412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tonnage per workday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38.50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LTL shipments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12,806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shipments per workday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66.52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LTL picked up revenue per hundred weight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20.61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per hundred weight (excluding fuel surcharge)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18.55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LTL picked up revenue per shipment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picked up revenue per shipment (excluding fuel surcharge)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LTL weight per shipment (in pounds)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picked up revenue (in millions)</w:t>
            </w:r>
            <w:r>
              <w:rPr>
                <w:rFonts w:ascii="Times New Roman" w:cs="Times New Roman" w:eastAsia="Times New Roman" w:hAnsi="Times New Roman"/>
                <w:sz w:val="15"/>
                <w:szCs w:val="15"/>
                <w:color w:val="auto"/>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3,338.9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tonnage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9,454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tonnage per workday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49.11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shipments (in thousands)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13,158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shipments per workday (in thousands)</w:t>
            </w:r>
          </w:p>
        </w:tc>
        <w:tc>
          <w:tcPr>
            <w:tcW w:w="300" w:type="dxa"/>
            <w:vAlign w:val="bottom"/>
          </w:tcPr>
          <w:p>
            <w:pPr>
              <w:spacing w:after="0"/>
              <w:rPr>
                <w:sz w:val="19"/>
                <w:szCs w:val="19"/>
                <w:color w:val="auto"/>
              </w:rPr>
            </w:pP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picked up revenue per hundred weight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17.66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picked up revenue per hundred weight (excluding fuel surcharge)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15.95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picked up revenue per shipment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picked up revenue per shipment (excluding fuel surcharge)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weight per shipment (in pounds)</w:t>
            </w:r>
          </w:p>
        </w:tc>
        <w:tc>
          <w:tcPr>
            <w:tcW w:w="3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1,437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r>
      <w:tr>
        <w:trPr>
          <w:trHeight w:val="486"/>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w:t>
            </w:r>
            <w:r>
              <w:rPr>
                <w:rFonts w:ascii="Times New Roman" w:cs="Times New Roman" w:eastAsia="Times New Roman" w:hAnsi="Times New Roman"/>
                <w:sz w:val="17"/>
                <w:szCs w:val="17"/>
                <w:color w:val="auto"/>
              </w:rPr>
              <w:t>Reconciliation of operating revenue to total picked up revenue:</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3,349.2</w:t>
            </w:r>
          </w:p>
        </w:tc>
        <w:tc>
          <w:tcPr>
            <w:tcW w:w="80" w:type="dxa"/>
            <w:vAlign w:val="bottom"/>
          </w:tcPr>
          <w:p>
            <w:pPr>
              <w:spacing w:after="0"/>
              <w:rPr>
                <w:sz w:val="19"/>
                <w:szCs w:val="19"/>
                <w:color w:val="auto"/>
              </w:rPr>
            </w:pP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3,711.7</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revenue deferral and other</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picked up revenue</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3,688.1</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6"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based on unrounded figures and not the rounded figures presented.</w:t>
      </w: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equal financial statement revenue due to revenue recognition adjustments between accounting periods and the impact of other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Non-GAAP Financial Measures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 Consolidated EBITDA</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net loss to EBITDA and EBITDA to Adjusted EBITDA (defined in our TL Agreements as “Consolidated EBITDA”) for the third quarter and first three quarters of 2020 and 2019, and the trailing twelve months ended September 30, 2020 and 2019,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First Three Quarters</w:t>
            </w:r>
          </w:p>
        </w:tc>
        <w:tc>
          <w:tcPr>
            <w:tcW w:w="160" w:type="dxa"/>
            <w:vAlign w:val="bottom"/>
          </w:tcPr>
          <w:p>
            <w:pPr>
              <w:spacing w:after="0"/>
              <w:rPr>
                <w:sz w:val="15"/>
                <w:szCs w:val="15"/>
                <w:color w:val="auto"/>
              </w:rPr>
            </w:pPr>
          </w:p>
        </w:tc>
        <w:tc>
          <w:tcPr>
            <w:tcW w:w="23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Trailing Twelve Months Ended</w:t>
            </w: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1"/>
                <w:szCs w:val="11"/>
                <w:color w:val="auto"/>
              </w:rPr>
            </w:pPr>
          </w:p>
        </w:tc>
        <w:tc>
          <w:tcPr>
            <w:tcW w:w="1220" w:type="dxa"/>
            <w:vAlign w:val="bottom"/>
            <w:tcBorders>
              <w:top w:val="single" w:sz="8" w:color="auto"/>
            </w:tcBorders>
            <w:gridSpan w:val="3"/>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Reconciliation of Net loss to Adjusted</w:t>
            </w: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(a)</w:t>
            </w: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for New Term Loan Agreement: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(Gains) losses on property disposals, net</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reserve changes</w:t>
            </w:r>
            <w:r>
              <w:rPr>
                <w:rFonts w:ascii="Times New Roman" w:cs="Times New Roman" w:eastAsia="Times New Roman" w:hAnsi="Times New Roman"/>
                <w:sz w:val="15"/>
                <w:szCs w:val="15"/>
                <w:color w:val="auto"/>
              </w:rPr>
              <w:t>(b)</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Letter of credit expense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Permitted dispositions and other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Non-union pension settlement charge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amounts subject to 10%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threshold</w:t>
            </w:r>
            <w:r>
              <w:rPr>
                <w:rFonts w:ascii="Times New Roman" w:cs="Times New Roman" w:eastAsia="Times New Roman" w:hAnsi="Times New Roman"/>
                <w:sz w:val="15"/>
                <w:szCs w:val="15"/>
                <w:color w:val="auto"/>
              </w:rPr>
              <w:t>(c)</w:t>
            </w: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COVID-19</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prior to 10% threshold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pursuant to TTM</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calculation</w:t>
            </w:r>
            <w:r>
              <w:rPr>
                <w:rFonts w:ascii="Times New Roman" w:cs="Times New Roman" w:eastAsia="Times New Roman" w:hAnsi="Times New Roman"/>
                <w:sz w:val="15"/>
                <w:szCs w:val="15"/>
                <w:color w:val="auto"/>
              </w:rPr>
              <w:t>(c)</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-2540</wp:posOffset>
            </wp:positionV>
            <wp:extent cx="4800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reclassifications have been made to prior year to conform to current year presentation.</w:t>
      </w:r>
    </w:p>
    <w:p>
      <w:pPr>
        <w:spacing w:after="0" w:line="3" w:lineRule="exact"/>
        <w:rPr>
          <w:rFonts w:ascii="Times New Roman" w:cs="Times New Roman" w:eastAsia="Times New Roman" w:hAnsi="Times New Roman"/>
          <w:sz w:val="14"/>
          <w:szCs w:val="14"/>
          <w:color w:val="auto"/>
        </w:rPr>
      </w:pPr>
    </w:p>
    <w:p>
      <w:pPr>
        <w:ind w:left="400" w:hanging="392"/>
        <w:spacing w:after="0" w:line="221" w:lineRule="auto"/>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reserve changes reflect the net non-cash reserve charge for union and non-union vacation, with such non-cash reserve adjustment to be reduced by cash charges in a future period when paid.</w:t>
      </w:r>
    </w:p>
    <w:p>
      <w:pPr>
        <w:jc w:val="both"/>
        <w:ind w:left="400" w:hanging="392"/>
        <w:spacing w:after="0" w:line="230" w:lineRule="auto"/>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TL Agreements, Adjusted EBITDA limits certain adjustments in aggregate to 10% of the trailing-twelve-month (“TTM”) consolidated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however, the sum of the quarters may not necessarily equal TTM Adjusted EBITDA, due to the expiration of adjustments from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-678180</wp:posOffset>
            </wp:positionV>
            <wp:extent cx="4800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 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provide aggregated information regarding our financial condition, liquidity and capital resources.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borrowings under our asset-based loan facility and any prospective net cash flow from operations. As of September 30, 2020, our maximum availability under our ABL Facility was $61.0 million, and our managed accessibility was $19.6 million. Maximum availability is derived by reducing the amount that may be advanced against eligible receivables plus eligible borrowing base cash by certain reserves imposed by the ABL Agent and our $353.3 million of outstanding letters of credit. Our Managed Accessibility of $19.6 million represents the maximum amount we would access on the ABL Facility and is adjusted for eligible receivables plus eligible borrowing base cash measured at September 30, 2020. The credit agreement governing the ABL Facility permits adjustments from eligible borrowing base cash to restricted cash prior to the compliance measurement date of October 15,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For the December 31, 2019 borrowing base certificate, which was filed in January of 2020, we transferred $29.0 million of cash into restricted cash as permitted under the ABL Facility, which transfer effectively put our cash and cash equivalents and Managed Accessibility to $80.4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cash and cash equivalents and Managed Accessibility as of September 30, 2020 and December 31,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placed (into)/out of restricted cash subsequent to period end</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Accessibility</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 and Managed Accessibility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of funding normal operations, our principal uses of cash include but are but not limited to, paying principal and interest on our funded debt, making payments on our equipment leases, and funding capital expenditures. In addition, we are required to make contributions to our non-union pension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we had $1,155.6 million in aggregate par value of outstanding indebtedness, the majority of which matures in approximately three to five years. In addition, we have, and will continue to have, significant operating lease obligations. As of September 30, 2020, our operating lease payment obligations through 2030 totaled $383.9 million. We also have future funding obligations for our various multi-employer health, welfare and pension funds and non-union pension plans.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for the first three quarters of 2020 and 2019 were $41.4 million and $111.5 million, respectively. These amounts were principally used to fund the purchase of new and used revenue equipment, for capitalized costs to improve our technology infrastructure and to refurbish engines for our revenue fleet. Our activity related to new operating lease commitments for revenue equipment was nominal during the first three quarters of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TL Agreements include a financial covenant requirement for the Company to maintain a minimum Liquidity. The Company is in compliance with the applicable financial covenant as of September 30,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only applicable financial covenant until December 31, 2021 is the Liquidity requirement of $125.0 million. With Liquidity as of September 30, 2020 of $453.7 million, UST loan availability, and forecasted operating results, management concludes it probable the Company will meet this covenant requirement for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$108.5 million during the first three quarters of 2020, compared to $13.4 million during the first three quarters of 2019. The increase in cash provided was primarily attributable to deferrals of various payments recorded as other operating liabilities. Under the CARES Act, we are deferring payment of certain employer payroll taxes that resulted in $57.9 million of liabilities as of September 30, 2020 for the remainder of 2020, with 50% due December 31, 2021 and 50% due December 31, 2022 as detailed in our Contractual Cash Obligations table. Lease payments were $18.8 million lower during the first three quarters of 2020, as compared to the first three quarters of 2019. Cash paid for lease payments decreased primarily due to lease payment deferrals. Other operating liabilities increased $75.5 million, which includes accrued payroll tax deferrals. In addition, for the nine months ended 2020 the Company incurred $40.5 million of interest expenses that were paid-in-kind.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was $13.9 million during the first three quarters of 2020 compared to $101.6 million used during the first three quarters of 2019. The increase of $115.5 million in cash provided was largely driven by cash proceeds from the sale of real property as well as a reduction to cash outflows on revenue equipment acquisitions. Cash used by investing cash flows during the remainder of 2020 are expected to increase due to increased capital expenditures as the Company anticipates utilizing funds from the UST Credit Agreements.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first three quarters of 2020 was $206.9 million compared to $18.1 million used during the first three quarters of 2019. The increase in cash is primarily related to amounts drawn on our UST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Agreement Tranche A. Cash provided by financing activities during the fourth quarter of 2020 will include additional funds drawn to acquire tractors and trailers as described by the UST Credit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Commercial Commitments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sections provide aggregated information regarding our contractual cash obligations and other commercial commitments as of September 30, 2020.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cash outflows that we are contractually obligated to make as of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80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3"/>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220" w:type="dxa"/>
            <w:vAlign w:val="bottom"/>
          </w:tcPr>
          <w:p>
            <w:pPr>
              <w:spacing w:after="0"/>
              <w:rPr>
                <w:sz w:val="15"/>
                <w:szCs w:val="15"/>
                <w:color w:val="auto"/>
              </w:rPr>
            </w:pPr>
          </w:p>
        </w:tc>
        <w:tc>
          <w:tcPr>
            <w:tcW w:w="8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(a)</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New Term Loan</w:t>
            </w:r>
            <w:r>
              <w:rPr>
                <w:rFonts w:ascii="Times New Roman" w:cs="Times New Roman" w:eastAsia="Times New Roman" w:hAnsi="Times New Roman"/>
                <w:sz w:val="15"/>
                <w:szCs w:val="15"/>
                <w:color w:val="auto"/>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UST Loan Tranche A</w:t>
            </w:r>
            <w:r>
              <w:rPr>
                <w:rFonts w:ascii="Times New Roman" w:cs="Times New Roman" w:eastAsia="Times New Roman" w:hAnsi="Times New Roman"/>
                <w:sz w:val="15"/>
                <w:szCs w:val="15"/>
                <w:color w:val="auto"/>
              </w:rPr>
              <w:t>(c)</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 obligations</w:t>
            </w:r>
            <w:r>
              <w:rPr>
                <w:rFonts w:ascii="Times New Roman" w:cs="Times New Roman" w:eastAsia="Times New Roman" w:hAnsi="Times New Roman"/>
                <w:sz w:val="15"/>
                <w:szCs w:val="15"/>
                <w:color w:val="auto"/>
              </w:rPr>
              <w:t>(d)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deferral obligations</w:t>
            </w:r>
            <w:r>
              <w:rPr>
                <w:rFonts w:ascii="Times New Roman" w:cs="Times New Roman" w:eastAsia="Times New Roman" w:hAnsi="Times New Roman"/>
                <w:sz w:val="15"/>
                <w:szCs w:val="15"/>
                <w:color w:val="auto"/>
              </w:rPr>
              <w:t>(e)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Employer payroll taxes</w:t>
            </w:r>
            <w:r>
              <w:rPr>
                <w:rFonts w:ascii="Times New Roman" w:cs="Times New Roman" w:eastAsia="Times New Roman" w:hAnsi="Times New Roman"/>
                <w:sz w:val="15"/>
                <w:szCs w:val="15"/>
                <w:color w:val="auto"/>
              </w:rPr>
              <w:t>(f)</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and third-party liability claims obligations</w:t>
            </w:r>
            <w:r>
              <w:rPr>
                <w:rFonts w:ascii="Times New Roman" w:cs="Times New Roman" w:eastAsia="Times New Roman" w:hAnsi="Times New Roman"/>
                <w:sz w:val="15"/>
                <w:szCs w:val="15"/>
                <w:color w:val="auto"/>
              </w:rPr>
              <w:t>(g)</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contractual obligations</w:t>
            </w:r>
            <w:r>
              <w:rPr>
                <w:rFonts w:ascii="Times New Roman" w:cs="Times New Roman" w:eastAsia="Times New Roman" w:hAnsi="Times New Roman"/>
                <w:sz w:val="15"/>
                <w:szCs w:val="15"/>
                <w:color w:val="auto"/>
              </w:rPr>
              <w:t>(i)</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 obligations</w:t>
            </w:r>
            <w:r>
              <w:rPr>
                <w:rFonts w:ascii="Times New Roman" w:cs="Times New Roman" w:eastAsia="Times New Roman" w:hAnsi="Times New Roman"/>
                <w:sz w:val="15"/>
                <w:szCs w:val="15"/>
                <w:color w:val="auto"/>
              </w:rPr>
              <w:t>(j)</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ABL Facility includes future payments for the letter of credit and unused line fees and are not included on the Company’s consolidated balance sheets.</w:t>
      </w:r>
    </w:p>
    <w:p>
      <w:pPr>
        <w:spacing w:after="0" w:line="3" w:lineRule="exact"/>
        <w:rPr>
          <w:rFonts w:ascii="Times New Roman" w:cs="Times New Roman" w:eastAsia="Times New Roman" w:hAnsi="Times New Roman"/>
          <w:sz w:val="14"/>
          <w:szCs w:val="14"/>
          <w:color w:val="auto"/>
        </w:rPr>
      </w:pP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Term Loan includes principal and interest payments but excludes unamortized discounts.</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UST Loan Tranche A includes principal and interest payments, including paid-in-kind interest.</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financing obligations consist primarily of interest payments.</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deferral obligations includes principal and interest payments on the Second A&amp;R CDA.</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Employer payroll taxes include amounts permitted for deferral by the CARES Act.</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workers’ compensation, property damage and liability claims obligations represent our estimate of future payments for these obligations, not all of which are contractually required.</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leases represent future payments under contractual lease arrangements primarily for revenue equipment.</w:t>
      </w:r>
    </w:p>
    <w:p>
      <w:pPr>
        <w:ind w:left="400" w:hanging="392"/>
        <w:spacing w:after="0" w:line="221"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contractual obligations include future service agreements and certain maintenance agreements and are not included on the Company’s consolidated balance sheets.</w:t>
      </w:r>
    </w:p>
    <w:p>
      <w:pPr>
        <w:ind w:left="400" w:right="20" w:hanging="392"/>
        <w:spacing w:after="0" w:line="239" w:lineRule="auto"/>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and other obligations primarily include noncancelable orders for revenue equipment the Company will either purchase or lease. If leased, the cash obligations will be scheduled over the multi-year term of the lease and ROU assets and liabilities will be recorded upon lease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-1056005</wp:posOffset>
            </wp:positionV>
            <wp:extent cx="3763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Commercial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other commercial commitments or potential cash outflows that may result from a contingent event.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720" w:type="dxa"/>
            <w:vAlign w:val="bottom"/>
          </w:tcPr>
          <w:p>
            <w:pPr>
              <w:jc w:val="center"/>
              <w:ind w:left="219"/>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7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ABL Facility availability</w:t>
            </w:r>
            <w:r>
              <w:rPr>
                <w:rFonts w:ascii="Times New Roman" w:cs="Times New Roman" w:eastAsia="Times New Roman" w:hAnsi="Times New Roman"/>
                <w:sz w:val="15"/>
                <w:szCs w:val="15"/>
                <w:color w:val="auto"/>
              </w:rPr>
              <w:t>(a)</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15"/>
                <w:szCs w:val="15"/>
                <w:color w:val="auto"/>
              </w:rPr>
              <w:t>(b)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Surety bonds</w:t>
            </w:r>
            <w:r>
              <w:rPr>
                <w:rFonts w:ascii="Times New Roman" w:cs="Times New Roman" w:eastAsia="Times New Roman" w:hAnsi="Times New Roman"/>
                <w:sz w:val="15"/>
                <w:szCs w:val="15"/>
                <w:color w:val="auto"/>
              </w:rPr>
              <w:t>(c)</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-2540</wp:posOffset>
            </wp:positionV>
            <wp:extent cx="3763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ind w:left="400" w:right="20" w:hanging="392"/>
        <w:spacing w:after="0" w:line="233" w:lineRule="auto"/>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400" w:right="20" w:hanging="392"/>
        <w:spacing w:after="0" w:line="221" w:lineRule="auto"/>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400" w:hanging="392"/>
        <w:spacing w:after="0" w:line="239" w:lineRule="auto"/>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-584200</wp:posOffset>
            </wp:positionV>
            <wp:extent cx="3763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except for other contractual obligations for service agreements and capital purchases, letters of credit and surety bonds, which are reflected in the above tables.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Quantitative and Qualitative Disclosures About Market Risk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2020 and have concluded that our disclosure controls and procedures were effective as of September 30, 2020.</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ended September 30, 2020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Legal Proceedings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IA. “Risk Factors” in our Annual Report on Form 10-K for the year ended December 31, 2019, and as updated in part in our Form 10-Q for the quarter ended June 30, 2020 which could materially affect our business, financial condition or future results. The risks in our Annual Report on Form 10-K are not the only risks facing us. Additional risks and uncertainties not currently known to us or that we currently deem to be immaterial also may eventually prove to materially adversely affect our business, financial condition and/or operating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Information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electing to disclose those matters set forth below in this quarterly report in lieu of filing a separate Current Report on Form 8-K in accordance with Instruction (a) of this Item 5 of Form 10-Q and Instruction B.3 of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Board Member Appointments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2020, the Board of Directors (the “Board”) of YRC Worldwide Inc. (the “Company”) appointed Susana Martinez and Shaunna D. Jones to the Board, each to serve until the 2021 Annual Meeting of Stockholders. The Board anticipates that Gov. Martinez and Ms. Jones will be nominated by the Board for election by the stockholders at that meeting and going forward.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appointed Gov. Martinez to serve on the Compensation Committee and as the Chairperson of the Governance Committee and Ms. Jones to serve on the Audit and Ethics Committee and Governance Committee. There are no arrangements or understanding that exist between Gov. Martinez or Ms. Jones and any other persons pursuant to which either was selected as a director. In addition, there are no transactions between either Gov. Martinez or Ms. Jones and the Company that would be reportable under Item 404(a) of Regulation S-K.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Gov. Martinez and Ms. Jones will receive the same cash and equity compensation as the other non-employee directors serving on the Board pursuant to the Company’s Fourth Amended and Restated Director Compensation Plan (the “Plan”), as amended, which has been filed as Exhibit 10.5.1 to the Company’s Annual Report on Form 10-K for the year ended December 31, 2019 and incorporated herein by reference. Pursuant to the Plan, each new director will receive an annual cash retainer of $190,000, paid quarterly. In addition, each will be entitled to receive an annual grant of restricted stock units equal to $60,000 divided by the 30-day average closing price of our common stock on the grant date, which initial grant date for such new directors shall be in February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each of Gov. Martinez and Ms. Jones will enter into the Company’s standard form of indemnification agreement for directors and officers, a copy of which was previously filed as Exhibit 10.5 to the Company’s Current Report on Form 8-K filed on March 15, 2007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and Board Member Resignation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2020, Jamie G. Pierson, Chief Financial Officer of the Company, and a member of the Board notified the Company of his resignation of employment with the Company and notified the Board of his resignation from the Board. Prior to his resignation, Mr. Pierson also served as the principal accounting officer of the Company. Mr. Pierson and the Company anticipate entering into a severance agreement that will entitle Mr. Pierson to receive a lump sum payment equal to his base salary for eighteen (18) months in accordance with the Company’s severance policy for executive officers as well as an additional lump sum severance payment of $550,000. Mr. Pierson will also receive a portion of the time-vested restricted shares he was previously granted that were scheduled to vest in December 2020 and February 2021 based on a proration calculation from the date of grant through the date of separation as provided under his current equity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Interim Chief Financial Officer and Chief Accounting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2020, the Board appointed Daniel L. Olivier to serve as the Company’s Interim Chief Financial Officer and James R. Faught to serve as the Company’s Chief Accounting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Mr. Olivier, age 48, has been employed by the Company since 1997 in various positions of increasing responsibility. Most recently, Mr. Olivier served as Vice President, Financial Reporting and Analysis since October 2019 and has served as Vice President Finance at USF Holland since April 2008. Mr. Olivier previously served as the Company’s Interim Treasurer from July to December 2010.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Faught, age 39, has served as Vice President - Controller of the Company since February 2020 and prior thereto as Director of Financial Reporting since July 2017. Prior to joining the Company, Mr. Faught served as the Director of Financial Planning &amp; Analysis for ROM Acquisition Corp (Safe Fleet), a provider of safety and productivity solutions to fleet vehicles manufacturers and operators, since 2014. At Safe Fleet, Mr. Faught was responsible for financial reporting, treasury operations, budgeting and cash management, among other responsibilities.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their appointments, the base salary of Messrs. Olivier and Faught will be $400,000 and $250,000 per annum, respectively. In addition, Messrs. Olivier and Faught will be entitled to participate in the Company’s executive compensation program with a short-term incentive program target potential payout of 100% of their respective base salary, with a maximum earnings opportunity of 200% of target along with potential long-term incentive opportunities as established by the Compensation Committee of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 that exist between Messrs. Olivier or Faught and any other persons pursuant to which either was selected as an officer. In addition, there are no transactions between either Messrs. Olivier or Faught and the Company that would be reportable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Bylaws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2020, the Board adopted resolutions amending Section 5.3 of the Amended and Restated Bylaws (adopted as of September 16, 2011) (the “Bylaws”) of the Company to add a new paragraph (b) as set forth below:</w:t>
      </w:r>
    </w:p>
    <w:p>
      <w:pPr>
        <w:spacing w:after="0" w:line="162" w:lineRule="exact"/>
        <w:rPr>
          <w:sz w:val="20"/>
          <w:szCs w:val="20"/>
          <w:color w:val="auto"/>
        </w:rPr>
      </w:pPr>
    </w:p>
    <w:p>
      <w:pPr>
        <w:jc w:val="both"/>
        <w:ind w:firstLine="8"/>
        <w:spacing w:after="0" w:line="256"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Chairman of the Board and the Chief Executive Officer shall serve as ex-officio members of all committees of the Board on which each does not otherwise serve as a member. Each ex-officio member or members of any committee shall be entitled to be present in person, to present matters for consideration and to take part in consideration of any business by the committee at any meeting of the committee, but which ex-officio member or members shall not be counted for purposes of a quorum nor for purposes of voting or otherwise in any way for purposes of authorizing any act or other transaction of business by such committee. The Chairman of the Board as an ex-officio member may notice and call any meeting of a committee in accordance with the procedures set for by the committee in accordance with Section 5.4 below.</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complete text of the Company’s Amendment to Amended and Restated By-Laws, as adopted and effective on October 29, 2020, a copy of which is filed herewith as Exhibit 3.1 and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4"/>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gridSpan w:val="22"/>
          </w:tcPr>
          <w:p>
            <w:pPr>
              <w:ind w:left="6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Amendment to Amended and Restated By-Laws of YRC Worldwide Inc.</w:t>
              </w:r>
            </w:hyperlink>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Voting Rights Agreement, dated July 9, 2020, among the Company, the United States Department of the Treasury, and The Bank of New</w:t>
              </w:r>
            </w:hyperlink>
          </w:p>
        </w:tc>
        <w:tc>
          <w:tcPr>
            <w:tcW w:w="8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York Mellon, as trustee (incorporated by reference to Exhibit 10.2 to the Quarterly Report on Form 10-Q for the quarter ended June 30,</w:t>
              </w:r>
            </w:hyperlink>
          </w:p>
        </w:tc>
        <w:tc>
          <w:tcPr>
            <w:tcW w:w="180" w:type="dxa"/>
            <w:vAlign w:val="bottom"/>
            <w:gridSpan w:val="4"/>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2020, File No. 000-12255).</w:t>
              </w:r>
            </w:hyperlink>
          </w:p>
        </w:tc>
        <w:tc>
          <w:tcPr>
            <w:tcW w:w="7960" w:type="dxa"/>
            <w:vAlign w:val="bottom"/>
            <w:gridSpan w:val="18"/>
          </w:tcPr>
          <w:p>
            <w:pPr>
              <w:spacing w:after="0"/>
              <w:rPr>
                <w:sz w:val="17"/>
                <w:szCs w:val="17"/>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Registration Rights Agreement, dated July 9, 2020, between the Company and the United States Department of the Treasury</w:t>
              </w:r>
            </w:hyperlink>
          </w:p>
        </w:tc>
        <w:tc>
          <w:tcPr>
            <w:tcW w:w="960" w:type="dxa"/>
            <w:vAlign w:val="bottom"/>
            <w:gridSpan w:val="1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Exhibit 10.3 to the Quarterly Report on Form 10-Q for the quarter ended June 30, 2020, File No. 000-</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80"/>
              <w:spacing w:after="0" w:line="196" w:lineRule="exact"/>
              <w:rPr>
                <w:rFonts w:ascii="Times New Roman" w:cs="Times New Roman" w:eastAsia="Times New Roman" w:hAnsi="Times New Roman"/>
                <w:sz w:val="18"/>
                <w:szCs w:val="18"/>
                <w:color w:val="0000EE"/>
                <w:w w:val="93"/>
              </w:rPr>
            </w:pPr>
            <w:hyperlink r:id="rId56">
              <w:r>
                <w:rPr>
                  <w:rFonts w:ascii="Times New Roman" w:cs="Times New Roman" w:eastAsia="Times New Roman" w:hAnsi="Times New Roman"/>
                  <w:sz w:val="18"/>
                  <w:szCs w:val="18"/>
                  <w:color w:val="0000EE"/>
                  <w:w w:val="93"/>
                </w:rPr>
                <w:t>12255).</w:t>
              </w:r>
            </w:hyperlink>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UST Tranche A Term Loan Credit Agreement, dated July 7, 2020, by and among the Company, as borrower, the subsidiaries of the</w:t>
              </w:r>
            </w:hyperlink>
          </w:p>
        </w:tc>
        <w:tc>
          <w:tcPr>
            <w:tcW w:w="460" w:type="dxa"/>
            <w:vAlign w:val="bottom"/>
            <w:gridSpan w:val="8"/>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borrower party thereto from time to time, the lenders from time to time party thereto, and The Bank of New York Mellon, as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administrative agent and collateral agent for the lenders (incorporated by reference to Exhibit 10.4 to the Quarterly Report on Form 10-Q</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for the quarter ended June 30, 2020, File No. 000-12255).</w:t>
              </w:r>
            </w:hyperlink>
          </w:p>
        </w:tc>
        <w:tc>
          <w:tcPr>
            <w:tcW w:w="5760" w:type="dxa"/>
            <w:vAlign w:val="bottom"/>
            <w:gridSpan w:val="16"/>
          </w:tcPr>
          <w:p>
            <w:pPr>
              <w:spacing w:after="0"/>
              <w:rPr>
                <w:sz w:val="17"/>
                <w:szCs w:val="17"/>
                <w:color w:val="auto"/>
              </w:rPr>
            </w:pPr>
          </w:p>
        </w:tc>
      </w:tr>
      <w:tr>
        <w:trPr>
          <w:trHeight w:val="34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UST Tranche B Term Loan Credit Agreement, dated July 7, 2020, by and among the Company, as borrower, the subsidiaries of the</w:t>
              </w:r>
            </w:hyperlink>
          </w:p>
        </w:tc>
        <w:tc>
          <w:tcPr>
            <w:tcW w:w="500" w:type="dxa"/>
            <w:vAlign w:val="bottom"/>
            <w:gridSpan w:val="9"/>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borrower party thereto from time to time, the lenders from time to time party thereto, and The Bank of New York Mellon, as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administrative agent and collateral agent for the lenders (incorporated by reference to Exhibit 10.5 to the Quarterly Report on Form 10-Q</w:t>
              </w:r>
            </w:hyperlink>
          </w:p>
        </w:tc>
        <w:tc>
          <w:tcPr>
            <w:tcW w:w="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for the quarter ended June 30, 2020, File No. 000-12255).</w:t>
              </w:r>
            </w:hyperlink>
          </w:p>
        </w:tc>
        <w:tc>
          <w:tcPr>
            <w:tcW w:w="5760" w:type="dxa"/>
            <w:vAlign w:val="bottom"/>
            <w:gridSpan w:val="16"/>
          </w:tcPr>
          <w:p>
            <w:pPr>
              <w:spacing w:after="0"/>
              <w:rPr>
                <w:sz w:val="17"/>
                <w:szCs w:val="17"/>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Amendment No. 6 to Loan and Security Agreement, dated July 7, 2020, by and among the Company, certain of the Company’s</w:t>
              </w:r>
            </w:hyperlink>
          </w:p>
        </w:tc>
        <w:tc>
          <w:tcPr>
            <w:tcW w:w="780" w:type="dxa"/>
            <w:vAlign w:val="bottom"/>
            <w:gridSpan w:val="11"/>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subsidiaries party thereto, the lenders party thereto and Citizens Business Capital, as agent (incorporated by reference to Exhibit 10.6 to</w:t>
              </w:r>
            </w:hyperlink>
          </w:p>
        </w:tc>
        <w:tc>
          <w:tcPr>
            <w:tcW w:w="160" w:type="dxa"/>
            <w:vAlign w:val="bottom"/>
            <w:gridSpan w:val="3"/>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the Quarterly Report on Form 10-Q for the quarter ended June 30, 2020, File No. 000-12255).</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4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Amendment No. 2 to Amended and Restated Credit Agreement, dated July 7, 2020, by and among the Company, as borrower, the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subsidiaries of the borrower party thereto from time to time, the lenders from time to time party thereto, and Alter Domus Products Corp.,</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as administrative agent and collateral agent for the lenders (incorporated by reference to Exhibit 10.8 to the Quarterly Report on Form 10-</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Q for the quarter ended June 30, 2020, File No. 000-12255).</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Certification of Darren D. Hawkins filed pursuant to Exchange Act Rules 13a-14 and 15d-14, as adopted pursuant to Section 302 of the</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Sarbanes-Oxley Act of 2002.</w:t>
              </w:r>
            </w:hyperlink>
          </w:p>
        </w:tc>
        <w:tc>
          <w:tcPr>
            <w:tcW w:w="180" w:type="dxa"/>
            <w:vAlign w:val="bottom"/>
            <w:gridSpan w:val="4"/>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Certification of Daniel L. Olivier filed pursuant to Exchange Act Rules 13a-14 and 15d-14, as adopted pursuant to Section 302 of the</w:t>
              </w:r>
            </w:hyperlink>
          </w:p>
        </w:tc>
        <w:tc>
          <w:tcPr>
            <w:tcW w:w="340" w:type="dxa"/>
            <w:vAlign w:val="bottom"/>
            <w:gridSpan w:val="6"/>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2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Sarbanes-Oxley Act of 2002.</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Certification of Darren D. Hawkins furnished pursuant to 18 U.S.C. Section 1350, as adopted pursuant to Section 906 of the Sarbanes-</w:t>
              </w:r>
            </w:hyperlink>
          </w:p>
        </w:tc>
        <w:tc>
          <w:tcPr>
            <w:tcW w:w="240" w:type="dxa"/>
            <w:vAlign w:val="bottom"/>
            <w:gridSpan w:val="5"/>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Oxley Act of 2002.</w:t>
              </w:r>
            </w:hyperlink>
          </w:p>
        </w:tc>
        <w:tc>
          <w:tcPr>
            <w:tcW w:w="8540" w:type="dxa"/>
            <w:vAlign w:val="bottom"/>
            <w:gridSpan w:val="19"/>
          </w:tcPr>
          <w:p>
            <w:pPr>
              <w:spacing w:after="0"/>
              <w:rPr>
                <w:sz w:val="17"/>
                <w:szCs w:val="17"/>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Daniel L. Olivier furnished pursuant to 18 U.S.C. Section 1350, as adopted pursuant to Section 906 of the Sarbanes-</w:t>
              </w:r>
            </w:hyperlink>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Oxley Act of 2002.</w:t>
              </w:r>
            </w:hyperlink>
          </w:p>
        </w:tc>
        <w:tc>
          <w:tcPr>
            <w:tcW w:w="8120" w:type="dxa"/>
            <w:vAlign w:val="bottom"/>
            <w:tcBorders>
              <w:top w:val="single" w:sz="8" w:color="0000EE"/>
            </w:tcBorders>
            <w:gridSpan w:val="12"/>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36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Interline XBRL document.</w:t>
            </w:r>
          </w:p>
        </w:tc>
      </w:tr>
      <w:tr>
        <w:trPr>
          <w:trHeight w:val="365"/>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00" w:hanging="129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ind w:left="740" w:hanging="732"/>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documents filed herewith.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YRC WORLDWIDE INC.</w:t>
            </w: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00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Darren D. Hawkins</w:t>
            </w:r>
          </w:p>
        </w:tc>
      </w:tr>
      <w:tr>
        <w:trPr>
          <w:trHeight w:val="191"/>
        </w:trPr>
        <w:tc>
          <w:tcPr>
            <w:tcW w:w="3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Darren D. Hawkins</w:t>
            </w:r>
          </w:p>
        </w:tc>
      </w:tr>
      <w:tr>
        <w:trPr>
          <w:trHeight w:val="234"/>
        </w:trPr>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00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Olivier</w:t>
            </w:r>
          </w:p>
        </w:tc>
      </w:tr>
      <w:tr>
        <w:trPr>
          <w:trHeight w:val="191"/>
        </w:trPr>
        <w:tc>
          <w:tcPr>
            <w:tcW w:w="3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L. Olivier</w:t>
            </w:r>
          </w:p>
        </w:tc>
      </w:tr>
      <w:tr>
        <w:trPr>
          <w:trHeight w:val="234"/>
        </w:trPr>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702"/>
        </w:trPr>
        <w:tc>
          <w:tcPr>
            <w:tcW w:w="3660" w:type="dxa"/>
            <w:vAlign w:val="bottom"/>
          </w:tcPr>
          <w:p>
            <w:pPr>
              <w:spacing w:after="0"/>
              <w:rPr>
                <w:sz w:val="24"/>
                <w:szCs w:val="24"/>
                <w:color w:val="auto"/>
              </w:rPr>
            </w:pPr>
          </w:p>
        </w:tc>
        <w:tc>
          <w:tcPr>
            <w:tcW w:w="75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AMENDED AND RESTATED BYLAWS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YRC WORLDWIDE INC.</w:t>
      </w:r>
    </w:p>
    <w:p>
      <w:pPr>
        <w:spacing w:after="0" w:line="176" w:lineRule="exact"/>
        <w:rPr>
          <w:sz w:val="20"/>
          <w:szCs w:val="20"/>
          <w:color w:val="auto"/>
        </w:rPr>
      </w:pPr>
    </w:p>
    <w:p>
      <w:pPr>
        <w:ind w:right="640" w:firstLine="589"/>
        <w:spacing w:after="0" w:line="247" w:lineRule="auto"/>
        <w:rPr>
          <w:sz w:val="20"/>
          <w:szCs w:val="20"/>
          <w:color w:val="auto"/>
        </w:rPr>
      </w:pPr>
      <w:r>
        <w:rPr>
          <w:rFonts w:ascii="Times New Roman" w:cs="Times New Roman" w:eastAsia="Times New Roman" w:hAnsi="Times New Roman"/>
          <w:sz w:val="22"/>
          <w:szCs w:val="22"/>
          <w:color w:val="auto"/>
        </w:rPr>
        <w:t>This Amendment to the Amended and Restated Bylaws (adopted as of September 16, 2011)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of YRC Worldwide Inc., a Delaware corporation, is made as of this 27th day of October 2020. Any capitalized terms used but not otherwise defined herein shall have the meaning given to it in the Bylaws.</w:t>
      </w:r>
    </w:p>
    <w:p>
      <w:pPr>
        <w:spacing w:after="0" w:line="170" w:lineRule="exact"/>
        <w:rPr>
          <w:sz w:val="20"/>
          <w:szCs w:val="20"/>
          <w:color w:val="auto"/>
        </w:rPr>
      </w:pPr>
    </w:p>
    <w:p>
      <w:pPr>
        <w:ind w:left="600" w:right="1580" w:hanging="3"/>
        <w:spacing w:after="0" w:line="435" w:lineRule="auto"/>
        <w:tabs>
          <w:tab w:leader="none" w:pos="96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 Section 5.3 of the Bylaws is hereby deleted in its entirety and replaced with the following: “</w:t>
      </w:r>
      <w:r>
        <w:rPr>
          <w:rFonts w:ascii="Times New Roman" w:cs="Times New Roman" w:eastAsia="Times New Roman" w:hAnsi="Times New Roman"/>
          <w:sz w:val="22"/>
          <w:szCs w:val="22"/>
          <w:b w:val="1"/>
          <w:bCs w:val="1"/>
          <w:color w:val="auto"/>
        </w:rPr>
        <w:t>Section 5.3 Alternative Members and Ex Officio Members.</w:t>
      </w:r>
    </w:p>
    <w:p>
      <w:pPr>
        <w:spacing w:after="0" w:line="1" w:lineRule="exact"/>
        <w:rPr>
          <w:sz w:val="20"/>
          <w:szCs w:val="20"/>
          <w:color w:val="auto"/>
        </w:rPr>
      </w:pPr>
    </w:p>
    <w:p>
      <w:pPr>
        <w:ind w:left="600" w:right="80" w:hanging="6"/>
        <w:spacing w:after="0" w:line="239" w:lineRule="auto"/>
        <w:tabs>
          <w:tab w:leader="none" w:pos="89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one or more series of Preferred Stock, voting separately by class or series, to replace members to sit on a committee pursuant to the terms of any Preferred Stock Designation, the Board may designate one or more directors as alternate members of any committee, who may replace any absent or disqualified member at any meeting of such committee.</w:t>
      </w:r>
    </w:p>
    <w:p>
      <w:pPr>
        <w:spacing w:after="0" w:line="180" w:lineRule="exact"/>
        <w:rPr>
          <w:rFonts w:ascii="Times New Roman" w:cs="Times New Roman" w:eastAsia="Times New Roman" w:hAnsi="Times New Roman"/>
          <w:sz w:val="22"/>
          <w:szCs w:val="22"/>
          <w:color w:val="auto"/>
        </w:rPr>
      </w:pPr>
    </w:p>
    <w:p>
      <w:pPr>
        <w:ind w:left="600" w:hanging="6"/>
        <w:spacing w:after="0" w:line="247" w:lineRule="auto"/>
        <w:tabs>
          <w:tab w:leader="none" w:pos="90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Chairman of the Board and the Chief Executive Officer shall serve as ex-officio members of all committees of the Board on which each does not otherwise serve as a member, in each case to the extent permitted by applicable law, regulation or stock exchange requirements. Each ex-officio member or members of any committee shall be entitled to be present in person, to present matters for consideration and to take part in consideration of any business by the committee at any meeting of the committee, but which ex-officio member or members shall not be counted for purposes of a quorum nor for purposes of voting or otherwise in any way for purposes of authorizing any act or other transaction of business by such committee. The Chairman of the Board as an ex-officio member may notice and call any meeting of a committee in accordance with the procedures set for by the committee in accordance with Section 5.4 below.”</w:t>
      </w:r>
    </w:p>
    <w:p>
      <w:pPr>
        <w:spacing w:after="0" w:line="171" w:lineRule="exact"/>
        <w:rPr>
          <w:rFonts w:ascii="Times New Roman" w:cs="Times New Roman" w:eastAsia="Times New Roman" w:hAnsi="Times New Roman"/>
          <w:sz w:val="21"/>
          <w:szCs w:val="21"/>
          <w:color w:val="auto"/>
        </w:rPr>
      </w:pPr>
    </w:p>
    <w:p>
      <w:pPr>
        <w:ind w:left="6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Except as hereby amended, the Bylaws shall in all other respects remain in full force and effect.</w:t>
      </w:r>
    </w:p>
    <w:p>
      <w:pPr>
        <w:sectPr>
          <w:pgSz w:w="11900" w:h="16838" w:orient="portrait"/>
          <w:cols w:equalWidth="0" w:num="1">
            <w:col w:w="11240"/>
          </w:cols>
          <w:pgMar w:left="320" w:top="55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D. Hawkins,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225"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240" w:hanging="532"/>
        <w:spacing w:after="0" w:line="26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60" w:hanging="526"/>
        <w:spacing w:after="0" w:line="266" w:lineRule="auto"/>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60" w:right="280" w:hanging="526"/>
        <w:spacing w:after="0" w:line="266" w:lineRule="auto"/>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60" w:right="460" w:hanging="526"/>
        <w:spacing w:after="0" w:line="312" w:lineRule="auto"/>
        <w:tabs>
          <w:tab w:leader="none" w:pos="10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60" w:right="160" w:hanging="526"/>
        <w:spacing w:after="0" w:line="266" w:lineRule="auto"/>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700" w:hanging="526"/>
        <w:spacing w:after="0" w:line="282" w:lineRule="auto"/>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380" w:hanging="526"/>
        <w:spacing w:after="0" w:line="282" w:lineRule="auto"/>
        <w:tabs>
          <w:tab w:leader="none" w:pos="10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4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Darren D. Hawkins</w:t>
            </w:r>
          </w:p>
        </w:tc>
      </w:tr>
      <w:tr>
        <w:trPr>
          <w:trHeight w:val="191"/>
        </w:trPr>
        <w:tc>
          <w:tcPr>
            <w:tcW w:w="6680" w:type="dxa"/>
            <w:vAlign w:val="bottom"/>
          </w:tcPr>
          <w:p>
            <w:pPr>
              <w:spacing w:after="0"/>
              <w:rPr>
                <w:sz w:val="16"/>
                <w:szCs w:val="16"/>
                <w:color w:val="auto"/>
              </w:rPr>
            </w:pPr>
          </w:p>
        </w:tc>
        <w:tc>
          <w:tcPr>
            <w:tcW w:w="4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Darren D. Hawkins</w:t>
            </w:r>
          </w:p>
        </w:tc>
      </w:tr>
      <w:tr>
        <w:trPr>
          <w:trHeight w:val="234"/>
        </w:trPr>
        <w:tc>
          <w:tcPr>
            <w:tcW w:w="6680" w:type="dxa"/>
            <w:vAlign w:val="bottom"/>
          </w:tcPr>
          <w:p>
            <w:pPr>
              <w:spacing w:after="0"/>
              <w:rPr>
                <w:sz w:val="20"/>
                <w:szCs w:val="20"/>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L. Olivier,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YRC Worldwide Inc.;</w:t>
      </w:r>
    </w:p>
    <w:p>
      <w:pPr>
        <w:spacing w:after="0" w:line="225" w:lineRule="exact"/>
        <w:rPr>
          <w:rFonts w:ascii="Times New Roman" w:cs="Times New Roman" w:eastAsia="Times New Roman" w:hAnsi="Times New Roman"/>
          <w:sz w:val="18"/>
          <w:szCs w:val="18"/>
          <w:color w:val="auto"/>
        </w:rPr>
      </w:pPr>
    </w:p>
    <w:p>
      <w:pPr>
        <w:jc w:val="both"/>
        <w:ind w:left="540" w:right="240" w:hanging="532"/>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40" w:right="240" w:hanging="532"/>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60" w:hanging="526"/>
        <w:spacing w:after="0" w:line="266" w:lineRule="auto"/>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60" w:right="280" w:hanging="526"/>
        <w:spacing w:after="0" w:line="266" w:lineRule="auto"/>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60" w:right="460" w:hanging="526"/>
        <w:spacing w:after="0" w:line="312" w:lineRule="auto"/>
        <w:tabs>
          <w:tab w:leader="none" w:pos="10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60" w:right="160" w:hanging="526"/>
        <w:spacing w:after="0" w:line="266" w:lineRule="auto"/>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700" w:hanging="526"/>
        <w:spacing w:after="0" w:line="282" w:lineRule="auto"/>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380" w:hanging="526"/>
        <w:spacing w:after="0" w:line="282" w:lineRule="auto"/>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Daniel L. Olivier</w:t>
            </w:r>
          </w:p>
        </w:tc>
      </w:tr>
      <w:tr>
        <w:trPr>
          <w:trHeight w:val="191"/>
        </w:trPr>
        <w:tc>
          <w:tcPr>
            <w:tcW w:w="6680" w:type="dxa"/>
            <w:vAlign w:val="bottom"/>
          </w:tcPr>
          <w:p>
            <w:pPr>
              <w:spacing w:after="0"/>
              <w:rPr>
                <w:sz w:val="16"/>
                <w:szCs w:val="16"/>
                <w:color w:val="auto"/>
              </w:rPr>
            </w:pPr>
          </w:p>
        </w:tc>
        <w:tc>
          <w:tcPr>
            <w:tcW w:w="4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L. Olivier</w:t>
            </w:r>
          </w:p>
        </w:tc>
      </w:tr>
      <w:tr>
        <w:trPr>
          <w:trHeight w:val="234"/>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2020,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176"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Darren D. Hawkins</w:t>
            </w:r>
          </w:p>
        </w:tc>
      </w:tr>
      <w:tr>
        <w:trPr>
          <w:trHeight w:val="191"/>
        </w:trPr>
        <w:tc>
          <w:tcPr>
            <w:tcW w:w="6680" w:type="dxa"/>
            <w:vAlign w:val="bottom"/>
          </w:tcPr>
          <w:p>
            <w:pPr>
              <w:spacing w:after="0"/>
              <w:rPr>
                <w:sz w:val="16"/>
                <w:szCs w:val="16"/>
                <w:color w:val="auto"/>
              </w:rPr>
            </w:pPr>
          </w:p>
        </w:tc>
        <w:tc>
          <w:tcPr>
            <w:tcW w:w="4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Darren D. Hawkins</w:t>
            </w:r>
          </w:p>
        </w:tc>
      </w:tr>
      <w:tr>
        <w:trPr>
          <w:trHeight w:val="234"/>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YRC Worldwide Inc. on Form 10-Q for the period ended September 30, 2020, as filed with the Securities and Exchange Commission on the date hereof (the “Report”), I, Daniel L. Olivier, Interim Chief Financial Officer of YRC Worldwide Inc., certify, pursuant to 18 U.S.C. Section 1350, as adopted pursuant to Section 906 of the Sarbanes-Oxley Act of 2002, that:</w:t>
      </w:r>
    </w:p>
    <w:p>
      <w:pPr>
        <w:spacing w:after="0" w:line="176"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YRC Worldwide Inc.</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Daniel L. Olivier</w:t>
            </w:r>
          </w:p>
        </w:tc>
      </w:tr>
      <w:tr>
        <w:trPr>
          <w:trHeight w:val="191"/>
        </w:trPr>
        <w:tc>
          <w:tcPr>
            <w:tcW w:w="6680" w:type="dxa"/>
            <w:vAlign w:val="bottom"/>
          </w:tcPr>
          <w:p>
            <w:pPr>
              <w:spacing w:after="0"/>
              <w:rPr>
                <w:sz w:val="16"/>
                <w:szCs w:val="16"/>
                <w:color w:val="auto"/>
              </w:rPr>
            </w:pPr>
          </w:p>
        </w:tc>
        <w:tc>
          <w:tcPr>
            <w:tcW w:w="4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L. Olivier</w:t>
            </w:r>
          </w:p>
        </w:tc>
      </w:tr>
      <w:tr>
        <w:trPr>
          <w:trHeight w:val="234"/>
        </w:trPr>
        <w:tc>
          <w:tcPr>
            <w:tcW w:w="668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lvl w:ilvl="1">
      <w:lvlJc w:val="left"/>
      <w:lvlText w:val="(%2)"/>
      <w:numFmt w:val="lowerRoman"/>
      <w:start w:val="2"/>
    </w:lvl>
  </w:abstractNum>
  <w:abstractNum w:abstractNumId="8">
    <w:nsid w:val="519B500D"/>
    <w:multiLevelType w:val="hybridMultilevel"/>
    <w:lvl w:ilvl="0">
      <w:lvlJc w:val="left"/>
      <w:lvlText w:val="o"/>
      <w:numFmt w:val="bullet"/>
      <w:start w:val="1"/>
    </w:lvl>
  </w:abstractNum>
  <w:abstractNum w:abstractNumId="9">
    <w:nsid w:val="431BD7B7"/>
    <w:multiLevelType w:val="hybridMultilevel"/>
    <w:lvl w:ilvl="0">
      <w:lvlJc w:val="left"/>
      <w:lvlText w:val="o"/>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decimal"/>
      <w:start w:val="104"/>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55" Type="http://schemas.openxmlformats.org/officeDocument/2006/relationships/hyperlink" Target="http://www.sec.gov/Archives/edgar/data/716006/000156459020035521/yrcw-ex102_570.htm" TargetMode="External"/><Relationship Id="rId56" Type="http://schemas.openxmlformats.org/officeDocument/2006/relationships/hyperlink" Target="http://www.sec.gov/Archives/edgar/data/716006/000156459020035521/yrcw-ex103_569.htm" TargetMode="External"/><Relationship Id="rId57" Type="http://schemas.openxmlformats.org/officeDocument/2006/relationships/hyperlink" Target="http://www.sec.gov/Archives/edgar/data/716006/000156459020035521/yrcw-ex104_568.htm" TargetMode="External"/><Relationship Id="rId58" Type="http://schemas.openxmlformats.org/officeDocument/2006/relationships/hyperlink" Target="http://www.sec.gov/Archives/edgar/data/716006/000156459020035521/yrcw-ex105_567.htm" TargetMode="External"/><Relationship Id="rId59" Type="http://schemas.openxmlformats.org/officeDocument/2006/relationships/hyperlink" Target="http://www.sec.gov/Archives/edgar/data/716006/000156459020035521/yrcw-ex106_589.htm" TargetMode="External"/><Relationship Id="rId60" Type="http://schemas.openxmlformats.org/officeDocument/2006/relationships/hyperlink" Target="http://www.sec.gov/Archives/edgar/data/716006/000156459020035521/yrcw-ex108_5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2020-11-02T15:21:33Z</dcterms:created>
  <dcterms:modified xsi:type="dcterms:W3CDTF">2020-11-02T15:21:33Z</dcterms:modified>
</cp:coreProperties>
</file>