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9"/>
        <w:spacing w:after="0"/>
        <w:rPr>
          <w:sz w:val="20"/>
          <w:szCs w:val="20"/>
          <w:color w:val="auto"/>
        </w:rPr>
      </w:pPr>
      <w:r>
        <w:rPr>
          <w:rFonts w:ascii="Courier New" w:cs="Courier New" w:eastAsia="Courier New" w:hAnsi="Courier New"/>
          <w:sz w:val="15"/>
          <w:szCs w:val="15"/>
          <w:color w:val="auto"/>
        </w:rPr>
        <w:t>1</w:t>
      </w:r>
    </w:p>
    <w:p>
      <w:pPr>
        <w:spacing w:after="0" w:line="171" w:lineRule="exact"/>
        <w:rPr>
          <w:sz w:val="24"/>
          <w:szCs w:val="24"/>
          <w:color w:val="auto"/>
        </w:rPr>
      </w:pPr>
    </w:p>
    <w:p>
      <w:pPr>
        <w:jc w:val="center"/>
        <w:ind w:right="3130"/>
        <w:spacing w:after="0"/>
        <w:rPr>
          <w:sz w:val="20"/>
          <w:szCs w:val="20"/>
          <w:color w:val="auto"/>
        </w:rPr>
      </w:pPr>
      <w:r>
        <w:rPr>
          <w:rFonts w:ascii="Courier New" w:cs="Courier New" w:eastAsia="Courier New" w:hAnsi="Courier New"/>
          <w:sz w:val="15"/>
          <w:szCs w:val="15"/>
          <w:color w:val="auto"/>
        </w:rPr>
        <w:t>UNITED STATES SECURITIES AND EXCHANGE COMMISSION</w:t>
      </w:r>
    </w:p>
    <w:p>
      <w:pPr>
        <w:spacing w:after="0" w:line="1" w:lineRule="exact"/>
        <w:rPr>
          <w:sz w:val="24"/>
          <w:szCs w:val="24"/>
          <w:color w:val="auto"/>
        </w:rPr>
      </w:pPr>
    </w:p>
    <w:p>
      <w:pPr>
        <w:jc w:val="center"/>
        <w:ind w:right="3210"/>
        <w:spacing w:after="0"/>
        <w:tabs>
          <w:tab w:leader="none" w:pos="160" w:val="left"/>
        </w:tabs>
        <w:rPr>
          <w:sz w:val="20"/>
          <w:szCs w:val="20"/>
          <w:color w:val="auto"/>
        </w:rPr>
      </w:pPr>
      <w:r>
        <w:rPr>
          <w:rFonts w:ascii="Courier New" w:cs="Courier New" w:eastAsia="Courier New" w:hAnsi="Courier New"/>
          <w:sz w:val="15"/>
          <w:szCs w:val="15"/>
          <w:color w:val="auto"/>
        </w:rPr>
        <w:t>WASHINGTON, D.C.</w:t>
      </w:r>
      <w:r>
        <w:rPr>
          <w:sz w:val="20"/>
          <w:szCs w:val="20"/>
          <w:color w:val="auto"/>
        </w:rPr>
        <w:tab/>
      </w:r>
      <w:r>
        <w:rPr>
          <w:rFonts w:ascii="Courier New" w:cs="Courier New" w:eastAsia="Courier New" w:hAnsi="Courier New"/>
          <w:sz w:val="14"/>
          <w:szCs w:val="14"/>
          <w:color w:val="auto"/>
        </w:rPr>
        <w:t>20549</w:t>
      </w:r>
    </w:p>
    <w:p>
      <w:pPr>
        <w:spacing w:after="0" w:line="1" w:lineRule="exact"/>
        <w:rPr>
          <w:sz w:val="24"/>
          <w:szCs w:val="24"/>
          <w:color w:val="auto"/>
        </w:rPr>
      </w:pPr>
    </w:p>
    <w:p>
      <w:pPr>
        <w:jc w:val="center"/>
        <w:ind w:right="3210"/>
        <w:spacing w:after="0"/>
        <w:rPr>
          <w:sz w:val="20"/>
          <w:szCs w:val="20"/>
          <w:color w:val="auto"/>
        </w:rPr>
      </w:pPr>
      <w:r>
        <w:rPr>
          <w:rFonts w:ascii="Courier New" w:cs="Courier New" w:eastAsia="Courier New" w:hAnsi="Courier New"/>
          <w:sz w:val="15"/>
          <w:szCs w:val="15"/>
          <w:color w:val="auto"/>
        </w:rPr>
        <w:t>FORM 10-K</w:t>
      </w:r>
    </w:p>
    <w:p>
      <w:pPr>
        <w:spacing w:after="0" w:line="171" w:lineRule="exact"/>
        <w:rPr>
          <w:sz w:val="24"/>
          <w:szCs w:val="24"/>
          <w:color w:val="auto"/>
        </w:rPr>
      </w:pPr>
    </w:p>
    <w:p>
      <w:pPr>
        <w:ind w:left="9"/>
        <w:spacing w:after="0"/>
        <w:rPr>
          <w:sz w:val="20"/>
          <w:szCs w:val="20"/>
          <w:color w:val="auto"/>
        </w:rPr>
      </w:pPr>
      <w:r>
        <w:rPr>
          <w:rFonts w:ascii="Courier New" w:cs="Courier New" w:eastAsia="Courier New" w:hAnsi="Courier New"/>
          <w:sz w:val="15"/>
          <w:szCs w:val="15"/>
          <w:color w:val="auto"/>
        </w:rPr>
        <w:t>(Mark One)</w:t>
      </w:r>
    </w:p>
    <w:p>
      <w:pPr>
        <w:spacing w:after="0" w:line="174" w:lineRule="exact"/>
        <w:rPr>
          <w:sz w:val="24"/>
          <w:szCs w:val="24"/>
          <w:color w:val="auto"/>
        </w:rPr>
      </w:pPr>
    </w:p>
    <w:p>
      <w:pPr>
        <w:ind w:left="1509" w:right="4279" w:hanging="1509"/>
        <w:spacing w:after="0" w:line="271" w:lineRule="auto"/>
        <w:tabs>
          <w:tab w:leader="none" w:pos="1509"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REPORT PURSUANT TO SECTION 13 OR 15(d) OF THE SECURITIES EXCHANGE ACT OF 1934 [FEE REQUIRED]</w:t>
      </w:r>
    </w:p>
    <w:p>
      <w:pPr>
        <w:spacing w:after="0" w:line="151" w:lineRule="exact"/>
        <w:rPr>
          <w:sz w:val="24"/>
          <w:szCs w:val="24"/>
          <w:color w:val="auto"/>
        </w:rPr>
      </w:pPr>
    </w:p>
    <w:p>
      <w:pPr>
        <w:ind w:left="9"/>
        <w:spacing w:after="0"/>
        <w:rPr>
          <w:sz w:val="20"/>
          <w:szCs w:val="20"/>
          <w:color w:val="auto"/>
        </w:rPr>
      </w:pPr>
      <w:r>
        <w:rPr>
          <w:rFonts w:ascii="Courier New" w:cs="Courier New" w:eastAsia="Courier New" w:hAnsi="Courier New"/>
          <w:sz w:val="15"/>
          <w:szCs w:val="15"/>
          <w:color w:val="auto"/>
        </w:rPr>
        <w:t>For the fiscal year ended December 31, 1994</w:t>
      </w:r>
    </w:p>
    <w:p>
      <w:pPr>
        <w:spacing w:after="0" w:line="171" w:lineRule="exact"/>
        <w:rPr>
          <w:sz w:val="24"/>
          <w:szCs w:val="24"/>
          <w:color w:val="auto"/>
        </w:rPr>
      </w:pPr>
    </w:p>
    <w:p>
      <w:pPr>
        <w:ind w:left="3469"/>
        <w:spacing w:after="0"/>
        <w:rPr>
          <w:sz w:val="20"/>
          <w:szCs w:val="20"/>
          <w:color w:val="auto"/>
        </w:rPr>
      </w:pPr>
      <w:r>
        <w:rPr>
          <w:rFonts w:ascii="Courier New" w:cs="Courier New" w:eastAsia="Courier New" w:hAnsi="Courier New"/>
          <w:sz w:val="15"/>
          <w:szCs w:val="15"/>
          <w:color w:val="auto"/>
        </w:rPr>
        <w:t>OR</w:t>
      </w:r>
    </w:p>
    <w:p>
      <w:pPr>
        <w:sectPr>
          <w:pgSz w:w="11900" w:h="16838" w:orient="portrait"/>
          <w:cols w:equalWidth="0" w:num="1">
            <w:col w:w="10228"/>
          </w:cols>
          <w:pgMar w:left="231" w:top="230" w:right="1440" w:bottom="1440" w:gutter="0" w:footer="0" w:header="0"/>
        </w:sectPr>
      </w:pPr>
    </w:p>
    <w:p>
      <w:pPr>
        <w:spacing w:after="0" w:line="174" w:lineRule="exact"/>
        <w:rPr>
          <w:sz w:val="24"/>
          <w:szCs w:val="24"/>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TRANSITION REPORT PURSUANT TO SECTION 13 OR 15(d) OF</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THE SECURITIES EXCHANGE ACT OF 1934 [NO FEE REQUIRED]</w:t>
      </w:r>
    </w:p>
    <w:p>
      <w:pPr>
        <w:spacing w:after="0" w:line="183" w:lineRule="exact"/>
        <w:rPr>
          <w:sz w:val="24"/>
          <w:szCs w:val="24"/>
          <w:color w:val="auto"/>
        </w:rPr>
      </w:pPr>
    </w:p>
    <w:p>
      <w:pPr>
        <w:sectPr>
          <w:pgSz w:w="11900" w:h="16838" w:orient="portrait"/>
          <w:cols w:equalWidth="0" w:num="2">
            <w:col w:w="789" w:space="720"/>
            <w:col w:w="8719"/>
          </w:cols>
          <w:pgMar w:left="231" w:top="230" w:right="1440" w:bottom="1440" w:gutter="0" w:footer="0" w:header="0"/>
          <w:type w:val="continuous"/>
        </w:sectPr>
      </w:pPr>
    </w:p>
    <w:p>
      <w:pPr>
        <w:ind w:left="9"/>
        <w:spacing w:after="0"/>
        <w:rPr>
          <w:sz w:val="20"/>
          <w:szCs w:val="20"/>
          <w:color w:val="auto"/>
        </w:rPr>
      </w:pPr>
      <w:r>
        <w:rPr>
          <w:rFonts w:ascii="Courier New" w:cs="Courier New" w:eastAsia="Courier New" w:hAnsi="Courier New"/>
          <w:sz w:val="14"/>
          <w:szCs w:val="14"/>
          <w:color w:val="auto"/>
        </w:rPr>
        <w:t>For the transition period from ____________________ to _______________________</w:t>
      </w:r>
    </w:p>
    <w:p>
      <w:pPr>
        <w:spacing w:after="0" w:line="180" w:lineRule="exact"/>
        <w:rPr>
          <w:sz w:val="24"/>
          <w:szCs w:val="24"/>
          <w:color w:val="auto"/>
        </w:rPr>
      </w:pPr>
    </w:p>
    <w:p>
      <w:pPr>
        <w:ind w:left="9"/>
        <w:spacing w:after="0"/>
        <w:rPr>
          <w:sz w:val="20"/>
          <w:szCs w:val="20"/>
          <w:color w:val="auto"/>
        </w:rPr>
      </w:pPr>
      <w:r>
        <w:rPr>
          <w:rFonts w:ascii="Courier New" w:cs="Courier New" w:eastAsia="Courier New" w:hAnsi="Courier New"/>
          <w:sz w:val="15"/>
          <w:szCs w:val="15"/>
          <w:color w:val="auto"/>
        </w:rPr>
        <w:t>Commission file number 0-12255</w:t>
      </w:r>
    </w:p>
    <w:p>
      <w:pPr>
        <w:spacing w:after="0" w:line="171" w:lineRule="exact"/>
        <w:rPr>
          <w:sz w:val="24"/>
          <w:szCs w:val="24"/>
          <w:color w:val="auto"/>
        </w:rPr>
      </w:pPr>
    </w:p>
    <w:p>
      <w:pPr>
        <w:ind w:left="2749"/>
        <w:spacing w:after="0"/>
        <w:rPr>
          <w:sz w:val="20"/>
          <w:szCs w:val="20"/>
          <w:color w:val="auto"/>
        </w:rPr>
      </w:pPr>
      <w:r>
        <w:rPr>
          <w:rFonts w:ascii="Courier New" w:cs="Courier New" w:eastAsia="Courier New" w:hAnsi="Courier New"/>
          <w:sz w:val="15"/>
          <w:szCs w:val="15"/>
          <w:color w:val="auto"/>
        </w:rPr>
        <w:t>YELLOW CORPORATION</w:t>
      </w:r>
    </w:p>
    <w:p>
      <w:pPr>
        <w:spacing w:after="0" w:line="1" w:lineRule="exact"/>
        <w:rPr>
          <w:sz w:val="24"/>
          <w:szCs w:val="24"/>
          <w:color w:val="auto"/>
        </w:rPr>
      </w:pPr>
    </w:p>
    <w:p>
      <w:pPr>
        <w:ind w:left="1069"/>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28"/>
          </w:cols>
          <w:pgMar w:left="231" w:top="230" w:right="1440" w:bottom="1440" w:gutter="0" w:footer="0" w:header="0"/>
          <w:type w:val="continuous"/>
        </w:sectPr>
      </w:pPr>
    </w:p>
    <w:p>
      <w:pPr>
        <w:spacing w:after="0" w:line="171" w:lineRule="exact"/>
        <w:rPr>
          <w:sz w:val="24"/>
          <w:szCs w:val="24"/>
          <w:color w:val="auto"/>
        </w:rPr>
      </w:pPr>
    </w:p>
    <w:p>
      <w:pPr>
        <w:ind w:left="1249"/>
        <w:spacing w:after="0"/>
        <w:rPr>
          <w:sz w:val="20"/>
          <w:szCs w:val="20"/>
          <w:color w:val="auto"/>
        </w:rPr>
      </w:pPr>
      <w:r>
        <w:rPr>
          <w:rFonts w:ascii="Courier New" w:cs="Courier New" w:eastAsia="Courier New" w:hAnsi="Courier New"/>
          <w:sz w:val="15"/>
          <w:szCs w:val="15"/>
          <w:color w:val="auto"/>
        </w:rPr>
        <w:t>Delaware</w:t>
      </w:r>
    </w:p>
    <w:p>
      <w:pPr>
        <w:spacing w:after="0" w:line="3" w:lineRule="exact"/>
        <w:rPr>
          <w:sz w:val="24"/>
          <w:szCs w:val="24"/>
          <w:color w:val="auto"/>
        </w:rPr>
      </w:pPr>
    </w:p>
    <w:p>
      <w:pPr>
        <w:ind w:left="349"/>
        <w:spacing w:after="0"/>
        <w:rPr>
          <w:sz w:val="20"/>
          <w:szCs w:val="20"/>
          <w:color w:val="auto"/>
        </w:rPr>
      </w:pPr>
      <w:r>
        <w:rPr>
          <w:rFonts w:ascii="Courier New" w:cs="Courier New" w:eastAsia="Courier New" w:hAnsi="Courier New"/>
          <w:sz w:val="14"/>
          <w:szCs w:val="14"/>
          <w:color w:val="auto"/>
        </w:rPr>
        <w:t>(State or other jurisdiction of</w:t>
      </w:r>
    </w:p>
    <w:p>
      <w:pPr>
        <w:spacing w:after="0" w:line="12" w:lineRule="exact"/>
        <w:rPr>
          <w:sz w:val="24"/>
          <w:szCs w:val="24"/>
          <w:color w:val="auto"/>
        </w:rPr>
      </w:pPr>
    </w:p>
    <w:p>
      <w:pPr>
        <w:ind w:left="449"/>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ind w:left="260"/>
        <w:spacing w:after="0"/>
        <w:rPr>
          <w:sz w:val="20"/>
          <w:szCs w:val="20"/>
          <w:color w:val="auto"/>
        </w:rPr>
      </w:pPr>
      <w:r>
        <w:rPr>
          <w:rFonts w:ascii="Courier New" w:cs="Courier New" w:eastAsia="Courier New" w:hAnsi="Courier New"/>
          <w:sz w:val="15"/>
          <w:szCs w:val="15"/>
          <w:color w:val="auto"/>
        </w:rPr>
        <w:t>48-0948788</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(I.R.S. Employer</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180" w:lineRule="exact"/>
        <w:rPr>
          <w:sz w:val="24"/>
          <w:szCs w:val="24"/>
          <w:color w:val="auto"/>
        </w:rPr>
      </w:pPr>
    </w:p>
    <w:p>
      <w:pPr>
        <w:sectPr>
          <w:pgSz w:w="11900" w:h="16838" w:orient="portrait"/>
          <w:cols w:equalWidth="0" w:num="2">
            <w:col w:w="4169" w:space="720"/>
            <w:col w:w="5339"/>
          </w:cols>
          <w:pgMar w:left="231" w:top="230" w:right="1440" w:bottom="1440" w:gutter="0" w:footer="0" w:header="0"/>
          <w:type w:val="continuous"/>
        </w:sectPr>
      </w:pPr>
    </w:p>
    <w:p>
      <w:pPr>
        <w:spacing w:after="0" w:line="3" w:lineRule="exact"/>
        <w:rPr>
          <w:sz w:val="24"/>
          <w:szCs w:val="24"/>
          <w:color w:val="auto"/>
        </w:rPr>
      </w:pPr>
    </w:p>
    <w:p>
      <w:pPr>
        <w:ind w:left="449" w:right="80" w:hanging="88"/>
        <w:spacing w:after="0" w:line="238" w:lineRule="auto"/>
        <w:rPr>
          <w:sz w:val="20"/>
          <w:szCs w:val="20"/>
          <w:color w:val="auto"/>
        </w:rPr>
      </w:pPr>
      <w:r>
        <w:rPr>
          <w:rFonts w:ascii="Courier New" w:cs="Courier New" w:eastAsia="Courier New" w:hAnsi="Courier New"/>
          <w:sz w:val="15"/>
          <w:szCs w:val="15"/>
          <w:color w:val="auto"/>
        </w:rPr>
        <w:t>10777 Barkley, P.O. Box 7563, Overland Park, Kansas (Address of principal executive offices)</w:t>
      </w:r>
    </w:p>
    <w:p>
      <w:pPr>
        <w:spacing w:after="0" w:line="20" w:lineRule="exact"/>
        <w:rPr>
          <w:sz w:val="24"/>
          <w:szCs w:val="24"/>
          <w:color w:val="auto"/>
        </w:rPr>
      </w:pPr>
      <w:r>
        <w:rPr>
          <w:sz w:val="24"/>
          <w:szCs w:val="24"/>
          <w:color w:val="auto"/>
        </w:rPr>
        <w:br w:type="column"/>
      </w:r>
    </w:p>
    <w:p>
      <w:pPr>
        <w:ind w:left="160"/>
        <w:spacing w:after="0"/>
        <w:rPr>
          <w:sz w:val="20"/>
          <w:szCs w:val="20"/>
          <w:color w:val="auto"/>
        </w:rPr>
      </w:pPr>
      <w:r>
        <w:rPr>
          <w:rFonts w:ascii="Courier New" w:cs="Courier New" w:eastAsia="Courier New" w:hAnsi="Courier New"/>
          <w:sz w:val="15"/>
          <w:szCs w:val="15"/>
          <w:color w:val="auto"/>
        </w:rPr>
        <w:t>66207</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179" w:lineRule="exact"/>
        <w:rPr>
          <w:sz w:val="24"/>
          <w:szCs w:val="24"/>
          <w:color w:val="auto"/>
        </w:rPr>
      </w:pPr>
    </w:p>
    <w:p>
      <w:pPr>
        <w:sectPr>
          <w:pgSz w:w="11900" w:h="16838" w:orient="portrait"/>
          <w:cols w:equalWidth="0" w:num="2">
            <w:col w:w="4969" w:space="720"/>
            <w:col w:w="4539"/>
          </w:cols>
          <w:pgMar w:left="231" w:top="230" w:right="1440" w:bottom="1440" w:gutter="0" w:footer="0" w:header="0"/>
          <w:type w:val="continuous"/>
        </w:sectPr>
      </w:pPr>
    </w:p>
    <w:p>
      <w:pPr>
        <w:ind w:left="449"/>
        <w:spacing w:after="0"/>
        <w:tabs>
          <w:tab w:leader="none" w:pos="5129" w:val="left"/>
        </w:tabs>
        <w:rPr>
          <w:sz w:val="20"/>
          <w:szCs w:val="20"/>
          <w:color w:val="auto"/>
        </w:rPr>
      </w:pPr>
      <w:r>
        <w:rPr>
          <w:rFonts w:ascii="Courier New" w:cs="Courier New" w:eastAsia="Courier New" w:hAnsi="Courier New"/>
          <w:sz w:val="15"/>
          <w:szCs w:val="15"/>
          <w:color w:val="auto"/>
        </w:rPr>
        <w:t>Registrant's telephone number, including area code:</w:t>
      </w:r>
      <w:r>
        <w:rPr>
          <w:sz w:val="20"/>
          <w:szCs w:val="20"/>
          <w:color w:val="auto"/>
        </w:rPr>
        <w:tab/>
      </w:r>
      <w:r>
        <w:rPr>
          <w:rFonts w:ascii="Courier New" w:cs="Courier New" w:eastAsia="Courier New" w:hAnsi="Courier New"/>
          <w:sz w:val="14"/>
          <w:szCs w:val="14"/>
          <w:color w:val="auto"/>
        </w:rPr>
        <w:t>(913) 967-4300</w:t>
      </w:r>
    </w:p>
    <w:p>
      <w:pPr>
        <w:spacing w:after="0" w:line="171" w:lineRule="exact"/>
        <w:rPr>
          <w:sz w:val="24"/>
          <w:szCs w:val="24"/>
          <w:color w:val="auto"/>
        </w:rPr>
      </w:pPr>
    </w:p>
    <w:p>
      <w:pPr>
        <w:ind w:left="889"/>
        <w:spacing w:after="0"/>
        <w:rPr>
          <w:sz w:val="20"/>
          <w:szCs w:val="20"/>
          <w:color w:val="auto"/>
        </w:rPr>
      </w:pPr>
      <w:r>
        <w:rPr>
          <w:rFonts w:ascii="Courier New" w:cs="Courier New" w:eastAsia="Courier New" w:hAnsi="Courier New"/>
          <w:sz w:val="15"/>
          <w:szCs w:val="15"/>
          <w:color w:val="auto"/>
        </w:rPr>
        <w:t>Securities registered pursuant to Section 12(b) of the Act:</w:t>
      </w:r>
    </w:p>
    <w:p>
      <w:pPr>
        <w:spacing w:after="0" w:line="171" w:lineRule="exact"/>
        <w:rPr>
          <w:sz w:val="24"/>
          <w:szCs w:val="24"/>
          <w:color w:val="auto"/>
        </w:rPr>
      </w:pPr>
    </w:p>
    <w:p>
      <w:pPr>
        <w:jc w:val="center"/>
        <w:ind w:right="3130"/>
        <w:spacing w:after="0"/>
        <w:rPr>
          <w:sz w:val="20"/>
          <w:szCs w:val="20"/>
          <w:color w:val="auto"/>
        </w:rPr>
      </w:pPr>
      <w:r>
        <w:rPr>
          <w:rFonts w:ascii="Courier New" w:cs="Courier New" w:eastAsia="Courier New" w:hAnsi="Courier New"/>
          <w:sz w:val="15"/>
          <w:szCs w:val="15"/>
          <w:color w:val="auto"/>
        </w:rPr>
        <w:t>NONE</w:t>
      </w:r>
    </w:p>
    <w:p>
      <w:pPr>
        <w:spacing w:after="0" w:line="171" w:lineRule="exact"/>
        <w:rPr>
          <w:sz w:val="24"/>
          <w:szCs w:val="24"/>
          <w:color w:val="auto"/>
        </w:rPr>
      </w:pPr>
    </w:p>
    <w:p>
      <w:pPr>
        <w:jc w:val="center"/>
        <w:ind w:right="3210"/>
        <w:spacing w:after="0"/>
        <w:rPr>
          <w:sz w:val="20"/>
          <w:szCs w:val="20"/>
          <w:color w:val="auto"/>
        </w:rPr>
      </w:pPr>
      <w:r>
        <w:rPr>
          <w:rFonts w:ascii="Courier New" w:cs="Courier New" w:eastAsia="Courier New" w:hAnsi="Courier New"/>
          <w:sz w:val="15"/>
          <w:szCs w:val="15"/>
          <w:color w:val="auto"/>
        </w:rPr>
        <w:t>Securities registered pursuant to Section 12(g) of the Act:</w:t>
      </w:r>
    </w:p>
    <w:p>
      <w:pPr>
        <w:spacing w:after="0" w:line="171" w:lineRule="exact"/>
        <w:rPr>
          <w:sz w:val="24"/>
          <w:szCs w:val="24"/>
          <w:color w:val="auto"/>
        </w:rPr>
      </w:pPr>
    </w:p>
    <w:p>
      <w:pPr>
        <w:ind w:left="2389"/>
        <w:spacing w:after="0"/>
        <w:rPr>
          <w:sz w:val="20"/>
          <w:szCs w:val="20"/>
          <w:color w:val="auto"/>
        </w:rPr>
      </w:pPr>
      <w:r>
        <w:rPr>
          <w:rFonts w:ascii="Courier New" w:cs="Courier New" w:eastAsia="Courier New" w:hAnsi="Courier New"/>
          <w:sz w:val="15"/>
          <w:szCs w:val="15"/>
          <w:color w:val="auto"/>
        </w:rPr>
        <w:t>Common Stock, $1 Par Value</w:t>
      </w:r>
    </w:p>
    <w:p>
      <w:pPr>
        <w:spacing w:after="0" w:line="1" w:lineRule="exact"/>
        <w:rPr>
          <w:sz w:val="24"/>
          <w:szCs w:val="24"/>
          <w:color w:val="auto"/>
        </w:rPr>
      </w:pPr>
    </w:p>
    <w:p>
      <w:pPr>
        <w:ind w:left="2129"/>
        <w:spacing w:after="0"/>
        <w:rPr>
          <w:sz w:val="20"/>
          <w:szCs w:val="20"/>
          <w:color w:val="auto"/>
        </w:rPr>
      </w:pPr>
      <w:r>
        <w:rPr>
          <w:rFonts w:ascii="Courier New" w:cs="Courier New" w:eastAsia="Courier New" w:hAnsi="Courier New"/>
          <w:sz w:val="15"/>
          <w:szCs w:val="15"/>
          <w:color w:val="auto"/>
        </w:rPr>
        <w:t>Preferred Stock Purchase Rights</w:t>
      </w:r>
    </w:p>
    <w:p>
      <w:pPr>
        <w:spacing w:after="0" w:line="1" w:lineRule="exact"/>
        <w:rPr>
          <w:sz w:val="24"/>
          <w:szCs w:val="24"/>
          <w:color w:val="auto"/>
        </w:rPr>
      </w:pPr>
    </w:p>
    <w:p>
      <w:pPr>
        <w:ind w:left="2849"/>
        <w:spacing w:after="0"/>
        <w:rPr>
          <w:sz w:val="20"/>
          <w:szCs w:val="20"/>
          <w:color w:val="auto"/>
        </w:rPr>
      </w:pPr>
      <w:r>
        <w:rPr>
          <w:rFonts w:ascii="Courier New" w:cs="Courier New" w:eastAsia="Courier New" w:hAnsi="Courier New"/>
          <w:sz w:val="15"/>
          <w:szCs w:val="15"/>
          <w:color w:val="auto"/>
        </w:rPr>
        <w:t>(Title of class)</w:t>
      </w:r>
    </w:p>
    <w:p>
      <w:pPr>
        <w:spacing w:after="0" w:line="174" w:lineRule="exact"/>
        <w:rPr>
          <w:sz w:val="24"/>
          <w:szCs w:val="24"/>
          <w:color w:val="auto"/>
        </w:rPr>
      </w:pPr>
    </w:p>
    <w:p>
      <w:pPr>
        <w:ind w:left="9" w:right="3219"/>
        <w:spacing w:after="0"/>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72" w:lineRule="exact"/>
        <w:rPr>
          <w:sz w:val="24"/>
          <w:szCs w:val="24"/>
          <w:color w:val="auto"/>
        </w:rPr>
      </w:pPr>
    </w:p>
    <w:p>
      <w:pPr>
        <w:ind w:left="2749"/>
        <w:spacing w:after="0"/>
        <w:tabs>
          <w:tab w:leader="none" w:pos="3169" w:val="left"/>
          <w:tab w:leader="none" w:pos="3789" w:val="left"/>
        </w:tabs>
        <w:rPr>
          <w:sz w:val="20"/>
          <w:szCs w:val="20"/>
          <w:color w:val="auto"/>
        </w:rPr>
      </w:pPr>
      <w:r>
        <w:rPr>
          <w:rFonts w:ascii="Courier New" w:cs="Courier New" w:eastAsia="Courier New" w:hAnsi="Courier New"/>
          <w:sz w:val="15"/>
          <w:szCs w:val="15"/>
          <w:color w:val="auto"/>
        </w:rPr>
        <w:t>Yes</w:t>
        <w:tab/>
        <w:t>X</w:t>
      </w:r>
      <w:r>
        <w:rPr>
          <w:sz w:val="20"/>
          <w:szCs w:val="20"/>
          <w:color w:val="auto"/>
        </w:rPr>
        <w:tab/>
      </w:r>
      <w:r>
        <w:rPr>
          <w:rFonts w:ascii="Courier New" w:cs="Courier New" w:eastAsia="Courier New" w:hAnsi="Courier New"/>
          <w:sz w:val="14"/>
          <w:szCs w:val="14"/>
          <w:color w:val="auto"/>
        </w:rPr>
        <w:t>No ___</w:t>
      </w:r>
    </w:p>
    <w:p>
      <w:pPr>
        <w:spacing w:after="0" w:line="174" w:lineRule="exact"/>
        <w:rPr>
          <w:sz w:val="24"/>
          <w:szCs w:val="24"/>
          <w:color w:val="auto"/>
        </w:rPr>
      </w:pPr>
    </w:p>
    <w:p>
      <w:pPr>
        <w:ind w:left="9" w:right="3579"/>
        <w:spacing w:after="0" w:line="238" w:lineRule="auto"/>
        <w:rPr>
          <w:sz w:val="20"/>
          <w:szCs w:val="20"/>
          <w:color w:val="auto"/>
        </w:rPr>
      </w:pPr>
      <w:r>
        <w:rPr>
          <w:rFonts w:ascii="Courier New" w:cs="Courier New" w:eastAsia="Courier New" w:hAnsi="Courier New"/>
          <w:sz w:val="15"/>
          <w:szCs w:val="15"/>
          <w:color w:val="auto"/>
        </w:rPr>
        <w:t>The aggregate market value of the voting stock held by nonaffiliates of the registrant at February 28, 1995 was $593,736,208.</w:t>
      </w:r>
    </w:p>
    <w:p>
      <w:pPr>
        <w:spacing w:after="0" w:line="175" w:lineRule="exact"/>
        <w:rPr>
          <w:sz w:val="24"/>
          <w:szCs w:val="24"/>
          <w:color w:val="auto"/>
        </w:rPr>
      </w:pPr>
    </w:p>
    <w:p>
      <w:pPr>
        <w:ind w:left="9" w:right="3399"/>
        <w:spacing w:after="0" w:line="238" w:lineRule="auto"/>
        <w:rPr>
          <w:sz w:val="20"/>
          <w:szCs w:val="20"/>
          <w:color w:val="auto"/>
        </w:rPr>
      </w:pPr>
      <w:r>
        <w:rPr>
          <w:rFonts w:ascii="Courier New" w:cs="Courier New" w:eastAsia="Courier New" w:hAnsi="Courier New"/>
          <w:sz w:val="15"/>
          <w:szCs w:val="15"/>
          <w:color w:val="auto"/>
        </w:rPr>
        <w:t>Indicate the number of shares outstanding of each of the registrant's classes of common stock, as of the latest practicable date.</w:t>
      </w:r>
    </w:p>
    <w:p>
      <w:pPr>
        <w:sectPr>
          <w:pgSz w:w="11900" w:h="16838" w:orient="portrait"/>
          <w:cols w:equalWidth="0" w:num="1">
            <w:col w:w="10228"/>
          </w:cols>
          <w:pgMar w:left="231" w:top="230" w:right="1440" w:bottom="1440" w:gutter="0" w:footer="0" w:header="0"/>
          <w:type w:val="continuous"/>
        </w:sectPr>
      </w:pPr>
    </w:p>
    <w:p>
      <w:pPr>
        <w:spacing w:after="0" w:line="172" w:lineRule="exact"/>
        <w:rPr>
          <w:sz w:val="24"/>
          <w:szCs w:val="24"/>
          <w:color w:val="auto"/>
        </w:rPr>
      </w:pPr>
    </w:p>
    <w:p>
      <w:pPr>
        <w:ind w:left="889"/>
        <w:spacing w:after="0"/>
        <w:rPr>
          <w:sz w:val="20"/>
          <w:szCs w:val="20"/>
          <w:color w:val="auto"/>
        </w:rPr>
      </w:pPr>
      <w:r>
        <w:rPr>
          <w:rFonts w:ascii="Courier New" w:cs="Courier New" w:eastAsia="Courier New" w:hAnsi="Courier New"/>
          <w:sz w:val="15"/>
          <w:szCs w:val="15"/>
          <w:color w:val="auto"/>
        </w:rPr>
        <w:t>Class</w:t>
      </w:r>
    </w:p>
    <w:p>
      <w:pPr>
        <w:spacing w:after="0" w:line="3" w:lineRule="exact"/>
        <w:rPr>
          <w:sz w:val="24"/>
          <w:szCs w:val="24"/>
          <w:color w:val="auto"/>
        </w:rPr>
      </w:pPr>
    </w:p>
    <w:p>
      <w:pPr>
        <w:ind w:left="89"/>
        <w:spacing w:after="0"/>
        <w:rPr>
          <w:sz w:val="20"/>
          <w:szCs w:val="20"/>
          <w:color w:val="auto"/>
        </w:rPr>
      </w:pPr>
      <w:r>
        <w:rPr>
          <w:rFonts w:ascii="Courier New" w:cs="Courier New" w:eastAsia="Courier New" w:hAnsi="Courier New"/>
          <w:sz w:val="14"/>
          <w:szCs w:val="14"/>
          <w:color w:val="auto"/>
        </w:rPr>
        <w:t>Common Stock, $1 Par Value</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Outstanding at February 28, 1995</w:t>
      </w:r>
    </w:p>
    <w:p>
      <w:pPr>
        <w:spacing w:after="0" w:line="9" w:lineRule="exact"/>
        <w:rPr>
          <w:sz w:val="24"/>
          <w:szCs w:val="24"/>
          <w:color w:val="auto"/>
        </w:rPr>
      </w:pPr>
    </w:p>
    <w:p>
      <w:pPr>
        <w:ind w:left="720"/>
        <w:spacing w:after="0"/>
        <w:rPr>
          <w:sz w:val="20"/>
          <w:szCs w:val="20"/>
          <w:color w:val="auto"/>
        </w:rPr>
      </w:pPr>
      <w:r>
        <w:rPr>
          <w:rFonts w:ascii="Courier New" w:cs="Courier New" w:eastAsia="Courier New" w:hAnsi="Courier New"/>
          <w:sz w:val="15"/>
          <w:szCs w:val="15"/>
          <w:color w:val="auto"/>
        </w:rPr>
        <w:t>28,105,856 shares</w:t>
      </w:r>
    </w:p>
    <w:p>
      <w:pPr>
        <w:spacing w:after="0" w:line="200" w:lineRule="exact"/>
        <w:rPr>
          <w:sz w:val="24"/>
          <w:szCs w:val="24"/>
          <w:color w:val="auto"/>
        </w:rPr>
      </w:pPr>
    </w:p>
    <w:p>
      <w:pPr>
        <w:sectPr>
          <w:pgSz w:w="11900" w:h="16838" w:orient="portrait"/>
          <w:cols w:equalWidth="0" w:num="2">
            <w:col w:w="3269" w:space="720"/>
            <w:col w:w="6239"/>
          </w:cols>
          <w:pgMar w:left="231" w:top="230" w:right="1440" w:bottom="1440" w:gutter="0" w:footer="0" w:header="0"/>
          <w:type w:val="continuous"/>
        </w:sectPr>
      </w:pPr>
    </w:p>
    <w:p>
      <w:pPr>
        <w:spacing w:after="0" w:line="142" w:lineRule="exact"/>
        <w:rPr>
          <w:sz w:val="24"/>
          <w:szCs w:val="24"/>
          <w:color w:val="auto"/>
        </w:rPr>
      </w:pPr>
    </w:p>
    <w:p>
      <w:pPr>
        <w:ind w:left="1949"/>
        <w:spacing w:after="0"/>
        <w:rPr>
          <w:sz w:val="20"/>
          <w:szCs w:val="20"/>
          <w:color w:val="auto"/>
        </w:rPr>
      </w:pPr>
      <w:r>
        <w:rPr>
          <w:rFonts w:ascii="Courier New" w:cs="Courier New" w:eastAsia="Courier New" w:hAnsi="Courier New"/>
          <w:sz w:val="15"/>
          <w:szCs w:val="15"/>
          <w:color w:val="auto"/>
        </w:rPr>
        <w:t>DOCUMENTS INCORPORATED BY REFERENCE</w:t>
      </w:r>
    </w:p>
    <w:p>
      <w:pPr>
        <w:spacing w:after="0" w:line="174" w:lineRule="exact"/>
        <w:rPr>
          <w:sz w:val="24"/>
          <w:szCs w:val="24"/>
          <w:color w:val="auto"/>
        </w:rPr>
      </w:pPr>
    </w:p>
    <w:p>
      <w:pPr>
        <w:ind w:left="9"/>
        <w:spacing w:after="0"/>
        <w:rPr>
          <w:sz w:val="20"/>
          <w:szCs w:val="20"/>
          <w:color w:val="auto"/>
        </w:rPr>
      </w:pPr>
      <w:r>
        <w:rPr>
          <w:rFonts w:ascii="Courier New" w:cs="Courier New" w:eastAsia="Courier New" w:hAnsi="Courier New"/>
          <w:sz w:val="14"/>
          <w:szCs w:val="14"/>
          <w:color w:val="auto"/>
        </w:rPr>
        <w:t>The following documents are incorporated by reference into the Form 10-K:</w:t>
      </w:r>
    </w:p>
    <w:p>
      <w:pPr>
        <w:spacing w:after="0" w:line="9" w:lineRule="exact"/>
        <w:rPr>
          <w:sz w:val="24"/>
          <w:szCs w:val="24"/>
          <w:color w:val="auto"/>
        </w:rPr>
      </w:pPr>
    </w:p>
    <w:p>
      <w:pPr>
        <w:ind w:left="1069" w:hanging="359"/>
        <w:spacing w:after="0"/>
        <w:tabs>
          <w:tab w:leader="none" w:pos="1069"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1994 Annual Report to Shareholders - Parts II and IV</w:t>
      </w:r>
    </w:p>
    <w:p>
      <w:pPr>
        <w:ind w:left="1069" w:hanging="359"/>
        <w:spacing w:after="0"/>
        <w:tabs>
          <w:tab w:leader="none" w:pos="1069"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Proxy Statement dated March 10, 1995 - Part III</w:t>
      </w:r>
    </w:p>
    <w:p>
      <w:pPr>
        <w:sectPr>
          <w:pgSz w:w="11900" w:h="16838" w:orient="portrait"/>
          <w:cols w:equalWidth="0" w:num="1">
            <w:col w:w="10228"/>
          </w:cols>
          <w:pgMar w:left="231" w:top="230" w:right="1440" w:bottom="1440" w:gutter="0" w:footer="0" w:header="0"/>
          <w:type w:val="continuous"/>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line="17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Yellow Corporation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0" w:type="dxa"/>
            <w:vAlign w:val="bottom"/>
          </w:tcPr>
          <w:p>
            <w:pPr>
              <w:spacing w:after="0"/>
              <w:rPr>
                <w:sz w:val="14"/>
                <w:szCs w:val="14"/>
                <w:color w:val="auto"/>
              </w:rPr>
            </w:pPr>
          </w:p>
        </w:tc>
        <w:tc>
          <w:tcPr>
            <w:tcW w:w="5500" w:type="dxa"/>
            <w:vAlign w:val="bottom"/>
          </w:tcPr>
          <w:p>
            <w:pPr>
              <w:ind w:left="2440"/>
              <w:spacing w:after="0"/>
              <w:rPr>
                <w:sz w:val="20"/>
                <w:szCs w:val="20"/>
                <w:color w:val="auto"/>
              </w:rPr>
            </w:pPr>
            <w:r>
              <w:rPr>
                <w:rFonts w:ascii="Courier New" w:cs="Courier New" w:eastAsia="Courier New" w:hAnsi="Courier New"/>
                <w:sz w:val="15"/>
                <w:szCs w:val="15"/>
                <w:color w:val="auto"/>
              </w:rPr>
              <w:t>Form 10-K</w:t>
            </w:r>
          </w:p>
        </w:tc>
        <w:tc>
          <w:tcPr>
            <w:tcW w:w="1020" w:type="dxa"/>
            <w:vAlign w:val="bottom"/>
          </w:tcPr>
          <w:p>
            <w:pPr>
              <w:spacing w:after="0"/>
              <w:rPr>
                <w:sz w:val="14"/>
                <w:szCs w:val="14"/>
                <w:color w:val="auto"/>
              </w:rPr>
            </w:pPr>
          </w:p>
        </w:tc>
      </w:tr>
      <w:tr>
        <w:trPr>
          <w:trHeight w:val="171"/>
        </w:trPr>
        <w:tc>
          <w:tcPr>
            <w:tcW w:w="660" w:type="dxa"/>
            <w:vAlign w:val="bottom"/>
          </w:tcPr>
          <w:p>
            <w:pPr>
              <w:spacing w:after="0"/>
              <w:rPr>
                <w:sz w:val="14"/>
                <w:szCs w:val="14"/>
                <w:color w:val="auto"/>
              </w:rPr>
            </w:pPr>
          </w:p>
        </w:tc>
        <w:tc>
          <w:tcPr>
            <w:tcW w:w="5500" w:type="dxa"/>
            <w:vAlign w:val="bottom"/>
          </w:tcPr>
          <w:p>
            <w:pPr>
              <w:ind w:left="1640"/>
              <w:spacing w:after="0"/>
              <w:rPr>
                <w:sz w:val="20"/>
                <w:szCs w:val="20"/>
                <w:color w:val="auto"/>
              </w:rPr>
            </w:pPr>
            <w:r>
              <w:rPr>
                <w:rFonts w:ascii="Courier New" w:cs="Courier New" w:eastAsia="Courier New" w:hAnsi="Courier New"/>
                <w:sz w:val="15"/>
                <w:szCs w:val="15"/>
                <w:color w:val="auto"/>
              </w:rPr>
              <w:t>Year Ended December 31, 1994</w:t>
            </w:r>
          </w:p>
        </w:tc>
        <w:tc>
          <w:tcPr>
            <w:tcW w:w="1020" w:type="dxa"/>
            <w:vAlign w:val="bottom"/>
          </w:tcPr>
          <w:p>
            <w:pPr>
              <w:spacing w:after="0"/>
              <w:rPr>
                <w:sz w:val="14"/>
                <w:szCs w:val="14"/>
                <w:color w:val="auto"/>
              </w:rPr>
            </w:pPr>
          </w:p>
        </w:tc>
      </w:tr>
      <w:tr>
        <w:trPr>
          <w:trHeight w:val="683"/>
        </w:trPr>
        <w:tc>
          <w:tcPr>
            <w:tcW w:w="660" w:type="dxa"/>
            <w:vAlign w:val="bottom"/>
          </w:tcPr>
          <w:p>
            <w:pPr>
              <w:spacing w:after="0"/>
              <w:rPr>
                <w:sz w:val="24"/>
                <w:szCs w:val="24"/>
                <w:color w:val="auto"/>
              </w:rPr>
            </w:pPr>
          </w:p>
        </w:tc>
        <w:tc>
          <w:tcPr>
            <w:tcW w:w="5500" w:type="dxa"/>
            <w:vAlign w:val="bottom"/>
          </w:tcPr>
          <w:p>
            <w:pPr>
              <w:ind w:left="2620"/>
              <w:spacing w:after="0"/>
              <w:rPr>
                <w:sz w:val="20"/>
                <w:szCs w:val="20"/>
                <w:color w:val="auto"/>
              </w:rPr>
            </w:pPr>
            <w:r>
              <w:rPr>
                <w:rFonts w:ascii="Courier New" w:cs="Courier New" w:eastAsia="Courier New" w:hAnsi="Courier New"/>
                <w:sz w:val="15"/>
                <w:szCs w:val="15"/>
                <w:color w:val="auto"/>
              </w:rPr>
              <w:t>Index</w:t>
            </w:r>
          </w:p>
        </w:tc>
        <w:tc>
          <w:tcPr>
            <w:tcW w:w="1020" w:type="dxa"/>
            <w:vAlign w:val="bottom"/>
          </w:tcPr>
          <w:p>
            <w:pPr>
              <w:spacing w:after="0"/>
              <w:rPr>
                <w:sz w:val="24"/>
                <w:szCs w:val="24"/>
                <w:color w:val="auto"/>
              </w:rPr>
            </w:pPr>
          </w:p>
        </w:tc>
      </w:tr>
      <w:tr>
        <w:trPr>
          <w:trHeight w:val="853"/>
        </w:trPr>
        <w:tc>
          <w:tcPr>
            <w:tcW w:w="660" w:type="dxa"/>
            <w:vAlign w:val="bottom"/>
          </w:tcPr>
          <w:p>
            <w:pPr>
              <w:spacing w:after="0"/>
              <w:rPr>
                <w:sz w:val="24"/>
                <w:szCs w:val="24"/>
                <w:color w:val="auto"/>
              </w:rPr>
            </w:pPr>
          </w:p>
        </w:tc>
        <w:tc>
          <w:tcPr>
            <w:tcW w:w="5500" w:type="dxa"/>
            <w:vAlign w:val="bottom"/>
          </w:tcPr>
          <w:p>
            <w:pPr>
              <w:ind w:left="2180"/>
              <w:spacing w:after="0"/>
              <w:rPr>
                <w:sz w:val="20"/>
                <w:szCs w:val="20"/>
                <w:color w:val="auto"/>
              </w:rPr>
            </w:pPr>
            <w:r>
              <w:rPr>
                <w:rFonts w:ascii="Courier New" w:cs="Courier New" w:eastAsia="Courier New" w:hAnsi="Courier New"/>
                <w:sz w:val="15"/>
                <w:szCs w:val="15"/>
                <w:color w:val="auto"/>
              </w:rPr>
              <w:t>PART I</w:t>
            </w:r>
          </w:p>
        </w:tc>
        <w:tc>
          <w:tcPr>
            <w:tcW w:w="1020" w:type="dxa"/>
            <w:vAlign w:val="bottom"/>
          </w:tcPr>
          <w:p>
            <w:pPr>
              <w:spacing w:after="0"/>
              <w:rPr>
                <w:sz w:val="24"/>
                <w:szCs w:val="24"/>
                <w:color w:val="auto"/>
              </w:rPr>
            </w:pPr>
          </w:p>
        </w:tc>
      </w:tr>
      <w:tr>
        <w:trPr>
          <w:trHeight w:val="171"/>
        </w:trPr>
        <w:tc>
          <w:tcPr>
            <w:tcW w:w="660" w:type="dxa"/>
            <w:vAlign w:val="bottom"/>
          </w:tcPr>
          <w:p>
            <w:pPr>
              <w:spacing w:after="0"/>
              <w:rPr>
                <w:sz w:val="14"/>
                <w:szCs w:val="14"/>
                <w:color w:val="auto"/>
              </w:rPr>
            </w:pPr>
          </w:p>
        </w:tc>
        <w:tc>
          <w:tcPr>
            <w:tcW w:w="5500" w:type="dxa"/>
            <w:vAlign w:val="bottom"/>
          </w:tcPr>
          <w:p>
            <w:pPr>
              <w:ind w:left="218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r>
      <w:tr>
        <w:trPr>
          <w:trHeight w:val="171"/>
        </w:trPr>
        <w:tc>
          <w:tcPr>
            <w:tcW w:w="660" w:type="dxa"/>
            <w:vAlign w:val="bottom"/>
          </w:tcPr>
          <w:p>
            <w:pPr>
              <w:spacing w:after="0"/>
              <w:rPr>
                <w:sz w:val="20"/>
                <w:szCs w:val="20"/>
                <w:color w:val="auto"/>
              </w:rPr>
            </w:pPr>
            <w:r>
              <w:rPr>
                <w:rFonts w:ascii="Courier New" w:cs="Courier New" w:eastAsia="Courier New" w:hAnsi="Courier New"/>
                <w:sz w:val="15"/>
                <w:szCs w:val="15"/>
                <w:color w:val="auto"/>
              </w:rPr>
              <w:t>Item</w:t>
            </w:r>
          </w:p>
        </w:tc>
        <w:tc>
          <w:tcPr>
            <w:tcW w:w="5500" w:type="dxa"/>
            <w:vAlign w:val="bottom"/>
          </w:tcPr>
          <w:p>
            <w:pPr>
              <w:spacing w:after="0"/>
              <w:rPr>
                <w:sz w:val="14"/>
                <w:szCs w:val="1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Page</w:t>
            </w:r>
          </w:p>
        </w:tc>
      </w:tr>
      <w:tr>
        <w:trPr>
          <w:trHeight w:val="171"/>
        </w:trPr>
        <w:tc>
          <w:tcPr>
            <w:tcW w:w="6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5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w:t>
            </w:r>
          </w:p>
        </w:tc>
        <w:tc>
          <w:tcPr>
            <w:tcW w:w="5500" w:type="dxa"/>
            <w:vAlign w:val="bottom"/>
          </w:tcPr>
          <w:p>
            <w:pPr>
              <w:ind w:left="120"/>
              <w:spacing w:after="0"/>
              <w:rPr>
                <w:sz w:val="20"/>
                <w:szCs w:val="20"/>
                <w:color w:val="auto"/>
              </w:rPr>
            </w:pPr>
            <w:r>
              <w:rPr>
                <w:rFonts w:ascii="Courier New" w:cs="Courier New" w:eastAsia="Courier New" w:hAnsi="Courier New"/>
                <w:sz w:val="15"/>
                <w:szCs w:val="15"/>
                <w:color w:val="auto"/>
              </w:rPr>
              <w:t>Business</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w:t>
            </w:r>
          </w:p>
        </w:tc>
      </w:tr>
      <w:tr>
        <w:trPr>
          <w:trHeight w:val="171"/>
        </w:trPr>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w:t>
            </w:r>
          </w:p>
        </w:tc>
        <w:tc>
          <w:tcPr>
            <w:tcW w:w="5500" w:type="dxa"/>
            <w:vAlign w:val="bottom"/>
          </w:tcPr>
          <w:p>
            <w:pPr>
              <w:ind w:left="120"/>
              <w:spacing w:after="0"/>
              <w:rPr>
                <w:sz w:val="20"/>
                <w:szCs w:val="20"/>
                <w:color w:val="auto"/>
              </w:rPr>
            </w:pPr>
            <w:r>
              <w:rPr>
                <w:rFonts w:ascii="Courier New" w:cs="Courier New" w:eastAsia="Courier New" w:hAnsi="Courier New"/>
                <w:sz w:val="15"/>
                <w:szCs w:val="15"/>
                <w:color w:val="auto"/>
              </w:rPr>
              <w:t>Properties</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6</w:t>
            </w:r>
          </w:p>
        </w:tc>
      </w:tr>
      <w:tr>
        <w:trPr>
          <w:trHeight w:val="171"/>
        </w:trPr>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w:t>
            </w:r>
          </w:p>
        </w:tc>
        <w:tc>
          <w:tcPr>
            <w:tcW w:w="5500" w:type="dxa"/>
            <w:vAlign w:val="bottom"/>
          </w:tcPr>
          <w:p>
            <w:pPr>
              <w:ind w:left="120"/>
              <w:spacing w:after="0"/>
              <w:rPr>
                <w:sz w:val="20"/>
                <w:szCs w:val="20"/>
                <w:color w:val="auto"/>
              </w:rPr>
            </w:pPr>
            <w:r>
              <w:rPr>
                <w:rFonts w:ascii="Courier New" w:cs="Courier New" w:eastAsia="Courier New" w:hAnsi="Courier New"/>
                <w:sz w:val="15"/>
                <w:szCs w:val="15"/>
                <w:color w:val="auto"/>
              </w:rPr>
              <w:t>Legal Proceedings</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7</w:t>
            </w:r>
          </w:p>
        </w:tc>
      </w:tr>
      <w:tr>
        <w:trPr>
          <w:trHeight w:val="171"/>
        </w:trPr>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w:t>
            </w:r>
          </w:p>
        </w:tc>
        <w:tc>
          <w:tcPr>
            <w:tcW w:w="5500" w:type="dxa"/>
            <w:vAlign w:val="bottom"/>
          </w:tcPr>
          <w:p>
            <w:pPr>
              <w:ind w:left="120"/>
              <w:spacing w:after="0"/>
              <w:rPr>
                <w:sz w:val="20"/>
                <w:szCs w:val="20"/>
                <w:color w:val="auto"/>
              </w:rPr>
            </w:pPr>
            <w:r>
              <w:rPr>
                <w:rFonts w:ascii="Courier New" w:cs="Courier New" w:eastAsia="Courier New" w:hAnsi="Courier New"/>
                <w:sz w:val="15"/>
                <w:szCs w:val="15"/>
                <w:color w:val="auto"/>
              </w:rPr>
              <w:t>Submission of Matters to a Vote of Security Holders</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7</w:t>
            </w:r>
          </w:p>
        </w:tc>
      </w:tr>
      <w:tr>
        <w:trPr>
          <w:trHeight w:val="171"/>
        </w:trPr>
        <w:tc>
          <w:tcPr>
            <w:tcW w:w="660" w:type="dxa"/>
            <w:vAlign w:val="bottom"/>
          </w:tcPr>
          <w:p>
            <w:pPr>
              <w:spacing w:after="0"/>
              <w:rPr>
                <w:sz w:val="14"/>
                <w:szCs w:val="14"/>
                <w:color w:val="auto"/>
              </w:rPr>
            </w:pPr>
          </w:p>
        </w:tc>
        <w:tc>
          <w:tcPr>
            <w:tcW w:w="5500" w:type="dxa"/>
            <w:vAlign w:val="bottom"/>
          </w:tcPr>
          <w:p>
            <w:pPr>
              <w:ind w:left="220"/>
              <w:spacing w:after="0"/>
              <w:rPr>
                <w:sz w:val="20"/>
                <w:szCs w:val="20"/>
                <w:color w:val="auto"/>
              </w:rPr>
            </w:pPr>
            <w:r>
              <w:rPr>
                <w:rFonts w:ascii="Courier New" w:cs="Courier New" w:eastAsia="Courier New" w:hAnsi="Courier New"/>
                <w:sz w:val="15"/>
                <w:szCs w:val="15"/>
                <w:color w:val="auto"/>
              </w:rPr>
              <w:t>Executive Officers of the Registrant (Unnumbered Item)</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7</w:t>
            </w:r>
          </w:p>
        </w:tc>
      </w:tr>
    </w:tbl>
    <w:p>
      <w:pPr>
        <w:spacing w:after="0" w:line="17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PART II</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780" w:hanging="523"/>
        <w:spacing w:after="0"/>
        <w:tabs>
          <w:tab w:leader="none" w:pos="7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 for the Registrant's Common Stock and Related</w:t>
      </w:r>
    </w:p>
    <w:p>
      <w:pPr>
        <w:spacing w:after="0" w:line="1"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360" w:type="dxa"/>
            <w:vAlign w:val="bottom"/>
          </w:tcPr>
          <w:p>
            <w:pPr>
              <w:spacing w:after="0"/>
              <w:rPr>
                <w:sz w:val="14"/>
                <w:szCs w:val="14"/>
                <w:color w:val="auto"/>
              </w:rPr>
            </w:pPr>
          </w:p>
        </w:tc>
        <w:tc>
          <w:tcPr>
            <w:tcW w:w="4300" w:type="dxa"/>
            <w:vAlign w:val="bottom"/>
          </w:tcPr>
          <w:p>
            <w:pPr>
              <w:ind w:left="260"/>
              <w:spacing w:after="0"/>
              <w:rPr>
                <w:sz w:val="20"/>
                <w:szCs w:val="20"/>
                <w:color w:val="auto"/>
              </w:rPr>
            </w:pPr>
            <w:r>
              <w:rPr>
                <w:rFonts w:ascii="Courier New" w:cs="Courier New" w:eastAsia="Courier New" w:hAnsi="Courier New"/>
                <w:sz w:val="15"/>
                <w:szCs w:val="15"/>
                <w:color w:val="auto"/>
              </w:rPr>
              <w:t>Stockholder Matters</w:t>
            </w:r>
          </w:p>
        </w:tc>
        <w:tc>
          <w:tcPr>
            <w:tcW w:w="218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1"/>
        </w:trPr>
        <w:tc>
          <w:tcPr>
            <w:tcW w:w="3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88"/>
              </w:rPr>
              <w:t>6.</w:t>
            </w:r>
          </w:p>
        </w:tc>
        <w:tc>
          <w:tcPr>
            <w:tcW w:w="4300" w:type="dxa"/>
            <w:vAlign w:val="bottom"/>
          </w:tcPr>
          <w:p>
            <w:pPr>
              <w:ind w:left="160"/>
              <w:spacing w:after="0"/>
              <w:rPr>
                <w:sz w:val="20"/>
                <w:szCs w:val="20"/>
                <w:color w:val="auto"/>
              </w:rPr>
            </w:pPr>
            <w:r>
              <w:rPr>
                <w:rFonts w:ascii="Courier New" w:cs="Courier New" w:eastAsia="Courier New" w:hAnsi="Courier New"/>
                <w:sz w:val="15"/>
                <w:szCs w:val="15"/>
                <w:color w:val="auto"/>
              </w:rPr>
              <w:t>Selected Financial Data</w:t>
            </w:r>
          </w:p>
        </w:tc>
        <w:tc>
          <w:tcPr>
            <w:tcW w:w="218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bl>
    <w:p>
      <w:pPr>
        <w:spacing w:after="0" w:line="1" w:lineRule="exact"/>
        <w:rPr>
          <w:sz w:val="20"/>
          <w:szCs w:val="20"/>
          <w:color w:val="auto"/>
        </w:rPr>
      </w:pPr>
    </w:p>
    <w:p>
      <w:pPr>
        <w:ind w:left="780" w:hanging="523"/>
        <w:spacing w:after="0"/>
        <w:tabs>
          <w:tab w:leader="none" w:pos="7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Management's Discussion and Analysis of Financial</w:t>
      </w:r>
    </w:p>
    <w:p>
      <w:pPr>
        <w:spacing w:after="0" w:line="1"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460" w:type="dxa"/>
            <w:vAlign w:val="bottom"/>
          </w:tcPr>
          <w:p>
            <w:pPr>
              <w:spacing w:after="0"/>
              <w:rPr>
                <w:sz w:val="14"/>
                <w:szCs w:val="14"/>
                <w:color w:val="auto"/>
              </w:rPr>
            </w:pPr>
          </w:p>
        </w:tc>
        <w:tc>
          <w:tcPr>
            <w:tcW w:w="5540" w:type="dxa"/>
            <w:vAlign w:val="bottom"/>
          </w:tcPr>
          <w:p>
            <w:pPr>
              <w:ind w:left="260"/>
              <w:spacing w:after="0"/>
              <w:rPr>
                <w:sz w:val="20"/>
                <w:szCs w:val="20"/>
                <w:color w:val="auto"/>
              </w:rPr>
            </w:pPr>
            <w:r>
              <w:rPr>
                <w:rFonts w:ascii="Courier New" w:cs="Courier New" w:eastAsia="Courier New" w:hAnsi="Courier New"/>
                <w:sz w:val="15"/>
                <w:szCs w:val="15"/>
                <w:color w:val="auto"/>
              </w:rPr>
              <w:t>Condition and Results of Operations</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1"/>
        </w:trPr>
        <w:tc>
          <w:tcPr>
            <w:tcW w:w="4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w:t>
            </w:r>
          </w:p>
        </w:tc>
        <w:tc>
          <w:tcPr>
            <w:tcW w:w="5540" w:type="dxa"/>
            <w:vAlign w:val="bottom"/>
          </w:tcPr>
          <w:p>
            <w:pPr>
              <w:ind w:left="160"/>
              <w:spacing w:after="0"/>
              <w:rPr>
                <w:sz w:val="20"/>
                <w:szCs w:val="20"/>
                <w:color w:val="auto"/>
              </w:rPr>
            </w:pPr>
            <w:r>
              <w:rPr>
                <w:rFonts w:ascii="Courier New" w:cs="Courier New" w:eastAsia="Courier New" w:hAnsi="Courier New"/>
                <w:sz w:val="15"/>
                <w:szCs w:val="15"/>
                <w:color w:val="auto"/>
              </w:rPr>
              <w:t>Financial Statements and Supplementary Data</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1"/>
        </w:trPr>
        <w:tc>
          <w:tcPr>
            <w:tcW w:w="4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w:t>
            </w:r>
          </w:p>
        </w:tc>
        <w:tc>
          <w:tcPr>
            <w:tcW w:w="5540" w:type="dxa"/>
            <w:vAlign w:val="bottom"/>
          </w:tcPr>
          <w:p>
            <w:pPr>
              <w:ind w:left="160"/>
              <w:spacing w:after="0"/>
              <w:rPr>
                <w:sz w:val="20"/>
                <w:szCs w:val="20"/>
                <w:color w:val="auto"/>
              </w:rPr>
            </w:pPr>
            <w:r>
              <w:rPr>
                <w:rFonts w:ascii="Courier New" w:cs="Courier New" w:eastAsia="Courier New" w:hAnsi="Courier New"/>
                <w:sz w:val="15"/>
                <w:szCs w:val="15"/>
                <w:color w:val="auto"/>
              </w:rPr>
              <w:t>Disagreements on Accounting and Financial Disclosure</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341"/>
        </w:trPr>
        <w:tc>
          <w:tcPr>
            <w:tcW w:w="460" w:type="dxa"/>
            <w:vAlign w:val="bottom"/>
          </w:tcPr>
          <w:p>
            <w:pPr>
              <w:spacing w:after="0"/>
              <w:rPr>
                <w:sz w:val="24"/>
                <w:szCs w:val="24"/>
                <w:color w:val="auto"/>
              </w:rPr>
            </w:pPr>
          </w:p>
        </w:tc>
        <w:tc>
          <w:tcPr>
            <w:tcW w:w="5540" w:type="dxa"/>
            <w:vAlign w:val="bottom"/>
          </w:tcPr>
          <w:p>
            <w:pPr>
              <w:ind w:left="2220"/>
              <w:spacing w:after="0"/>
              <w:rPr>
                <w:sz w:val="20"/>
                <w:szCs w:val="20"/>
                <w:color w:val="auto"/>
              </w:rPr>
            </w:pPr>
            <w:r>
              <w:rPr>
                <w:rFonts w:ascii="Courier New" w:cs="Courier New" w:eastAsia="Courier New" w:hAnsi="Courier New"/>
                <w:sz w:val="15"/>
                <w:szCs w:val="15"/>
                <w:color w:val="auto"/>
              </w:rPr>
              <w:t>PART III</w:t>
            </w:r>
          </w:p>
        </w:tc>
        <w:tc>
          <w:tcPr>
            <w:tcW w:w="940" w:type="dxa"/>
            <w:vAlign w:val="bottom"/>
          </w:tcPr>
          <w:p>
            <w:pPr>
              <w:spacing w:after="0"/>
              <w:rPr>
                <w:sz w:val="24"/>
                <w:szCs w:val="24"/>
                <w:color w:val="auto"/>
              </w:rPr>
            </w:pPr>
          </w:p>
        </w:tc>
      </w:tr>
      <w:tr>
        <w:trPr>
          <w:trHeight w:val="171"/>
        </w:trPr>
        <w:tc>
          <w:tcPr>
            <w:tcW w:w="460" w:type="dxa"/>
            <w:vAlign w:val="bottom"/>
          </w:tcPr>
          <w:p>
            <w:pPr>
              <w:spacing w:after="0"/>
              <w:rPr>
                <w:sz w:val="14"/>
                <w:szCs w:val="14"/>
                <w:color w:val="auto"/>
              </w:rPr>
            </w:pPr>
          </w:p>
        </w:tc>
        <w:tc>
          <w:tcPr>
            <w:tcW w:w="5540" w:type="dxa"/>
            <w:vAlign w:val="bottom"/>
          </w:tcPr>
          <w:p>
            <w:pPr>
              <w:ind w:left="222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4"/>
                <w:szCs w:val="14"/>
                <w:color w:val="auto"/>
              </w:rPr>
            </w:pPr>
          </w:p>
        </w:tc>
      </w:tr>
      <w:tr>
        <w:trPr>
          <w:trHeight w:val="341"/>
        </w:trPr>
        <w:tc>
          <w:tcPr>
            <w:tcW w:w="4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10.</w:t>
            </w:r>
          </w:p>
        </w:tc>
        <w:tc>
          <w:tcPr>
            <w:tcW w:w="5540" w:type="dxa"/>
            <w:vAlign w:val="bottom"/>
          </w:tcPr>
          <w:p>
            <w:pPr>
              <w:ind w:left="160"/>
              <w:spacing w:after="0"/>
              <w:rPr>
                <w:sz w:val="20"/>
                <w:szCs w:val="20"/>
                <w:color w:val="auto"/>
              </w:rPr>
            </w:pPr>
            <w:r>
              <w:rPr>
                <w:rFonts w:ascii="Courier New" w:cs="Courier New" w:eastAsia="Courier New" w:hAnsi="Courier New"/>
                <w:sz w:val="15"/>
                <w:szCs w:val="15"/>
                <w:color w:val="auto"/>
              </w:rPr>
              <w:t>Directors and Executive Officers of the Registrant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1"/>
        </w:trPr>
        <w:tc>
          <w:tcPr>
            <w:tcW w:w="4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11.</w:t>
            </w:r>
          </w:p>
        </w:tc>
        <w:tc>
          <w:tcPr>
            <w:tcW w:w="5540" w:type="dxa"/>
            <w:vAlign w:val="bottom"/>
          </w:tcPr>
          <w:p>
            <w:pPr>
              <w:ind w:left="160"/>
              <w:spacing w:after="0"/>
              <w:rPr>
                <w:sz w:val="20"/>
                <w:szCs w:val="20"/>
                <w:color w:val="auto"/>
              </w:rPr>
            </w:pPr>
            <w:r>
              <w:rPr>
                <w:rFonts w:ascii="Courier New" w:cs="Courier New" w:eastAsia="Courier New" w:hAnsi="Courier New"/>
                <w:sz w:val="15"/>
                <w:szCs w:val="15"/>
                <w:color w:val="auto"/>
              </w:rPr>
              <w:t>Executive Compensation</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bl>
    <w:p>
      <w:pPr>
        <w:spacing w:after="0" w:line="1" w:lineRule="exact"/>
        <w:rPr>
          <w:sz w:val="20"/>
          <w:szCs w:val="20"/>
          <w:color w:val="auto"/>
        </w:rPr>
      </w:pPr>
    </w:p>
    <w:p>
      <w:pPr>
        <w:ind w:left="780" w:hanging="611"/>
        <w:spacing w:after="0"/>
        <w:tabs>
          <w:tab w:leader="none" w:pos="7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Security Ownership of Certain Beneficial Owners and</w:t>
      </w:r>
    </w:p>
    <w:p>
      <w:pPr>
        <w:spacing w:after="0" w:line="1"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460" w:type="dxa"/>
            <w:vAlign w:val="bottom"/>
          </w:tcPr>
          <w:p>
            <w:pPr>
              <w:spacing w:after="0"/>
              <w:rPr>
                <w:sz w:val="14"/>
                <w:szCs w:val="14"/>
                <w:color w:val="auto"/>
              </w:rPr>
            </w:pPr>
          </w:p>
        </w:tc>
        <w:tc>
          <w:tcPr>
            <w:tcW w:w="5280" w:type="dxa"/>
            <w:vAlign w:val="bottom"/>
          </w:tcPr>
          <w:p>
            <w:pPr>
              <w:ind w:left="260"/>
              <w:spacing w:after="0"/>
              <w:rPr>
                <w:sz w:val="20"/>
                <w:szCs w:val="20"/>
                <w:color w:val="auto"/>
              </w:rPr>
            </w:pPr>
            <w:r>
              <w:rPr>
                <w:rFonts w:ascii="Courier New" w:cs="Courier New" w:eastAsia="Courier New" w:hAnsi="Courier New"/>
                <w:sz w:val="15"/>
                <w:szCs w:val="15"/>
                <w:color w:val="auto"/>
              </w:rPr>
              <w:t>Management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1"/>
        </w:trPr>
        <w:tc>
          <w:tcPr>
            <w:tcW w:w="4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13.</w:t>
            </w:r>
          </w:p>
        </w:tc>
        <w:tc>
          <w:tcPr>
            <w:tcW w:w="5280" w:type="dxa"/>
            <w:vAlign w:val="bottom"/>
          </w:tcPr>
          <w:p>
            <w:pPr>
              <w:ind w:left="160"/>
              <w:spacing w:after="0"/>
              <w:rPr>
                <w:sz w:val="20"/>
                <w:szCs w:val="20"/>
                <w:color w:val="auto"/>
              </w:rPr>
            </w:pPr>
            <w:r>
              <w:rPr>
                <w:rFonts w:ascii="Courier New" w:cs="Courier New" w:eastAsia="Courier New" w:hAnsi="Courier New"/>
                <w:sz w:val="15"/>
                <w:szCs w:val="15"/>
                <w:color w:val="auto"/>
              </w:rPr>
              <w:t>Certain Relationships and Related Transactions</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bl>
    <w:p>
      <w:pPr>
        <w:spacing w:after="0" w:line="17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PART IV</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780" w:hanging="611"/>
        <w:spacing w:after="0"/>
        <w:tabs>
          <w:tab w:leader="none" w:pos="7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 Financial Statement Schedule and Reports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80" w:type="dxa"/>
            <w:vAlign w:val="bottom"/>
          </w:tcPr>
          <w:p>
            <w:pPr>
              <w:spacing w:after="0"/>
              <w:rPr>
                <w:sz w:val="14"/>
                <w:szCs w:val="14"/>
                <w:color w:val="auto"/>
              </w:rPr>
            </w:pPr>
          </w:p>
        </w:tc>
        <w:tc>
          <w:tcPr>
            <w:tcW w:w="1020" w:type="dxa"/>
            <w:vAlign w:val="bottom"/>
          </w:tcPr>
          <w:p>
            <w:pPr>
              <w:spacing w:after="0"/>
              <w:rPr>
                <w:sz w:val="20"/>
                <w:szCs w:val="20"/>
                <w:color w:val="auto"/>
              </w:rPr>
            </w:pPr>
            <w:r>
              <w:rPr>
                <w:rFonts w:ascii="Courier New" w:cs="Courier New" w:eastAsia="Courier New" w:hAnsi="Courier New"/>
                <w:sz w:val="15"/>
                <w:szCs w:val="15"/>
                <w:color w:val="auto"/>
              </w:rPr>
              <w:t>on Form 8-K</w:t>
            </w:r>
          </w:p>
        </w:tc>
        <w:tc>
          <w:tcPr>
            <w:tcW w:w="3720" w:type="dxa"/>
            <w:vAlign w:val="bottom"/>
          </w:tcPr>
          <w:p>
            <w:pPr>
              <w:spacing w:after="0"/>
              <w:rPr>
                <w:sz w:val="14"/>
                <w:szCs w:val="14"/>
                <w:color w:val="auto"/>
              </w:rPr>
            </w:pPr>
          </w:p>
        </w:tc>
        <w:tc>
          <w:tcPr>
            <w:tcW w:w="200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11</w:t>
            </w:r>
          </w:p>
        </w:tc>
      </w:tr>
      <w:tr>
        <w:trPr>
          <w:trHeight w:val="341"/>
        </w:trPr>
        <w:tc>
          <w:tcPr>
            <w:tcW w:w="1900" w:type="dxa"/>
            <w:vAlign w:val="bottom"/>
            <w:gridSpan w:val="2"/>
          </w:tcPr>
          <w:p>
            <w:pPr>
              <w:spacing w:after="0"/>
              <w:rPr>
                <w:sz w:val="20"/>
                <w:szCs w:val="20"/>
                <w:color w:val="auto"/>
              </w:rPr>
            </w:pPr>
            <w:r>
              <w:rPr>
                <w:rFonts w:ascii="Courier New" w:cs="Courier New" w:eastAsia="Courier New" w:hAnsi="Courier New"/>
                <w:sz w:val="15"/>
                <w:szCs w:val="15"/>
                <w:color w:val="auto"/>
                <w:w w:val="99"/>
              </w:rPr>
              <w:t>Report of Independent</w:t>
            </w:r>
          </w:p>
        </w:tc>
        <w:tc>
          <w:tcPr>
            <w:tcW w:w="3720" w:type="dxa"/>
            <w:vAlign w:val="bottom"/>
          </w:tcPr>
          <w:p>
            <w:pPr>
              <w:ind w:left="40"/>
              <w:spacing w:after="0"/>
              <w:rPr>
                <w:sz w:val="20"/>
                <w:szCs w:val="20"/>
                <w:color w:val="auto"/>
              </w:rPr>
            </w:pPr>
            <w:r>
              <w:rPr>
                <w:rFonts w:ascii="Courier New" w:cs="Courier New" w:eastAsia="Courier New" w:hAnsi="Courier New"/>
                <w:sz w:val="15"/>
                <w:szCs w:val="15"/>
                <w:color w:val="auto"/>
              </w:rPr>
              <w:t>Public Accountants on Financial</w:t>
            </w:r>
          </w:p>
        </w:tc>
        <w:tc>
          <w:tcPr>
            <w:tcW w:w="2000" w:type="dxa"/>
            <w:vAlign w:val="bottom"/>
          </w:tcPr>
          <w:p>
            <w:pPr>
              <w:spacing w:after="0"/>
              <w:rPr>
                <w:sz w:val="24"/>
                <w:szCs w:val="24"/>
                <w:color w:val="auto"/>
              </w:rPr>
            </w:pPr>
          </w:p>
        </w:tc>
      </w:tr>
      <w:tr>
        <w:trPr>
          <w:trHeight w:val="171"/>
        </w:trPr>
        <w:tc>
          <w:tcPr>
            <w:tcW w:w="880" w:type="dxa"/>
            <w:vAlign w:val="bottom"/>
          </w:tcPr>
          <w:p>
            <w:pPr>
              <w:ind w:left="80"/>
              <w:spacing w:after="0"/>
              <w:rPr>
                <w:sz w:val="20"/>
                <w:szCs w:val="20"/>
                <w:color w:val="auto"/>
              </w:rPr>
            </w:pPr>
            <w:r>
              <w:rPr>
                <w:rFonts w:ascii="Courier New" w:cs="Courier New" w:eastAsia="Courier New" w:hAnsi="Courier New"/>
                <w:sz w:val="15"/>
                <w:szCs w:val="15"/>
                <w:color w:val="auto"/>
                <w:w w:val="96"/>
              </w:rPr>
              <w:t>Statement</w:t>
            </w:r>
          </w:p>
        </w:tc>
        <w:tc>
          <w:tcPr>
            <w:tcW w:w="1020" w:type="dxa"/>
            <w:vAlign w:val="bottom"/>
          </w:tcPr>
          <w:p>
            <w:pPr>
              <w:ind w:left="80"/>
              <w:spacing w:after="0"/>
              <w:rPr>
                <w:sz w:val="20"/>
                <w:szCs w:val="20"/>
                <w:color w:val="auto"/>
              </w:rPr>
            </w:pPr>
            <w:r>
              <w:rPr>
                <w:rFonts w:ascii="Courier New" w:cs="Courier New" w:eastAsia="Courier New" w:hAnsi="Courier New"/>
                <w:sz w:val="15"/>
                <w:szCs w:val="15"/>
                <w:color w:val="auto"/>
              </w:rPr>
              <w:t>Schedule</w:t>
            </w:r>
          </w:p>
        </w:tc>
        <w:tc>
          <w:tcPr>
            <w:tcW w:w="3720" w:type="dxa"/>
            <w:vAlign w:val="bottom"/>
          </w:tcPr>
          <w:p>
            <w:pPr>
              <w:spacing w:after="0"/>
              <w:rPr>
                <w:sz w:val="14"/>
                <w:szCs w:val="14"/>
                <w:color w:val="auto"/>
              </w:rPr>
            </w:pPr>
          </w:p>
        </w:tc>
        <w:tc>
          <w:tcPr>
            <w:tcW w:w="200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13</w:t>
            </w:r>
          </w:p>
        </w:tc>
      </w:tr>
      <w:tr>
        <w:trPr>
          <w:trHeight w:val="341"/>
        </w:trPr>
        <w:tc>
          <w:tcPr>
            <w:tcW w:w="5620" w:type="dxa"/>
            <w:vAlign w:val="bottom"/>
            <w:gridSpan w:val="3"/>
          </w:tcPr>
          <w:p>
            <w:pPr>
              <w:spacing w:after="0"/>
              <w:rPr>
                <w:sz w:val="20"/>
                <w:szCs w:val="20"/>
                <w:color w:val="auto"/>
              </w:rPr>
            </w:pPr>
            <w:r>
              <w:rPr>
                <w:rFonts w:ascii="Courier New" w:cs="Courier New" w:eastAsia="Courier New" w:hAnsi="Courier New"/>
                <w:sz w:val="15"/>
                <w:szCs w:val="15"/>
                <w:color w:val="auto"/>
              </w:rPr>
              <w:t>Financial Statement Schedule</w:t>
            </w:r>
          </w:p>
        </w:tc>
        <w:tc>
          <w:tcPr>
            <w:tcW w:w="200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14</w:t>
            </w:r>
          </w:p>
        </w:tc>
      </w:tr>
      <w:tr>
        <w:trPr>
          <w:trHeight w:val="341"/>
        </w:trPr>
        <w:tc>
          <w:tcPr>
            <w:tcW w:w="880" w:type="dxa"/>
            <w:vAlign w:val="bottom"/>
          </w:tcPr>
          <w:p>
            <w:pPr>
              <w:spacing w:after="0"/>
              <w:rPr>
                <w:sz w:val="20"/>
                <w:szCs w:val="20"/>
                <w:color w:val="auto"/>
              </w:rPr>
            </w:pPr>
            <w:r>
              <w:rPr>
                <w:rFonts w:ascii="Courier New" w:cs="Courier New" w:eastAsia="Courier New" w:hAnsi="Courier New"/>
                <w:sz w:val="15"/>
                <w:szCs w:val="15"/>
                <w:color w:val="auto"/>
                <w:w w:val="95"/>
              </w:rPr>
              <w:t>Signatures</w:t>
            </w:r>
          </w:p>
        </w:tc>
        <w:tc>
          <w:tcPr>
            <w:tcW w:w="10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00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15</w:t>
            </w:r>
          </w:p>
        </w:tc>
      </w:tr>
      <w:tr>
        <w:trPr>
          <w:trHeight w:val="341"/>
        </w:trPr>
        <w:tc>
          <w:tcPr>
            <w:tcW w:w="1900" w:type="dxa"/>
            <w:vAlign w:val="bottom"/>
            <w:gridSpan w:val="2"/>
          </w:tcPr>
          <w:p>
            <w:pPr>
              <w:spacing w:after="0"/>
              <w:rPr>
                <w:sz w:val="20"/>
                <w:szCs w:val="20"/>
                <w:color w:val="auto"/>
              </w:rPr>
            </w:pPr>
            <w:r>
              <w:rPr>
                <w:rFonts w:ascii="Courier New" w:cs="Courier New" w:eastAsia="Courier New" w:hAnsi="Courier New"/>
                <w:sz w:val="15"/>
                <w:szCs w:val="15"/>
                <w:color w:val="auto"/>
                <w:w w:val="99"/>
              </w:rPr>
              <w:t>1994 Annual Report to</w:t>
            </w:r>
          </w:p>
        </w:tc>
        <w:tc>
          <w:tcPr>
            <w:tcW w:w="3720" w:type="dxa"/>
            <w:vAlign w:val="bottom"/>
          </w:tcPr>
          <w:p>
            <w:pPr>
              <w:ind w:left="40"/>
              <w:spacing w:after="0"/>
              <w:rPr>
                <w:sz w:val="20"/>
                <w:szCs w:val="20"/>
                <w:color w:val="auto"/>
              </w:rPr>
            </w:pPr>
            <w:r>
              <w:rPr>
                <w:rFonts w:ascii="Courier New" w:cs="Courier New" w:eastAsia="Courier New" w:hAnsi="Courier New"/>
                <w:sz w:val="15"/>
                <w:szCs w:val="15"/>
                <w:color w:val="auto"/>
              </w:rPr>
              <w:t>Shareholders</w:t>
            </w:r>
          </w:p>
        </w:tc>
        <w:tc>
          <w:tcPr>
            <w:tcW w:w="2000" w:type="dxa"/>
            <w:vAlign w:val="bottom"/>
          </w:tcPr>
          <w:p>
            <w:pPr>
              <w:jc w:val="right"/>
              <w:spacing w:after="0"/>
              <w:rPr>
                <w:sz w:val="20"/>
                <w:szCs w:val="20"/>
                <w:color w:val="auto"/>
              </w:rPr>
            </w:pPr>
            <w:r>
              <w:rPr>
                <w:rFonts w:ascii="Courier New" w:cs="Courier New" w:eastAsia="Courier New" w:hAnsi="Courier New"/>
                <w:sz w:val="15"/>
                <w:szCs w:val="15"/>
                <w:color w:val="auto"/>
              </w:rPr>
              <w:t>Exhibit (13)</w:t>
            </w:r>
          </w:p>
        </w:tc>
      </w:tr>
      <w:tr>
        <w:trPr>
          <w:trHeight w:val="341"/>
        </w:trPr>
        <w:tc>
          <w:tcPr>
            <w:tcW w:w="880" w:type="dxa"/>
            <w:vAlign w:val="bottom"/>
          </w:tcPr>
          <w:p>
            <w:pPr>
              <w:spacing w:after="0"/>
              <w:rPr>
                <w:sz w:val="20"/>
                <w:szCs w:val="20"/>
                <w:color w:val="auto"/>
              </w:rPr>
            </w:pPr>
            <w:r>
              <w:rPr>
                <w:rFonts w:ascii="Courier New" w:cs="Courier New" w:eastAsia="Courier New" w:hAnsi="Courier New"/>
                <w:sz w:val="15"/>
                <w:szCs w:val="15"/>
                <w:color w:val="auto"/>
                <w:w w:val="95"/>
              </w:rPr>
              <w:t>Consent of</w:t>
            </w:r>
          </w:p>
        </w:tc>
        <w:tc>
          <w:tcPr>
            <w:tcW w:w="47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Independent Public Accountants</w:t>
            </w:r>
          </w:p>
        </w:tc>
        <w:tc>
          <w:tcPr>
            <w:tcW w:w="2000" w:type="dxa"/>
            <w:vAlign w:val="bottom"/>
          </w:tcPr>
          <w:p>
            <w:pPr>
              <w:jc w:val="right"/>
              <w:spacing w:after="0"/>
              <w:rPr>
                <w:sz w:val="20"/>
                <w:szCs w:val="20"/>
                <w:color w:val="auto"/>
              </w:rPr>
            </w:pPr>
            <w:r>
              <w:rPr>
                <w:rFonts w:ascii="Courier New" w:cs="Courier New" w:eastAsia="Courier New" w:hAnsi="Courier New"/>
                <w:sz w:val="15"/>
                <w:szCs w:val="15"/>
                <w:color w:val="auto"/>
              </w:rPr>
              <w:t>Exhibit (24)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87" w:right="1440" w:bottom="1440" w:gutter="0" w:footer="0" w:header="0"/>
        </w:sectPr>
      </w:pPr>
    </w:p>
    <w:bookmarkStart w:id="2" w:name="page3"/>
    <w:bookmarkEnd w:id="2"/>
    <w:p>
      <w:pPr>
        <w:ind w:left="269"/>
        <w:spacing w:after="0"/>
        <w:rPr>
          <w:sz w:val="20"/>
          <w:szCs w:val="20"/>
          <w:color w:val="auto"/>
        </w:rPr>
      </w:pPr>
      <w:r>
        <w:rPr>
          <w:rFonts w:ascii="Courier New" w:cs="Courier New" w:eastAsia="Courier New" w:hAnsi="Courier New"/>
          <w:sz w:val="15"/>
          <w:szCs w:val="15"/>
          <w:color w:val="auto"/>
        </w:rPr>
        <w:t>3</w:t>
      </w:r>
    </w:p>
    <w:p>
      <w:pPr>
        <w:spacing w:after="0" w:line="171" w:lineRule="exact"/>
        <w:rPr>
          <w:sz w:val="20"/>
          <w:szCs w:val="20"/>
          <w:color w:val="auto"/>
        </w:rPr>
      </w:pPr>
    </w:p>
    <w:p>
      <w:pPr>
        <w:ind w:left="3289"/>
        <w:spacing w:after="0"/>
        <w:rPr>
          <w:sz w:val="20"/>
          <w:szCs w:val="20"/>
          <w:color w:val="auto"/>
        </w:rPr>
      </w:pPr>
      <w:r>
        <w:rPr>
          <w:rFonts w:ascii="Courier New" w:cs="Courier New" w:eastAsia="Courier New" w:hAnsi="Courier New"/>
          <w:sz w:val="15"/>
          <w:szCs w:val="15"/>
          <w:color w:val="auto"/>
        </w:rPr>
        <w:t>PART I</w:t>
      </w:r>
    </w:p>
    <w:p>
      <w:pPr>
        <w:spacing w:after="0" w:line="171" w:lineRule="exact"/>
        <w:rPr>
          <w:sz w:val="20"/>
          <w:szCs w:val="20"/>
          <w:color w:val="auto"/>
        </w:rPr>
      </w:pPr>
    </w:p>
    <w:p>
      <w:pPr>
        <w:ind w:left="9"/>
        <w:spacing w:after="0"/>
        <w:tabs>
          <w:tab w:leader="none" w:pos="1229"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Business.</w:t>
      </w:r>
    </w:p>
    <w:p>
      <w:pPr>
        <w:spacing w:after="0" w:line="174" w:lineRule="exact"/>
        <w:rPr>
          <w:sz w:val="20"/>
          <w:szCs w:val="20"/>
          <w:color w:val="auto"/>
        </w:rPr>
      </w:pPr>
    </w:p>
    <w:p>
      <w:pPr>
        <w:ind w:left="629" w:right="3299" w:hanging="629"/>
        <w:spacing w:after="0"/>
        <w:tabs>
          <w:tab w:leader="none" w:pos="629"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Yellow Corporation and its wholly-owned subsidiaries are collectively referred to as "the company". The company provides transportation services primarily to the less-than-truckload (LTL) market throughout North America. There were no material changes in the method of conducting business by the company in 1994. However, in November 1994 the company acquired Johnson's Freighlines (renamed WestEx), a Phoneix, AZ-based regional carrier with annual revenue of approximately $17 million. Additionally, the company's subsidiaries expanded geographically and improved their service offerings during the year as described below.</w:t>
      </w:r>
    </w:p>
    <w:p>
      <w:pPr>
        <w:spacing w:after="0" w:line="178" w:lineRule="exact"/>
        <w:rPr>
          <w:rFonts w:ascii="Courier New" w:cs="Courier New" w:eastAsia="Courier New" w:hAnsi="Courier New"/>
          <w:sz w:val="15"/>
          <w:szCs w:val="15"/>
          <w:color w:val="auto"/>
        </w:rPr>
      </w:pPr>
    </w:p>
    <w:p>
      <w:pPr>
        <w:ind w:left="629" w:right="3659" w:hanging="629"/>
        <w:spacing w:after="0" w:line="239" w:lineRule="auto"/>
        <w:tabs>
          <w:tab w:leader="none" w:pos="629"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operation of the company is conducted through one predominant industry segment, which is the interstate transportation of general commodity freight, primarily LTL, by motor vehicle.</w:t>
      </w:r>
    </w:p>
    <w:p>
      <w:pPr>
        <w:spacing w:after="0" w:line="175" w:lineRule="exact"/>
        <w:rPr>
          <w:rFonts w:ascii="Courier New" w:cs="Courier New" w:eastAsia="Courier New" w:hAnsi="Courier New"/>
          <w:sz w:val="15"/>
          <w:szCs w:val="15"/>
          <w:color w:val="auto"/>
        </w:rPr>
      </w:pPr>
    </w:p>
    <w:p>
      <w:pPr>
        <w:ind w:left="629" w:right="3219" w:hanging="629"/>
        <w:spacing w:after="0" w:line="260" w:lineRule="auto"/>
        <w:tabs>
          <w:tab w:leader="none" w:pos="629"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Yellow Corporation is a holding company providing freight transportation services through its subsidiaries, Yellow Freight System, Inc. (Yellow Freight), Preston Trucking Company, Inc. (Preston Trucking), Saia Motor Freight Line, Inc. (Saia), CSI/Reeves, Inc. (CSI/Reeves), WestEx, Inc. (WestEx), Yellow Logistics Services, Inc. (Yellow Logistics) and Yellow Technology Services, Inc. (Yellow Technology). The company employed an average of 33,400 persons in 1994.</w:t>
      </w:r>
    </w:p>
    <w:p>
      <w:pPr>
        <w:spacing w:after="0" w:line="162" w:lineRule="exact"/>
        <w:rPr>
          <w:rFonts w:ascii="Courier New" w:cs="Courier New" w:eastAsia="Courier New" w:hAnsi="Courier New"/>
          <w:sz w:val="14"/>
          <w:szCs w:val="14"/>
          <w:color w:val="auto"/>
        </w:rPr>
      </w:pPr>
    </w:p>
    <w:p>
      <w:pPr>
        <w:ind w:left="629" w:right="329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Yellow Freight, the company's principal subsidiary, had operating revenue of $2.221 billion in 1994 (77% of the company's total revenue) and is based in Overland Park, Kansas. It is the nation's largest provider of LTL transportation services with direct service to over 35,000 points in all 50 states, Puerto Rico, Canada and Mexico. Yellow Freight services Europe via an alliance with The Royal Frans Maas Group based in the Netherlands.</w:t>
      </w:r>
    </w:p>
    <w:p>
      <w:pPr>
        <w:spacing w:after="0" w:line="175" w:lineRule="exact"/>
        <w:rPr>
          <w:rFonts w:ascii="Courier New" w:cs="Courier New" w:eastAsia="Courier New" w:hAnsi="Courier New"/>
          <w:sz w:val="14"/>
          <w:szCs w:val="14"/>
          <w:color w:val="auto"/>
        </w:rPr>
      </w:pPr>
    </w:p>
    <w:p>
      <w:pPr>
        <w:ind w:left="629" w:right="3659"/>
        <w:spacing w:after="0" w:line="26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Preston Trucking is primarily a regional LTL carrier serving the Northeast and upper Midwest markets of the United States. Preston Trucking had operating revenue of $417 million in 1994 (15% of the company's total revenue) and is headquartered in Preston, Maryland.</w:t>
      </w:r>
    </w:p>
    <w:p>
      <w:pPr>
        <w:spacing w:after="0" w:line="160" w:lineRule="exact"/>
        <w:rPr>
          <w:rFonts w:ascii="Courier New" w:cs="Courier New" w:eastAsia="Courier New" w:hAnsi="Courier New"/>
          <w:sz w:val="14"/>
          <w:szCs w:val="14"/>
          <w:color w:val="auto"/>
        </w:rPr>
      </w:pPr>
    </w:p>
    <w:p>
      <w:pPr>
        <w:ind w:left="629" w:right="329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Saia is a regional LTL carrier that provides overnight and second-day service in nine Southeastern states. It had operating revenue of $138 million in 1994 and is based in Houma, Louisiana. Effective January 1, 1995, Smalley Transportation Company (Smalley), an affiliated company, was merged into Saia. Smalley was a regional carrier providing service to customers in Georgia and throughout Florida, with operating revenue of $40 million in 1994.</w:t>
      </w:r>
    </w:p>
    <w:p>
      <w:pPr>
        <w:spacing w:after="0" w:line="175" w:lineRule="exact"/>
        <w:rPr>
          <w:rFonts w:ascii="Courier New" w:cs="Courier New" w:eastAsia="Courier New" w:hAnsi="Courier New"/>
          <w:sz w:val="14"/>
          <w:szCs w:val="14"/>
          <w:color w:val="auto"/>
        </w:rPr>
      </w:pPr>
    </w:p>
    <w:p>
      <w:pPr>
        <w:ind w:left="629" w:right="3399"/>
        <w:spacing w:after="0" w:line="239"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CSI/Reeves is in the business of transporting, warehousing and distributing carpet and related products. It had operating revenue of $36 million in 1994 and is based in Calhoun, Georgia.</w:t>
      </w:r>
    </w:p>
    <w:p>
      <w:pPr>
        <w:spacing w:after="0" w:line="175" w:lineRule="exact"/>
        <w:rPr>
          <w:rFonts w:ascii="Courier New" w:cs="Courier New" w:eastAsia="Courier New" w:hAnsi="Courier New"/>
          <w:sz w:val="14"/>
          <w:szCs w:val="14"/>
          <w:color w:val="auto"/>
        </w:rPr>
      </w:pPr>
    </w:p>
    <w:p>
      <w:pPr>
        <w:ind w:left="629" w:right="3219"/>
        <w:spacing w:after="0" w:line="239"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WestEx, formerly Johnson's Freightlines, was acquired in November 1994. This regional LTL carrier provides mostly overnight service to the states of Arizona, New Mexico and parts of Texas and Nevada and is based in Phoenix, Arizonia.</w:t>
      </w:r>
    </w:p>
    <w:p>
      <w:pPr>
        <w:spacing w:after="0" w:line="176" w:lineRule="exact"/>
        <w:rPr>
          <w:rFonts w:ascii="Courier New" w:cs="Courier New" w:eastAsia="Courier New" w:hAnsi="Courier New"/>
          <w:sz w:val="14"/>
          <w:szCs w:val="14"/>
          <w:color w:val="auto"/>
        </w:rPr>
      </w:pPr>
    </w:p>
    <w:p>
      <w:pPr>
        <w:ind w:left="629" w:right="3399"/>
        <w:spacing w:after="0" w:line="239"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Yellow Logistics offers integrated logistics management services including transportation management, warehousing, information systems, distribution, package design and testing. Its headquarters are in Overland Park, Kansas.</w:t>
      </w:r>
    </w:p>
    <w:p>
      <w:pPr>
        <w:spacing w:after="0" w:line="344"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8"/>
          </w:cols>
          <w:pgMar w:left="231" w:top="287"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4</w:t>
      </w:r>
    </w:p>
    <w:p>
      <w:pPr>
        <w:spacing w:after="0" w:line="171"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Business. (cont.)</w:t>
      </w:r>
    </w:p>
    <w:p>
      <w:pPr>
        <w:spacing w:after="0" w:line="174" w:lineRule="exact"/>
        <w:rPr>
          <w:sz w:val="20"/>
          <w:szCs w:val="20"/>
          <w:color w:val="auto"/>
        </w:rPr>
      </w:pPr>
    </w:p>
    <w:p>
      <w:pPr>
        <w:ind w:right="3299"/>
        <w:spacing w:after="0" w:line="262" w:lineRule="auto"/>
        <w:rPr>
          <w:sz w:val="20"/>
          <w:szCs w:val="20"/>
          <w:color w:val="auto"/>
        </w:rPr>
      </w:pPr>
      <w:r>
        <w:rPr>
          <w:rFonts w:ascii="Courier New" w:cs="Courier New" w:eastAsia="Courier New" w:hAnsi="Courier New"/>
          <w:sz w:val="14"/>
          <w:szCs w:val="14"/>
          <w:color w:val="auto"/>
        </w:rPr>
        <w:t>Yellow Technology supports the company's subsidiaries - primarily Yellow Freight - with information technology. It ensures that information systems anticipate and meet customers' needs and that the systems are an integral part of the transportation process. Its headquarters are in Overland Park, Kansas.</w:t>
      </w:r>
    </w:p>
    <w:p>
      <w:pPr>
        <w:spacing w:after="0" w:line="161"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The operations of the freight transportation companies are partially regulated by the Interstate Commerce Commission and state regulatory bodies. As a result of the passage of the Trucking Industry Regulatory Reform Act of 1994, the entry and rates for the intrastate operations of all transportation companies became deregulated January 1, 1995. Competition includes contract motor carriers, private fleets, railroads and other motor carriers. No single carrier has a dominant share of the motor freight market.</w:t>
      </w:r>
    </w:p>
    <w:p>
      <w:pPr>
        <w:spacing w:after="0" w:line="176"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The company operates in a highly price-sensitive and competitive industry, making pricing, customer service and cost control major competitive factors. Traditionally, rate increases have been implemented to offset increases in labor and other operating costs. The motor carrier subsidiaries have implemented rate increases of between four and five percent during the first quarter of 1994 to cover increases in operating costs. The full impact of rate increases is not realized immediately as a result of pricing that is on a contract basis and can only be increased when the contract is renewed or renegotiated. A relatively stable pricing environment enabled the company to retain most of the 1994 rate increases. The company's subsidiaries are continuing to work toward improved account profitability and maintaining pricing stability. The motor carrier subsidiaries have implemented rate increases of between four and five percent during the first quarter of 1995 to cover increases in operating costs.</w:t>
      </w:r>
    </w:p>
    <w:p>
      <w:pPr>
        <w:spacing w:after="0" w:line="181"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The company's strategy focuses on introducing new customer services, improving existing services and providing service to new markets. The company strives to control operating costs by maintaining efficient operations, optimum capacity utilization and strict budgetary controls. Increased technology investments are expected to reduce costs and increase productivity while providing improved information benefits for customers.</w:t>
      </w:r>
    </w:p>
    <w:p>
      <w:pPr>
        <w:spacing w:after="0" w:line="175"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Two events materially impacted Yellow Freight's operating results in 1994. In the first quarter, severe winter weather caused significant business disruptions and higher operating expenses. In April, Yellow Freight experienced a 24-day national labor strike by the International Brotherhood of Teamsters (Teamsters). During this period, virtually no revenue was generated to cover fixed and general/administrative costs. This resulted in a six percent decrease in revenue in 1994 compared to 1993. The impact of decreased tonnage and number of shipments handled was partially offset by price increases and a stable pricing environment. However, a new four-year labor contract was reached which provides Yellow Freight greater operational flexibility while giving Teamster employees increased wages, benefits and job security. The increased flexibility means that Yellow Freight has the ability to lower operating costs by gaining the right to use more rail transportation and dock casual workers whose rate of pay is fixed during the contract. In return, the carriers agreed to a 14% increase in wages and benefits over the four-year contract term.</w:t>
      </w:r>
    </w:p>
    <w:p>
      <w:pPr>
        <w:spacing w:after="0" w:line="183" w:lineRule="exact"/>
        <w:rPr>
          <w:sz w:val="20"/>
          <w:szCs w:val="20"/>
          <w:color w:val="auto"/>
        </w:rPr>
      </w:pPr>
    </w:p>
    <w:p>
      <w:pPr>
        <w:ind w:right="3659"/>
        <w:spacing w:after="0" w:line="239" w:lineRule="auto"/>
        <w:rPr>
          <w:sz w:val="20"/>
          <w:szCs w:val="20"/>
          <w:color w:val="auto"/>
        </w:rPr>
      </w:pPr>
      <w:r>
        <w:rPr>
          <w:rFonts w:ascii="Courier New" w:cs="Courier New" w:eastAsia="Courier New" w:hAnsi="Courier New"/>
          <w:sz w:val="15"/>
          <w:szCs w:val="15"/>
          <w:color w:val="auto"/>
        </w:rPr>
        <w:t>Yellow Freight's salaries, wages and employees' benefits expense as a percentage of revenue was essentially the same in 1994 and 1993. Slightly lower employee levels were offset by wage and benefit increases of approximately three percent effective</w:t>
      </w:r>
    </w:p>
    <w:p>
      <w:pPr>
        <w:spacing w:after="0" w:line="200" w:lineRule="exact"/>
        <w:rPr>
          <w:sz w:val="20"/>
          <w:szCs w:val="20"/>
          <w:color w:val="auto"/>
        </w:rPr>
      </w:pPr>
    </w:p>
    <w:p>
      <w:pPr>
        <w:spacing w:after="0" w:line="31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87"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5</w:t>
      </w:r>
    </w:p>
    <w:p>
      <w:pPr>
        <w:spacing w:after="0" w:line="171"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Business. (cont.)</w:t>
      </w:r>
    </w:p>
    <w:p>
      <w:pPr>
        <w:spacing w:after="0" w:line="174" w:lineRule="exact"/>
        <w:rPr>
          <w:sz w:val="20"/>
          <w:szCs w:val="20"/>
          <w:color w:val="auto"/>
        </w:rPr>
      </w:pPr>
    </w:p>
    <w:p>
      <w:pPr>
        <w:ind w:right="3399"/>
        <w:spacing w:after="0"/>
        <w:rPr>
          <w:sz w:val="20"/>
          <w:szCs w:val="20"/>
          <w:color w:val="auto"/>
        </w:rPr>
      </w:pPr>
      <w:r>
        <w:rPr>
          <w:rFonts w:ascii="Courier New" w:cs="Courier New" w:eastAsia="Courier New" w:hAnsi="Courier New"/>
          <w:sz w:val="15"/>
          <w:szCs w:val="15"/>
          <w:color w:val="auto"/>
        </w:rPr>
        <w:t>April 1 under the new labor agreement. In the third quarter, Yellow Freight implemented a change of linehaul operations, which allows substantially more freight to be transported via rail. This change, which was made possible by the new labor agreement, is expected to hold down operating costs, reduce capital expenditures for revenue equipment and improve service for customers. Purchased transportation costs were higher in 1994 as a result of this increased rail usage in the third and fourth quarters. With business near pre-strike levels, a stable pricing environment, and a new four-year labor agreement which will help reduce costs and improve efficiency, Yellow Freight expects improved operating performance in 1995.</w:t>
      </w:r>
    </w:p>
    <w:p>
      <w:pPr>
        <w:spacing w:after="0" w:line="178"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Preston Trucking had an annualized revenue increase of five percent in 1994 compared to 1993. However, their operating margin deteriorated slightly during the year as a result of severe winter weather in the Northeast during the first quarter, the impact of the second quarter strike and shipper uncertainty concerning approval of the wage reduction agreement described below. Preston Trucking saw a dramatic increase in revenue during the second quarter of 1994 when employees returned to work under an interim agreement with the Teamsters after only six days on strike. The increased business adversely affected service performance and costs, reducing profitability in the latter part of the second quarter and into the third quarter. In mid-1994, the Teamster employees of Preston Trucking approved a plan to reduce wages in return for a share of profits if certain operating results are achieved. The plan lessens pay by seven percent from standard wages under the new contract until April 1, 1995 and by five percent until April 1, 1996 when pay levels return to standard contract wages. This plan replaced a one year, nine percent wage reduction approved in March 1993, shortly after Preston Trucking was acquired by the company.</w:t>
      </w:r>
    </w:p>
    <w:p>
      <w:pPr>
        <w:spacing w:after="0" w:line="183" w:lineRule="exact"/>
        <w:rPr>
          <w:sz w:val="20"/>
          <w:szCs w:val="20"/>
          <w:color w:val="auto"/>
        </w:rPr>
      </w:pPr>
    </w:p>
    <w:p>
      <w:pPr>
        <w:ind w:right="3839"/>
        <w:spacing w:after="0" w:line="258" w:lineRule="auto"/>
        <w:rPr>
          <w:sz w:val="20"/>
          <w:szCs w:val="20"/>
          <w:color w:val="auto"/>
        </w:rPr>
      </w:pPr>
      <w:r>
        <w:rPr>
          <w:rFonts w:ascii="Courier New" w:cs="Courier New" w:eastAsia="Courier New" w:hAnsi="Courier New"/>
          <w:sz w:val="14"/>
          <w:szCs w:val="14"/>
          <w:color w:val="auto"/>
        </w:rPr>
        <w:t>Preston Trucking achieved significant service improvements in the fourth quarter through the implementation of a new regional concept featuring a</w:t>
      </w:r>
    </w:p>
    <w:p>
      <w:pPr>
        <w:ind w:right="3219"/>
        <w:spacing w:after="0"/>
        <w:rPr>
          <w:sz w:val="20"/>
          <w:szCs w:val="20"/>
          <w:color w:val="auto"/>
        </w:rPr>
      </w:pPr>
      <w:r>
        <w:rPr>
          <w:rFonts w:ascii="Courier New" w:cs="Courier New" w:eastAsia="Courier New" w:hAnsi="Courier New"/>
          <w:sz w:val="15"/>
          <w:szCs w:val="15"/>
          <w:color w:val="auto"/>
        </w:rPr>
        <w:t>170-door distribution center near Cleveland, Ohio. Called the SuperRegion, it provides reduced transit times and superior service across an expanded geographic area. This service began attracting new revenue during the quarter. Preston Trucking plans to continue to leverage its new SuperRegion concept and expects improvement in both revenue growth and operating profit. Revenue growth, improved service and improved productivity are expected to produce benefits in excess of the phase down of the wage reduction agreement.</w:t>
      </w:r>
    </w:p>
    <w:p>
      <w:pPr>
        <w:spacing w:after="0" w:line="176"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In 1994 Saia maintained an operating margin similar to 1993 while expanding geographically in Texas, Tennessee and Georgia. Start up costs for these expansions burdened 1994 operating expenses while the full revenue benefits will not be realized until 1995 and subsequent years. Saia achieved an annualized revenue increase of 15% in 1994 compared to 1993 due to growth and second quarter benefits from the labor strike. Smalley experienced improvement in controlling its operating costs in 1994, while achieving four percent revenue growth and absorbing some merger-related costs. Effective January 1, 1995, Smalley was merged into Saia to offer customers more comprehensive regional coverage and to reduce costs. Merger-related costs in 1994 are estimated to have negatively impacted Saia and Smalley's operating expenses by $1 million. Saia, following the completion of its merger with Smalley anticipates strong revenue growth by expanding both within and outside of their present service area. Expansion costs and pricing pressures related to the deregulation of intrastate operations may have some negative impact on operating performance in 1995. However, benefits are expected from cost savings as a result of the merger and revenue opportunities from the 1994 and 1995 expansions, including access to new intrastate markets.</w:t>
      </w:r>
    </w:p>
    <w:p>
      <w:pPr>
        <w:spacing w:after="0" w:line="35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87"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6</w:t>
      </w:r>
    </w:p>
    <w:p>
      <w:pPr>
        <w:spacing w:after="0" w:line="171"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Business. (cont.)</w:t>
      </w:r>
    </w:p>
    <w:p>
      <w:pPr>
        <w:spacing w:after="0" w:line="174" w:lineRule="exact"/>
        <w:rPr>
          <w:sz w:val="20"/>
          <w:szCs w:val="20"/>
          <w:color w:val="auto"/>
        </w:rPr>
      </w:pPr>
    </w:p>
    <w:p>
      <w:pPr>
        <w:ind w:right="3219"/>
        <w:spacing w:after="0" w:line="259" w:lineRule="auto"/>
        <w:rPr>
          <w:sz w:val="20"/>
          <w:szCs w:val="20"/>
          <w:color w:val="auto"/>
        </w:rPr>
      </w:pPr>
      <w:r>
        <w:rPr>
          <w:rFonts w:ascii="Courier New" w:cs="Courier New" w:eastAsia="Courier New" w:hAnsi="Courier New"/>
          <w:sz w:val="14"/>
          <w:szCs w:val="14"/>
          <w:color w:val="auto"/>
        </w:rPr>
        <w:t>The operations of the company are generally funded by cash flows generated from operating activities except in periods of accelerated capital spending. The company requires working capital to fund capital expenditures and pay shareholder dividends. The rapid turnover of accounts receivable, effective cash management and ready access to credit provided by commercial paper, medium-term notes and flexible banking agreements allows the company to effectively manage its working capital. Additionally, the company maintains credit availability under a $100 million credit agreement to support the commercial paper program and provide additional borrowing capacity. Total debt increased by $21 million in 1994, primarily due to a higher level of capital expenditures and the impact on cash flow of lower earnings. Commercial paper borrowings and medium-term note issuances were used to meet these cash needs and scheduled maturities of other debt. It is anticipated that 1995 capital expenditures and shareholder dividends will be primarily financed through internally-generated funds and to a lesser extent external borrowings.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Properties.</w:t>
      </w:r>
    </w:p>
    <w:p>
      <w:pPr>
        <w:spacing w:after="0" w:line="174" w:lineRule="exact"/>
        <w:rPr>
          <w:sz w:val="20"/>
          <w:szCs w:val="20"/>
          <w:color w:val="auto"/>
        </w:rPr>
      </w:pPr>
    </w:p>
    <w:p>
      <w:pPr>
        <w:ind w:right="3219"/>
        <w:spacing w:after="0" w:line="259" w:lineRule="auto"/>
        <w:rPr>
          <w:sz w:val="20"/>
          <w:szCs w:val="20"/>
          <w:color w:val="auto"/>
        </w:rPr>
      </w:pPr>
      <w:r>
        <w:rPr>
          <w:rFonts w:ascii="Courier New" w:cs="Courier New" w:eastAsia="Courier New" w:hAnsi="Courier New"/>
          <w:sz w:val="14"/>
          <w:szCs w:val="14"/>
          <w:color w:val="auto"/>
        </w:rPr>
        <w:t>At December 31, 1994, the company operated 671 freight terminals located in 50 states, Puerto Rico, parts of Canada and Mexico. Of this total, 314 were owned terminals and 357 were leased, generally for terms of three years or less. The number of vehicle back-in doors totaled 19,534, of which 14,846 were at owned terminals and 4,688 were at leased terminals. The freight terminals vary in size ranging from one to three doors at small local terminals, up to 304 doors at Yellow Freight's largest consolidation and distribution terminal. Substantially all of the larger terminals, containing the greatest number of doors, are owned. In addition, the company and most of its subsidiaries own and occupy general office buildings in their headquarters city.</w:t>
      </w:r>
    </w:p>
    <w:p>
      <w:pPr>
        <w:spacing w:after="0" w:line="166"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At December 31, 1994, the company's subsidiaries operated the following number of linehaul units: tractors - 5,367, 45' and 48' trailers - 6,465, and 27' and 28' trailers - 33,873. The number of city units operated were: trucks and tractors - 8,362 and trailers - 5,775.</w:t>
      </w:r>
    </w:p>
    <w:p>
      <w:pPr>
        <w:spacing w:after="0" w:line="176"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The above facilities and equipment are used in the company's predominant industry, the interstate transportation of general commodity freight. The company expects moderate growth in 1995 and has projected no significant changes to its operational capacity. Projected net capital expenditures for 1995 are $175 million. Facility expenditures of $25 million will target maintenance and expansion of existing locations and the construction or purchase of new locations to improve efficiency and enter new markets in selected areas. Revenue equipment expenditures of $85 million are estimated to consist mostly of replacement units, similar to 1994. The anticipated increase in rail use by Yellow Freight for 1995 resulted in lower projected revenue equipment expenditures. There is expected to be an even split in revenue equipment expenditures between Yellow Freight and the regional companies as a group for 1995. Other operating property expenditures of $65 million are primarily for improving efficiency through technological enhancements and advanced information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87"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7</w:t>
      </w:r>
    </w:p>
    <w:p>
      <w:pPr>
        <w:spacing w:after="0" w:line="171"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Legal Proceedings.</w:t>
      </w:r>
    </w:p>
    <w:p>
      <w:pPr>
        <w:spacing w:after="0" w:line="174"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The information set forth under the caption "Commitments and Contingencies" in the Notes to Consolidated Financial Statements on page 31 of the registrant's Annual Report to Shareholders for the year ended December 31, 1994, is incorporated by reference under Item 14 herein.</w:t>
      </w:r>
    </w:p>
    <w:p>
      <w:pPr>
        <w:spacing w:after="0" w:line="344"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None.</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Officers of the Registrant</w:t>
      </w:r>
    </w:p>
    <w:p>
      <w:pPr>
        <w:spacing w:after="0" w:line="174"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The names, ages and positions of the executive officers of the company as of March 20, 1995 are listed below. Officers are appointed annually by the Board of Directors at their meeting which immediately follows the annual meeting of shareholders.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60" w:type="dxa"/>
            <w:vAlign w:val="bottom"/>
          </w:tcPr>
          <w:p>
            <w:pPr>
              <w:ind w:left="880"/>
              <w:spacing w:after="0"/>
              <w:rPr>
                <w:sz w:val="20"/>
                <w:szCs w:val="20"/>
                <w:color w:val="auto"/>
              </w:rPr>
            </w:pPr>
            <w:r>
              <w:rPr>
                <w:rFonts w:ascii="Courier New" w:cs="Courier New" w:eastAsia="Courier New" w:hAnsi="Courier New"/>
                <w:sz w:val="15"/>
                <w:szCs w:val="15"/>
                <w:color w:val="auto"/>
              </w:rPr>
              <w:t>Name</w:t>
            </w:r>
          </w:p>
        </w:tc>
        <w:tc>
          <w:tcPr>
            <w:tcW w:w="13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Age</w:t>
            </w:r>
          </w:p>
        </w:tc>
        <w:tc>
          <w:tcPr>
            <w:tcW w:w="1600" w:type="dxa"/>
            <w:vAlign w:val="bottom"/>
          </w:tcPr>
          <w:p>
            <w:pPr>
              <w:spacing w:after="0"/>
              <w:rPr>
                <w:sz w:val="14"/>
                <w:szCs w:val="14"/>
                <w:color w:val="auto"/>
              </w:rPr>
            </w:pPr>
          </w:p>
        </w:tc>
        <w:tc>
          <w:tcPr>
            <w:tcW w:w="3140" w:type="dxa"/>
            <w:vAlign w:val="bottom"/>
          </w:tcPr>
          <w:p>
            <w:pPr>
              <w:ind w:left="220"/>
              <w:spacing w:after="0"/>
              <w:rPr>
                <w:sz w:val="20"/>
                <w:szCs w:val="20"/>
                <w:color w:val="auto"/>
              </w:rPr>
            </w:pPr>
            <w:r>
              <w:rPr>
                <w:rFonts w:ascii="Courier New" w:cs="Courier New" w:eastAsia="Courier New" w:hAnsi="Courier New"/>
                <w:sz w:val="15"/>
                <w:szCs w:val="15"/>
                <w:color w:val="auto"/>
              </w:rPr>
              <w:t>Position(s) Held</w:t>
            </w:r>
          </w:p>
        </w:tc>
      </w:tr>
      <w:tr>
        <w:trPr>
          <w:trHeight w:val="171"/>
        </w:trPr>
        <w:tc>
          <w:tcPr>
            <w:tcW w:w="2560" w:type="dxa"/>
            <w:vAlign w:val="bottom"/>
          </w:tcPr>
          <w:p>
            <w:pPr>
              <w:ind w:left="88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spacing w:after="0"/>
              <w:rPr>
                <w:sz w:val="14"/>
                <w:szCs w:val="14"/>
                <w:color w:val="auto"/>
              </w:rPr>
            </w:pPr>
          </w:p>
        </w:tc>
        <w:tc>
          <w:tcPr>
            <w:tcW w:w="31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r>
      <w:tr>
        <w:trPr>
          <w:trHeight w:val="341"/>
        </w:trPr>
        <w:tc>
          <w:tcPr>
            <w:tcW w:w="2560" w:type="dxa"/>
            <w:vAlign w:val="bottom"/>
          </w:tcPr>
          <w:p>
            <w:pPr>
              <w:spacing w:after="0"/>
              <w:rPr>
                <w:sz w:val="20"/>
                <w:szCs w:val="20"/>
                <w:color w:val="auto"/>
              </w:rPr>
            </w:pPr>
            <w:r>
              <w:rPr>
                <w:rFonts w:ascii="Courier New" w:cs="Courier New" w:eastAsia="Courier New" w:hAnsi="Courier New"/>
                <w:sz w:val="15"/>
                <w:szCs w:val="15"/>
                <w:color w:val="auto"/>
              </w:rPr>
              <w:t>George E. Powell III</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46</w:t>
            </w:r>
          </w:p>
        </w:tc>
        <w:tc>
          <w:tcPr>
            <w:tcW w:w="474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Chief Executive Officer of the company (since</w:t>
            </w:r>
          </w:p>
        </w:tc>
      </w:tr>
      <w:tr>
        <w:trPr>
          <w:trHeight w:val="171"/>
        </w:trPr>
        <w:tc>
          <w:tcPr>
            <w:tcW w:w="25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74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July 1990); President of the company (since</w:t>
            </w:r>
          </w:p>
        </w:tc>
      </w:tr>
      <w:tr>
        <w:trPr>
          <w:trHeight w:val="171"/>
        </w:trPr>
        <w:tc>
          <w:tcPr>
            <w:tcW w:w="25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0" w:type="dxa"/>
            <w:vAlign w:val="bottom"/>
          </w:tcPr>
          <w:p>
            <w:pPr>
              <w:ind w:left="320"/>
              <w:spacing w:after="0"/>
              <w:rPr>
                <w:sz w:val="20"/>
                <w:szCs w:val="20"/>
                <w:color w:val="auto"/>
              </w:rPr>
            </w:pPr>
            <w:r>
              <w:rPr>
                <w:rFonts w:ascii="Courier New" w:cs="Courier New" w:eastAsia="Courier New" w:hAnsi="Courier New"/>
                <w:sz w:val="15"/>
                <w:szCs w:val="15"/>
                <w:color w:val="auto"/>
                <w:w w:val="99"/>
              </w:rPr>
              <w:t>October 1987);</w:t>
            </w:r>
          </w:p>
        </w:tc>
        <w:tc>
          <w:tcPr>
            <w:tcW w:w="3140" w:type="dxa"/>
            <w:vAlign w:val="bottom"/>
          </w:tcPr>
          <w:p>
            <w:pPr>
              <w:ind w:left="40"/>
              <w:spacing w:after="0"/>
              <w:rPr>
                <w:sz w:val="20"/>
                <w:szCs w:val="20"/>
                <w:color w:val="auto"/>
              </w:rPr>
            </w:pPr>
            <w:r>
              <w:rPr>
                <w:rFonts w:ascii="Courier New" w:cs="Courier New" w:eastAsia="Courier New" w:hAnsi="Courier New"/>
                <w:sz w:val="15"/>
                <w:szCs w:val="15"/>
                <w:color w:val="auto"/>
              </w:rPr>
              <w:t>President of Yellow Freight</w:t>
            </w:r>
          </w:p>
        </w:tc>
      </w:tr>
      <w:tr>
        <w:trPr>
          <w:trHeight w:val="171"/>
        </w:trPr>
        <w:tc>
          <w:tcPr>
            <w:tcW w:w="25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74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System, Inc. (Yellow Freight), a subsidiary</w:t>
            </w:r>
          </w:p>
        </w:tc>
      </w:tr>
      <w:tr>
        <w:trPr>
          <w:trHeight w:val="171"/>
        </w:trPr>
        <w:tc>
          <w:tcPr>
            <w:tcW w:w="25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0" w:type="dxa"/>
            <w:vAlign w:val="bottom"/>
          </w:tcPr>
          <w:p>
            <w:pPr>
              <w:ind w:left="320"/>
              <w:spacing w:after="0"/>
              <w:rPr>
                <w:sz w:val="20"/>
                <w:szCs w:val="20"/>
                <w:color w:val="auto"/>
              </w:rPr>
            </w:pPr>
            <w:r>
              <w:rPr>
                <w:rFonts w:ascii="Courier New" w:cs="Courier New" w:eastAsia="Courier New" w:hAnsi="Courier New"/>
                <w:sz w:val="15"/>
                <w:szCs w:val="15"/>
                <w:color w:val="auto"/>
                <w:w w:val="99"/>
              </w:rPr>
              <w:t>of the company</w:t>
            </w:r>
          </w:p>
        </w:tc>
        <w:tc>
          <w:tcPr>
            <w:tcW w:w="3140" w:type="dxa"/>
            <w:vAlign w:val="bottom"/>
          </w:tcPr>
          <w:p>
            <w:pPr>
              <w:ind w:left="40"/>
              <w:spacing w:after="0"/>
              <w:rPr>
                <w:sz w:val="20"/>
                <w:szCs w:val="20"/>
                <w:color w:val="auto"/>
              </w:rPr>
            </w:pPr>
            <w:r>
              <w:rPr>
                <w:rFonts w:ascii="Courier New" w:cs="Courier New" w:eastAsia="Courier New" w:hAnsi="Courier New"/>
                <w:sz w:val="15"/>
                <w:szCs w:val="15"/>
                <w:color w:val="auto"/>
              </w:rPr>
              <w:t>(prior to May 1992)</w:t>
            </w:r>
          </w:p>
        </w:tc>
      </w:tr>
      <w:tr>
        <w:trPr>
          <w:trHeight w:val="341"/>
        </w:trPr>
        <w:tc>
          <w:tcPr>
            <w:tcW w:w="2560" w:type="dxa"/>
            <w:vAlign w:val="bottom"/>
          </w:tcPr>
          <w:p>
            <w:pPr>
              <w:spacing w:after="0"/>
              <w:rPr>
                <w:sz w:val="20"/>
                <w:szCs w:val="20"/>
                <w:color w:val="auto"/>
              </w:rPr>
            </w:pPr>
            <w:r>
              <w:rPr>
                <w:rFonts w:ascii="Courier New" w:cs="Courier New" w:eastAsia="Courier New" w:hAnsi="Courier New"/>
                <w:sz w:val="15"/>
                <w:szCs w:val="15"/>
                <w:color w:val="auto"/>
              </w:rPr>
              <w:t>M. Reid Armstrong</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57</w:t>
            </w:r>
          </w:p>
        </w:tc>
        <w:tc>
          <w:tcPr>
            <w:tcW w:w="474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President of Yellow Freight (since May 1992);</w:t>
            </w:r>
          </w:p>
        </w:tc>
      </w:tr>
      <w:tr>
        <w:trPr>
          <w:trHeight w:val="171"/>
        </w:trPr>
        <w:tc>
          <w:tcPr>
            <w:tcW w:w="25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0" w:type="dxa"/>
            <w:vAlign w:val="bottom"/>
          </w:tcPr>
          <w:p>
            <w:pPr>
              <w:ind w:left="320"/>
              <w:spacing w:after="0"/>
              <w:rPr>
                <w:sz w:val="20"/>
                <w:szCs w:val="20"/>
                <w:color w:val="auto"/>
              </w:rPr>
            </w:pPr>
            <w:r>
              <w:rPr>
                <w:rFonts w:ascii="Courier New" w:cs="Courier New" w:eastAsia="Courier New" w:hAnsi="Courier New"/>
                <w:sz w:val="15"/>
                <w:szCs w:val="15"/>
                <w:color w:val="auto"/>
                <w:w w:val="99"/>
              </w:rPr>
              <w:t>Executive Vice</w:t>
            </w:r>
          </w:p>
        </w:tc>
        <w:tc>
          <w:tcPr>
            <w:tcW w:w="3140" w:type="dxa"/>
            <w:vAlign w:val="bottom"/>
          </w:tcPr>
          <w:p>
            <w:pPr>
              <w:ind w:left="40"/>
              <w:spacing w:after="0"/>
              <w:rPr>
                <w:sz w:val="20"/>
                <w:szCs w:val="20"/>
                <w:color w:val="auto"/>
              </w:rPr>
            </w:pPr>
            <w:r>
              <w:rPr>
                <w:rFonts w:ascii="Courier New" w:cs="Courier New" w:eastAsia="Courier New" w:hAnsi="Courier New"/>
                <w:sz w:val="15"/>
                <w:szCs w:val="15"/>
                <w:color w:val="auto"/>
              </w:rPr>
              <w:t>President of the company and of</w:t>
            </w:r>
          </w:p>
        </w:tc>
      </w:tr>
      <w:tr>
        <w:trPr>
          <w:trHeight w:val="171"/>
        </w:trPr>
        <w:tc>
          <w:tcPr>
            <w:tcW w:w="25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0" w:type="dxa"/>
            <w:vAlign w:val="bottom"/>
          </w:tcPr>
          <w:p>
            <w:pPr>
              <w:ind w:left="320"/>
              <w:spacing w:after="0"/>
              <w:rPr>
                <w:sz w:val="20"/>
                <w:szCs w:val="20"/>
                <w:color w:val="auto"/>
              </w:rPr>
            </w:pPr>
            <w:r>
              <w:rPr>
                <w:rFonts w:ascii="Courier New" w:cs="Courier New" w:eastAsia="Courier New" w:hAnsi="Courier New"/>
                <w:sz w:val="15"/>
                <w:szCs w:val="15"/>
                <w:color w:val="auto"/>
                <w:w w:val="99"/>
              </w:rPr>
              <w:t>Yellow Freight</w:t>
            </w:r>
          </w:p>
        </w:tc>
        <w:tc>
          <w:tcPr>
            <w:tcW w:w="3140" w:type="dxa"/>
            <w:vAlign w:val="bottom"/>
          </w:tcPr>
          <w:p>
            <w:pPr>
              <w:ind w:left="40"/>
              <w:spacing w:after="0"/>
              <w:rPr>
                <w:sz w:val="20"/>
                <w:szCs w:val="20"/>
                <w:color w:val="auto"/>
              </w:rPr>
            </w:pPr>
            <w:r>
              <w:rPr>
                <w:rFonts w:ascii="Courier New" w:cs="Courier New" w:eastAsia="Courier New" w:hAnsi="Courier New"/>
                <w:sz w:val="15"/>
                <w:szCs w:val="15"/>
                <w:color w:val="auto"/>
              </w:rPr>
              <w:t>(December 1991 - May 1992);</w:t>
            </w:r>
          </w:p>
        </w:tc>
      </w:tr>
      <w:tr>
        <w:trPr>
          <w:trHeight w:val="171"/>
        </w:trPr>
        <w:tc>
          <w:tcPr>
            <w:tcW w:w="25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74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Senior Vice President (prior to December 1991)</w:t>
            </w:r>
          </w:p>
        </w:tc>
      </w:tr>
      <w:tr>
        <w:trPr>
          <w:trHeight w:val="341"/>
        </w:trPr>
        <w:tc>
          <w:tcPr>
            <w:tcW w:w="2560" w:type="dxa"/>
            <w:vAlign w:val="bottom"/>
          </w:tcPr>
          <w:p>
            <w:pPr>
              <w:spacing w:after="0"/>
              <w:rPr>
                <w:sz w:val="20"/>
                <w:szCs w:val="20"/>
                <w:color w:val="auto"/>
              </w:rPr>
            </w:pPr>
            <w:r>
              <w:rPr>
                <w:rFonts w:ascii="Courier New" w:cs="Courier New" w:eastAsia="Courier New" w:hAnsi="Courier New"/>
                <w:sz w:val="15"/>
                <w:szCs w:val="15"/>
                <w:color w:val="auto"/>
              </w:rPr>
              <w:t>Robert L. Bostick</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54</w:t>
            </w:r>
          </w:p>
        </w:tc>
        <w:tc>
          <w:tcPr>
            <w:tcW w:w="474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Senior Vice President - Operations for Yellow</w:t>
            </w:r>
          </w:p>
        </w:tc>
      </w:tr>
      <w:tr>
        <w:trPr>
          <w:trHeight w:val="171"/>
        </w:trPr>
        <w:tc>
          <w:tcPr>
            <w:tcW w:w="25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0" w:type="dxa"/>
            <w:vAlign w:val="bottom"/>
          </w:tcPr>
          <w:p>
            <w:pPr>
              <w:ind w:left="320"/>
              <w:spacing w:after="0"/>
              <w:rPr>
                <w:sz w:val="20"/>
                <w:szCs w:val="20"/>
                <w:color w:val="auto"/>
              </w:rPr>
            </w:pPr>
            <w:r>
              <w:rPr>
                <w:rFonts w:ascii="Courier New" w:cs="Courier New" w:eastAsia="Courier New" w:hAnsi="Courier New"/>
                <w:sz w:val="15"/>
                <w:szCs w:val="15"/>
                <w:color w:val="auto"/>
                <w:w w:val="99"/>
              </w:rPr>
              <w:t>Freight (since</w:t>
            </w:r>
          </w:p>
        </w:tc>
        <w:tc>
          <w:tcPr>
            <w:tcW w:w="3140" w:type="dxa"/>
            <w:vAlign w:val="bottom"/>
          </w:tcPr>
          <w:p>
            <w:pPr>
              <w:ind w:left="40"/>
              <w:spacing w:after="0"/>
              <w:rPr>
                <w:sz w:val="20"/>
                <w:szCs w:val="20"/>
                <w:color w:val="auto"/>
              </w:rPr>
            </w:pPr>
            <w:r>
              <w:rPr>
                <w:rFonts w:ascii="Courier New" w:cs="Courier New" w:eastAsia="Courier New" w:hAnsi="Courier New"/>
                <w:sz w:val="15"/>
                <w:szCs w:val="15"/>
                <w:color w:val="auto"/>
              </w:rPr>
              <w:t>October 1992); Vice President -</w:t>
            </w:r>
          </w:p>
        </w:tc>
      </w:tr>
      <w:tr>
        <w:trPr>
          <w:trHeight w:val="171"/>
        </w:trPr>
        <w:tc>
          <w:tcPr>
            <w:tcW w:w="25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74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Operations (May 1992 - October 1992); Vice</w:t>
            </w:r>
          </w:p>
        </w:tc>
      </w:tr>
      <w:tr>
        <w:trPr>
          <w:trHeight w:val="171"/>
        </w:trPr>
        <w:tc>
          <w:tcPr>
            <w:tcW w:w="25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74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President - Transportation and Safety (April</w:t>
            </w:r>
          </w:p>
        </w:tc>
      </w:tr>
      <w:tr>
        <w:trPr>
          <w:trHeight w:val="171"/>
        </w:trPr>
        <w:tc>
          <w:tcPr>
            <w:tcW w:w="25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74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1991 - May 1992); Vice President - Linehaul</w:t>
            </w:r>
          </w:p>
        </w:tc>
      </w:tr>
      <w:tr>
        <w:trPr>
          <w:trHeight w:val="171"/>
        </w:trPr>
        <w:tc>
          <w:tcPr>
            <w:tcW w:w="25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74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Operations (prior to April 1992)</w:t>
            </w:r>
          </w:p>
        </w:tc>
      </w:tr>
      <w:tr>
        <w:trPr>
          <w:trHeight w:val="341"/>
        </w:trPr>
        <w:tc>
          <w:tcPr>
            <w:tcW w:w="2560" w:type="dxa"/>
            <w:vAlign w:val="bottom"/>
          </w:tcPr>
          <w:p>
            <w:pPr>
              <w:spacing w:after="0"/>
              <w:rPr>
                <w:sz w:val="20"/>
                <w:szCs w:val="20"/>
                <w:color w:val="auto"/>
              </w:rPr>
            </w:pPr>
            <w:r>
              <w:rPr>
                <w:rFonts w:ascii="Courier New" w:cs="Courier New" w:eastAsia="Courier New" w:hAnsi="Courier New"/>
                <w:sz w:val="15"/>
                <w:szCs w:val="15"/>
                <w:color w:val="auto"/>
              </w:rPr>
              <w:t>Robert W. Burdick</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52</w:t>
            </w:r>
          </w:p>
        </w:tc>
        <w:tc>
          <w:tcPr>
            <w:tcW w:w="474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Senior Vice President - Corporate Development/</w:t>
            </w:r>
          </w:p>
        </w:tc>
      </w:tr>
      <w:tr>
        <w:trPr>
          <w:trHeight w:val="171"/>
        </w:trPr>
        <w:tc>
          <w:tcPr>
            <w:tcW w:w="25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0" w:type="dxa"/>
            <w:vAlign w:val="bottom"/>
          </w:tcPr>
          <w:p>
            <w:pPr>
              <w:ind w:left="320"/>
              <w:spacing w:after="0"/>
              <w:rPr>
                <w:sz w:val="20"/>
                <w:szCs w:val="20"/>
                <w:color w:val="auto"/>
              </w:rPr>
            </w:pPr>
            <w:r>
              <w:rPr>
                <w:rFonts w:ascii="Courier New" w:cs="Courier New" w:eastAsia="Courier New" w:hAnsi="Courier New"/>
                <w:sz w:val="15"/>
                <w:szCs w:val="15"/>
                <w:color w:val="auto"/>
                <w:w w:val="99"/>
              </w:rPr>
              <w:t>Public Affairs</w:t>
            </w:r>
          </w:p>
        </w:tc>
        <w:tc>
          <w:tcPr>
            <w:tcW w:w="3140" w:type="dxa"/>
            <w:vAlign w:val="bottom"/>
          </w:tcPr>
          <w:p>
            <w:pPr>
              <w:ind w:left="40"/>
              <w:spacing w:after="0"/>
              <w:rPr>
                <w:sz w:val="20"/>
                <w:szCs w:val="20"/>
                <w:color w:val="auto"/>
              </w:rPr>
            </w:pPr>
            <w:r>
              <w:rPr>
                <w:rFonts w:ascii="Courier New" w:cs="Courier New" w:eastAsia="Courier New" w:hAnsi="Courier New"/>
                <w:sz w:val="15"/>
                <w:szCs w:val="15"/>
                <w:color w:val="auto"/>
              </w:rPr>
              <w:t>of the company (since April 1993);</w:t>
            </w:r>
          </w:p>
        </w:tc>
      </w:tr>
      <w:tr>
        <w:trPr>
          <w:trHeight w:val="171"/>
        </w:trPr>
        <w:tc>
          <w:tcPr>
            <w:tcW w:w="25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74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Senior Vice President - Marketing of Yellow</w:t>
            </w:r>
          </w:p>
        </w:tc>
      </w:tr>
      <w:tr>
        <w:trPr>
          <w:trHeight w:val="171"/>
        </w:trPr>
        <w:tc>
          <w:tcPr>
            <w:tcW w:w="25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0" w:type="dxa"/>
            <w:vAlign w:val="bottom"/>
          </w:tcPr>
          <w:p>
            <w:pPr>
              <w:ind w:left="320"/>
              <w:spacing w:after="0"/>
              <w:rPr>
                <w:sz w:val="20"/>
                <w:szCs w:val="20"/>
                <w:color w:val="auto"/>
              </w:rPr>
            </w:pPr>
            <w:r>
              <w:rPr>
                <w:rFonts w:ascii="Courier New" w:cs="Courier New" w:eastAsia="Courier New" w:hAnsi="Courier New"/>
                <w:sz w:val="15"/>
                <w:szCs w:val="15"/>
                <w:color w:val="auto"/>
                <w:w w:val="99"/>
              </w:rPr>
              <w:t>Freight (prior</w:t>
            </w:r>
          </w:p>
        </w:tc>
        <w:tc>
          <w:tcPr>
            <w:tcW w:w="3140" w:type="dxa"/>
            <w:vAlign w:val="bottom"/>
          </w:tcPr>
          <w:p>
            <w:pPr>
              <w:ind w:left="40"/>
              <w:spacing w:after="0"/>
              <w:rPr>
                <w:sz w:val="20"/>
                <w:szCs w:val="20"/>
                <w:color w:val="auto"/>
              </w:rPr>
            </w:pPr>
            <w:r>
              <w:rPr>
                <w:rFonts w:ascii="Courier New" w:cs="Courier New" w:eastAsia="Courier New" w:hAnsi="Courier New"/>
                <w:sz w:val="15"/>
                <w:szCs w:val="15"/>
                <w:color w:val="auto"/>
              </w:rPr>
              <w:t>to April 1993)</w:t>
            </w:r>
          </w:p>
        </w:tc>
      </w:tr>
      <w:tr>
        <w:trPr>
          <w:trHeight w:val="341"/>
        </w:trPr>
        <w:tc>
          <w:tcPr>
            <w:tcW w:w="2560" w:type="dxa"/>
            <w:vAlign w:val="bottom"/>
          </w:tcPr>
          <w:p>
            <w:pPr>
              <w:spacing w:after="0"/>
              <w:rPr>
                <w:sz w:val="20"/>
                <w:szCs w:val="20"/>
                <w:color w:val="auto"/>
              </w:rPr>
            </w:pPr>
            <w:r>
              <w:rPr>
                <w:rFonts w:ascii="Courier New" w:cs="Courier New" w:eastAsia="Courier New" w:hAnsi="Courier New"/>
                <w:sz w:val="15"/>
                <w:szCs w:val="15"/>
                <w:color w:val="auto"/>
              </w:rPr>
              <w:t>J. Michael Golden</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47</w:t>
            </w:r>
          </w:p>
        </w:tc>
        <w:tc>
          <w:tcPr>
            <w:tcW w:w="1600" w:type="dxa"/>
            <w:vAlign w:val="bottom"/>
          </w:tcPr>
          <w:p>
            <w:pPr>
              <w:ind w:left="320"/>
              <w:spacing w:after="0"/>
              <w:rPr>
                <w:sz w:val="20"/>
                <w:szCs w:val="20"/>
                <w:color w:val="auto"/>
              </w:rPr>
            </w:pPr>
            <w:r>
              <w:rPr>
                <w:rFonts w:ascii="Courier New" w:cs="Courier New" w:eastAsia="Courier New" w:hAnsi="Courier New"/>
                <w:sz w:val="15"/>
                <w:szCs w:val="15"/>
                <w:color w:val="auto"/>
                <w:w w:val="99"/>
              </w:rPr>
              <w:t>Vice President</w:t>
            </w:r>
          </w:p>
        </w:tc>
        <w:tc>
          <w:tcPr>
            <w:tcW w:w="3140" w:type="dxa"/>
            <w:vAlign w:val="bottom"/>
          </w:tcPr>
          <w:p>
            <w:pPr>
              <w:ind w:left="40"/>
              <w:spacing w:after="0"/>
              <w:rPr>
                <w:sz w:val="20"/>
                <w:szCs w:val="20"/>
                <w:color w:val="auto"/>
              </w:rPr>
            </w:pPr>
            <w:r>
              <w:rPr>
                <w:rFonts w:ascii="Courier New" w:cs="Courier New" w:eastAsia="Courier New" w:hAnsi="Courier New"/>
                <w:sz w:val="15"/>
                <w:szCs w:val="15"/>
                <w:color w:val="auto"/>
              </w:rPr>
              <w:t>- Taxation of the company (since</w:t>
            </w:r>
          </w:p>
        </w:tc>
      </w:tr>
      <w:tr>
        <w:trPr>
          <w:trHeight w:val="171"/>
        </w:trPr>
        <w:tc>
          <w:tcPr>
            <w:tcW w:w="25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0" w:type="dxa"/>
            <w:vAlign w:val="bottom"/>
          </w:tcPr>
          <w:p>
            <w:pPr>
              <w:ind w:left="320"/>
              <w:spacing w:after="0"/>
              <w:rPr>
                <w:sz w:val="20"/>
                <w:szCs w:val="20"/>
                <w:color w:val="auto"/>
              </w:rPr>
            </w:pPr>
            <w:r>
              <w:rPr>
                <w:rFonts w:ascii="Courier New" w:cs="Courier New" w:eastAsia="Courier New" w:hAnsi="Courier New"/>
                <w:sz w:val="15"/>
                <w:szCs w:val="15"/>
                <w:color w:val="auto"/>
                <w:w w:val="99"/>
              </w:rPr>
              <w:t>January 1986);</w:t>
            </w:r>
          </w:p>
        </w:tc>
        <w:tc>
          <w:tcPr>
            <w:tcW w:w="3140" w:type="dxa"/>
            <w:vAlign w:val="bottom"/>
          </w:tcPr>
          <w:p>
            <w:pPr>
              <w:ind w:left="40"/>
              <w:spacing w:after="0"/>
              <w:rPr>
                <w:sz w:val="20"/>
                <w:szCs w:val="20"/>
                <w:color w:val="auto"/>
              </w:rPr>
            </w:pPr>
            <w:r>
              <w:rPr>
                <w:rFonts w:ascii="Courier New" w:cs="Courier New" w:eastAsia="Courier New" w:hAnsi="Courier New"/>
                <w:sz w:val="15"/>
                <w:szCs w:val="15"/>
                <w:color w:val="auto"/>
                <w:w w:val="97"/>
              </w:rPr>
              <w:t>Vice President - Taxation of Yellow</w:t>
            </w:r>
          </w:p>
        </w:tc>
      </w:tr>
      <w:tr>
        <w:trPr>
          <w:trHeight w:val="171"/>
        </w:trPr>
        <w:tc>
          <w:tcPr>
            <w:tcW w:w="25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0" w:type="dxa"/>
            <w:vAlign w:val="bottom"/>
          </w:tcPr>
          <w:p>
            <w:pPr>
              <w:ind w:left="320"/>
              <w:spacing w:after="0"/>
              <w:rPr>
                <w:sz w:val="20"/>
                <w:szCs w:val="20"/>
                <w:color w:val="auto"/>
              </w:rPr>
            </w:pPr>
            <w:r>
              <w:rPr>
                <w:rFonts w:ascii="Courier New" w:cs="Courier New" w:eastAsia="Courier New" w:hAnsi="Courier New"/>
                <w:sz w:val="15"/>
                <w:szCs w:val="15"/>
                <w:color w:val="auto"/>
                <w:w w:val="99"/>
              </w:rPr>
              <w:t>Freight (prior</w:t>
            </w:r>
          </w:p>
        </w:tc>
        <w:tc>
          <w:tcPr>
            <w:tcW w:w="3140" w:type="dxa"/>
            <w:vAlign w:val="bottom"/>
          </w:tcPr>
          <w:p>
            <w:pPr>
              <w:ind w:left="40"/>
              <w:spacing w:after="0"/>
              <w:rPr>
                <w:sz w:val="20"/>
                <w:szCs w:val="20"/>
                <w:color w:val="auto"/>
              </w:rPr>
            </w:pPr>
            <w:r>
              <w:rPr>
                <w:rFonts w:ascii="Courier New" w:cs="Courier New" w:eastAsia="Courier New" w:hAnsi="Courier New"/>
                <w:sz w:val="15"/>
                <w:szCs w:val="15"/>
                <w:color w:val="auto"/>
              </w:rPr>
              <w:t>to May 1992)</w:t>
            </w:r>
          </w:p>
        </w:tc>
      </w:tr>
      <w:tr>
        <w:trPr>
          <w:trHeight w:val="341"/>
        </w:trPr>
        <w:tc>
          <w:tcPr>
            <w:tcW w:w="2560" w:type="dxa"/>
            <w:vAlign w:val="bottom"/>
          </w:tcPr>
          <w:p>
            <w:pPr>
              <w:spacing w:after="0"/>
              <w:rPr>
                <w:sz w:val="20"/>
                <w:szCs w:val="20"/>
                <w:color w:val="auto"/>
              </w:rPr>
            </w:pPr>
            <w:r>
              <w:rPr>
                <w:rFonts w:ascii="Courier New" w:cs="Courier New" w:eastAsia="Courier New" w:hAnsi="Courier New"/>
                <w:sz w:val="15"/>
                <w:szCs w:val="15"/>
                <w:color w:val="auto"/>
              </w:rPr>
              <w:t>J. Kevin Grimsley</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47</w:t>
            </w:r>
          </w:p>
        </w:tc>
        <w:tc>
          <w:tcPr>
            <w:tcW w:w="4740" w:type="dxa"/>
            <w:vAlign w:val="bottom"/>
            <w:gridSpan w:val="2"/>
          </w:tcPr>
          <w:p>
            <w:pPr>
              <w:ind w:left="320"/>
              <w:spacing w:after="0"/>
              <w:rPr>
                <w:sz w:val="20"/>
                <w:szCs w:val="20"/>
                <w:color w:val="auto"/>
              </w:rPr>
            </w:pPr>
            <w:r>
              <w:rPr>
                <w:rFonts w:ascii="Courier New" w:cs="Courier New" w:eastAsia="Courier New" w:hAnsi="Courier New"/>
                <w:sz w:val="15"/>
                <w:szCs w:val="15"/>
                <w:color w:val="auto"/>
                <w:w w:val="99"/>
              </w:rPr>
              <w:t>Senior Vice President - Marketing/Sales of Yellow</w:t>
            </w:r>
          </w:p>
        </w:tc>
      </w:tr>
      <w:tr>
        <w:trPr>
          <w:trHeight w:val="171"/>
        </w:trPr>
        <w:tc>
          <w:tcPr>
            <w:tcW w:w="25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0" w:type="dxa"/>
            <w:vAlign w:val="bottom"/>
          </w:tcPr>
          <w:p>
            <w:pPr>
              <w:ind w:left="320"/>
              <w:spacing w:after="0"/>
              <w:rPr>
                <w:sz w:val="20"/>
                <w:szCs w:val="20"/>
                <w:color w:val="auto"/>
              </w:rPr>
            </w:pPr>
            <w:r>
              <w:rPr>
                <w:rFonts w:ascii="Courier New" w:cs="Courier New" w:eastAsia="Courier New" w:hAnsi="Courier New"/>
                <w:sz w:val="15"/>
                <w:szCs w:val="15"/>
                <w:color w:val="auto"/>
                <w:w w:val="99"/>
              </w:rPr>
              <w:t>Freight (since</w:t>
            </w:r>
          </w:p>
        </w:tc>
        <w:tc>
          <w:tcPr>
            <w:tcW w:w="3140" w:type="dxa"/>
            <w:vAlign w:val="bottom"/>
          </w:tcPr>
          <w:p>
            <w:pPr>
              <w:ind w:left="40"/>
              <w:spacing w:after="0"/>
              <w:rPr>
                <w:sz w:val="20"/>
                <w:szCs w:val="20"/>
                <w:color w:val="auto"/>
              </w:rPr>
            </w:pPr>
            <w:r>
              <w:rPr>
                <w:rFonts w:ascii="Courier New" w:cs="Courier New" w:eastAsia="Courier New" w:hAnsi="Courier New"/>
                <w:sz w:val="15"/>
                <w:szCs w:val="15"/>
                <w:color w:val="auto"/>
              </w:rPr>
              <w:t>January 1994); Vice President -</w:t>
            </w:r>
          </w:p>
        </w:tc>
      </w:tr>
      <w:tr>
        <w:trPr>
          <w:trHeight w:val="171"/>
        </w:trPr>
        <w:tc>
          <w:tcPr>
            <w:tcW w:w="25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74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Marketing of Yellow Freight (April 1993 -</w:t>
            </w:r>
          </w:p>
        </w:tc>
      </w:tr>
      <w:tr>
        <w:trPr>
          <w:trHeight w:val="171"/>
        </w:trPr>
        <w:tc>
          <w:tcPr>
            <w:tcW w:w="25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0" w:type="dxa"/>
            <w:vAlign w:val="bottom"/>
          </w:tcPr>
          <w:p>
            <w:pPr>
              <w:ind w:left="320"/>
              <w:spacing w:after="0"/>
              <w:rPr>
                <w:sz w:val="20"/>
                <w:szCs w:val="20"/>
                <w:color w:val="auto"/>
              </w:rPr>
            </w:pPr>
            <w:r>
              <w:rPr>
                <w:rFonts w:ascii="Courier New" w:cs="Courier New" w:eastAsia="Courier New" w:hAnsi="Courier New"/>
                <w:sz w:val="15"/>
                <w:szCs w:val="15"/>
                <w:color w:val="auto"/>
                <w:w w:val="99"/>
              </w:rPr>
              <w:t>January 1994);</w:t>
            </w:r>
          </w:p>
        </w:tc>
        <w:tc>
          <w:tcPr>
            <w:tcW w:w="3140" w:type="dxa"/>
            <w:vAlign w:val="bottom"/>
          </w:tcPr>
          <w:p>
            <w:pPr>
              <w:ind w:left="40"/>
              <w:spacing w:after="0"/>
              <w:rPr>
                <w:sz w:val="20"/>
                <w:szCs w:val="20"/>
                <w:color w:val="auto"/>
              </w:rPr>
            </w:pPr>
            <w:r>
              <w:rPr>
                <w:rFonts w:ascii="Courier New" w:cs="Courier New" w:eastAsia="Courier New" w:hAnsi="Courier New"/>
                <w:sz w:val="15"/>
                <w:szCs w:val="15"/>
                <w:color w:val="auto"/>
              </w:rPr>
              <w:t>Division Vice President of Yellow</w:t>
            </w:r>
          </w:p>
        </w:tc>
      </w:tr>
      <w:tr>
        <w:trPr>
          <w:trHeight w:val="171"/>
        </w:trPr>
        <w:tc>
          <w:tcPr>
            <w:tcW w:w="25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0" w:type="dxa"/>
            <w:vAlign w:val="bottom"/>
          </w:tcPr>
          <w:p>
            <w:pPr>
              <w:ind w:left="320"/>
              <w:spacing w:after="0"/>
              <w:rPr>
                <w:sz w:val="20"/>
                <w:szCs w:val="20"/>
                <w:color w:val="auto"/>
              </w:rPr>
            </w:pPr>
            <w:r>
              <w:rPr>
                <w:rFonts w:ascii="Courier New" w:cs="Courier New" w:eastAsia="Courier New" w:hAnsi="Courier New"/>
                <w:sz w:val="15"/>
                <w:szCs w:val="15"/>
                <w:color w:val="auto"/>
                <w:w w:val="99"/>
              </w:rPr>
              <w:t>Freight (prior</w:t>
            </w:r>
          </w:p>
        </w:tc>
        <w:tc>
          <w:tcPr>
            <w:tcW w:w="3140" w:type="dxa"/>
            <w:vAlign w:val="bottom"/>
          </w:tcPr>
          <w:p>
            <w:pPr>
              <w:ind w:left="40"/>
              <w:spacing w:after="0"/>
              <w:rPr>
                <w:sz w:val="20"/>
                <w:szCs w:val="20"/>
                <w:color w:val="auto"/>
              </w:rPr>
            </w:pPr>
            <w:r>
              <w:rPr>
                <w:rFonts w:ascii="Courier New" w:cs="Courier New" w:eastAsia="Courier New" w:hAnsi="Courier New"/>
                <w:sz w:val="15"/>
                <w:szCs w:val="15"/>
                <w:color w:val="auto"/>
              </w:rPr>
              <w:t>to April 1993)</w:t>
            </w:r>
          </w:p>
        </w:tc>
      </w:tr>
      <w:tr>
        <w:trPr>
          <w:trHeight w:val="683"/>
        </w:trPr>
        <w:tc>
          <w:tcPr>
            <w:tcW w:w="2560" w:type="dxa"/>
            <w:vAlign w:val="bottom"/>
          </w:tcPr>
          <w:p>
            <w:pPr>
              <w:spacing w:after="0"/>
              <w:rPr>
                <w:sz w:val="24"/>
                <w:szCs w:val="24"/>
                <w:color w:val="auto"/>
              </w:rPr>
            </w:pP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7</w:t>
            </w:r>
          </w:p>
        </w:tc>
        <w:tc>
          <w:tcPr>
            <w:tcW w:w="1600" w:type="dxa"/>
            <w:vAlign w:val="bottom"/>
          </w:tcPr>
          <w:p>
            <w:pPr>
              <w:spacing w:after="0"/>
              <w:rPr>
                <w:sz w:val="24"/>
                <w:szCs w:val="24"/>
                <w:color w:val="auto"/>
              </w:rPr>
            </w:pPr>
          </w:p>
        </w:tc>
        <w:tc>
          <w:tcPr>
            <w:tcW w:w="3140" w:type="dxa"/>
            <w:vAlign w:val="bottom"/>
          </w:tcPr>
          <w:p>
            <w:pPr>
              <w:spacing w:after="0"/>
              <w:rPr>
                <w:sz w:val="24"/>
                <w:szCs w:val="24"/>
                <w:color w:val="auto"/>
              </w:rPr>
            </w:pPr>
          </w:p>
        </w:tc>
      </w:tr>
    </w:tbl>
    <w:p>
      <w:pPr>
        <w:sectPr>
          <w:pgSz w:w="11900" w:h="16838" w:orient="portrait"/>
          <w:cols w:equalWidth="0" w:num="1">
            <w:col w:w="10219"/>
          </w:cols>
          <w:pgMar w:left="240" w:top="287"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5"/>
          <w:szCs w:val="15"/>
          <w:color w:val="auto"/>
        </w:rPr>
        <w:t>8</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Officers of the Registrant (cont.)</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60" w:type="dxa"/>
            <w:vAlign w:val="bottom"/>
          </w:tcPr>
          <w:p>
            <w:pPr>
              <w:ind w:left="880"/>
              <w:spacing w:after="0"/>
              <w:rPr>
                <w:sz w:val="20"/>
                <w:szCs w:val="20"/>
                <w:color w:val="auto"/>
              </w:rPr>
            </w:pPr>
            <w:r>
              <w:rPr>
                <w:rFonts w:ascii="Courier New" w:cs="Courier New" w:eastAsia="Courier New" w:hAnsi="Courier New"/>
                <w:sz w:val="15"/>
                <w:szCs w:val="15"/>
                <w:color w:val="auto"/>
              </w:rPr>
              <w:t>Name</w:t>
            </w:r>
          </w:p>
        </w:tc>
        <w:tc>
          <w:tcPr>
            <w:tcW w:w="1280" w:type="dxa"/>
            <w:vAlign w:val="bottom"/>
          </w:tcPr>
          <w:p>
            <w:pPr>
              <w:ind w:left="700"/>
              <w:spacing w:after="0"/>
              <w:rPr>
                <w:sz w:val="20"/>
                <w:szCs w:val="20"/>
                <w:color w:val="auto"/>
              </w:rPr>
            </w:pPr>
            <w:r>
              <w:rPr>
                <w:rFonts w:ascii="Courier New" w:cs="Courier New" w:eastAsia="Courier New" w:hAnsi="Courier New"/>
                <w:sz w:val="15"/>
                <w:szCs w:val="15"/>
                <w:color w:val="auto"/>
              </w:rPr>
              <w:t>Age</w:t>
            </w:r>
          </w:p>
        </w:tc>
        <w:tc>
          <w:tcPr>
            <w:tcW w:w="4920" w:type="dxa"/>
            <w:vAlign w:val="bottom"/>
          </w:tcPr>
          <w:p>
            <w:pPr>
              <w:ind w:left="1820"/>
              <w:spacing w:after="0"/>
              <w:rPr>
                <w:sz w:val="20"/>
                <w:szCs w:val="20"/>
                <w:color w:val="auto"/>
              </w:rPr>
            </w:pPr>
            <w:r>
              <w:rPr>
                <w:rFonts w:ascii="Courier New" w:cs="Courier New" w:eastAsia="Courier New" w:hAnsi="Courier New"/>
                <w:sz w:val="15"/>
                <w:szCs w:val="15"/>
                <w:color w:val="auto"/>
              </w:rPr>
              <w:t>Position(s) Held</w:t>
            </w:r>
          </w:p>
        </w:tc>
      </w:tr>
      <w:tr>
        <w:trPr>
          <w:trHeight w:val="171"/>
        </w:trPr>
        <w:tc>
          <w:tcPr>
            <w:tcW w:w="2660" w:type="dxa"/>
            <w:vAlign w:val="bottom"/>
          </w:tcPr>
          <w:p>
            <w:pPr>
              <w:ind w:left="88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ind w:left="700"/>
              <w:spacing w:after="0"/>
              <w:rPr>
                <w:sz w:val="20"/>
                <w:szCs w:val="20"/>
                <w:color w:val="auto"/>
              </w:rPr>
            </w:pPr>
            <w:r>
              <w:rPr>
                <w:rFonts w:ascii="Courier New" w:cs="Courier New" w:eastAsia="Courier New" w:hAnsi="Courier New"/>
                <w:sz w:val="15"/>
                <w:szCs w:val="15"/>
                <w:color w:val="auto"/>
              </w:rPr>
              <w:t>---</w:t>
            </w:r>
          </w:p>
        </w:tc>
        <w:tc>
          <w:tcPr>
            <w:tcW w:w="4920" w:type="dxa"/>
            <w:vAlign w:val="bottom"/>
          </w:tcPr>
          <w:p>
            <w:pPr>
              <w:ind w:left="1820"/>
              <w:spacing w:after="0"/>
              <w:rPr>
                <w:sz w:val="20"/>
                <w:szCs w:val="20"/>
                <w:color w:val="auto"/>
              </w:rPr>
            </w:pPr>
            <w:r>
              <w:rPr>
                <w:rFonts w:ascii="Courier New" w:cs="Courier New" w:eastAsia="Courier New" w:hAnsi="Courier New"/>
                <w:sz w:val="15"/>
                <w:szCs w:val="15"/>
                <w:color w:val="auto"/>
              </w:rPr>
              <w:t>----------------</w:t>
            </w:r>
          </w:p>
        </w:tc>
      </w:tr>
      <w:tr>
        <w:trPr>
          <w:trHeight w:val="341"/>
        </w:trPr>
        <w:tc>
          <w:tcPr>
            <w:tcW w:w="2660" w:type="dxa"/>
            <w:vAlign w:val="bottom"/>
          </w:tcPr>
          <w:p>
            <w:pPr>
              <w:spacing w:after="0"/>
              <w:rPr>
                <w:sz w:val="20"/>
                <w:szCs w:val="20"/>
                <w:color w:val="auto"/>
              </w:rPr>
            </w:pPr>
            <w:r>
              <w:rPr>
                <w:rFonts w:ascii="Courier New" w:cs="Courier New" w:eastAsia="Courier New" w:hAnsi="Courier New"/>
                <w:sz w:val="15"/>
                <w:szCs w:val="15"/>
                <w:color w:val="auto"/>
              </w:rPr>
              <w:t>William F. Martin, Jr.</w:t>
            </w:r>
          </w:p>
        </w:tc>
        <w:tc>
          <w:tcPr>
            <w:tcW w:w="1280" w:type="dxa"/>
            <w:vAlign w:val="bottom"/>
          </w:tcPr>
          <w:p>
            <w:pPr>
              <w:ind w:left="700"/>
              <w:spacing w:after="0"/>
              <w:rPr>
                <w:sz w:val="20"/>
                <w:szCs w:val="20"/>
                <w:color w:val="auto"/>
              </w:rPr>
            </w:pPr>
            <w:r>
              <w:rPr>
                <w:rFonts w:ascii="Courier New" w:cs="Courier New" w:eastAsia="Courier New" w:hAnsi="Courier New"/>
                <w:sz w:val="15"/>
                <w:szCs w:val="15"/>
                <w:color w:val="auto"/>
              </w:rPr>
              <w:t>47</w:t>
            </w:r>
          </w:p>
        </w:tc>
        <w:tc>
          <w:tcPr>
            <w:tcW w:w="4920" w:type="dxa"/>
            <w:vAlign w:val="bottom"/>
          </w:tcPr>
          <w:p>
            <w:pPr>
              <w:ind w:left="320"/>
              <w:spacing w:after="0"/>
              <w:rPr>
                <w:sz w:val="20"/>
                <w:szCs w:val="20"/>
                <w:color w:val="auto"/>
              </w:rPr>
            </w:pPr>
            <w:r>
              <w:rPr>
                <w:rFonts w:ascii="Courier New" w:cs="Courier New" w:eastAsia="Courier New" w:hAnsi="Courier New"/>
                <w:sz w:val="15"/>
                <w:szCs w:val="15"/>
                <w:color w:val="auto"/>
              </w:rPr>
              <w:t>Senior Vice President - Legal/Corporate Secretary</w:t>
            </w:r>
          </w:p>
        </w:tc>
      </w:tr>
      <w:tr>
        <w:trPr>
          <w:trHeight w:val="171"/>
        </w:trPr>
        <w:tc>
          <w:tcPr>
            <w:tcW w:w="26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920" w:type="dxa"/>
            <w:vAlign w:val="bottom"/>
          </w:tcPr>
          <w:p>
            <w:pPr>
              <w:ind w:left="320"/>
              <w:spacing w:after="0"/>
              <w:rPr>
                <w:sz w:val="20"/>
                <w:szCs w:val="20"/>
                <w:color w:val="auto"/>
              </w:rPr>
            </w:pPr>
            <w:r>
              <w:rPr>
                <w:rFonts w:ascii="Courier New" w:cs="Courier New" w:eastAsia="Courier New" w:hAnsi="Courier New"/>
                <w:sz w:val="15"/>
                <w:szCs w:val="15"/>
                <w:color w:val="auto"/>
              </w:rPr>
              <w:t>of the company (since December 1993); Vice</w:t>
            </w:r>
          </w:p>
        </w:tc>
      </w:tr>
      <w:tr>
        <w:trPr>
          <w:trHeight w:val="171"/>
        </w:trPr>
        <w:tc>
          <w:tcPr>
            <w:tcW w:w="26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920" w:type="dxa"/>
            <w:vAlign w:val="bottom"/>
          </w:tcPr>
          <w:p>
            <w:pPr>
              <w:ind w:left="320"/>
              <w:spacing w:after="0"/>
              <w:rPr>
                <w:sz w:val="20"/>
                <w:szCs w:val="20"/>
                <w:color w:val="auto"/>
              </w:rPr>
            </w:pPr>
            <w:r>
              <w:rPr>
                <w:rFonts w:ascii="Courier New" w:cs="Courier New" w:eastAsia="Courier New" w:hAnsi="Courier New"/>
                <w:sz w:val="15"/>
                <w:szCs w:val="15"/>
                <w:color w:val="auto"/>
              </w:rPr>
              <w:t>President and Secretary of the company</w:t>
            </w:r>
          </w:p>
        </w:tc>
      </w:tr>
      <w:tr>
        <w:trPr>
          <w:trHeight w:val="171"/>
        </w:trPr>
        <w:tc>
          <w:tcPr>
            <w:tcW w:w="26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920" w:type="dxa"/>
            <w:vAlign w:val="bottom"/>
          </w:tcPr>
          <w:p>
            <w:pPr>
              <w:ind w:left="320"/>
              <w:spacing w:after="0"/>
              <w:rPr>
                <w:sz w:val="20"/>
                <w:szCs w:val="20"/>
                <w:color w:val="auto"/>
              </w:rPr>
            </w:pPr>
            <w:r>
              <w:rPr>
                <w:rFonts w:ascii="Courier New" w:cs="Courier New" w:eastAsia="Courier New" w:hAnsi="Courier New"/>
                <w:sz w:val="15"/>
                <w:szCs w:val="15"/>
                <w:color w:val="auto"/>
              </w:rPr>
              <w:t>(October 1991 - December 1993); Vice President</w:t>
            </w:r>
          </w:p>
        </w:tc>
      </w:tr>
      <w:tr>
        <w:trPr>
          <w:trHeight w:val="171"/>
        </w:trPr>
        <w:tc>
          <w:tcPr>
            <w:tcW w:w="26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920" w:type="dxa"/>
            <w:vAlign w:val="bottom"/>
          </w:tcPr>
          <w:p>
            <w:pPr>
              <w:ind w:left="320"/>
              <w:spacing w:after="0"/>
              <w:rPr>
                <w:sz w:val="20"/>
                <w:szCs w:val="20"/>
                <w:color w:val="auto"/>
              </w:rPr>
            </w:pPr>
            <w:r>
              <w:rPr>
                <w:rFonts w:ascii="Courier New" w:cs="Courier New" w:eastAsia="Courier New" w:hAnsi="Courier New"/>
                <w:sz w:val="15"/>
                <w:szCs w:val="15"/>
                <w:color w:val="auto"/>
              </w:rPr>
              <w:t>and Secretary of Yellow Freight (October 1991 -</w:t>
            </w:r>
          </w:p>
        </w:tc>
      </w:tr>
      <w:tr>
        <w:trPr>
          <w:trHeight w:val="171"/>
        </w:trPr>
        <w:tc>
          <w:tcPr>
            <w:tcW w:w="26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920" w:type="dxa"/>
            <w:vAlign w:val="bottom"/>
          </w:tcPr>
          <w:p>
            <w:pPr>
              <w:ind w:left="320"/>
              <w:spacing w:after="0"/>
              <w:rPr>
                <w:sz w:val="20"/>
                <w:szCs w:val="20"/>
                <w:color w:val="auto"/>
              </w:rPr>
            </w:pPr>
            <w:r>
              <w:rPr>
                <w:rFonts w:ascii="Courier New" w:cs="Courier New" w:eastAsia="Courier New" w:hAnsi="Courier New"/>
                <w:sz w:val="15"/>
                <w:szCs w:val="15"/>
                <w:color w:val="auto"/>
              </w:rPr>
              <w:t>May 1992); Vice President and Assistant</w:t>
            </w:r>
          </w:p>
        </w:tc>
      </w:tr>
      <w:tr>
        <w:trPr>
          <w:trHeight w:val="171"/>
        </w:trPr>
        <w:tc>
          <w:tcPr>
            <w:tcW w:w="26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920" w:type="dxa"/>
            <w:vAlign w:val="bottom"/>
          </w:tcPr>
          <w:p>
            <w:pPr>
              <w:ind w:left="320"/>
              <w:spacing w:after="0"/>
              <w:rPr>
                <w:sz w:val="20"/>
                <w:szCs w:val="20"/>
                <w:color w:val="auto"/>
              </w:rPr>
            </w:pPr>
            <w:r>
              <w:rPr>
                <w:rFonts w:ascii="Courier New" w:cs="Courier New" w:eastAsia="Courier New" w:hAnsi="Courier New"/>
                <w:sz w:val="15"/>
                <w:szCs w:val="15"/>
                <w:color w:val="auto"/>
              </w:rPr>
              <w:t>Secretary of the company and Yellow Freight</w:t>
            </w:r>
          </w:p>
        </w:tc>
      </w:tr>
      <w:tr>
        <w:trPr>
          <w:trHeight w:val="171"/>
        </w:trPr>
        <w:tc>
          <w:tcPr>
            <w:tcW w:w="26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920" w:type="dxa"/>
            <w:vAlign w:val="bottom"/>
          </w:tcPr>
          <w:p>
            <w:pPr>
              <w:ind w:left="320"/>
              <w:spacing w:after="0"/>
              <w:rPr>
                <w:sz w:val="20"/>
                <w:szCs w:val="20"/>
                <w:color w:val="auto"/>
              </w:rPr>
            </w:pPr>
            <w:r>
              <w:rPr>
                <w:rFonts w:ascii="Courier New" w:cs="Courier New" w:eastAsia="Courier New" w:hAnsi="Courier New"/>
                <w:sz w:val="15"/>
                <w:szCs w:val="15"/>
                <w:color w:val="auto"/>
              </w:rPr>
              <w:t>(prior to October 1991)</w:t>
            </w:r>
          </w:p>
        </w:tc>
      </w:tr>
      <w:tr>
        <w:trPr>
          <w:trHeight w:val="341"/>
        </w:trPr>
        <w:tc>
          <w:tcPr>
            <w:tcW w:w="2660" w:type="dxa"/>
            <w:vAlign w:val="bottom"/>
          </w:tcPr>
          <w:p>
            <w:pPr>
              <w:spacing w:after="0"/>
              <w:rPr>
                <w:sz w:val="20"/>
                <w:szCs w:val="20"/>
                <w:color w:val="auto"/>
              </w:rPr>
            </w:pPr>
            <w:r>
              <w:rPr>
                <w:rFonts w:ascii="Courier New" w:cs="Courier New" w:eastAsia="Courier New" w:hAnsi="Courier New"/>
                <w:sz w:val="15"/>
                <w:szCs w:val="15"/>
                <w:color w:val="auto"/>
              </w:rPr>
              <w:t>Gail A. Parris</w:t>
            </w:r>
          </w:p>
        </w:tc>
        <w:tc>
          <w:tcPr>
            <w:tcW w:w="1280" w:type="dxa"/>
            <w:vAlign w:val="bottom"/>
          </w:tcPr>
          <w:p>
            <w:pPr>
              <w:ind w:left="700"/>
              <w:spacing w:after="0"/>
              <w:rPr>
                <w:sz w:val="20"/>
                <w:szCs w:val="20"/>
                <w:color w:val="auto"/>
              </w:rPr>
            </w:pPr>
            <w:r>
              <w:rPr>
                <w:rFonts w:ascii="Courier New" w:cs="Courier New" w:eastAsia="Courier New" w:hAnsi="Courier New"/>
                <w:sz w:val="15"/>
                <w:szCs w:val="15"/>
                <w:color w:val="auto"/>
              </w:rPr>
              <w:t>43</w:t>
            </w:r>
          </w:p>
        </w:tc>
        <w:tc>
          <w:tcPr>
            <w:tcW w:w="4920" w:type="dxa"/>
            <w:vAlign w:val="bottom"/>
          </w:tcPr>
          <w:p>
            <w:pPr>
              <w:ind w:left="320"/>
              <w:spacing w:after="0"/>
              <w:rPr>
                <w:sz w:val="20"/>
                <w:szCs w:val="20"/>
                <w:color w:val="auto"/>
              </w:rPr>
            </w:pPr>
            <w:r>
              <w:rPr>
                <w:rFonts w:ascii="Courier New" w:cs="Courier New" w:eastAsia="Courier New" w:hAnsi="Courier New"/>
                <w:sz w:val="15"/>
                <w:szCs w:val="15"/>
                <w:color w:val="auto"/>
              </w:rPr>
              <w:t>Senior Vice President - Administration of Yellow</w:t>
            </w:r>
          </w:p>
        </w:tc>
      </w:tr>
      <w:tr>
        <w:trPr>
          <w:trHeight w:val="171"/>
        </w:trPr>
        <w:tc>
          <w:tcPr>
            <w:tcW w:w="26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920" w:type="dxa"/>
            <w:vAlign w:val="bottom"/>
          </w:tcPr>
          <w:p>
            <w:pPr>
              <w:ind w:left="320"/>
              <w:spacing w:after="0"/>
              <w:rPr>
                <w:sz w:val="20"/>
                <w:szCs w:val="20"/>
                <w:color w:val="auto"/>
              </w:rPr>
            </w:pPr>
            <w:r>
              <w:rPr>
                <w:rFonts w:ascii="Courier New" w:cs="Courier New" w:eastAsia="Courier New" w:hAnsi="Courier New"/>
                <w:sz w:val="15"/>
                <w:szCs w:val="15"/>
                <w:color w:val="auto"/>
              </w:rPr>
              <w:t>Freight (since April 1993); Vice President -</w:t>
            </w:r>
          </w:p>
        </w:tc>
      </w:tr>
      <w:tr>
        <w:trPr>
          <w:trHeight w:val="171"/>
        </w:trPr>
        <w:tc>
          <w:tcPr>
            <w:tcW w:w="26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920" w:type="dxa"/>
            <w:vAlign w:val="bottom"/>
          </w:tcPr>
          <w:p>
            <w:pPr>
              <w:ind w:left="320"/>
              <w:spacing w:after="0"/>
              <w:rPr>
                <w:sz w:val="20"/>
                <w:szCs w:val="20"/>
                <w:color w:val="auto"/>
              </w:rPr>
            </w:pPr>
            <w:r>
              <w:rPr>
                <w:rFonts w:ascii="Courier New" w:cs="Courier New" w:eastAsia="Courier New" w:hAnsi="Courier New"/>
                <w:sz w:val="15"/>
                <w:szCs w:val="15"/>
                <w:color w:val="auto"/>
              </w:rPr>
              <w:t>Controller of Yellow Freight (prior to April 1993)</w:t>
            </w:r>
          </w:p>
        </w:tc>
      </w:tr>
      <w:tr>
        <w:trPr>
          <w:trHeight w:val="341"/>
        </w:trPr>
        <w:tc>
          <w:tcPr>
            <w:tcW w:w="2660" w:type="dxa"/>
            <w:vAlign w:val="bottom"/>
          </w:tcPr>
          <w:p>
            <w:pPr>
              <w:spacing w:after="0"/>
              <w:rPr>
                <w:sz w:val="20"/>
                <w:szCs w:val="20"/>
                <w:color w:val="auto"/>
              </w:rPr>
            </w:pPr>
            <w:r>
              <w:rPr>
                <w:rFonts w:ascii="Courier New" w:cs="Courier New" w:eastAsia="Courier New" w:hAnsi="Courier New"/>
                <w:sz w:val="15"/>
                <w:szCs w:val="15"/>
                <w:color w:val="auto"/>
              </w:rPr>
              <w:t>Phillip A. Spangler</w:t>
            </w:r>
          </w:p>
        </w:tc>
        <w:tc>
          <w:tcPr>
            <w:tcW w:w="1280" w:type="dxa"/>
            <w:vAlign w:val="bottom"/>
          </w:tcPr>
          <w:p>
            <w:pPr>
              <w:ind w:left="700"/>
              <w:spacing w:after="0"/>
              <w:rPr>
                <w:sz w:val="20"/>
                <w:szCs w:val="20"/>
                <w:color w:val="auto"/>
              </w:rPr>
            </w:pPr>
            <w:r>
              <w:rPr>
                <w:rFonts w:ascii="Courier New" w:cs="Courier New" w:eastAsia="Courier New" w:hAnsi="Courier New"/>
                <w:sz w:val="15"/>
                <w:szCs w:val="15"/>
                <w:color w:val="auto"/>
              </w:rPr>
              <w:t>54</w:t>
            </w:r>
          </w:p>
        </w:tc>
        <w:tc>
          <w:tcPr>
            <w:tcW w:w="4920" w:type="dxa"/>
            <w:vAlign w:val="bottom"/>
          </w:tcPr>
          <w:p>
            <w:pPr>
              <w:ind w:left="320"/>
              <w:spacing w:after="0"/>
              <w:rPr>
                <w:sz w:val="20"/>
                <w:szCs w:val="20"/>
                <w:color w:val="auto"/>
              </w:rPr>
            </w:pPr>
            <w:r>
              <w:rPr>
                <w:rFonts w:ascii="Courier New" w:cs="Courier New" w:eastAsia="Courier New" w:hAnsi="Courier New"/>
                <w:sz w:val="15"/>
                <w:szCs w:val="15"/>
                <w:color w:val="auto"/>
              </w:rPr>
              <w:t>Vice President and Treasurer of the company</w:t>
            </w:r>
          </w:p>
        </w:tc>
      </w:tr>
      <w:tr>
        <w:trPr>
          <w:trHeight w:val="171"/>
        </w:trPr>
        <w:tc>
          <w:tcPr>
            <w:tcW w:w="26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920" w:type="dxa"/>
            <w:vAlign w:val="bottom"/>
          </w:tcPr>
          <w:p>
            <w:pPr>
              <w:ind w:left="320"/>
              <w:spacing w:after="0"/>
              <w:rPr>
                <w:sz w:val="20"/>
                <w:szCs w:val="20"/>
                <w:color w:val="auto"/>
              </w:rPr>
            </w:pPr>
            <w:r>
              <w:rPr>
                <w:rFonts w:ascii="Courier New" w:cs="Courier New" w:eastAsia="Courier New" w:hAnsi="Courier New"/>
                <w:sz w:val="15"/>
                <w:szCs w:val="15"/>
                <w:color w:val="auto"/>
              </w:rPr>
              <w:t>(since 1984); Vice President and Treasurer of</w:t>
            </w:r>
          </w:p>
        </w:tc>
      </w:tr>
      <w:tr>
        <w:trPr>
          <w:trHeight w:val="171"/>
        </w:trPr>
        <w:tc>
          <w:tcPr>
            <w:tcW w:w="26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920" w:type="dxa"/>
            <w:vAlign w:val="bottom"/>
          </w:tcPr>
          <w:p>
            <w:pPr>
              <w:ind w:left="320"/>
              <w:spacing w:after="0"/>
              <w:rPr>
                <w:sz w:val="20"/>
                <w:szCs w:val="20"/>
                <w:color w:val="auto"/>
              </w:rPr>
            </w:pPr>
            <w:r>
              <w:rPr>
                <w:rFonts w:ascii="Courier New" w:cs="Courier New" w:eastAsia="Courier New" w:hAnsi="Courier New"/>
                <w:sz w:val="15"/>
                <w:szCs w:val="15"/>
                <w:color w:val="auto"/>
              </w:rPr>
              <w:t>Yellow Freight (prior to May 1992)</w:t>
            </w:r>
          </w:p>
        </w:tc>
      </w:tr>
      <w:tr>
        <w:trPr>
          <w:trHeight w:val="341"/>
        </w:trPr>
        <w:tc>
          <w:tcPr>
            <w:tcW w:w="2660" w:type="dxa"/>
            <w:vAlign w:val="bottom"/>
          </w:tcPr>
          <w:p>
            <w:pPr>
              <w:spacing w:after="0"/>
              <w:rPr>
                <w:sz w:val="20"/>
                <w:szCs w:val="20"/>
                <w:color w:val="auto"/>
              </w:rPr>
            </w:pPr>
            <w:r>
              <w:rPr>
                <w:rFonts w:ascii="Courier New" w:cs="Courier New" w:eastAsia="Courier New" w:hAnsi="Courier New"/>
                <w:sz w:val="15"/>
                <w:szCs w:val="15"/>
                <w:color w:val="auto"/>
              </w:rPr>
              <w:t>Leo H. Suggs</w:t>
            </w:r>
          </w:p>
        </w:tc>
        <w:tc>
          <w:tcPr>
            <w:tcW w:w="1280" w:type="dxa"/>
            <w:vAlign w:val="bottom"/>
          </w:tcPr>
          <w:p>
            <w:pPr>
              <w:ind w:left="700"/>
              <w:spacing w:after="0"/>
              <w:rPr>
                <w:sz w:val="20"/>
                <w:szCs w:val="20"/>
                <w:color w:val="auto"/>
              </w:rPr>
            </w:pPr>
            <w:r>
              <w:rPr>
                <w:rFonts w:ascii="Courier New" w:cs="Courier New" w:eastAsia="Courier New" w:hAnsi="Courier New"/>
                <w:sz w:val="15"/>
                <w:szCs w:val="15"/>
                <w:color w:val="auto"/>
              </w:rPr>
              <w:t>55</w:t>
            </w:r>
          </w:p>
        </w:tc>
        <w:tc>
          <w:tcPr>
            <w:tcW w:w="4920" w:type="dxa"/>
            <w:vAlign w:val="bottom"/>
          </w:tcPr>
          <w:p>
            <w:pPr>
              <w:ind w:left="320"/>
              <w:spacing w:after="0"/>
              <w:rPr>
                <w:sz w:val="20"/>
                <w:szCs w:val="20"/>
                <w:color w:val="auto"/>
              </w:rPr>
            </w:pPr>
            <w:r>
              <w:rPr>
                <w:rFonts w:ascii="Courier New" w:cs="Courier New" w:eastAsia="Courier New" w:hAnsi="Courier New"/>
                <w:sz w:val="15"/>
                <w:szCs w:val="15"/>
                <w:color w:val="auto"/>
              </w:rPr>
              <w:t>President of Preston Corporation, a subsidiary of</w:t>
            </w:r>
          </w:p>
        </w:tc>
      </w:tr>
      <w:tr>
        <w:trPr>
          <w:trHeight w:val="171"/>
        </w:trPr>
        <w:tc>
          <w:tcPr>
            <w:tcW w:w="26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920" w:type="dxa"/>
            <w:vAlign w:val="bottom"/>
          </w:tcPr>
          <w:p>
            <w:pPr>
              <w:ind w:left="320"/>
              <w:spacing w:after="0"/>
              <w:rPr>
                <w:sz w:val="20"/>
                <w:szCs w:val="20"/>
                <w:color w:val="auto"/>
              </w:rPr>
            </w:pPr>
            <w:r>
              <w:rPr>
                <w:rFonts w:ascii="Courier New" w:cs="Courier New" w:eastAsia="Courier New" w:hAnsi="Courier New"/>
                <w:sz w:val="15"/>
                <w:szCs w:val="15"/>
                <w:color w:val="auto"/>
              </w:rPr>
              <w:t>the company (since February 1993); Senior</w:t>
            </w:r>
          </w:p>
        </w:tc>
      </w:tr>
      <w:tr>
        <w:trPr>
          <w:trHeight w:val="171"/>
        </w:trPr>
        <w:tc>
          <w:tcPr>
            <w:tcW w:w="26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920" w:type="dxa"/>
            <w:vAlign w:val="bottom"/>
          </w:tcPr>
          <w:p>
            <w:pPr>
              <w:ind w:left="320"/>
              <w:spacing w:after="0"/>
              <w:rPr>
                <w:sz w:val="20"/>
                <w:szCs w:val="20"/>
                <w:color w:val="auto"/>
              </w:rPr>
            </w:pPr>
            <w:r>
              <w:rPr>
                <w:rFonts w:ascii="Courier New" w:cs="Courier New" w:eastAsia="Courier New" w:hAnsi="Courier New"/>
                <w:sz w:val="15"/>
                <w:szCs w:val="15"/>
                <w:color w:val="auto"/>
              </w:rPr>
              <w:t>Vice President - Corporate Development of the</w:t>
            </w:r>
          </w:p>
        </w:tc>
      </w:tr>
      <w:tr>
        <w:trPr>
          <w:trHeight w:val="171"/>
        </w:trPr>
        <w:tc>
          <w:tcPr>
            <w:tcW w:w="26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920" w:type="dxa"/>
            <w:vAlign w:val="bottom"/>
          </w:tcPr>
          <w:p>
            <w:pPr>
              <w:ind w:left="320"/>
              <w:spacing w:after="0"/>
              <w:rPr>
                <w:sz w:val="20"/>
                <w:szCs w:val="20"/>
                <w:color w:val="auto"/>
              </w:rPr>
            </w:pPr>
            <w:r>
              <w:rPr>
                <w:rFonts w:ascii="Courier New" w:cs="Courier New" w:eastAsia="Courier New" w:hAnsi="Courier New"/>
                <w:sz w:val="15"/>
                <w:szCs w:val="15"/>
                <w:color w:val="auto"/>
              </w:rPr>
              <w:t>company (November 1992 - February 1993); Senior</w:t>
            </w:r>
          </w:p>
        </w:tc>
      </w:tr>
      <w:tr>
        <w:trPr>
          <w:trHeight w:val="171"/>
        </w:trPr>
        <w:tc>
          <w:tcPr>
            <w:tcW w:w="26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920" w:type="dxa"/>
            <w:vAlign w:val="bottom"/>
          </w:tcPr>
          <w:p>
            <w:pPr>
              <w:ind w:left="320"/>
              <w:spacing w:after="0"/>
              <w:rPr>
                <w:sz w:val="20"/>
                <w:szCs w:val="20"/>
                <w:color w:val="auto"/>
              </w:rPr>
            </w:pPr>
            <w:r>
              <w:rPr>
                <w:rFonts w:ascii="Courier New" w:cs="Courier New" w:eastAsia="Courier New" w:hAnsi="Courier New"/>
                <w:sz w:val="15"/>
                <w:szCs w:val="15"/>
                <w:color w:val="auto"/>
              </w:rPr>
              <w:t>Vice President - Operations Administration of</w:t>
            </w:r>
          </w:p>
        </w:tc>
      </w:tr>
      <w:tr>
        <w:trPr>
          <w:trHeight w:val="171"/>
        </w:trPr>
        <w:tc>
          <w:tcPr>
            <w:tcW w:w="26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920" w:type="dxa"/>
            <w:vAlign w:val="bottom"/>
          </w:tcPr>
          <w:p>
            <w:pPr>
              <w:ind w:left="320"/>
              <w:spacing w:after="0"/>
              <w:rPr>
                <w:sz w:val="20"/>
                <w:szCs w:val="20"/>
                <w:color w:val="auto"/>
              </w:rPr>
            </w:pPr>
            <w:r>
              <w:rPr>
                <w:rFonts w:ascii="Courier New" w:cs="Courier New" w:eastAsia="Courier New" w:hAnsi="Courier New"/>
                <w:sz w:val="15"/>
                <w:szCs w:val="15"/>
                <w:color w:val="auto"/>
                <w:w w:val="97"/>
              </w:rPr>
              <w:t>Yellow Freight (December 1991 - November 1992); Vice</w:t>
            </w:r>
          </w:p>
        </w:tc>
      </w:tr>
      <w:tr>
        <w:trPr>
          <w:trHeight w:val="171"/>
        </w:trPr>
        <w:tc>
          <w:tcPr>
            <w:tcW w:w="26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920" w:type="dxa"/>
            <w:vAlign w:val="bottom"/>
          </w:tcPr>
          <w:p>
            <w:pPr>
              <w:ind w:left="320"/>
              <w:spacing w:after="0"/>
              <w:rPr>
                <w:sz w:val="20"/>
                <w:szCs w:val="20"/>
                <w:color w:val="auto"/>
              </w:rPr>
            </w:pPr>
            <w:r>
              <w:rPr>
                <w:rFonts w:ascii="Courier New" w:cs="Courier New" w:eastAsia="Courier New" w:hAnsi="Courier New"/>
                <w:sz w:val="15"/>
                <w:szCs w:val="15"/>
                <w:color w:val="auto"/>
              </w:rPr>
              <w:t>President - Operations Administration (June 1991 -</w:t>
            </w:r>
          </w:p>
        </w:tc>
      </w:tr>
      <w:tr>
        <w:trPr>
          <w:trHeight w:val="171"/>
        </w:trPr>
        <w:tc>
          <w:tcPr>
            <w:tcW w:w="26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920" w:type="dxa"/>
            <w:vAlign w:val="bottom"/>
          </w:tcPr>
          <w:p>
            <w:pPr>
              <w:ind w:left="320"/>
              <w:spacing w:after="0"/>
              <w:rPr>
                <w:sz w:val="20"/>
                <w:szCs w:val="20"/>
                <w:color w:val="auto"/>
              </w:rPr>
            </w:pPr>
            <w:r>
              <w:rPr>
                <w:rFonts w:ascii="Courier New" w:cs="Courier New" w:eastAsia="Courier New" w:hAnsi="Courier New"/>
                <w:sz w:val="15"/>
                <w:szCs w:val="15"/>
                <w:color w:val="auto"/>
              </w:rPr>
              <w:t>December 1991); Vice President - Quality and</w:t>
            </w:r>
          </w:p>
        </w:tc>
      </w:tr>
      <w:tr>
        <w:trPr>
          <w:trHeight w:val="171"/>
        </w:trPr>
        <w:tc>
          <w:tcPr>
            <w:tcW w:w="26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920" w:type="dxa"/>
            <w:vAlign w:val="bottom"/>
          </w:tcPr>
          <w:p>
            <w:pPr>
              <w:ind w:left="320"/>
              <w:spacing w:after="0"/>
              <w:rPr>
                <w:sz w:val="20"/>
                <w:szCs w:val="20"/>
                <w:color w:val="auto"/>
              </w:rPr>
            </w:pPr>
            <w:r>
              <w:rPr>
                <w:rFonts w:ascii="Courier New" w:cs="Courier New" w:eastAsia="Courier New" w:hAnsi="Courier New"/>
                <w:sz w:val="15"/>
                <w:szCs w:val="15"/>
                <w:color w:val="auto"/>
              </w:rPr>
              <w:t>Labor Relations (prior to June 1991)</w:t>
            </w:r>
          </w:p>
        </w:tc>
      </w:tr>
      <w:tr>
        <w:trPr>
          <w:trHeight w:val="341"/>
        </w:trPr>
        <w:tc>
          <w:tcPr>
            <w:tcW w:w="2660" w:type="dxa"/>
            <w:vAlign w:val="bottom"/>
          </w:tcPr>
          <w:p>
            <w:pPr>
              <w:spacing w:after="0"/>
              <w:rPr>
                <w:sz w:val="20"/>
                <w:szCs w:val="20"/>
                <w:color w:val="auto"/>
              </w:rPr>
            </w:pPr>
            <w:r>
              <w:rPr>
                <w:rFonts w:ascii="Courier New" w:cs="Courier New" w:eastAsia="Courier New" w:hAnsi="Courier New"/>
                <w:sz w:val="15"/>
                <w:szCs w:val="15"/>
                <w:color w:val="auto"/>
              </w:rPr>
              <w:t>H. A. Trucksess, III</w:t>
            </w:r>
          </w:p>
        </w:tc>
        <w:tc>
          <w:tcPr>
            <w:tcW w:w="1280" w:type="dxa"/>
            <w:vAlign w:val="bottom"/>
          </w:tcPr>
          <w:p>
            <w:pPr>
              <w:ind w:left="700"/>
              <w:spacing w:after="0"/>
              <w:rPr>
                <w:sz w:val="20"/>
                <w:szCs w:val="20"/>
                <w:color w:val="auto"/>
              </w:rPr>
            </w:pPr>
            <w:r>
              <w:rPr>
                <w:rFonts w:ascii="Courier New" w:cs="Courier New" w:eastAsia="Courier New" w:hAnsi="Courier New"/>
                <w:sz w:val="15"/>
                <w:szCs w:val="15"/>
                <w:color w:val="auto"/>
              </w:rPr>
              <w:t>45</w:t>
            </w:r>
          </w:p>
        </w:tc>
        <w:tc>
          <w:tcPr>
            <w:tcW w:w="4920" w:type="dxa"/>
            <w:vAlign w:val="bottom"/>
          </w:tcPr>
          <w:p>
            <w:pPr>
              <w:ind w:left="320"/>
              <w:spacing w:after="0"/>
              <w:rPr>
                <w:sz w:val="20"/>
                <w:szCs w:val="20"/>
                <w:color w:val="auto"/>
              </w:rPr>
            </w:pPr>
            <w:r>
              <w:rPr>
                <w:rFonts w:ascii="Courier New" w:cs="Courier New" w:eastAsia="Courier New" w:hAnsi="Courier New"/>
                <w:sz w:val="15"/>
                <w:szCs w:val="15"/>
                <w:color w:val="auto"/>
                <w:w w:val="99"/>
              </w:rPr>
              <w:t>Senior Vice President - Finance and Chief Financial</w:t>
            </w:r>
          </w:p>
        </w:tc>
      </w:tr>
      <w:tr>
        <w:trPr>
          <w:trHeight w:val="171"/>
        </w:trPr>
        <w:tc>
          <w:tcPr>
            <w:tcW w:w="26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920" w:type="dxa"/>
            <w:vAlign w:val="bottom"/>
          </w:tcPr>
          <w:p>
            <w:pPr>
              <w:ind w:left="320"/>
              <w:spacing w:after="0"/>
              <w:rPr>
                <w:sz w:val="20"/>
                <w:szCs w:val="20"/>
                <w:color w:val="auto"/>
              </w:rPr>
            </w:pPr>
            <w:r>
              <w:rPr>
                <w:rFonts w:ascii="Courier New" w:cs="Courier New" w:eastAsia="Courier New" w:hAnsi="Courier New"/>
                <w:sz w:val="15"/>
                <w:szCs w:val="15"/>
                <w:color w:val="auto"/>
              </w:rPr>
              <w:t>Officer of the company (since June 1994); Vice</w:t>
            </w:r>
          </w:p>
        </w:tc>
      </w:tr>
      <w:tr>
        <w:trPr>
          <w:trHeight w:val="171"/>
        </w:trPr>
        <w:tc>
          <w:tcPr>
            <w:tcW w:w="26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920" w:type="dxa"/>
            <w:vAlign w:val="bottom"/>
          </w:tcPr>
          <w:p>
            <w:pPr>
              <w:ind w:left="320"/>
              <w:spacing w:after="0"/>
              <w:rPr>
                <w:sz w:val="20"/>
                <w:szCs w:val="20"/>
                <w:color w:val="auto"/>
              </w:rPr>
            </w:pPr>
            <w:r>
              <w:rPr>
                <w:rFonts w:ascii="Courier New" w:cs="Courier New" w:eastAsia="Courier New" w:hAnsi="Courier New"/>
                <w:sz w:val="15"/>
                <w:szCs w:val="15"/>
                <w:color w:val="auto"/>
              </w:rPr>
              <w:t>President and Chief Financial Officer of Preston</w:t>
            </w:r>
          </w:p>
        </w:tc>
      </w:tr>
    </w:tbl>
    <w:p>
      <w:pPr>
        <w:spacing w:after="0" w:line="1" w:lineRule="exact"/>
        <w:rPr>
          <w:sz w:val="20"/>
          <w:szCs w:val="20"/>
          <w:color w:val="auto"/>
        </w:rPr>
      </w:pPr>
    </w:p>
    <w:p>
      <w:pPr>
        <w:ind w:left="4260"/>
        <w:spacing w:after="0"/>
        <w:rPr>
          <w:sz w:val="20"/>
          <w:szCs w:val="20"/>
          <w:color w:val="auto"/>
        </w:rPr>
      </w:pPr>
      <w:r>
        <w:rPr>
          <w:rFonts w:ascii="Courier New" w:cs="Courier New" w:eastAsia="Courier New" w:hAnsi="Courier New"/>
          <w:sz w:val="15"/>
          <w:szCs w:val="15"/>
          <w:color w:val="auto"/>
        </w:rPr>
        <w:t>Corporation (June 1992 - June 1994); Senior Vice</w:t>
      </w:r>
    </w:p>
    <w:p>
      <w:pPr>
        <w:spacing w:after="0" w:line="1" w:lineRule="exact"/>
        <w:rPr>
          <w:sz w:val="20"/>
          <w:szCs w:val="20"/>
          <w:color w:val="auto"/>
        </w:rPr>
      </w:pPr>
    </w:p>
    <w:p>
      <w:pPr>
        <w:ind w:left="4260"/>
        <w:spacing w:after="0"/>
        <w:rPr>
          <w:sz w:val="20"/>
          <w:szCs w:val="20"/>
          <w:color w:val="auto"/>
        </w:rPr>
      </w:pPr>
      <w:r>
        <w:rPr>
          <w:rFonts w:ascii="Courier New" w:cs="Courier New" w:eastAsia="Courier New" w:hAnsi="Courier New"/>
          <w:sz w:val="15"/>
          <w:szCs w:val="15"/>
          <w:color w:val="auto"/>
        </w:rPr>
        <w:t>President, Chief Operating Officer and Chief</w:t>
      </w:r>
    </w:p>
    <w:p>
      <w:pPr>
        <w:spacing w:after="0" w:line="1" w:lineRule="exact"/>
        <w:rPr>
          <w:sz w:val="20"/>
          <w:szCs w:val="20"/>
          <w:color w:val="auto"/>
        </w:rPr>
      </w:pPr>
    </w:p>
    <w:p>
      <w:pPr>
        <w:ind w:left="4260"/>
        <w:spacing w:after="0"/>
        <w:rPr>
          <w:sz w:val="20"/>
          <w:szCs w:val="20"/>
          <w:color w:val="auto"/>
        </w:rPr>
      </w:pPr>
      <w:r>
        <w:rPr>
          <w:rFonts w:ascii="Courier New" w:cs="Courier New" w:eastAsia="Courier New" w:hAnsi="Courier New"/>
          <w:sz w:val="15"/>
          <w:szCs w:val="15"/>
          <w:color w:val="auto"/>
        </w:rPr>
        <w:t>Financial Officer of JTL Holding Company (prior to</w:t>
      </w:r>
    </w:p>
    <w:p>
      <w:pPr>
        <w:spacing w:after="0" w:line="1" w:lineRule="exact"/>
        <w:rPr>
          <w:sz w:val="20"/>
          <w:szCs w:val="20"/>
          <w:color w:val="auto"/>
        </w:rPr>
      </w:pPr>
    </w:p>
    <w:p>
      <w:pPr>
        <w:ind w:left="4260"/>
        <w:spacing w:after="0"/>
        <w:rPr>
          <w:sz w:val="20"/>
          <w:szCs w:val="20"/>
          <w:color w:val="auto"/>
        </w:rPr>
      </w:pPr>
      <w:r>
        <w:rPr>
          <w:rFonts w:ascii="Courier New" w:cs="Courier New" w:eastAsia="Courier New" w:hAnsi="Courier New"/>
          <w:sz w:val="15"/>
          <w:szCs w:val="15"/>
          <w:color w:val="auto"/>
        </w:rPr>
        <w:t>July 1991)</w:t>
      </w:r>
    </w:p>
    <w:p>
      <w:pPr>
        <w:spacing w:after="0" w:line="200" w:lineRule="exact"/>
        <w:rPr>
          <w:sz w:val="20"/>
          <w:szCs w:val="20"/>
          <w:color w:val="auto"/>
        </w:rPr>
      </w:pPr>
    </w:p>
    <w:p>
      <w:pPr>
        <w:spacing w:after="0" w:line="315" w:lineRule="exact"/>
        <w:rPr>
          <w:sz w:val="20"/>
          <w:szCs w:val="20"/>
          <w:color w:val="auto"/>
        </w:rPr>
      </w:pPr>
    </w:p>
    <w:p>
      <w:pPr>
        <w:ind w:right="3299"/>
        <w:spacing w:after="0"/>
        <w:rPr>
          <w:sz w:val="20"/>
          <w:szCs w:val="20"/>
          <w:color w:val="auto"/>
        </w:rPr>
      </w:pPr>
      <w:r>
        <w:rPr>
          <w:rFonts w:ascii="Courier New" w:cs="Courier New" w:eastAsia="Courier New" w:hAnsi="Courier New"/>
          <w:sz w:val="15"/>
          <w:szCs w:val="15"/>
          <w:color w:val="auto"/>
        </w:rPr>
        <w:t>The terms of each officer of the company designated above are scheduled to expire April 19, 1995. The terms of each officer of the subsidiary companies are scheduled to expire on the date of the next annual meeting of shareholders of that company. No family relationships exist between any of the executive officers named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87"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9</w:t>
      </w:r>
    </w:p>
    <w:p>
      <w:pPr>
        <w:spacing w:after="0" w:line="17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PART II</w:t>
      </w:r>
    </w:p>
    <w:p>
      <w:pPr>
        <w:spacing w:after="0" w:line="345" w:lineRule="exact"/>
        <w:rPr>
          <w:sz w:val="20"/>
          <w:szCs w:val="20"/>
          <w:color w:val="auto"/>
        </w:rPr>
      </w:pPr>
    </w:p>
    <w:p>
      <w:pPr>
        <w:ind w:left="1240" w:right="3299" w:hanging="1241"/>
        <w:spacing w:after="0" w:line="238" w:lineRule="auto"/>
        <w:tabs>
          <w:tab w:leader="none" w:pos="1220"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5"/>
          <w:szCs w:val="15"/>
          <w:color w:val="auto"/>
        </w:rPr>
        <w:t>Market for the Registrant's Common Stock and Related Stockholder Matters.</w:t>
      </w:r>
    </w:p>
    <w:p>
      <w:pPr>
        <w:spacing w:after="0" w:line="175" w:lineRule="exact"/>
        <w:rPr>
          <w:sz w:val="20"/>
          <w:szCs w:val="20"/>
          <w:color w:val="auto"/>
        </w:rPr>
      </w:pPr>
    </w:p>
    <w:p>
      <w:pPr>
        <w:ind w:right="3479"/>
        <w:spacing w:after="0" w:line="239" w:lineRule="auto"/>
        <w:rPr>
          <w:sz w:val="20"/>
          <w:szCs w:val="20"/>
          <w:color w:val="auto"/>
        </w:rPr>
      </w:pPr>
      <w:r>
        <w:rPr>
          <w:rFonts w:ascii="Courier New" w:cs="Courier New" w:eastAsia="Courier New" w:hAnsi="Courier New"/>
          <w:sz w:val="15"/>
          <w:szCs w:val="15"/>
          <w:color w:val="auto"/>
        </w:rPr>
        <w:t>The information set forth under the caption "Common Stock" on page 33 of the registrant's Annual Report to Shareholders for the year ended December 31, 1994, is incorporated by reference under Item 14 herein.</w:t>
      </w:r>
    </w:p>
    <w:p>
      <w:pPr>
        <w:spacing w:after="0" w:line="343"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Selected Financial Data.</w:t>
      </w:r>
    </w:p>
    <w:p>
      <w:pPr>
        <w:spacing w:after="0" w:line="174"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The information set forth under the caption "Financial Summary" on pages 18 and 19 of the registrant's Annual Report to Shareholders for the year ended December 31, 1994, is incorporated by reference under Item 14 herein.</w:t>
      </w:r>
    </w:p>
    <w:p>
      <w:pPr>
        <w:spacing w:after="0" w:line="346" w:lineRule="exact"/>
        <w:rPr>
          <w:sz w:val="20"/>
          <w:szCs w:val="20"/>
          <w:color w:val="auto"/>
        </w:rPr>
      </w:pPr>
    </w:p>
    <w:p>
      <w:pPr>
        <w:ind w:left="1240" w:right="3399" w:hanging="1241"/>
        <w:spacing w:after="0" w:line="238" w:lineRule="auto"/>
        <w:tabs>
          <w:tab w:leader="none" w:pos="1220" w:val="left"/>
        </w:tabs>
        <w:rPr>
          <w:sz w:val="20"/>
          <w:szCs w:val="20"/>
          <w:color w:val="auto"/>
        </w:rPr>
      </w:pPr>
      <w:r>
        <w:rPr>
          <w:rFonts w:ascii="Courier New" w:cs="Courier New" w:eastAsia="Courier New" w:hAnsi="Courier New"/>
          <w:sz w:val="15"/>
          <w:szCs w:val="15"/>
          <w:color w:val="auto"/>
        </w:rPr>
        <w:t>Item 7.</w:t>
      </w:r>
      <w:r>
        <w:rPr>
          <w:sz w:val="20"/>
          <w:szCs w:val="20"/>
          <w:color w:val="auto"/>
        </w:rPr>
        <w:tab/>
      </w:r>
      <w:r>
        <w:rPr>
          <w:rFonts w:ascii="Courier New" w:cs="Courier New" w:eastAsia="Courier New" w:hAnsi="Courier New"/>
          <w:sz w:val="15"/>
          <w:szCs w:val="15"/>
          <w:color w:val="auto"/>
        </w:rPr>
        <w:t>Management's Discussion and Analysis of Financial Condition and Results of Operations.</w:t>
      </w:r>
    </w:p>
    <w:p>
      <w:pPr>
        <w:spacing w:after="0" w:line="175"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 appearing on pages 14 through 17 of the registrant's Annual Report to Shareholders for the year ended December 31, 1994, is incorporated by reference under Item 14 herein.</w:t>
      </w:r>
    </w:p>
    <w:p>
      <w:pPr>
        <w:spacing w:after="0" w:line="344"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Item 8.</w:t>
      </w:r>
      <w:r>
        <w:rPr>
          <w:sz w:val="20"/>
          <w:szCs w:val="20"/>
          <w:color w:val="auto"/>
        </w:rPr>
        <w:tab/>
      </w:r>
      <w:r>
        <w:rPr>
          <w:rFonts w:ascii="Courier New" w:cs="Courier New" w:eastAsia="Courier New" w:hAnsi="Courier New"/>
          <w:sz w:val="14"/>
          <w:szCs w:val="14"/>
          <w:color w:val="auto"/>
        </w:rPr>
        <w:t>Financial Statements and Supplementary Data.</w:t>
      </w:r>
    </w:p>
    <w:p>
      <w:pPr>
        <w:spacing w:after="0" w:line="174"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The financial statements and supplementary information, appearing on pages 20 through 33 of the registrant's Annual Report to Shareholders for the year ended December 31, 1994, are incorporated by reference under Item 14 herein.</w:t>
      </w:r>
    </w:p>
    <w:p>
      <w:pPr>
        <w:spacing w:after="0" w:line="343"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Item 9.</w:t>
      </w:r>
      <w:r>
        <w:rPr>
          <w:sz w:val="20"/>
          <w:szCs w:val="20"/>
          <w:color w:val="auto"/>
        </w:rPr>
        <w:tab/>
      </w:r>
      <w:r>
        <w:rPr>
          <w:rFonts w:ascii="Courier New" w:cs="Courier New" w:eastAsia="Courier New" w:hAnsi="Courier New"/>
          <w:sz w:val="14"/>
          <w:szCs w:val="14"/>
          <w:color w:val="auto"/>
        </w:rPr>
        <w:t>Disagreements on Accounting and Financial Disclosure.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87"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10</w:t>
      </w:r>
    </w:p>
    <w:p>
      <w:pPr>
        <w:spacing w:after="0" w:line="17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PART III</w:t>
      </w:r>
    </w:p>
    <w:p>
      <w:pPr>
        <w:spacing w:after="0" w:line="342"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Item 10.</w:t>
      </w:r>
      <w:r>
        <w:rPr>
          <w:sz w:val="20"/>
          <w:szCs w:val="20"/>
          <w:color w:val="auto"/>
        </w:rPr>
        <w:tab/>
      </w:r>
      <w:r>
        <w:rPr>
          <w:rFonts w:ascii="Courier New" w:cs="Courier New" w:eastAsia="Courier New" w:hAnsi="Courier New"/>
          <w:sz w:val="14"/>
          <w:szCs w:val="14"/>
          <w:color w:val="auto"/>
        </w:rPr>
        <w:t>Directors and Executive Officers of the Registrant.</w:t>
      </w:r>
    </w:p>
    <w:p>
      <w:pPr>
        <w:spacing w:after="0" w:line="174"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The information regarding Directors of the registrant has previously been reported in the registrant's definitive proxy statement, filed pursuant to Regulation 14A, and is incorporated by reference. For information with respect to the executive officers of the registrant, see "Executive Officers of the Registrant" at the end of Part I of this report.</w:t>
      </w:r>
    </w:p>
    <w:p>
      <w:pPr>
        <w:spacing w:after="0" w:line="342"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Item 11.</w:t>
      </w:r>
      <w:r>
        <w:rPr>
          <w:sz w:val="20"/>
          <w:szCs w:val="20"/>
          <w:color w:val="auto"/>
        </w:rPr>
        <w:tab/>
      </w:r>
      <w:r>
        <w:rPr>
          <w:rFonts w:ascii="Courier New" w:cs="Courier New" w:eastAsia="Courier New" w:hAnsi="Courier New"/>
          <w:sz w:val="14"/>
          <w:szCs w:val="14"/>
          <w:color w:val="auto"/>
        </w:rPr>
        <w:t>Executive Compensation.</w:t>
      </w:r>
    </w:p>
    <w:p>
      <w:pPr>
        <w:spacing w:after="0" w:line="174" w:lineRule="exact"/>
        <w:rPr>
          <w:sz w:val="20"/>
          <w:szCs w:val="20"/>
          <w:color w:val="auto"/>
        </w:rPr>
      </w:pPr>
    </w:p>
    <w:p>
      <w:pPr>
        <w:ind w:right="3479"/>
        <w:spacing w:after="0" w:line="239" w:lineRule="auto"/>
        <w:rPr>
          <w:sz w:val="20"/>
          <w:szCs w:val="20"/>
          <w:color w:val="auto"/>
        </w:rPr>
      </w:pPr>
      <w:r>
        <w:rPr>
          <w:rFonts w:ascii="Courier New" w:cs="Courier New" w:eastAsia="Courier New" w:hAnsi="Courier New"/>
          <w:sz w:val="15"/>
          <w:szCs w:val="15"/>
          <w:color w:val="auto"/>
        </w:rPr>
        <w:t>This information has previously been reported in the registrant's definitive proxy statement, filed pursuant to Regulation 14A, and is incorporated by reference.</w:t>
      </w:r>
    </w:p>
    <w:p>
      <w:pPr>
        <w:spacing w:after="0" w:line="343"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Item 12.</w:t>
      </w:r>
      <w:r>
        <w:rPr>
          <w:sz w:val="20"/>
          <w:szCs w:val="20"/>
          <w:color w:val="auto"/>
        </w:rPr>
        <w:tab/>
      </w:r>
      <w:r>
        <w:rPr>
          <w:rFonts w:ascii="Courier New" w:cs="Courier New" w:eastAsia="Courier New" w:hAnsi="Courier New"/>
          <w:sz w:val="14"/>
          <w:szCs w:val="14"/>
          <w:color w:val="auto"/>
        </w:rPr>
        <w:t>Security Ownership of Certain Beneficial Owners and Management.</w:t>
      </w:r>
    </w:p>
    <w:p>
      <w:pPr>
        <w:spacing w:after="0" w:line="174" w:lineRule="exact"/>
        <w:rPr>
          <w:sz w:val="20"/>
          <w:szCs w:val="20"/>
          <w:color w:val="auto"/>
        </w:rPr>
      </w:pPr>
    </w:p>
    <w:p>
      <w:pPr>
        <w:ind w:right="3479"/>
        <w:spacing w:after="0" w:line="239" w:lineRule="auto"/>
        <w:rPr>
          <w:sz w:val="20"/>
          <w:szCs w:val="20"/>
          <w:color w:val="auto"/>
        </w:rPr>
      </w:pPr>
      <w:r>
        <w:rPr>
          <w:rFonts w:ascii="Courier New" w:cs="Courier New" w:eastAsia="Courier New" w:hAnsi="Courier New"/>
          <w:sz w:val="15"/>
          <w:szCs w:val="15"/>
          <w:color w:val="auto"/>
        </w:rPr>
        <w:t>This information has previously been reported in the registrant's definitive proxy statement, filed pursuant to Regulation 14A, and is incorporated by reference.</w:t>
      </w:r>
    </w:p>
    <w:p>
      <w:pPr>
        <w:spacing w:after="0" w:line="343"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Item 13.</w:t>
      </w:r>
      <w:r>
        <w:rPr>
          <w:sz w:val="20"/>
          <w:szCs w:val="20"/>
          <w:color w:val="auto"/>
        </w:rPr>
        <w:tab/>
      </w:r>
      <w:r>
        <w:rPr>
          <w:rFonts w:ascii="Courier New" w:cs="Courier New" w:eastAsia="Courier New" w:hAnsi="Courier New"/>
          <w:sz w:val="14"/>
          <w:szCs w:val="14"/>
          <w:color w:val="auto"/>
        </w:rPr>
        <w:t>Certain Relationships and Related Transactions.</w:t>
      </w:r>
    </w:p>
    <w:p>
      <w:pPr>
        <w:spacing w:after="0" w:line="174" w:lineRule="exact"/>
        <w:rPr>
          <w:sz w:val="20"/>
          <w:szCs w:val="20"/>
          <w:color w:val="auto"/>
        </w:rPr>
      </w:pPr>
    </w:p>
    <w:p>
      <w:pPr>
        <w:ind w:right="3479"/>
        <w:spacing w:after="0" w:line="239" w:lineRule="auto"/>
        <w:rPr>
          <w:sz w:val="20"/>
          <w:szCs w:val="20"/>
          <w:color w:val="auto"/>
        </w:rPr>
      </w:pPr>
      <w:r>
        <w:rPr>
          <w:rFonts w:ascii="Courier New" w:cs="Courier New" w:eastAsia="Courier New" w:hAnsi="Courier New"/>
          <w:sz w:val="15"/>
          <w:szCs w:val="15"/>
          <w:color w:val="auto"/>
        </w:rPr>
        <w:t>This information has previously been reported in the registrant's definitive proxy statement, filed pursuant to Regulation 14A, and is incorporated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87" w:right="1440" w:bottom="1440" w:gutter="0" w:footer="0" w:header="0"/>
        </w:sectPr>
      </w:pPr>
    </w:p>
    <w:bookmarkStart w:id="10" w:name="page11"/>
    <w:bookmarkEnd w:id="10"/>
    <w:p>
      <w:pPr>
        <w:ind w:left="269"/>
        <w:spacing w:after="0"/>
        <w:rPr>
          <w:sz w:val="20"/>
          <w:szCs w:val="20"/>
          <w:color w:val="auto"/>
        </w:rPr>
      </w:pPr>
      <w:r>
        <w:rPr>
          <w:rFonts w:ascii="Courier New" w:cs="Courier New" w:eastAsia="Courier New" w:hAnsi="Courier New"/>
          <w:sz w:val="15"/>
          <w:szCs w:val="15"/>
          <w:color w:val="auto"/>
        </w:rPr>
        <w:t>11</w:t>
      </w:r>
    </w:p>
    <w:p>
      <w:pPr>
        <w:spacing w:after="0" w:line="171" w:lineRule="exact"/>
        <w:rPr>
          <w:sz w:val="20"/>
          <w:szCs w:val="20"/>
          <w:color w:val="auto"/>
        </w:rPr>
      </w:pPr>
    </w:p>
    <w:p>
      <w:pPr>
        <w:ind w:left="3189"/>
        <w:spacing w:after="0"/>
        <w:rPr>
          <w:sz w:val="20"/>
          <w:szCs w:val="20"/>
          <w:color w:val="auto"/>
        </w:rPr>
      </w:pPr>
      <w:r>
        <w:rPr>
          <w:rFonts w:ascii="Courier New" w:cs="Courier New" w:eastAsia="Courier New" w:hAnsi="Courier New"/>
          <w:sz w:val="15"/>
          <w:szCs w:val="15"/>
          <w:color w:val="auto"/>
        </w:rPr>
        <w:t>PART IV</w:t>
      </w:r>
    </w:p>
    <w:p>
      <w:pPr>
        <w:spacing w:after="0" w:line="342" w:lineRule="exact"/>
        <w:rPr>
          <w:sz w:val="20"/>
          <w:szCs w:val="20"/>
          <w:color w:val="auto"/>
        </w:rPr>
      </w:pPr>
    </w:p>
    <w:p>
      <w:pPr>
        <w:ind w:left="9"/>
        <w:spacing w:after="0"/>
        <w:tabs>
          <w:tab w:leader="none" w:pos="1229" w:val="left"/>
        </w:tabs>
        <w:rPr>
          <w:sz w:val="20"/>
          <w:szCs w:val="20"/>
          <w:color w:val="auto"/>
        </w:rPr>
      </w:pPr>
      <w:r>
        <w:rPr>
          <w:rFonts w:ascii="Courier New" w:cs="Courier New" w:eastAsia="Courier New" w:hAnsi="Courier New"/>
          <w:sz w:val="15"/>
          <w:szCs w:val="15"/>
          <w:color w:val="auto"/>
        </w:rPr>
        <w:t>Item 14.</w:t>
      </w:r>
      <w:r>
        <w:rPr>
          <w:sz w:val="20"/>
          <w:szCs w:val="20"/>
          <w:color w:val="auto"/>
        </w:rPr>
        <w:tab/>
      </w:r>
      <w:r>
        <w:rPr>
          <w:rFonts w:ascii="Courier New" w:cs="Courier New" w:eastAsia="Courier New" w:hAnsi="Courier New"/>
          <w:sz w:val="14"/>
          <w:szCs w:val="14"/>
          <w:color w:val="auto"/>
        </w:rPr>
        <w:t>Exhibits, Financial Statement Schedule, and Reports on Form 8-K.</w:t>
      </w:r>
    </w:p>
    <w:p>
      <w:pPr>
        <w:spacing w:after="0" w:line="342" w:lineRule="exact"/>
        <w:rPr>
          <w:sz w:val="20"/>
          <w:szCs w:val="20"/>
          <w:color w:val="auto"/>
        </w:rPr>
      </w:pPr>
    </w:p>
    <w:p>
      <w:pPr>
        <w:ind w:left="629" w:hanging="629"/>
        <w:spacing w:after="0"/>
        <w:tabs>
          <w:tab w:leader="none" w:pos="629"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(1)  Financial Statements</w:t>
      </w:r>
    </w:p>
    <w:p>
      <w:pPr>
        <w:spacing w:after="0" w:line="174" w:lineRule="exact"/>
        <w:rPr>
          <w:rFonts w:ascii="Courier New" w:cs="Courier New" w:eastAsia="Courier New" w:hAnsi="Courier New"/>
          <w:sz w:val="15"/>
          <w:szCs w:val="15"/>
          <w:color w:val="auto"/>
        </w:rPr>
      </w:pPr>
    </w:p>
    <w:p>
      <w:pPr>
        <w:ind w:left="629" w:right="375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information appearing in the 1994 Annual Report to Shareholders is incorporated by reference in this Form 10-K Annual Report as Exhibit (13):</w:t>
      </w:r>
    </w:p>
    <w:p>
      <w:pPr>
        <w:spacing w:after="0" w:line="200" w:lineRule="exact"/>
        <w:rPr>
          <w:sz w:val="20"/>
          <w:szCs w:val="20"/>
          <w:color w:val="auto"/>
        </w:rPr>
      </w:pPr>
    </w:p>
    <w:p>
      <w:pPr>
        <w:spacing w:after="0" w:line="31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Page</w:t>
            </w:r>
          </w:p>
        </w:tc>
      </w:tr>
      <w:tr>
        <w:trPr>
          <w:trHeight w:val="171"/>
        </w:trPr>
        <w:tc>
          <w:tcPr>
            <w:tcW w:w="4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440" w:type="dxa"/>
            <w:vAlign w:val="bottom"/>
          </w:tcPr>
          <w:p>
            <w:pPr>
              <w:spacing w:after="0"/>
              <w:rPr>
                <w:sz w:val="24"/>
                <w:szCs w:val="24"/>
                <w:color w:val="auto"/>
              </w:rPr>
            </w:pPr>
          </w:p>
        </w:tc>
        <w:tc>
          <w:tcPr>
            <w:tcW w:w="72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Management's Discussion and Analysis of</w:t>
            </w:r>
          </w:p>
        </w:tc>
        <w:tc>
          <w:tcPr>
            <w:tcW w:w="1200" w:type="dxa"/>
            <w:vAlign w:val="bottom"/>
          </w:tcPr>
          <w:p>
            <w:pPr>
              <w:spacing w:after="0"/>
              <w:rPr>
                <w:sz w:val="24"/>
                <w:szCs w:val="24"/>
                <w:color w:val="auto"/>
              </w:rPr>
            </w:pPr>
          </w:p>
        </w:tc>
      </w:tr>
      <w:tr>
        <w:trPr>
          <w:trHeight w:val="171"/>
        </w:trPr>
        <w:tc>
          <w:tcPr>
            <w:tcW w:w="440" w:type="dxa"/>
            <w:vAlign w:val="bottom"/>
          </w:tcPr>
          <w:p>
            <w:pPr>
              <w:spacing w:after="0"/>
              <w:rPr>
                <w:sz w:val="14"/>
                <w:szCs w:val="14"/>
                <w:color w:val="auto"/>
              </w:rPr>
            </w:pPr>
          </w:p>
        </w:tc>
        <w:tc>
          <w:tcPr>
            <w:tcW w:w="72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Financial Condition and Results of Operations</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14-17</w:t>
            </w:r>
          </w:p>
        </w:tc>
      </w:tr>
      <w:tr>
        <w:trPr>
          <w:trHeight w:val="171"/>
        </w:trPr>
        <w:tc>
          <w:tcPr>
            <w:tcW w:w="440" w:type="dxa"/>
            <w:vAlign w:val="bottom"/>
          </w:tcPr>
          <w:p>
            <w:pPr>
              <w:spacing w:after="0"/>
              <w:rPr>
                <w:sz w:val="14"/>
                <w:szCs w:val="14"/>
                <w:color w:val="auto"/>
              </w:rPr>
            </w:pPr>
          </w:p>
        </w:tc>
        <w:tc>
          <w:tcPr>
            <w:tcW w:w="2120" w:type="dxa"/>
            <w:vAlign w:val="bottom"/>
          </w:tcPr>
          <w:p>
            <w:pPr>
              <w:ind w:left="180"/>
              <w:spacing w:after="0"/>
              <w:rPr>
                <w:sz w:val="20"/>
                <w:szCs w:val="20"/>
                <w:color w:val="auto"/>
              </w:rPr>
            </w:pPr>
            <w:r>
              <w:rPr>
                <w:rFonts w:ascii="Courier New" w:cs="Courier New" w:eastAsia="Courier New" w:hAnsi="Courier New"/>
                <w:sz w:val="15"/>
                <w:szCs w:val="15"/>
                <w:color w:val="auto"/>
              </w:rPr>
              <w:t>Financial Summary</w:t>
            </w:r>
          </w:p>
        </w:tc>
        <w:tc>
          <w:tcPr>
            <w:tcW w:w="5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18-19</w:t>
            </w:r>
          </w:p>
        </w:tc>
      </w:tr>
      <w:tr>
        <w:trPr>
          <w:trHeight w:val="171"/>
        </w:trPr>
        <w:tc>
          <w:tcPr>
            <w:tcW w:w="440" w:type="dxa"/>
            <w:vAlign w:val="bottom"/>
          </w:tcPr>
          <w:p>
            <w:pPr>
              <w:spacing w:after="0"/>
              <w:rPr>
                <w:sz w:val="14"/>
                <w:szCs w:val="14"/>
                <w:color w:val="auto"/>
              </w:rPr>
            </w:pPr>
          </w:p>
        </w:tc>
        <w:tc>
          <w:tcPr>
            <w:tcW w:w="72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Consolidated Financial Statements</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20-32</w:t>
            </w:r>
          </w:p>
        </w:tc>
      </w:tr>
      <w:tr>
        <w:trPr>
          <w:trHeight w:val="171"/>
        </w:trPr>
        <w:tc>
          <w:tcPr>
            <w:tcW w:w="440" w:type="dxa"/>
            <w:vAlign w:val="bottom"/>
          </w:tcPr>
          <w:p>
            <w:pPr>
              <w:spacing w:after="0"/>
              <w:rPr>
                <w:sz w:val="14"/>
                <w:szCs w:val="14"/>
                <w:color w:val="auto"/>
              </w:rPr>
            </w:pPr>
          </w:p>
        </w:tc>
        <w:tc>
          <w:tcPr>
            <w:tcW w:w="72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Report of Independent Public Accountants</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32</w:t>
            </w:r>
          </w:p>
        </w:tc>
      </w:tr>
      <w:tr>
        <w:trPr>
          <w:trHeight w:val="171"/>
        </w:trPr>
        <w:tc>
          <w:tcPr>
            <w:tcW w:w="440" w:type="dxa"/>
            <w:vAlign w:val="bottom"/>
          </w:tcPr>
          <w:p>
            <w:pPr>
              <w:spacing w:after="0"/>
              <w:rPr>
                <w:sz w:val="14"/>
                <w:szCs w:val="14"/>
                <w:color w:val="auto"/>
              </w:rPr>
            </w:pPr>
          </w:p>
        </w:tc>
        <w:tc>
          <w:tcPr>
            <w:tcW w:w="72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Quarterly Financial Information</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33</w:t>
            </w:r>
          </w:p>
        </w:tc>
      </w:tr>
      <w:tr>
        <w:trPr>
          <w:trHeight w:val="171"/>
        </w:trPr>
        <w:tc>
          <w:tcPr>
            <w:tcW w:w="440" w:type="dxa"/>
            <w:vAlign w:val="bottom"/>
          </w:tcPr>
          <w:p>
            <w:pPr>
              <w:spacing w:after="0"/>
              <w:rPr>
                <w:sz w:val="14"/>
                <w:szCs w:val="14"/>
                <w:color w:val="auto"/>
              </w:rPr>
            </w:pPr>
          </w:p>
        </w:tc>
        <w:tc>
          <w:tcPr>
            <w:tcW w:w="2120" w:type="dxa"/>
            <w:vAlign w:val="bottom"/>
          </w:tcPr>
          <w:p>
            <w:pPr>
              <w:ind w:left="180"/>
              <w:spacing w:after="0"/>
              <w:rPr>
                <w:sz w:val="20"/>
                <w:szCs w:val="20"/>
                <w:color w:val="auto"/>
              </w:rPr>
            </w:pPr>
            <w:r>
              <w:rPr>
                <w:rFonts w:ascii="Courier New" w:cs="Courier New" w:eastAsia="Courier New" w:hAnsi="Courier New"/>
                <w:sz w:val="15"/>
                <w:szCs w:val="15"/>
                <w:color w:val="auto"/>
              </w:rPr>
              <w:t>Common Stock</w:t>
            </w:r>
          </w:p>
        </w:tc>
        <w:tc>
          <w:tcPr>
            <w:tcW w:w="5100" w:type="dxa"/>
            <w:vAlign w:val="bottom"/>
          </w:tcPr>
          <w:p>
            <w:pPr>
              <w:spacing w:after="0"/>
              <w:rPr>
                <w:sz w:val="14"/>
                <w:szCs w:val="14"/>
                <w:color w:val="auto"/>
              </w:rPr>
            </w:pP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33</w:t>
            </w:r>
          </w:p>
        </w:tc>
      </w:tr>
      <w:tr>
        <w:trPr>
          <w:trHeight w:val="683"/>
        </w:trPr>
        <w:tc>
          <w:tcPr>
            <w:tcW w:w="440" w:type="dxa"/>
            <w:vAlign w:val="bottom"/>
          </w:tcPr>
          <w:p>
            <w:pPr>
              <w:spacing w:after="0"/>
              <w:rPr>
                <w:sz w:val="24"/>
                <w:szCs w:val="24"/>
                <w:color w:val="auto"/>
              </w:rPr>
            </w:pPr>
          </w:p>
        </w:tc>
        <w:tc>
          <w:tcPr>
            <w:tcW w:w="72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With the exception of the aforementioned information, the 1994 Annual</w:t>
            </w:r>
          </w:p>
        </w:tc>
        <w:tc>
          <w:tcPr>
            <w:tcW w:w="1200" w:type="dxa"/>
            <w:vAlign w:val="bottom"/>
          </w:tcPr>
          <w:p>
            <w:pPr>
              <w:spacing w:after="0"/>
              <w:rPr>
                <w:sz w:val="24"/>
                <w:szCs w:val="24"/>
                <w:color w:val="auto"/>
              </w:rPr>
            </w:pPr>
          </w:p>
        </w:tc>
      </w:tr>
      <w:tr>
        <w:trPr>
          <w:trHeight w:val="171"/>
        </w:trPr>
        <w:tc>
          <w:tcPr>
            <w:tcW w:w="440" w:type="dxa"/>
            <w:vAlign w:val="bottom"/>
          </w:tcPr>
          <w:p>
            <w:pPr>
              <w:spacing w:after="0"/>
              <w:rPr>
                <w:sz w:val="14"/>
                <w:szCs w:val="14"/>
                <w:color w:val="auto"/>
              </w:rPr>
            </w:pPr>
          </w:p>
        </w:tc>
        <w:tc>
          <w:tcPr>
            <w:tcW w:w="72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Report to Shareholders is not deemed filed as part of this report.</w:t>
            </w:r>
          </w:p>
        </w:tc>
        <w:tc>
          <w:tcPr>
            <w:tcW w:w="1200" w:type="dxa"/>
            <w:vAlign w:val="bottom"/>
          </w:tcPr>
          <w:p>
            <w:pPr>
              <w:spacing w:after="0"/>
              <w:rPr>
                <w:sz w:val="14"/>
                <w:szCs w:val="14"/>
                <w:color w:val="auto"/>
              </w:rPr>
            </w:pPr>
          </w:p>
        </w:tc>
      </w:tr>
      <w:tr>
        <w:trPr>
          <w:trHeight w:val="171"/>
        </w:trPr>
        <w:tc>
          <w:tcPr>
            <w:tcW w:w="440" w:type="dxa"/>
            <w:vAlign w:val="bottom"/>
          </w:tcPr>
          <w:p>
            <w:pPr>
              <w:spacing w:after="0"/>
              <w:rPr>
                <w:sz w:val="14"/>
                <w:szCs w:val="14"/>
                <w:color w:val="auto"/>
              </w:rPr>
            </w:pPr>
          </w:p>
        </w:tc>
        <w:tc>
          <w:tcPr>
            <w:tcW w:w="72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Financial statements other than those listed are omitted for the reason</w:t>
            </w:r>
          </w:p>
        </w:tc>
        <w:tc>
          <w:tcPr>
            <w:tcW w:w="1200" w:type="dxa"/>
            <w:vAlign w:val="bottom"/>
          </w:tcPr>
          <w:p>
            <w:pPr>
              <w:spacing w:after="0"/>
              <w:rPr>
                <w:sz w:val="14"/>
                <w:szCs w:val="14"/>
                <w:color w:val="auto"/>
              </w:rPr>
            </w:pPr>
          </w:p>
        </w:tc>
      </w:tr>
      <w:tr>
        <w:trPr>
          <w:trHeight w:val="171"/>
        </w:trPr>
        <w:tc>
          <w:tcPr>
            <w:tcW w:w="440" w:type="dxa"/>
            <w:vAlign w:val="bottom"/>
          </w:tcPr>
          <w:p>
            <w:pPr>
              <w:spacing w:after="0"/>
              <w:rPr>
                <w:sz w:val="14"/>
                <w:szCs w:val="14"/>
                <w:color w:val="auto"/>
              </w:rPr>
            </w:pPr>
          </w:p>
        </w:tc>
        <w:tc>
          <w:tcPr>
            <w:tcW w:w="72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that they are not required or are not applicable.  The following</w:t>
            </w:r>
          </w:p>
        </w:tc>
        <w:tc>
          <w:tcPr>
            <w:tcW w:w="1200" w:type="dxa"/>
            <w:vAlign w:val="bottom"/>
          </w:tcPr>
          <w:p>
            <w:pPr>
              <w:spacing w:after="0"/>
              <w:rPr>
                <w:sz w:val="14"/>
                <w:szCs w:val="14"/>
                <w:color w:val="auto"/>
              </w:rPr>
            </w:pPr>
          </w:p>
        </w:tc>
      </w:tr>
      <w:tr>
        <w:trPr>
          <w:trHeight w:val="171"/>
        </w:trPr>
        <w:tc>
          <w:tcPr>
            <w:tcW w:w="440" w:type="dxa"/>
            <w:vAlign w:val="bottom"/>
          </w:tcPr>
          <w:p>
            <w:pPr>
              <w:spacing w:after="0"/>
              <w:rPr>
                <w:sz w:val="14"/>
                <w:szCs w:val="14"/>
                <w:color w:val="auto"/>
              </w:rPr>
            </w:pPr>
          </w:p>
        </w:tc>
        <w:tc>
          <w:tcPr>
            <w:tcW w:w="72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additional financial data should be read in conjunction with the</w:t>
            </w:r>
          </w:p>
        </w:tc>
        <w:tc>
          <w:tcPr>
            <w:tcW w:w="1200" w:type="dxa"/>
            <w:vAlign w:val="bottom"/>
          </w:tcPr>
          <w:p>
            <w:pPr>
              <w:spacing w:after="0"/>
              <w:rPr>
                <w:sz w:val="14"/>
                <w:szCs w:val="14"/>
                <w:color w:val="auto"/>
              </w:rPr>
            </w:pPr>
          </w:p>
        </w:tc>
      </w:tr>
      <w:tr>
        <w:trPr>
          <w:trHeight w:val="171"/>
        </w:trPr>
        <w:tc>
          <w:tcPr>
            <w:tcW w:w="440" w:type="dxa"/>
            <w:vAlign w:val="bottom"/>
          </w:tcPr>
          <w:p>
            <w:pPr>
              <w:spacing w:after="0"/>
              <w:rPr>
                <w:sz w:val="14"/>
                <w:szCs w:val="14"/>
                <w:color w:val="auto"/>
              </w:rPr>
            </w:pPr>
          </w:p>
        </w:tc>
        <w:tc>
          <w:tcPr>
            <w:tcW w:w="72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consolidated financial statements in such 1994 Annual Report to</w:t>
            </w:r>
          </w:p>
        </w:tc>
        <w:tc>
          <w:tcPr>
            <w:tcW w:w="1200" w:type="dxa"/>
            <w:vAlign w:val="bottom"/>
          </w:tcPr>
          <w:p>
            <w:pPr>
              <w:spacing w:after="0"/>
              <w:rPr>
                <w:sz w:val="14"/>
                <w:szCs w:val="14"/>
                <w:color w:val="auto"/>
              </w:rPr>
            </w:pPr>
          </w:p>
        </w:tc>
      </w:tr>
      <w:tr>
        <w:trPr>
          <w:trHeight w:val="171"/>
        </w:trPr>
        <w:tc>
          <w:tcPr>
            <w:tcW w:w="440" w:type="dxa"/>
            <w:vAlign w:val="bottom"/>
          </w:tcPr>
          <w:p>
            <w:pPr>
              <w:spacing w:after="0"/>
              <w:rPr>
                <w:sz w:val="14"/>
                <w:szCs w:val="14"/>
                <w:color w:val="auto"/>
              </w:rPr>
            </w:pPr>
          </w:p>
        </w:tc>
        <w:tc>
          <w:tcPr>
            <w:tcW w:w="2120" w:type="dxa"/>
            <w:vAlign w:val="bottom"/>
          </w:tcPr>
          <w:p>
            <w:pPr>
              <w:ind w:left="180"/>
              <w:spacing w:after="0"/>
              <w:rPr>
                <w:sz w:val="20"/>
                <w:szCs w:val="20"/>
                <w:color w:val="auto"/>
              </w:rPr>
            </w:pPr>
            <w:r>
              <w:rPr>
                <w:rFonts w:ascii="Courier New" w:cs="Courier New" w:eastAsia="Courier New" w:hAnsi="Courier New"/>
                <w:sz w:val="15"/>
                <w:szCs w:val="15"/>
                <w:color w:val="auto"/>
              </w:rPr>
              <w:t>Shareholders.</w:t>
            </w:r>
          </w:p>
        </w:tc>
        <w:tc>
          <w:tcPr>
            <w:tcW w:w="51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512"/>
        </w:trPr>
        <w:tc>
          <w:tcPr>
            <w:tcW w:w="440" w:type="dxa"/>
            <w:vAlign w:val="bottom"/>
          </w:tcPr>
          <w:p>
            <w:pPr>
              <w:spacing w:after="0"/>
              <w:rPr>
                <w:sz w:val="20"/>
                <w:szCs w:val="20"/>
                <w:color w:val="auto"/>
              </w:rPr>
            </w:pPr>
            <w:r>
              <w:rPr>
                <w:rFonts w:ascii="Courier New" w:cs="Courier New" w:eastAsia="Courier New" w:hAnsi="Courier New"/>
                <w:sz w:val="15"/>
                <w:szCs w:val="15"/>
                <w:color w:val="auto"/>
              </w:rPr>
              <w:t>(a)</w:t>
            </w:r>
          </w:p>
        </w:tc>
        <w:tc>
          <w:tcPr>
            <w:tcW w:w="72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(2)  Financial Statement Schedule</w:t>
            </w:r>
          </w:p>
        </w:tc>
        <w:tc>
          <w:tcPr>
            <w:tcW w:w="1200" w:type="dxa"/>
            <w:vAlign w:val="bottom"/>
          </w:tcPr>
          <w:p>
            <w:pPr>
              <w:spacing w:after="0"/>
              <w:rPr>
                <w:sz w:val="24"/>
                <w:szCs w:val="24"/>
                <w:color w:val="auto"/>
              </w:rPr>
            </w:pPr>
          </w:p>
        </w:tc>
      </w:tr>
      <w:tr>
        <w:trPr>
          <w:trHeight w:val="683"/>
        </w:trPr>
        <w:tc>
          <w:tcPr>
            <w:tcW w:w="4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Page</w:t>
            </w:r>
          </w:p>
        </w:tc>
      </w:tr>
      <w:tr>
        <w:trPr>
          <w:trHeight w:val="171"/>
        </w:trPr>
        <w:tc>
          <w:tcPr>
            <w:tcW w:w="4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440" w:type="dxa"/>
            <w:vAlign w:val="bottom"/>
          </w:tcPr>
          <w:p>
            <w:pPr>
              <w:spacing w:after="0"/>
              <w:rPr>
                <w:sz w:val="24"/>
                <w:szCs w:val="24"/>
                <w:color w:val="auto"/>
              </w:rPr>
            </w:pPr>
          </w:p>
        </w:tc>
        <w:tc>
          <w:tcPr>
            <w:tcW w:w="72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Report of Independent Public Accountants on</w:t>
            </w:r>
          </w:p>
        </w:tc>
        <w:tc>
          <w:tcPr>
            <w:tcW w:w="1200" w:type="dxa"/>
            <w:vAlign w:val="bottom"/>
          </w:tcPr>
          <w:p>
            <w:pPr>
              <w:spacing w:after="0"/>
              <w:rPr>
                <w:sz w:val="24"/>
                <w:szCs w:val="24"/>
                <w:color w:val="auto"/>
              </w:rPr>
            </w:pPr>
          </w:p>
        </w:tc>
      </w:tr>
      <w:tr>
        <w:trPr>
          <w:trHeight w:val="171"/>
        </w:trPr>
        <w:tc>
          <w:tcPr>
            <w:tcW w:w="440" w:type="dxa"/>
            <w:vAlign w:val="bottom"/>
          </w:tcPr>
          <w:p>
            <w:pPr>
              <w:spacing w:after="0"/>
              <w:rPr>
                <w:sz w:val="14"/>
                <w:szCs w:val="14"/>
                <w:color w:val="auto"/>
              </w:rPr>
            </w:pPr>
          </w:p>
        </w:tc>
        <w:tc>
          <w:tcPr>
            <w:tcW w:w="72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Financial Statement Schedule</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341"/>
        </w:trPr>
        <w:tc>
          <w:tcPr>
            <w:tcW w:w="440" w:type="dxa"/>
            <w:vAlign w:val="bottom"/>
          </w:tcPr>
          <w:p>
            <w:pPr>
              <w:spacing w:after="0"/>
              <w:rPr>
                <w:sz w:val="24"/>
                <w:szCs w:val="24"/>
                <w:color w:val="auto"/>
              </w:rPr>
            </w:pPr>
          </w:p>
        </w:tc>
        <w:tc>
          <w:tcPr>
            <w:tcW w:w="72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For the years ended December 31, 1994, 1993 and 1992:</w:t>
            </w:r>
          </w:p>
        </w:tc>
        <w:tc>
          <w:tcPr>
            <w:tcW w:w="1200" w:type="dxa"/>
            <w:vAlign w:val="bottom"/>
          </w:tcPr>
          <w:p>
            <w:pPr>
              <w:spacing w:after="0"/>
              <w:rPr>
                <w:sz w:val="24"/>
                <w:szCs w:val="24"/>
                <w:color w:val="auto"/>
              </w:rPr>
            </w:pPr>
          </w:p>
        </w:tc>
      </w:tr>
      <w:tr>
        <w:trPr>
          <w:trHeight w:val="512"/>
        </w:trPr>
        <w:tc>
          <w:tcPr>
            <w:tcW w:w="440" w:type="dxa"/>
            <w:vAlign w:val="bottom"/>
          </w:tcPr>
          <w:p>
            <w:pPr>
              <w:spacing w:after="0"/>
              <w:rPr>
                <w:sz w:val="24"/>
                <w:szCs w:val="24"/>
                <w:color w:val="auto"/>
              </w:rPr>
            </w:pPr>
          </w:p>
        </w:tc>
        <w:tc>
          <w:tcPr>
            <w:tcW w:w="2120" w:type="dxa"/>
            <w:vAlign w:val="bottom"/>
          </w:tcPr>
          <w:p>
            <w:pPr>
              <w:ind w:left="180"/>
              <w:spacing w:after="0"/>
              <w:rPr>
                <w:sz w:val="20"/>
                <w:szCs w:val="20"/>
                <w:color w:val="auto"/>
              </w:rPr>
            </w:pPr>
            <w:r>
              <w:rPr>
                <w:rFonts w:ascii="Courier New" w:cs="Courier New" w:eastAsia="Courier New" w:hAnsi="Courier New"/>
                <w:sz w:val="15"/>
                <w:szCs w:val="15"/>
                <w:color w:val="auto"/>
              </w:rPr>
              <w:t>Schedule II</w:t>
            </w:r>
          </w:p>
        </w:tc>
        <w:tc>
          <w:tcPr>
            <w:tcW w:w="5100" w:type="dxa"/>
            <w:vAlign w:val="bottom"/>
          </w:tcPr>
          <w:p>
            <w:pPr>
              <w:ind w:left="440"/>
              <w:spacing w:after="0"/>
              <w:rPr>
                <w:sz w:val="20"/>
                <w:szCs w:val="20"/>
                <w:color w:val="auto"/>
              </w:rPr>
            </w:pPr>
            <w:r>
              <w:rPr>
                <w:rFonts w:ascii="Courier New" w:cs="Courier New" w:eastAsia="Courier New" w:hAnsi="Courier New"/>
                <w:sz w:val="15"/>
                <w:szCs w:val="15"/>
                <w:color w:val="auto"/>
              </w:rPr>
              <w:t>Valuation and Qualifying Accounts</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bl>
    <w:p>
      <w:pPr>
        <w:spacing w:after="0" w:line="200" w:lineRule="exact"/>
        <w:rPr>
          <w:sz w:val="20"/>
          <w:szCs w:val="20"/>
          <w:color w:val="auto"/>
        </w:rPr>
      </w:pPr>
    </w:p>
    <w:p>
      <w:pPr>
        <w:spacing w:after="0" w:line="315" w:lineRule="exact"/>
        <w:rPr>
          <w:sz w:val="20"/>
          <w:szCs w:val="20"/>
          <w:color w:val="auto"/>
        </w:rPr>
      </w:pPr>
    </w:p>
    <w:p>
      <w:pPr>
        <w:jc w:val="both"/>
        <w:ind w:left="629" w:right="3399"/>
        <w:spacing w:after="0" w:line="239" w:lineRule="auto"/>
        <w:rPr>
          <w:sz w:val="20"/>
          <w:szCs w:val="20"/>
          <w:color w:val="auto"/>
        </w:rPr>
      </w:pPr>
      <w:r>
        <w:rPr>
          <w:rFonts w:ascii="Courier New" w:cs="Courier New" w:eastAsia="Courier New" w:hAnsi="Courier New"/>
          <w:sz w:val="15"/>
          <w:szCs w:val="15"/>
          <w:color w:val="auto"/>
        </w:rPr>
        <w:t>Schedules other than those listed are omitted for the reason that they are not required or are not applicable, or the required information is shown in the financial statements or notes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28"/>
          </w:cols>
          <w:pgMar w:left="231" w:top="287" w:right="1440" w:bottom="1440" w:gutter="0" w:footer="0" w:header="0"/>
        </w:sectPr>
      </w:pPr>
    </w:p>
    <w:bookmarkStart w:id="11" w:name="page12"/>
    <w:bookmarkEnd w:id="11"/>
    <w:p>
      <w:pPr>
        <w:ind w:left="269"/>
        <w:spacing w:after="0"/>
        <w:rPr>
          <w:sz w:val="20"/>
          <w:szCs w:val="20"/>
          <w:color w:val="auto"/>
        </w:rPr>
      </w:pPr>
      <w:r>
        <w:rPr>
          <w:rFonts w:ascii="Courier New" w:cs="Courier New" w:eastAsia="Courier New" w:hAnsi="Courier New"/>
          <w:sz w:val="15"/>
          <w:szCs w:val="15"/>
          <w:color w:val="auto"/>
        </w:rPr>
        <w:t>12</w:t>
      </w:r>
    </w:p>
    <w:p>
      <w:pPr>
        <w:spacing w:after="0" w:line="171" w:lineRule="exact"/>
        <w:rPr>
          <w:sz w:val="20"/>
          <w:szCs w:val="20"/>
          <w:color w:val="auto"/>
        </w:rPr>
      </w:pPr>
    </w:p>
    <w:p>
      <w:pPr>
        <w:ind w:left="629" w:hanging="629"/>
        <w:spacing w:after="0"/>
        <w:tabs>
          <w:tab w:leader="none" w:pos="629"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(3)  Exhibits</w:t>
      </w:r>
    </w:p>
    <w:p>
      <w:pPr>
        <w:spacing w:after="0" w:line="171" w:lineRule="exact"/>
        <w:rPr>
          <w:sz w:val="20"/>
          <w:szCs w:val="20"/>
          <w:color w:val="auto"/>
        </w:rPr>
      </w:pPr>
    </w:p>
    <w:p>
      <w:pPr>
        <w:ind w:left="629"/>
        <w:spacing w:after="0"/>
        <w:rPr>
          <w:sz w:val="20"/>
          <w:szCs w:val="20"/>
          <w:color w:val="auto"/>
        </w:rPr>
      </w:pPr>
      <w:r>
        <w:rPr>
          <w:rFonts w:ascii="Courier New" w:cs="Courier New" w:eastAsia="Courier New" w:hAnsi="Courier New"/>
          <w:sz w:val="15"/>
          <w:szCs w:val="15"/>
          <w:color w:val="auto"/>
        </w:rPr>
        <w:t>(13) - 1994 Annual Report to Shareholders.</w:t>
      </w:r>
    </w:p>
    <w:p>
      <w:pPr>
        <w:spacing w:after="0" w:line="1" w:lineRule="exact"/>
        <w:rPr>
          <w:sz w:val="20"/>
          <w:szCs w:val="20"/>
          <w:color w:val="auto"/>
        </w:rPr>
      </w:pPr>
    </w:p>
    <w:p>
      <w:pPr>
        <w:ind w:left="1069" w:hanging="448"/>
        <w:spacing w:after="0"/>
        <w:tabs>
          <w:tab w:leader="none" w:pos="1069"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Consent of Independent Public Accountants.</w:t>
      </w:r>
    </w:p>
    <w:p>
      <w:pPr>
        <w:ind w:left="1069" w:hanging="448"/>
        <w:spacing w:after="0"/>
        <w:tabs>
          <w:tab w:leader="none" w:pos="1069"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Financial Data Schedule (for SEC use only).</w:t>
      </w:r>
    </w:p>
    <w:p>
      <w:pPr>
        <w:spacing w:after="0" w:line="174" w:lineRule="exact"/>
        <w:rPr>
          <w:sz w:val="20"/>
          <w:szCs w:val="20"/>
          <w:color w:val="auto"/>
        </w:rPr>
      </w:pPr>
    </w:p>
    <w:p>
      <w:pPr>
        <w:ind w:left="629" w:right="3299"/>
        <w:spacing w:after="0" w:line="239" w:lineRule="auto"/>
        <w:rPr>
          <w:sz w:val="20"/>
          <w:szCs w:val="20"/>
          <w:color w:val="auto"/>
        </w:rPr>
      </w:pPr>
      <w:r>
        <w:rPr>
          <w:rFonts w:ascii="Courier New" w:cs="Courier New" w:eastAsia="Courier New" w:hAnsi="Courier New"/>
          <w:sz w:val="15"/>
          <w:szCs w:val="15"/>
          <w:color w:val="auto"/>
        </w:rPr>
        <w:t>The remaining exhibits required by Item 7 of Regulation S-K are omitted for the reason that they are not applicable or have previously been filed.</w:t>
      </w:r>
    </w:p>
    <w:p>
      <w:pPr>
        <w:spacing w:after="0" w:line="172" w:lineRule="exact"/>
        <w:rPr>
          <w:sz w:val="20"/>
          <w:szCs w:val="20"/>
          <w:color w:val="auto"/>
        </w:rPr>
      </w:pPr>
    </w:p>
    <w:p>
      <w:pPr>
        <w:ind w:left="629" w:hanging="629"/>
        <w:spacing w:after="0"/>
        <w:tabs>
          <w:tab w:leader="none" w:pos="629"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74" w:lineRule="exact"/>
        <w:rPr>
          <w:rFonts w:ascii="Courier New" w:cs="Courier New" w:eastAsia="Courier New" w:hAnsi="Courier New"/>
          <w:sz w:val="15"/>
          <w:szCs w:val="15"/>
          <w:color w:val="auto"/>
        </w:rPr>
      </w:pPr>
    </w:p>
    <w:p>
      <w:pPr>
        <w:ind w:left="629" w:right="32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On October 5, 1994, a Form 8-K was filed under Item 5, Other Events, which reported that the company announced on September 29, 1994, that it will record a charge to earnings in the third quarter of $6.7 million, $4.1 million after taxes, or $.14 per share. This charge, recorded as an extraordinary item, is to write-off the book value of its intrastate operating rights. The non-cash charge resulted from the recent passage of the Trucking Industry Regulatory Reform Act of 1994 which deregulates the entry and rates for the intrastate operations of all transportation companies.</w:t>
      </w:r>
    </w:p>
    <w:p>
      <w:pPr>
        <w:spacing w:after="0" w:line="348" w:lineRule="exact"/>
        <w:rPr>
          <w:rFonts w:ascii="Courier New" w:cs="Courier New" w:eastAsia="Courier New" w:hAnsi="Courier New"/>
          <w:sz w:val="15"/>
          <w:szCs w:val="15"/>
          <w:color w:val="auto"/>
        </w:rPr>
      </w:pPr>
    </w:p>
    <w:p>
      <w:pPr>
        <w:ind w:left="629" w:right="329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On March 14, 1995, a Form 8-K was filed under Item 5, Other Events, which reported that the company announced on March 9, 1995, that based on business activity in January and February, it expects to report near break-even results for the first quarter ended March 31, 1995. Comparatively, the company had a net loss for the first quarter of 1994 of $6.4 million, or $.23 per share.</w:t>
      </w:r>
    </w:p>
    <w:p>
      <w:pPr>
        <w:spacing w:after="0" w:line="175" w:lineRule="exact"/>
        <w:rPr>
          <w:rFonts w:ascii="Courier New" w:cs="Courier New" w:eastAsia="Courier New" w:hAnsi="Courier New"/>
          <w:sz w:val="15"/>
          <w:szCs w:val="15"/>
          <w:color w:val="auto"/>
        </w:rPr>
      </w:pPr>
    </w:p>
    <w:p>
      <w:pPr>
        <w:ind w:left="629" w:right="32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Yellow Freight System, the company's largest subsidiary, is expected to report an improvement in profitability over the prior year's quarter due to the benefits of improved weather. However, this gain will be partially offset by some softening in seasonally adjusted business levels relative to fourth quarter trends. Yellow Freight also incurrd additional costs in the current quarter related to achieving new highs in on-time service performance.</w:t>
      </w:r>
    </w:p>
    <w:p>
      <w:pPr>
        <w:spacing w:after="0" w:line="175" w:lineRule="exact"/>
        <w:rPr>
          <w:rFonts w:ascii="Courier New" w:cs="Courier New" w:eastAsia="Courier New" w:hAnsi="Courier New"/>
          <w:sz w:val="15"/>
          <w:szCs w:val="15"/>
          <w:color w:val="auto"/>
        </w:rPr>
      </w:pPr>
    </w:p>
    <w:p>
      <w:pPr>
        <w:ind w:left="629" w:right="329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Preston Trucking Company expects to show significant improvement year-to-year with break-even operating results for the current quarter compared to an operating loss of $5.8 million in 1994's first quarter. Improved weather and benefits from its SuperRegion offering contributed to Preston Trucking's recovery.</w:t>
      </w:r>
    </w:p>
    <w:p>
      <w:pPr>
        <w:spacing w:after="0" w:line="345" w:lineRule="exact"/>
        <w:rPr>
          <w:rFonts w:ascii="Courier New" w:cs="Courier New" w:eastAsia="Courier New" w:hAnsi="Courier New"/>
          <w:sz w:val="15"/>
          <w:szCs w:val="15"/>
          <w:color w:val="auto"/>
        </w:rPr>
      </w:pPr>
    </w:p>
    <w:p>
      <w:pPr>
        <w:ind w:left="629" w:right="3299"/>
        <w:spacing w:after="0" w:line="259"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On March 21, 1995, a Form 8-K was filed under Item 5, Other Events, which reported that the company announced on March 14, 1995, that its Board of Directors voted not to renew the company's Share Purchase Rights Plan upon the Plan's scheduled expiration in 1996. The Plan is commonly known as a "Poison Pill" and was intended to deter abusive takeover tactics. The decision was made in response to general criticism of such plans from large institutional shareholders. Additionally, the takeover environment has changed significantly since the Plan was implemented in 1986 and the risk that the company could be the target of abusive takeover tactics is substantially reduced.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28"/>
          </w:cols>
          <w:pgMar w:left="231" w:top="287"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Report of Independent Public</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Accountants on Financial Statement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Shareholders of Yellow Corporation:</w:t>
      </w:r>
    </w:p>
    <w:p>
      <w:pPr>
        <w:spacing w:after="0" w:line="174" w:lineRule="exact"/>
        <w:rPr>
          <w:sz w:val="20"/>
          <w:szCs w:val="20"/>
          <w:color w:val="auto"/>
        </w:rPr>
      </w:pPr>
    </w:p>
    <w:p>
      <w:pPr>
        <w:ind w:right="3219" w:firstLine="621"/>
        <w:spacing w:after="0"/>
        <w:rPr>
          <w:sz w:val="20"/>
          <w:szCs w:val="20"/>
          <w:color w:val="auto"/>
        </w:rPr>
      </w:pPr>
      <w:r>
        <w:rPr>
          <w:rFonts w:ascii="Courier New" w:cs="Courier New" w:eastAsia="Courier New" w:hAnsi="Courier New"/>
          <w:sz w:val="15"/>
          <w:szCs w:val="15"/>
          <w:color w:val="auto"/>
        </w:rPr>
        <w:t>We have audited in accordance with generally accepted auditing standards, the consolidated financial statements included in Yellow Corporation and Subsidiaries' annual report to shareholders incorporated by reference in this Form 10-K, and have issued our report thereon dated January 31, 1995. Our audit was made for the purpose of forming an opinion on those statements taken as a whole. The schedule listed in Item 14(a)(2) is the responsibility of the company's management and is presented for the purpose of complying with the Securities and Exchange Commission's rules and is not part of the basic consolidated financial statements. This schedule has been subjected to the auditing procedures applied in the audit of the basic consolidated financial statements and, in our opinion, fairly states in all material respects the financial data required to be set forth therein in relation to the basic consolidated financial statements taken as a whole.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ARTHUR ANDERSEN LLP</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Kansas City, Missouri,</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31,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87" w:right="1440" w:bottom="1440" w:gutter="0" w:footer="0" w:header="0"/>
        </w:sectPr>
      </w:pPr>
    </w:p>
    <w:bookmarkStart w:id="13" w:name="page14"/>
    <w:bookmarkEnd w:id="13"/>
    <w:p>
      <w:pPr>
        <w:ind w:left="269"/>
        <w:spacing w:after="0"/>
        <w:rPr>
          <w:sz w:val="20"/>
          <w:szCs w:val="20"/>
          <w:color w:val="auto"/>
        </w:rPr>
      </w:pPr>
      <w:r>
        <w:rPr>
          <w:rFonts w:ascii="Courier New" w:cs="Courier New" w:eastAsia="Courier New" w:hAnsi="Courier New"/>
          <w:sz w:val="15"/>
          <w:szCs w:val="15"/>
          <w:color w:val="auto"/>
        </w:rPr>
        <w:t>14</w:t>
      </w:r>
    </w:p>
    <w:p>
      <w:pPr>
        <w:spacing w:after="0" w:line="171" w:lineRule="exact"/>
        <w:rPr>
          <w:sz w:val="20"/>
          <w:szCs w:val="20"/>
          <w:color w:val="auto"/>
        </w:rPr>
      </w:pPr>
    </w:p>
    <w:p>
      <w:pPr>
        <w:ind w:left="6129"/>
        <w:spacing w:after="0"/>
        <w:rPr>
          <w:sz w:val="20"/>
          <w:szCs w:val="20"/>
          <w:color w:val="auto"/>
        </w:rPr>
      </w:pPr>
      <w:r>
        <w:rPr>
          <w:rFonts w:ascii="Courier New" w:cs="Courier New" w:eastAsia="Courier New" w:hAnsi="Courier New"/>
          <w:sz w:val="15"/>
          <w:szCs w:val="15"/>
          <w:color w:val="auto"/>
        </w:rPr>
        <w:t>Schedule II</w:t>
      </w:r>
    </w:p>
    <w:p>
      <w:pPr>
        <w:spacing w:after="0" w:line="171" w:lineRule="exact"/>
        <w:rPr>
          <w:sz w:val="20"/>
          <w:szCs w:val="20"/>
          <w:color w:val="auto"/>
        </w:rPr>
      </w:pPr>
    </w:p>
    <w:p>
      <w:pPr>
        <w:jc w:val="center"/>
        <w:ind w:right="3551"/>
        <w:spacing w:after="0"/>
        <w:rPr>
          <w:sz w:val="20"/>
          <w:szCs w:val="20"/>
          <w:color w:val="auto"/>
        </w:rPr>
      </w:pPr>
      <w:r>
        <w:rPr>
          <w:rFonts w:ascii="Courier New" w:cs="Courier New" w:eastAsia="Courier New" w:hAnsi="Courier New"/>
          <w:sz w:val="15"/>
          <w:szCs w:val="15"/>
          <w:color w:val="auto"/>
        </w:rPr>
        <w:t>Yellow Corporation and Subsidiaries</w:t>
      </w:r>
    </w:p>
    <w:p>
      <w:pPr>
        <w:spacing w:after="0" w:line="1" w:lineRule="exact"/>
        <w:rPr>
          <w:sz w:val="20"/>
          <w:szCs w:val="20"/>
          <w:color w:val="auto"/>
        </w:rPr>
      </w:pPr>
    </w:p>
    <w:p>
      <w:pPr>
        <w:jc w:val="center"/>
        <w:ind w:right="3551"/>
        <w:spacing w:after="0"/>
        <w:rPr>
          <w:sz w:val="20"/>
          <w:szCs w:val="20"/>
          <w:color w:val="auto"/>
        </w:rPr>
      </w:pPr>
      <w:r>
        <w:rPr>
          <w:rFonts w:ascii="Courier New" w:cs="Courier New" w:eastAsia="Courier New" w:hAnsi="Courier New"/>
          <w:sz w:val="15"/>
          <w:szCs w:val="15"/>
          <w:color w:val="auto"/>
        </w:rPr>
        <w:t>Valuation and Qualifying Accounts</w:t>
      </w:r>
    </w:p>
    <w:p>
      <w:pPr>
        <w:spacing w:after="0" w:line="1" w:lineRule="exact"/>
        <w:rPr>
          <w:sz w:val="20"/>
          <w:szCs w:val="20"/>
          <w:color w:val="auto"/>
        </w:rPr>
      </w:pPr>
    </w:p>
    <w:p>
      <w:pPr>
        <w:jc w:val="center"/>
        <w:ind w:right="3451"/>
        <w:spacing w:after="0"/>
        <w:rPr>
          <w:sz w:val="20"/>
          <w:szCs w:val="20"/>
          <w:color w:val="auto"/>
        </w:rPr>
      </w:pPr>
      <w:r>
        <w:rPr>
          <w:rFonts w:ascii="Courier New" w:cs="Courier New" w:eastAsia="Courier New" w:hAnsi="Courier New"/>
          <w:sz w:val="15"/>
          <w:szCs w:val="15"/>
          <w:color w:val="auto"/>
        </w:rPr>
        <w:t>For the Years Ended December 31, 1994, 1993 and 1992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jc w:val="both"/>
        <w:ind w:left="9" w:right="180"/>
        <w:spacing w:after="0"/>
        <w:rPr>
          <w:sz w:val="20"/>
          <w:szCs w:val="20"/>
          <w:color w:val="auto"/>
        </w:rPr>
      </w:pPr>
      <w:r>
        <w:rPr>
          <w:rFonts w:ascii="Courier New" w:cs="Courier New" w:eastAsia="Courier New" w:hAnsi="Courier New"/>
          <w:sz w:val="15"/>
          <w:szCs w:val="15"/>
          <w:color w:val="auto"/>
        </w:rPr>
        <w:t>| COL. A | COL. B | COL. C | COL. D | COL. E | | | | | | |</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740" w:type="dxa"/>
            <w:vAlign w:val="bottom"/>
          </w:tcPr>
          <w:p>
            <w:pPr>
              <w:jc w:val="right"/>
              <w:ind w:right="591"/>
              <w:spacing w:after="0"/>
              <w:rPr>
                <w:sz w:val="20"/>
                <w:szCs w:val="20"/>
                <w:color w:val="auto"/>
              </w:rPr>
            </w:pPr>
            <w:r>
              <w:rPr>
                <w:rFonts w:ascii="Courier New" w:cs="Courier New" w:eastAsia="Courier New" w:hAnsi="Courier New"/>
                <w:sz w:val="14"/>
                <w:szCs w:val="14"/>
                <w:color w:val="auto"/>
                <w:w w:val="70"/>
              </w:rPr>
              <w:t>|</w:t>
            </w:r>
          </w:p>
        </w:tc>
        <w:tc>
          <w:tcPr>
            <w:tcW w:w="196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3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740" w:type="dxa"/>
            <w:vAlign w:val="bottom"/>
          </w:tcPr>
          <w:p>
            <w:pPr>
              <w:jc w:val="right"/>
              <w:ind w:right="591"/>
              <w:spacing w:after="0"/>
              <w:rPr>
                <w:sz w:val="20"/>
                <w:szCs w:val="20"/>
                <w:color w:val="auto"/>
              </w:rPr>
            </w:pPr>
            <w:r>
              <w:rPr>
                <w:rFonts w:ascii="Courier New" w:cs="Courier New" w:eastAsia="Courier New" w:hAnsi="Courier New"/>
                <w:sz w:val="14"/>
                <w:szCs w:val="14"/>
                <w:color w:val="auto"/>
                <w:w w:val="70"/>
              </w:rPr>
              <w:t>|</w:t>
            </w:r>
          </w:p>
        </w:tc>
        <w:tc>
          <w:tcPr>
            <w:tcW w:w="196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4"/>
                <w:szCs w:val="14"/>
                <w:color w:val="auto"/>
              </w:rPr>
            </w:pPr>
          </w:p>
        </w:tc>
        <w:tc>
          <w:tcPr>
            <w:tcW w:w="1860" w:type="dxa"/>
            <w:vAlign w:val="bottom"/>
            <w:gridSpan w:val="2"/>
          </w:tcPr>
          <w:p>
            <w:pPr>
              <w:spacing w:after="0"/>
              <w:rPr>
                <w:sz w:val="20"/>
                <w:szCs w:val="20"/>
                <w:color w:val="auto"/>
              </w:rPr>
            </w:pPr>
            <w:r>
              <w:rPr>
                <w:rFonts w:ascii="Courier New" w:cs="Courier New" w:eastAsia="Courier New" w:hAnsi="Courier New"/>
                <w:sz w:val="15"/>
                <w:szCs w:val="15"/>
                <w:color w:val="auto"/>
              </w:rPr>
              <w:t>Additions</w:t>
            </w:r>
          </w:p>
        </w:tc>
        <w:tc>
          <w:tcPr>
            <w:tcW w:w="2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3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740" w:type="dxa"/>
            <w:vAlign w:val="bottom"/>
          </w:tcPr>
          <w:p>
            <w:pPr>
              <w:jc w:val="right"/>
              <w:ind w:right="591"/>
              <w:spacing w:after="0"/>
              <w:rPr>
                <w:sz w:val="20"/>
                <w:szCs w:val="20"/>
                <w:color w:val="auto"/>
              </w:rPr>
            </w:pPr>
            <w:r>
              <w:rPr>
                <w:rFonts w:ascii="Courier New" w:cs="Courier New" w:eastAsia="Courier New" w:hAnsi="Courier New"/>
                <w:sz w:val="14"/>
                <w:szCs w:val="14"/>
                <w:color w:val="auto"/>
                <w:w w:val="70"/>
              </w:rPr>
              <w:t>|</w:t>
            </w:r>
          </w:p>
        </w:tc>
        <w:tc>
          <w:tcPr>
            <w:tcW w:w="196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6"/>
              </w:rPr>
              <w:t>---------------------</w:t>
            </w:r>
          </w:p>
        </w:tc>
        <w:tc>
          <w:tcPr>
            <w:tcW w:w="1380" w:type="dxa"/>
            <w:vAlign w:val="bottom"/>
          </w:tcPr>
          <w:p>
            <w:pPr>
              <w:spacing w:after="0"/>
              <w:rPr>
                <w:sz w:val="14"/>
                <w:szCs w:val="14"/>
                <w:color w:val="auto"/>
              </w:rPr>
            </w:pPr>
          </w:p>
        </w:tc>
        <w:tc>
          <w:tcPr>
            <w:tcW w:w="2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3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740" w:type="dxa"/>
            <w:vAlign w:val="bottom"/>
          </w:tcPr>
          <w:p>
            <w:pPr>
              <w:jc w:val="right"/>
              <w:ind w:right="591"/>
              <w:spacing w:after="0"/>
              <w:rPr>
                <w:sz w:val="20"/>
                <w:szCs w:val="20"/>
                <w:color w:val="auto"/>
              </w:rPr>
            </w:pPr>
            <w:r>
              <w:rPr>
                <w:rFonts w:ascii="Courier New" w:cs="Courier New" w:eastAsia="Courier New" w:hAnsi="Courier New"/>
                <w:sz w:val="14"/>
                <w:szCs w:val="14"/>
                <w:color w:val="auto"/>
                <w:w w:val="70"/>
              </w:rPr>
              <w:t>|</w:t>
            </w:r>
          </w:p>
        </w:tc>
        <w:tc>
          <w:tcPr>
            <w:tcW w:w="196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Balance,</w:t>
            </w:r>
          </w:p>
        </w:tc>
        <w:tc>
          <w:tcPr>
            <w:tcW w:w="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3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9"/>
              </w:rPr>
              <w:t>Balance,</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740" w:type="dxa"/>
            <w:vAlign w:val="bottom"/>
          </w:tcPr>
          <w:p>
            <w:pPr>
              <w:jc w:val="right"/>
              <w:ind w:right="591"/>
              <w:spacing w:after="0"/>
              <w:rPr>
                <w:sz w:val="20"/>
                <w:szCs w:val="20"/>
                <w:color w:val="auto"/>
              </w:rPr>
            </w:pPr>
            <w:r>
              <w:rPr>
                <w:rFonts w:ascii="Courier New" w:cs="Courier New" w:eastAsia="Courier New" w:hAnsi="Courier New"/>
                <w:sz w:val="14"/>
                <w:szCs w:val="14"/>
                <w:color w:val="auto"/>
                <w:w w:val="70"/>
              </w:rPr>
              <w:t>|</w:t>
            </w:r>
          </w:p>
        </w:tc>
        <w:tc>
          <w:tcPr>
            <w:tcW w:w="196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w:t>
            </w:r>
          </w:p>
        </w:tc>
        <w:tc>
          <w:tcPr>
            <w:tcW w:w="4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-2-</w:t>
            </w:r>
          </w:p>
        </w:tc>
        <w:tc>
          <w:tcPr>
            <w:tcW w:w="2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Deductions- |</w:t>
            </w:r>
          </w:p>
        </w:tc>
        <w:tc>
          <w:tcPr>
            <w:tcW w:w="106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740" w:type="dxa"/>
            <w:vAlign w:val="bottom"/>
          </w:tcPr>
          <w:p>
            <w:pPr>
              <w:jc w:val="right"/>
              <w:ind w:right="591"/>
              <w:spacing w:after="0"/>
              <w:rPr>
                <w:sz w:val="20"/>
                <w:szCs w:val="20"/>
                <w:color w:val="auto"/>
              </w:rPr>
            </w:pPr>
            <w:r>
              <w:rPr>
                <w:rFonts w:ascii="Courier New" w:cs="Courier New" w:eastAsia="Courier New" w:hAnsi="Courier New"/>
                <w:sz w:val="14"/>
                <w:szCs w:val="14"/>
                <w:color w:val="auto"/>
                <w:w w:val="70"/>
              </w:rPr>
              <w:t>|</w:t>
            </w:r>
          </w:p>
        </w:tc>
        <w:tc>
          <w:tcPr>
            <w:tcW w:w="1960" w:type="dxa"/>
            <w:vAlign w:val="bottom"/>
          </w:tcPr>
          <w:p>
            <w:pPr>
              <w:ind w:left="680"/>
              <w:spacing w:after="0"/>
              <w:rPr>
                <w:sz w:val="20"/>
                <w:szCs w:val="20"/>
                <w:color w:val="auto"/>
              </w:rPr>
            </w:pPr>
            <w:r>
              <w:rPr>
                <w:rFonts w:ascii="Courier New" w:cs="Courier New" w:eastAsia="Courier New" w:hAnsi="Courier New"/>
                <w:sz w:val="15"/>
                <w:szCs w:val="15"/>
                <w:color w:val="auto"/>
              </w:rPr>
              <w:t>Description</w:t>
            </w:r>
          </w:p>
        </w:tc>
        <w:tc>
          <w:tcPr>
            <w:tcW w:w="4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Beginning</w:t>
            </w:r>
          </w:p>
        </w:tc>
        <w:tc>
          <w:tcPr>
            <w:tcW w:w="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4"/>
                <w:szCs w:val="14"/>
                <w:color w:val="auto"/>
              </w:rPr>
            </w:pPr>
          </w:p>
        </w:tc>
        <w:tc>
          <w:tcPr>
            <w:tcW w:w="4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spacing w:after="0"/>
              <w:rPr>
                <w:sz w:val="14"/>
                <w:szCs w:val="14"/>
                <w:color w:val="auto"/>
              </w:rPr>
            </w:pPr>
          </w:p>
        </w:tc>
        <w:tc>
          <w:tcPr>
            <w:tcW w:w="2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3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9"/>
              </w:rPr>
              <w:t>End Of</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740" w:type="dxa"/>
            <w:vAlign w:val="bottom"/>
          </w:tcPr>
          <w:p>
            <w:pPr>
              <w:jc w:val="right"/>
              <w:ind w:right="591"/>
              <w:spacing w:after="0"/>
              <w:rPr>
                <w:sz w:val="20"/>
                <w:szCs w:val="20"/>
                <w:color w:val="auto"/>
              </w:rPr>
            </w:pPr>
            <w:r>
              <w:rPr>
                <w:rFonts w:ascii="Courier New" w:cs="Courier New" w:eastAsia="Courier New" w:hAnsi="Courier New"/>
                <w:sz w:val="14"/>
                <w:szCs w:val="14"/>
                <w:color w:val="auto"/>
                <w:w w:val="70"/>
              </w:rPr>
              <w:t>|</w:t>
            </w:r>
          </w:p>
        </w:tc>
        <w:tc>
          <w:tcPr>
            <w:tcW w:w="196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Charged To</w:t>
            </w:r>
          </w:p>
        </w:tc>
        <w:tc>
          <w:tcPr>
            <w:tcW w:w="4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rPr>
              <w:t>Charged To</w:t>
            </w:r>
          </w:p>
        </w:tc>
        <w:tc>
          <w:tcPr>
            <w:tcW w:w="2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Describe</w:t>
            </w:r>
          </w:p>
        </w:tc>
        <w:tc>
          <w:tcPr>
            <w:tcW w:w="3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740" w:type="dxa"/>
            <w:vAlign w:val="bottom"/>
          </w:tcPr>
          <w:p>
            <w:pPr>
              <w:jc w:val="right"/>
              <w:ind w:right="591"/>
              <w:spacing w:after="0"/>
              <w:rPr>
                <w:sz w:val="20"/>
                <w:szCs w:val="20"/>
                <w:color w:val="auto"/>
              </w:rPr>
            </w:pPr>
            <w:r>
              <w:rPr>
                <w:rFonts w:ascii="Courier New" w:cs="Courier New" w:eastAsia="Courier New" w:hAnsi="Courier New"/>
                <w:sz w:val="14"/>
                <w:szCs w:val="14"/>
                <w:color w:val="auto"/>
                <w:w w:val="70"/>
              </w:rPr>
              <w:t>|</w:t>
            </w:r>
          </w:p>
        </w:tc>
        <w:tc>
          <w:tcPr>
            <w:tcW w:w="196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Of Period</w:t>
            </w:r>
          </w:p>
        </w:tc>
        <w:tc>
          <w:tcPr>
            <w:tcW w:w="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4"/>
                <w:szCs w:val="14"/>
                <w:color w:val="auto"/>
              </w:rPr>
            </w:pPr>
          </w:p>
        </w:tc>
        <w:tc>
          <w:tcPr>
            <w:tcW w:w="4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spacing w:after="0"/>
              <w:rPr>
                <w:sz w:val="14"/>
                <w:szCs w:val="14"/>
                <w:color w:val="auto"/>
              </w:rPr>
            </w:pPr>
          </w:p>
        </w:tc>
        <w:tc>
          <w:tcPr>
            <w:tcW w:w="2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3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9"/>
              </w:rPr>
              <w:t>Period</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740" w:type="dxa"/>
            <w:vAlign w:val="bottom"/>
          </w:tcPr>
          <w:p>
            <w:pPr>
              <w:jc w:val="right"/>
              <w:ind w:right="591"/>
              <w:spacing w:after="0"/>
              <w:rPr>
                <w:sz w:val="20"/>
                <w:szCs w:val="20"/>
                <w:color w:val="auto"/>
              </w:rPr>
            </w:pPr>
            <w:r>
              <w:rPr>
                <w:rFonts w:ascii="Courier New" w:cs="Courier New" w:eastAsia="Courier New" w:hAnsi="Courier New"/>
                <w:sz w:val="14"/>
                <w:szCs w:val="14"/>
                <w:color w:val="auto"/>
                <w:w w:val="70"/>
              </w:rPr>
              <w:t>|</w:t>
            </w:r>
          </w:p>
        </w:tc>
        <w:tc>
          <w:tcPr>
            <w:tcW w:w="196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Costs And</w:t>
            </w:r>
          </w:p>
        </w:tc>
        <w:tc>
          <w:tcPr>
            <w:tcW w:w="18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 Other Accounts-</w:t>
            </w:r>
          </w:p>
        </w:tc>
        <w:tc>
          <w:tcPr>
            <w:tcW w:w="2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w:t>
            </w:r>
          </w:p>
        </w:tc>
        <w:tc>
          <w:tcPr>
            <w:tcW w:w="3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740" w:type="dxa"/>
            <w:vAlign w:val="bottom"/>
          </w:tcPr>
          <w:p>
            <w:pPr>
              <w:jc w:val="right"/>
              <w:ind w:right="591"/>
              <w:spacing w:after="0"/>
              <w:rPr>
                <w:sz w:val="20"/>
                <w:szCs w:val="20"/>
                <w:color w:val="auto"/>
              </w:rPr>
            </w:pPr>
            <w:r>
              <w:rPr>
                <w:rFonts w:ascii="Courier New" w:cs="Courier New" w:eastAsia="Courier New" w:hAnsi="Courier New"/>
                <w:sz w:val="14"/>
                <w:szCs w:val="14"/>
                <w:color w:val="auto"/>
                <w:w w:val="70"/>
              </w:rPr>
              <w:t>|</w:t>
            </w:r>
          </w:p>
        </w:tc>
        <w:tc>
          <w:tcPr>
            <w:tcW w:w="196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4"/>
                <w:szCs w:val="14"/>
                <w:color w:val="auto"/>
              </w:rPr>
            </w:pPr>
          </w:p>
        </w:tc>
        <w:tc>
          <w:tcPr>
            <w:tcW w:w="4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spacing w:after="0"/>
              <w:rPr>
                <w:sz w:val="14"/>
                <w:szCs w:val="14"/>
                <w:color w:val="auto"/>
              </w:rPr>
            </w:pPr>
          </w:p>
        </w:tc>
        <w:tc>
          <w:tcPr>
            <w:tcW w:w="2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3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740" w:type="dxa"/>
            <w:vAlign w:val="bottom"/>
          </w:tcPr>
          <w:p>
            <w:pPr>
              <w:jc w:val="right"/>
              <w:ind w:right="591"/>
              <w:spacing w:after="0"/>
              <w:rPr>
                <w:sz w:val="20"/>
                <w:szCs w:val="20"/>
                <w:color w:val="auto"/>
              </w:rPr>
            </w:pPr>
            <w:r>
              <w:rPr>
                <w:rFonts w:ascii="Courier New" w:cs="Courier New" w:eastAsia="Courier New" w:hAnsi="Courier New"/>
                <w:sz w:val="14"/>
                <w:szCs w:val="14"/>
                <w:color w:val="auto"/>
                <w:w w:val="70"/>
              </w:rPr>
              <w:t>|</w:t>
            </w:r>
          </w:p>
        </w:tc>
        <w:tc>
          <w:tcPr>
            <w:tcW w:w="196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Expenses</w:t>
            </w:r>
          </w:p>
        </w:tc>
        <w:tc>
          <w:tcPr>
            <w:tcW w:w="4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rPr>
              <w:t>Describe</w:t>
            </w:r>
          </w:p>
        </w:tc>
        <w:tc>
          <w:tcPr>
            <w:tcW w:w="2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3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740" w:type="dxa"/>
            <w:vAlign w:val="bottom"/>
          </w:tcPr>
          <w:p>
            <w:pPr>
              <w:jc w:val="right"/>
              <w:ind w:right="591"/>
              <w:spacing w:after="0"/>
              <w:rPr>
                <w:sz w:val="20"/>
                <w:szCs w:val="20"/>
                <w:color w:val="auto"/>
              </w:rPr>
            </w:pPr>
            <w:r>
              <w:rPr>
                <w:rFonts w:ascii="Courier New" w:cs="Courier New" w:eastAsia="Courier New" w:hAnsi="Courier New"/>
                <w:sz w:val="14"/>
                <w:szCs w:val="14"/>
                <w:color w:val="auto"/>
                <w:w w:val="70"/>
              </w:rPr>
              <w:t>|</w:t>
            </w:r>
          </w:p>
        </w:tc>
        <w:tc>
          <w:tcPr>
            <w:tcW w:w="196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4"/>
                <w:szCs w:val="14"/>
                <w:color w:val="auto"/>
              </w:rPr>
            </w:pPr>
          </w:p>
        </w:tc>
        <w:tc>
          <w:tcPr>
            <w:tcW w:w="4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spacing w:after="0"/>
              <w:rPr>
                <w:sz w:val="14"/>
                <w:szCs w:val="14"/>
                <w:color w:val="auto"/>
              </w:rPr>
            </w:pPr>
          </w:p>
        </w:tc>
        <w:tc>
          <w:tcPr>
            <w:tcW w:w="2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3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 w:lineRule="exact"/>
        <w:rPr>
          <w:sz w:val="20"/>
          <w:szCs w:val="20"/>
          <w:color w:val="auto"/>
        </w:rPr>
      </w:pPr>
    </w:p>
    <w:p>
      <w:pPr>
        <w:ind w:left="169" w:hanging="169"/>
        <w:spacing w:after="0"/>
        <w:tabs>
          <w:tab w:leader="none" w:pos="169"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0" w:lineRule="exact"/>
        <w:rPr>
          <w:rFonts w:ascii="Courier New" w:cs="Courier New" w:eastAsia="Courier New" w:hAnsi="Courier New"/>
          <w:sz w:val="14"/>
          <w:szCs w:val="14"/>
          <w:color w:val="auto"/>
        </w:rPr>
      </w:pPr>
    </w:p>
    <w:p>
      <w:pPr>
        <w:ind w:left="602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(In Thousands)</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Year ended December 31, 1994:</w:t>
      </w:r>
    </w:p>
    <w:p>
      <w:pPr>
        <w:spacing w:after="0" w:line="1" w:lineRule="exact"/>
        <w:rPr>
          <w:sz w:val="20"/>
          <w:szCs w:val="20"/>
          <w:color w:val="auto"/>
        </w:rPr>
      </w:pPr>
    </w:p>
    <w:p>
      <w:pPr>
        <w:ind w:left="169" w:hanging="169"/>
        <w:spacing w:after="0"/>
        <w:tabs>
          <w:tab w:leader="none" w:pos="169"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jc w:val="center"/>
        <w:ind w:left="89" w:right="8000" w:hanging="8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Deducted from asset account - Allowance for uncollectible</w:t>
      </w:r>
    </w:p>
    <w:p>
      <w:pPr>
        <w:sectPr>
          <w:pgSz w:w="11900" w:h="16838" w:orient="portrait"/>
          <w:cols w:equalWidth="0" w:num="1">
            <w:col w:w="10569"/>
          </w:cols>
          <w:pgMar w:left="231" w:top="287" w:right="1099" w:bottom="1440" w:gutter="0" w:footer="0" w:header="0"/>
        </w:sectPr>
      </w:pPr>
    </w:p>
    <w:p>
      <w:pPr>
        <w:ind w:left="89"/>
        <w:spacing w:after="0"/>
        <w:rPr>
          <w:sz w:val="20"/>
          <w:szCs w:val="20"/>
          <w:color w:val="auto"/>
        </w:rPr>
      </w:pPr>
      <w:r>
        <w:rPr>
          <w:rFonts w:ascii="Courier New" w:cs="Courier New" w:eastAsia="Courier New" w:hAnsi="Courier New"/>
          <w:sz w:val="14"/>
          <w:szCs w:val="14"/>
          <w:color w:val="auto"/>
        </w:rPr>
        <w:t>accounts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$10,674</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$9,375</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36" w:lineRule="auto"/>
        <w:tabs>
          <w:tab w:leader="none" w:pos="4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36" w:lineRule="auto"/>
        <w:rPr>
          <w:sz w:val="20"/>
          <w:szCs w:val="20"/>
          <w:color w:val="auto"/>
        </w:rPr>
      </w:pPr>
      <w:r>
        <w:rPr>
          <w:rFonts w:ascii="Courier New" w:cs="Courier New" w:eastAsia="Courier New" w:hAnsi="Courier New"/>
          <w:sz w:val="15"/>
          <w:szCs w:val="15"/>
          <w:color w:val="auto"/>
        </w:rPr>
        <w:t>$6,967</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$13,082</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8" w:lineRule="exact"/>
        <w:rPr>
          <w:sz w:val="20"/>
          <w:szCs w:val="20"/>
          <w:color w:val="auto"/>
        </w:rPr>
      </w:pPr>
    </w:p>
    <w:p>
      <w:pPr>
        <w:sectPr>
          <w:pgSz w:w="11900" w:h="16838" w:orient="portrait"/>
          <w:cols w:equalWidth="0" w:num="6">
            <w:col w:w="2649" w:space="720"/>
            <w:col w:w="800" w:space="720"/>
            <w:col w:w="780" w:space="720"/>
            <w:col w:w="540" w:space="700"/>
            <w:col w:w="700" w:space="720"/>
            <w:col w:w="1520"/>
          </w:cols>
          <w:pgMar w:left="231" w:top="287" w:right="1099" w:bottom="1440" w:gutter="0" w:footer="0" w:header="0"/>
          <w:type w:val="continuous"/>
        </w:sectPr>
      </w:pPr>
    </w:p>
    <w:p>
      <w:pPr>
        <w:spacing w:after="0" w:line="200" w:lineRule="exact"/>
        <w:rPr>
          <w:sz w:val="20"/>
          <w:szCs w:val="20"/>
          <w:color w:val="auto"/>
        </w:rPr>
      </w:pPr>
    </w:p>
    <w:p>
      <w:pPr>
        <w:spacing w:after="0" w:line="28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Year ended December 31, 1993:</w:t>
      </w:r>
    </w:p>
    <w:p>
      <w:pPr>
        <w:spacing w:after="0" w:line="1" w:lineRule="exact"/>
        <w:rPr>
          <w:sz w:val="20"/>
          <w:szCs w:val="20"/>
          <w:color w:val="auto"/>
        </w:rPr>
      </w:pPr>
    </w:p>
    <w:p>
      <w:pPr>
        <w:ind w:left="169" w:hanging="169"/>
        <w:spacing w:after="0"/>
        <w:tabs>
          <w:tab w:leader="none" w:pos="169"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jc w:val="right"/>
        <w:ind w:left="89" w:right="8080" w:hanging="8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Deducted from asset account-Allowance for uncollectible</w:t>
      </w:r>
    </w:p>
    <w:tbl>
      <w:tblPr>
        <w:tblLayout w:type="fixed"/>
        <w:tblInd w:w="89" w:type="dxa"/>
        <w:tblCellMar>
          <w:top w:w="0" w:type="dxa"/>
          <w:left w:w="0" w:type="dxa"/>
          <w:bottom w:w="0" w:type="dxa"/>
          <w:right w:w="0" w:type="dxa"/>
        </w:tblCellMar>
      </w:tblPr>
      <w:tr>
        <w:trPr>
          <w:trHeight w:val="168"/>
        </w:trPr>
        <w:tc>
          <w:tcPr>
            <w:tcW w:w="2000" w:type="dxa"/>
            <w:vAlign w:val="bottom"/>
          </w:tcPr>
          <w:p>
            <w:pPr>
              <w:spacing w:after="0" w:line="168" w:lineRule="exact"/>
              <w:rPr>
                <w:sz w:val="20"/>
                <w:szCs w:val="20"/>
                <w:color w:val="auto"/>
              </w:rPr>
            </w:pPr>
            <w:r>
              <w:rPr>
                <w:rFonts w:ascii="Courier New" w:cs="Courier New" w:eastAsia="Courier New" w:hAnsi="Courier New"/>
                <w:sz w:val="15"/>
                <w:szCs w:val="15"/>
                <w:color w:val="auto"/>
              </w:rPr>
              <w:t>accounts</w:t>
            </w:r>
          </w:p>
        </w:tc>
        <w:tc>
          <w:tcPr>
            <w:tcW w:w="2340" w:type="dxa"/>
            <w:vAlign w:val="bottom"/>
          </w:tcPr>
          <w:p>
            <w:pPr>
              <w:jc w:val="right"/>
              <w:ind w:right="366"/>
              <w:spacing w:after="0" w:line="168" w:lineRule="exact"/>
              <w:rPr>
                <w:sz w:val="20"/>
                <w:szCs w:val="20"/>
                <w:color w:val="auto"/>
              </w:rPr>
            </w:pPr>
            <w:r>
              <w:rPr>
                <w:rFonts w:ascii="Courier New" w:cs="Courier New" w:eastAsia="Courier New" w:hAnsi="Courier New"/>
                <w:sz w:val="15"/>
                <w:szCs w:val="15"/>
                <w:color w:val="auto"/>
              </w:rPr>
              <w:t>$ 8,558</w:t>
            </w:r>
          </w:p>
        </w:tc>
        <w:tc>
          <w:tcPr>
            <w:tcW w:w="1480" w:type="dxa"/>
            <w:vAlign w:val="bottom"/>
          </w:tcPr>
          <w:p>
            <w:pPr>
              <w:jc w:val="right"/>
              <w:ind w:right="426"/>
              <w:spacing w:after="0" w:line="168" w:lineRule="exact"/>
              <w:rPr>
                <w:sz w:val="20"/>
                <w:szCs w:val="20"/>
                <w:color w:val="auto"/>
              </w:rPr>
            </w:pPr>
            <w:r>
              <w:rPr>
                <w:rFonts w:ascii="Courier New" w:cs="Courier New" w:eastAsia="Courier New" w:hAnsi="Courier New"/>
                <w:sz w:val="15"/>
                <w:szCs w:val="15"/>
                <w:color w:val="auto"/>
              </w:rPr>
              <w:t>$8,521</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$2,504</w:t>
            </w:r>
          </w:p>
        </w:tc>
        <w:tc>
          <w:tcPr>
            <w:tcW w:w="480" w:type="dxa"/>
            <w:vAlign w:val="bottom"/>
          </w:tcPr>
          <w:p>
            <w:pPr>
              <w:jc w:val="right"/>
              <w:ind w:right="106"/>
              <w:spacing w:after="0" w:line="168" w:lineRule="exact"/>
              <w:rPr>
                <w:sz w:val="20"/>
                <w:szCs w:val="20"/>
                <w:color w:val="auto"/>
              </w:rPr>
            </w:pPr>
            <w:r>
              <w:rPr>
                <w:rFonts w:ascii="Courier New" w:cs="Courier New" w:eastAsia="Courier New" w:hAnsi="Courier New"/>
                <w:sz w:val="15"/>
                <w:szCs w:val="15"/>
                <w:color w:val="auto"/>
              </w:rPr>
              <w:t>(1)</w:t>
            </w:r>
          </w:p>
        </w:tc>
        <w:tc>
          <w:tcPr>
            <w:tcW w:w="1160" w:type="dxa"/>
            <w:vAlign w:val="bottom"/>
          </w:tcPr>
          <w:p>
            <w:pPr>
              <w:jc w:val="right"/>
              <w:ind w:right="366"/>
              <w:spacing w:after="0" w:line="168" w:lineRule="exact"/>
              <w:rPr>
                <w:sz w:val="20"/>
                <w:szCs w:val="20"/>
                <w:color w:val="auto"/>
              </w:rPr>
            </w:pPr>
            <w:r>
              <w:rPr>
                <w:rFonts w:ascii="Courier New" w:cs="Courier New" w:eastAsia="Courier New" w:hAnsi="Courier New"/>
                <w:sz w:val="15"/>
                <w:szCs w:val="15"/>
                <w:color w:val="auto"/>
              </w:rPr>
              <w:t>$8,909</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$10,674</w:t>
            </w:r>
          </w:p>
        </w:tc>
      </w:tr>
      <w:tr>
        <w:trPr>
          <w:trHeight w:val="171"/>
        </w:trPr>
        <w:tc>
          <w:tcPr>
            <w:tcW w:w="2000" w:type="dxa"/>
            <w:vAlign w:val="bottom"/>
          </w:tcPr>
          <w:p>
            <w:pPr>
              <w:spacing w:after="0"/>
              <w:rPr>
                <w:sz w:val="14"/>
                <w:szCs w:val="14"/>
                <w:color w:val="auto"/>
              </w:rPr>
            </w:pPr>
          </w:p>
        </w:tc>
        <w:tc>
          <w:tcPr>
            <w:tcW w:w="23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Year ended December 31, 1992:</w:t>
      </w:r>
    </w:p>
    <w:p>
      <w:pPr>
        <w:spacing w:after="0" w:line="1" w:lineRule="exact"/>
        <w:rPr>
          <w:sz w:val="20"/>
          <w:szCs w:val="20"/>
          <w:color w:val="auto"/>
        </w:rPr>
      </w:pPr>
    </w:p>
    <w:p>
      <w:pPr>
        <w:ind w:left="169" w:hanging="169"/>
        <w:spacing w:after="0"/>
        <w:tabs>
          <w:tab w:leader="none" w:pos="169"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jc w:val="right"/>
        <w:ind w:left="89" w:right="8080" w:hanging="8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Deducted from asset account-Allowance for uncollectible</w:t>
      </w:r>
    </w:p>
    <w:p>
      <w:pPr>
        <w:sectPr>
          <w:pgSz w:w="11900" w:h="16838" w:orient="portrait"/>
          <w:cols w:equalWidth="0" w:num="1">
            <w:col w:w="10569"/>
          </w:cols>
          <w:pgMar w:left="231" w:top="287" w:right="1099" w:bottom="1440" w:gutter="0" w:footer="0" w:header="0"/>
          <w:type w:val="continuous"/>
        </w:sectPr>
      </w:pPr>
    </w:p>
    <w:p>
      <w:pPr>
        <w:ind w:left="89"/>
        <w:spacing w:after="0"/>
        <w:rPr>
          <w:sz w:val="20"/>
          <w:szCs w:val="20"/>
          <w:color w:val="auto"/>
        </w:rPr>
      </w:pPr>
      <w:r>
        <w:rPr>
          <w:rFonts w:ascii="Courier New" w:cs="Courier New" w:eastAsia="Courier New" w:hAnsi="Courier New"/>
          <w:sz w:val="14"/>
          <w:szCs w:val="14"/>
          <w:color w:val="auto"/>
        </w:rPr>
        <w:t>accounts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$ 8,299</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$6,149</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36" w:lineRule="auto"/>
        <w:tabs>
          <w:tab w:leader="none" w:pos="4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$5,890</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$ 8,558</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8" w:lineRule="exact"/>
        <w:rPr>
          <w:sz w:val="20"/>
          <w:szCs w:val="20"/>
          <w:color w:val="auto"/>
        </w:rPr>
      </w:pPr>
    </w:p>
    <w:p>
      <w:pPr>
        <w:sectPr>
          <w:pgSz w:w="11900" w:h="16838" w:orient="portrait"/>
          <w:cols w:equalWidth="0" w:num="6">
            <w:col w:w="2649" w:space="720"/>
            <w:col w:w="800" w:space="720"/>
            <w:col w:w="780" w:space="720"/>
            <w:col w:w="620" w:space="720"/>
            <w:col w:w="600" w:space="720"/>
            <w:col w:w="1520"/>
          </w:cols>
          <w:pgMar w:left="231" w:top="287" w:right="10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49" w:right="3820" w:hanging="449"/>
        <w:spacing w:after="0" w:line="238" w:lineRule="auto"/>
        <w:tabs>
          <w:tab w:leader="none" w:pos="449"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 from Preston Corporation and subsidiaries acquired in February 1993.</w:t>
      </w:r>
    </w:p>
    <w:p>
      <w:pPr>
        <w:spacing w:after="0" w:line="1" w:lineRule="exact"/>
        <w:rPr>
          <w:rFonts w:ascii="Courier New" w:cs="Courier New" w:eastAsia="Courier New" w:hAnsi="Courier New"/>
          <w:sz w:val="15"/>
          <w:szCs w:val="15"/>
          <w:color w:val="auto"/>
        </w:rPr>
      </w:pPr>
    </w:p>
    <w:p>
      <w:pPr>
        <w:ind w:left="449" w:hanging="449"/>
        <w:spacing w:after="0"/>
        <w:tabs>
          <w:tab w:leader="none" w:pos="449"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Primarily uncollectible accounts written off - net of recoveries.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569"/>
          </w:cols>
          <w:pgMar w:left="231" w:top="287" w:right="1099" w:bottom="1440" w:gutter="0" w:footer="0" w:header="0"/>
          <w:type w:val="continuous"/>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15</w:t>
      </w:r>
    </w:p>
    <w:p>
      <w:pPr>
        <w:spacing w:after="0" w:line="17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Signatures</w:t>
      </w:r>
    </w:p>
    <w:p>
      <w:pPr>
        <w:spacing w:after="0" w:line="174"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Yellow Corporation</w:t>
      </w:r>
    </w:p>
    <w:p>
      <w:pPr>
        <w:sectPr>
          <w:pgSz w:w="11900" w:h="16838" w:orient="portrait"/>
          <w:cols w:equalWidth="0" w:num="1">
            <w:col w:w="10219"/>
          </w:cols>
          <w:pgMar w:left="240" w:top="28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24, 1995</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 George E. Powell III</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George E. Powell III</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Chief Executive Officer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Director</w:t>
      </w:r>
    </w:p>
    <w:p>
      <w:pPr>
        <w:spacing w:after="0" w:line="200" w:lineRule="exact"/>
        <w:rPr>
          <w:sz w:val="20"/>
          <w:szCs w:val="20"/>
          <w:color w:val="auto"/>
        </w:rPr>
      </w:pPr>
    </w:p>
    <w:p>
      <w:pPr>
        <w:sectPr>
          <w:pgSz w:w="11900" w:h="16838" w:orient="portrait"/>
          <w:cols w:equalWidth="0" w:num="3">
            <w:col w:w="2820" w:space="720"/>
            <w:col w:w="260" w:space="280"/>
            <w:col w:w="6139"/>
          </w:cols>
          <w:pgMar w:left="240" w:top="287" w:right="1440" w:bottom="1440" w:gutter="0" w:footer="0" w:header="0"/>
          <w:type w:val="continuous"/>
        </w:sectPr>
      </w:pPr>
    </w:p>
    <w:p>
      <w:pPr>
        <w:spacing w:after="0" w:line="145" w:lineRule="exact"/>
        <w:rPr>
          <w:sz w:val="20"/>
          <w:szCs w:val="20"/>
          <w:color w:val="auto"/>
        </w:rPr>
      </w:pPr>
    </w:p>
    <w:p>
      <w:pPr>
        <w:ind w:right="3759"/>
        <w:spacing w:after="0" w:line="239" w:lineRule="auto"/>
        <w:rPr>
          <w:sz w:val="20"/>
          <w:szCs w:val="20"/>
          <w:color w:val="auto"/>
        </w:rPr>
      </w:pPr>
      <w:r>
        <w:rPr>
          <w:rFonts w:ascii="Courier New" w:cs="Courier New" w:eastAsia="Courier New" w:hAnsi="Courier New"/>
          <w:sz w:val="15"/>
          <w:szCs w:val="15"/>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0219"/>
          </w:cols>
          <w:pgMar w:left="240" w:top="28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 H. A. Trucksess, III</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H. A. Trucksess, III</w:t>
      </w:r>
    </w:p>
    <w:p>
      <w:pPr>
        <w:spacing w:after="0" w:line="34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 Phillip A. Spangler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Phillip A. Spangler</w:t>
      </w:r>
    </w:p>
    <w:p>
      <w:pPr>
        <w:spacing w:after="0" w:line="200" w:lineRule="exact"/>
        <w:rPr>
          <w:sz w:val="20"/>
          <w:szCs w:val="20"/>
          <w:color w:val="auto"/>
        </w:rPr>
      </w:pPr>
    </w:p>
    <w:p>
      <w:pPr>
        <w:spacing w:after="0" w:line="31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 George E. Powell, Jr.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George E. Powell, Jr.</w:t>
      </w:r>
    </w:p>
    <w:p>
      <w:pPr>
        <w:spacing w:after="0" w:line="200" w:lineRule="exact"/>
        <w:rPr>
          <w:sz w:val="20"/>
          <w:szCs w:val="20"/>
          <w:color w:val="auto"/>
        </w:rPr>
      </w:pPr>
    </w:p>
    <w:p>
      <w:pPr>
        <w:spacing w:after="0" w:line="31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 M. Reid Armstrong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M. Reid Armstrong</w:t>
      </w:r>
    </w:p>
    <w:p>
      <w:pPr>
        <w:spacing w:after="0" w:line="200" w:lineRule="exact"/>
        <w:rPr>
          <w:sz w:val="20"/>
          <w:szCs w:val="20"/>
          <w:color w:val="auto"/>
        </w:rPr>
      </w:pPr>
    </w:p>
    <w:p>
      <w:pPr>
        <w:spacing w:after="0" w:line="31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 David H. Hughes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David H. Hughes</w:t>
      </w:r>
    </w:p>
    <w:p>
      <w:pPr>
        <w:spacing w:after="0" w:line="200" w:lineRule="exact"/>
        <w:rPr>
          <w:sz w:val="20"/>
          <w:szCs w:val="20"/>
          <w:color w:val="auto"/>
        </w:rPr>
      </w:pPr>
    </w:p>
    <w:p>
      <w:pPr>
        <w:spacing w:after="0" w:line="31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 John C. McKelvey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Senior Vice President -</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Finance and Chief Financial</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Officer</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Chairman of the Board</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of Directors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24, 1995</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24,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24,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24,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24,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24, 1995</w:t>
      </w:r>
    </w:p>
    <w:p>
      <w:pPr>
        <w:spacing w:after="0" w:line="11" w:lineRule="exact"/>
        <w:rPr>
          <w:sz w:val="20"/>
          <w:szCs w:val="20"/>
          <w:color w:val="auto"/>
        </w:rPr>
      </w:pPr>
    </w:p>
    <w:p>
      <w:pPr>
        <w:sectPr>
          <w:pgSz w:w="11900" w:h="16838" w:orient="portrait"/>
          <w:cols w:equalWidth="0" w:num="3">
            <w:col w:w="2740" w:space="620"/>
            <w:col w:w="4080" w:space="720"/>
            <w:col w:w="2059"/>
          </w:cols>
          <w:pgMar w:left="240" w:top="2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John C. McKelvey</w:t>
      </w:r>
    </w:p>
    <w:p>
      <w:pPr>
        <w:sectPr>
          <w:pgSz w:w="11900" w:h="16838" w:orient="portrait"/>
          <w:cols w:equalWidth="0" w:num="1">
            <w:col w:w="10219"/>
          </w:cols>
          <w:pgMar w:left="240" w:top="28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15</w:t>
      </w:r>
    </w:p>
    <w:p>
      <w:pPr>
        <w:sectPr>
          <w:pgSz w:w="11900" w:h="16838" w:orient="portrait"/>
          <w:cols w:equalWidth="0" w:num="1">
            <w:col w:w="10219"/>
          </w:cols>
          <w:pgMar w:left="240" w:top="287" w:right="1440" w:bottom="1440" w:gutter="0" w:footer="0" w:header="0"/>
          <w:type w:val="continuous"/>
        </w:sectPr>
      </w:pPr>
    </w:p>
    <w:bookmarkStart w:id="15" w:name="page16"/>
    <w:bookmarkEnd w:id="15"/>
    <w:p>
      <w:pPr>
        <w:spacing w:after="0"/>
        <w:rPr>
          <w:sz w:val="20"/>
          <w:szCs w:val="20"/>
          <w:color w:val="auto"/>
        </w:rPr>
      </w:pPr>
      <w:r>
        <w:rPr>
          <w:rFonts w:ascii="Courier New" w:cs="Courier New" w:eastAsia="Courier New" w:hAnsi="Courier New"/>
          <w:sz w:val="15"/>
          <w:szCs w:val="15"/>
          <w:color w:val="auto"/>
        </w:rPr>
        <w:t>1</w:t>
      </w:r>
    </w:p>
    <w:p>
      <w:pPr>
        <w:spacing w:after="0" w:line="17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Exhibit (13)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Yellow Corporation</w:t>
      </w:r>
    </w:p>
    <w:p>
      <w:pPr>
        <w:spacing w:after="0" w:line="342"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1994 Annual Report</w:t>
      </w:r>
    </w:p>
    <w:p>
      <w:pPr>
        <w:spacing w:after="0" w:line="34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to Shareholders</w:t>
      </w:r>
    </w:p>
    <w:p>
      <w:pPr>
        <w:sectPr>
          <w:pgSz w:w="11900" w:h="16838" w:orient="portrait"/>
          <w:cols w:equalWidth="0" w:num="1">
            <w:col w:w="9959"/>
          </w:cols>
          <w:pgMar w:left="500" w:top="139"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2</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60" w:type="dxa"/>
            <w:vAlign w:val="bottom"/>
          </w:tcPr>
          <w:p>
            <w:pPr>
              <w:spacing w:after="0"/>
              <w:rPr>
                <w:sz w:val="14"/>
                <w:szCs w:val="14"/>
                <w:color w:val="auto"/>
              </w:rPr>
            </w:pPr>
          </w:p>
        </w:tc>
        <w:tc>
          <w:tcPr>
            <w:tcW w:w="514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NARRATIVE DESCRIPTION</w:t>
            </w:r>
          </w:p>
        </w:tc>
      </w:tr>
      <w:tr>
        <w:trPr>
          <w:trHeight w:val="171"/>
        </w:trPr>
        <w:tc>
          <w:tcPr>
            <w:tcW w:w="1860" w:type="dxa"/>
            <w:vAlign w:val="bottom"/>
          </w:tcPr>
          <w:p>
            <w:pPr>
              <w:spacing w:after="0"/>
              <w:rPr>
                <w:sz w:val="14"/>
                <w:szCs w:val="14"/>
                <w:color w:val="auto"/>
              </w:rPr>
            </w:pPr>
          </w:p>
        </w:tc>
        <w:tc>
          <w:tcPr>
            <w:tcW w:w="2440" w:type="dxa"/>
            <w:vAlign w:val="bottom"/>
          </w:tcPr>
          <w:p>
            <w:pPr>
              <w:ind w:left="440"/>
              <w:spacing w:after="0"/>
              <w:rPr>
                <w:sz w:val="20"/>
                <w:szCs w:val="20"/>
                <w:color w:val="auto"/>
              </w:rPr>
            </w:pPr>
            <w:r>
              <w:rPr>
                <w:rFonts w:ascii="Courier New" w:cs="Courier New" w:eastAsia="Courier New" w:hAnsi="Courier New"/>
                <w:sz w:val="15"/>
                <w:szCs w:val="15"/>
                <w:color w:val="auto"/>
                <w:w w:val="99"/>
              </w:rPr>
              <w:t>OF PICTURES AND CHARTS</w:t>
            </w:r>
          </w:p>
        </w:tc>
        <w:tc>
          <w:tcPr>
            <w:tcW w:w="2700" w:type="dxa"/>
            <w:vAlign w:val="bottom"/>
          </w:tcPr>
          <w:p>
            <w:pPr>
              <w:ind w:left="40"/>
              <w:spacing w:after="0"/>
              <w:rPr>
                <w:sz w:val="20"/>
                <w:szCs w:val="20"/>
                <w:color w:val="auto"/>
              </w:rPr>
            </w:pPr>
            <w:r>
              <w:rPr>
                <w:rFonts w:ascii="Courier New" w:cs="Courier New" w:eastAsia="Courier New" w:hAnsi="Courier New"/>
                <w:sz w:val="15"/>
                <w:szCs w:val="15"/>
                <w:color w:val="auto"/>
              </w:rPr>
              <w:t>FROM</w:t>
            </w:r>
          </w:p>
        </w:tc>
      </w:tr>
      <w:tr>
        <w:trPr>
          <w:trHeight w:val="171"/>
        </w:trPr>
        <w:tc>
          <w:tcPr>
            <w:tcW w:w="1860" w:type="dxa"/>
            <w:vAlign w:val="bottom"/>
          </w:tcPr>
          <w:p>
            <w:pPr>
              <w:spacing w:after="0"/>
              <w:rPr>
                <w:sz w:val="14"/>
                <w:szCs w:val="14"/>
                <w:color w:val="auto"/>
              </w:rPr>
            </w:pPr>
          </w:p>
        </w:tc>
        <w:tc>
          <w:tcPr>
            <w:tcW w:w="5140" w:type="dxa"/>
            <w:vAlign w:val="bottom"/>
            <w:gridSpan w:val="2"/>
          </w:tcPr>
          <w:p>
            <w:pPr>
              <w:spacing w:after="0"/>
              <w:rPr>
                <w:sz w:val="20"/>
                <w:szCs w:val="20"/>
                <w:color w:val="auto"/>
              </w:rPr>
            </w:pPr>
            <w:r>
              <w:rPr>
                <w:rFonts w:ascii="Courier New" w:cs="Courier New" w:eastAsia="Courier New" w:hAnsi="Courier New"/>
                <w:sz w:val="15"/>
                <w:szCs w:val="15"/>
                <w:color w:val="auto"/>
              </w:rPr>
              <w:t>YELLOW CORPORATION 1994 ANNUAL REPORT</w:t>
            </w:r>
          </w:p>
        </w:tc>
      </w:tr>
      <w:tr>
        <w:trPr>
          <w:trHeight w:val="512"/>
        </w:trPr>
        <w:tc>
          <w:tcPr>
            <w:tcW w:w="1860" w:type="dxa"/>
            <w:vAlign w:val="bottom"/>
          </w:tcPr>
          <w:p>
            <w:pPr>
              <w:spacing w:after="0"/>
              <w:rPr>
                <w:sz w:val="20"/>
                <w:szCs w:val="20"/>
                <w:color w:val="auto"/>
              </w:rPr>
            </w:pPr>
            <w:r>
              <w:rPr>
                <w:rFonts w:ascii="Courier New" w:cs="Courier New" w:eastAsia="Courier New" w:hAnsi="Courier New"/>
                <w:sz w:val="15"/>
                <w:szCs w:val="15"/>
                <w:color w:val="auto"/>
              </w:rPr>
              <w:t>Front Cover --</w:t>
            </w:r>
          </w:p>
        </w:tc>
        <w:tc>
          <w:tcPr>
            <w:tcW w:w="514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9"/>
              </w:rPr>
              <w:t>Picture of steering wheel with Yellow Corporation logo</w:t>
            </w:r>
          </w:p>
        </w:tc>
      </w:tr>
      <w:tr>
        <w:trPr>
          <w:trHeight w:val="171"/>
        </w:trPr>
        <w:tc>
          <w:tcPr>
            <w:tcW w:w="1860" w:type="dxa"/>
            <w:vAlign w:val="bottom"/>
          </w:tcPr>
          <w:p>
            <w:pPr>
              <w:spacing w:after="0"/>
              <w:rPr>
                <w:sz w:val="14"/>
                <w:szCs w:val="14"/>
                <w:color w:val="auto"/>
              </w:rPr>
            </w:pPr>
          </w:p>
        </w:tc>
        <w:tc>
          <w:tcPr>
            <w:tcW w:w="2440" w:type="dxa"/>
            <w:vAlign w:val="bottom"/>
          </w:tcPr>
          <w:p>
            <w:pPr>
              <w:ind w:left="260"/>
              <w:spacing w:after="0"/>
              <w:rPr>
                <w:sz w:val="20"/>
                <w:szCs w:val="20"/>
                <w:color w:val="auto"/>
              </w:rPr>
            </w:pPr>
            <w:r>
              <w:rPr>
                <w:rFonts w:ascii="Courier New" w:cs="Courier New" w:eastAsia="Courier New" w:hAnsi="Courier New"/>
                <w:sz w:val="15"/>
                <w:szCs w:val="15"/>
                <w:color w:val="auto"/>
              </w:rPr>
              <w:t>in the middle.</w:t>
            </w:r>
          </w:p>
        </w:tc>
        <w:tc>
          <w:tcPr>
            <w:tcW w:w="2700" w:type="dxa"/>
            <w:vAlign w:val="bottom"/>
          </w:tcPr>
          <w:p>
            <w:pPr>
              <w:spacing w:after="0"/>
              <w:rPr>
                <w:sz w:val="14"/>
                <w:szCs w:val="14"/>
                <w:color w:val="auto"/>
              </w:rPr>
            </w:pPr>
          </w:p>
        </w:tc>
      </w:tr>
      <w:tr>
        <w:trPr>
          <w:trHeight w:val="341"/>
        </w:trPr>
        <w:tc>
          <w:tcPr>
            <w:tcW w:w="1860" w:type="dxa"/>
            <w:vAlign w:val="bottom"/>
          </w:tcPr>
          <w:p>
            <w:pPr>
              <w:spacing w:after="0"/>
              <w:rPr>
                <w:sz w:val="20"/>
                <w:szCs w:val="20"/>
                <w:color w:val="auto"/>
              </w:rPr>
            </w:pPr>
            <w:r>
              <w:rPr>
                <w:rFonts w:ascii="Courier New" w:cs="Courier New" w:eastAsia="Courier New" w:hAnsi="Courier New"/>
                <w:sz w:val="15"/>
                <w:szCs w:val="15"/>
                <w:color w:val="auto"/>
                <w:w w:val="97"/>
              </w:rPr>
              <w:t>Inside Front Cover --</w:t>
            </w:r>
          </w:p>
        </w:tc>
        <w:tc>
          <w:tcPr>
            <w:tcW w:w="2440" w:type="dxa"/>
            <w:vAlign w:val="bottom"/>
          </w:tcPr>
          <w:p>
            <w:pPr>
              <w:ind w:left="260"/>
              <w:spacing w:after="0"/>
              <w:rPr>
                <w:sz w:val="20"/>
                <w:szCs w:val="20"/>
                <w:color w:val="auto"/>
              </w:rPr>
            </w:pPr>
            <w:r>
              <w:rPr>
                <w:rFonts w:ascii="Courier New" w:cs="Courier New" w:eastAsia="Courier New" w:hAnsi="Courier New"/>
                <w:sz w:val="15"/>
                <w:szCs w:val="15"/>
                <w:color w:val="auto"/>
                <w:w w:val="99"/>
              </w:rPr>
              <w:t>Photograph of stretch of</w:t>
            </w:r>
          </w:p>
        </w:tc>
        <w:tc>
          <w:tcPr>
            <w:tcW w:w="2700" w:type="dxa"/>
            <w:vAlign w:val="bottom"/>
          </w:tcPr>
          <w:p>
            <w:pPr>
              <w:ind w:left="40"/>
              <w:spacing w:after="0"/>
              <w:rPr>
                <w:sz w:val="20"/>
                <w:szCs w:val="20"/>
                <w:color w:val="auto"/>
              </w:rPr>
            </w:pPr>
            <w:r>
              <w:rPr>
                <w:rFonts w:ascii="Courier New" w:cs="Courier New" w:eastAsia="Courier New" w:hAnsi="Courier New"/>
                <w:sz w:val="15"/>
                <w:szCs w:val="15"/>
                <w:color w:val="auto"/>
              </w:rPr>
              <w:t>highway.</w:t>
            </w:r>
          </w:p>
        </w:tc>
      </w:tr>
      <w:tr>
        <w:trPr>
          <w:trHeight w:val="341"/>
        </w:trPr>
        <w:tc>
          <w:tcPr>
            <w:tcW w:w="1860" w:type="dxa"/>
            <w:vAlign w:val="bottom"/>
          </w:tcPr>
          <w:p>
            <w:pPr>
              <w:spacing w:after="0"/>
              <w:rPr>
                <w:sz w:val="20"/>
                <w:szCs w:val="20"/>
                <w:color w:val="auto"/>
              </w:rPr>
            </w:pPr>
            <w:r>
              <w:rPr>
                <w:rFonts w:ascii="Courier New" w:cs="Courier New" w:eastAsia="Courier New" w:hAnsi="Courier New"/>
                <w:sz w:val="15"/>
                <w:szCs w:val="15"/>
                <w:color w:val="auto"/>
              </w:rPr>
              <w:t>Page 3 --</w:t>
            </w:r>
          </w:p>
        </w:tc>
        <w:tc>
          <w:tcPr>
            <w:tcW w:w="514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8"/>
              </w:rPr>
              <w:t>Small inset picture of Yellow Freight System trailer on</w:t>
            </w:r>
          </w:p>
        </w:tc>
      </w:tr>
      <w:tr>
        <w:trPr>
          <w:trHeight w:val="171"/>
        </w:trPr>
        <w:tc>
          <w:tcPr>
            <w:tcW w:w="1860" w:type="dxa"/>
            <w:vAlign w:val="bottom"/>
          </w:tcPr>
          <w:p>
            <w:pPr>
              <w:spacing w:after="0"/>
              <w:rPr>
                <w:sz w:val="14"/>
                <w:szCs w:val="14"/>
                <w:color w:val="auto"/>
              </w:rPr>
            </w:pPr>
          </w:p>
        </w:tc>
        <w:tc>
          <w:tcPr>
            <w:tcW w:w="2440" w:type="dxa"/>
            <w:vAlign w:val="bottom"/>
          </w:tcPr>
          <w:p>
            <w:pPr>
              <w:ind w:left="260"/>
              <w:spacing w:after="0"/>
              <w:rPr>
                <w:sz w:val="20"/>
                <w:szCs w:val="20"/>
                <w:color w:val="auto"/>
              </w:rPr>
            </w:pPr>
            <w:r>
              <w:rPr>
                <w:rFonts w:ascii="Courier New" w:cs="Courier New" w:eastAsia="Courier New" w:hAnsi="Courier New"/>
                <w:sz w:val="15"/>
                <w:szCs w:val="15"/>
                <w:color w:val="auto"/>
              </w:rPr>
              <w:t>rail flatcar.</w:t>
            </w:r>
          </w:p>
        </w:tc>
        <w:tc>
          <w:tcPr>
            <w:tcW w:w="2700" w:type="dxa"/>
            <w:vAlign w:val="bottom"/>
          </w:tcPr>
          <w:p>
            <w:pPr>
              <w:spacing w:after="0"/>
              <w:rPr>
                <w:sz w:val="14"/>
                <w:szCs w:val="14"/>
                <w:color w:val="auto"/>
              </w:rPr>
            </w:pPr>
          </w:p>
        </w:tc>
      </w:tr>
      <w:tr>
        <w:trPr>
          <w:trHeight w:val="341"/>
        </w:trPr>
        <w:tc>
          <w:tcPr>
            <w:tcW w:w="1860" w:type="dxa"/>
            <w:vAlign w:val="bottom"/>
          </w:tcPr>
          <w:p>
            <w:pPr>
              <w:spacing w:after="0"/>
              <w:rPr>
                <w:sz w:val="20"/>
                <w:szCs w:val="20"/>
                <w:color w:val="auto"/>
              </w:rPr>
            </w:pPr>
            <w:r>
              <w:rPr>
                <w:rFonts w:ascii="Courier New" w:cs="Courier New" w:eastAsia="Courier New" w:hAnsi="Courier New"/>
                <w:sz w:val="15"/>
                <w:szCs w:val="15"/>
                <w:color w:val="auto"/>
              </w:rPr>
              <w:t>Page 4 --</w:t>
            </w:r>
          </w:p>
        </w:tc>
        <w:tc>
          <w:tcPr>
            <w:tcW w:w="51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Inset picture of a portion of a steering wheel.</w:t>
            </w:r>
          </w:p>
        </w:tc>
      </w:tr>
      <w:tr>
        <w:trPr>
          <w:trHeight w:val="341"/>
        </w:trPr>
        <w:tc>
          <w:tcPr>
            <w:tcW w:w="1860" w:type="dxa"/>
            <w:vAlign w:val="bottom"/>
          </w:tcPr>
          <w:p>
            <w:pPr>
              <w:spacing w:after="0"/>
              <w:rPr>
                <w:sz w:val="20"/>
                <w:szCs w:val="20"/>
                <w:color w:val="auto"/>
              </w:rPr>
            </w:pPr>
            <w:r>
              <w:rPr>
                <w:rFonts w:ascii="Courier New" w:cs="Courier New" w:eastAsia="Courier New" w:hAnsi="Courier New"/>
                <w:sz w:val="15"/>
                <w:szCs w:val="15"/>
                <w:color w:val="auto"/>
              </w:rPr>
              <w:t>Page 5 --</w:t>
            </w:r>
          </w:p>
        </w:tc>
        <w:tc>
          <w:tcPr>
            <w:tcW w:w="51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Inset picture of George E. Powell III, President and</w:t>
            </w:r>
          </w:p>
        </w:tc>
      </w:tr>
      <w:tr>
        <w:trPr>
          <w:trHeight w:val="171"/>
        </w:trPr>
        <w:tc>
          <w:tcPr>
            <w:tcW w:w="1860" w:type="dxa"/>
            <w:vAlign w:val="bottom"/>
          </w:tcPr>
          <w:p>
            <w:pPr>
              <w:spacing w:after="0"/>
              <w:rPr>
                <w:sz w:val="14"/>
                <w:szCs w:val="14"/>
                <w:color w:val="auto"/>
              </w:rPr>
            </w:pPr>
          </w:p>
        </w:tc>
        <w:tc>
          <w:tcPr>
            <w:tcW w:w="51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Chief Executive Officer of the Company</w:t>
            </w:r>
          </w:p>
        </w:tc>
      </w:tr>
      <w:tr>
        <w:trPr>
          <w:trHeight w:val="341"/>
        </w:trPr>
        <w:tc>
          <w:tcPr>
            <w:tcW w:w="1860" w:type="dxa"/>
            <w:vAlign w:val="bottom"/>
          </w:tcPr>
          <w:p>
            <w:pPr>
              <w:spacing w:after="0"/>
              <w:rPr>
                <w:sz w:val="20"/>
                <w:szCs w:val="20"/>
                <w:color w:val="auto"/>
              </w:rPr>
            </w:pPr>
            <w:r>
              <w:rPr>
                <w:rFonts w:ascii="Courier New" w:cs="Courier New" w:eastAsia="Courier New" w:hAnsi="Courier New"/>
                <w:sz w:val="15"/>
                <w:szCs w:val="15"/>
                <w:color w:val="auto"/>
              </w:rPr>
              <w:t>Page 6 --</w:t>
            </w:r>
          </w:p>
        </w:tc>
        <w:tc>
          <w:tcPr>
            <w:tcW w:w="2440" w:type="dxa"/>
            <w:vAlign w:val="bottom"/>
          </w:tcPr>
          <w:p>
            <w:pPr>
              <w:ind w:left="260"/>
              <w:spacing w:after="0"/>
              <w:rPr>
                <w:sz w:val="20"/>
                <w:szCs w:val="20"/>
                <w:color w:val="auto"/>
              </w:rPr>
            </w:pPr>
            <w:r>
              <w:rPr>
                <w:rFonts w:ascii="Courier New" w:cs="Courier New" w:eastAsia="Courier New" w:hAnsi="Courier New"/>
                <w:sz w:val="15"/>
                <w:szCs w:val="15"/>
                <w:color w:val="auto"/>
                <w:w w:val="99"/>
              </w:rPr>
              <w:t>Entire page is a picture</w:t>
            </w:r>
          </w:p>
        </w:tc>
        <w:tc>
          <w:tcPr>
            <w:tcW w:w="2700" w:type="dxa"/>
            <w:vAlign w:val="bottom"/>
          </w:tcPr>
          <w:p>
            <w:pPr>
              <w:ind w:left="40"/>
              <w:spacing w:after="0"/>
              <w:rPr>
                <w:sz w:val="20"/>
                <w:szCs w:val="20"/>
                <w:color w:val="auto"/>
              </w:rPr>
            </w:pPr>
            <w:r>
              <w:rPr>
                <w:rFonts w:ascii="Courier New" w:cs="Courier New" w:eastAsia="Courier New" w:hAnsi="Courier New"/>
                <w:sz w:val="15"/>
                <w:szCs w:val="15"/>
                <w:color w:val="auto"/>
              </w:rPr>
              <w:t>of a Yellow Freight System</w:t>
            </w:r>
          </w:p>
        </w:tc>
      </w:tr>
      <w:tr>
        <w:trPr>
          <w:trHeight w:val="171"/>
        </w:trPr>
        <w:tc>
          <w:tcPr>
            <w:tcW w:w="1860" w:type="dxa"/>
            <w:vAlign w:val="bottom"/>
          </w:tcPr>
          <w:p>
            <w:pPr>
              <w:spacing w:after="0"/>
              <w:rPr>
                <w:sz w:val="14"/>
                <w:szCs w:val="14"/>
                <w:color w:val="auto"/>
              </w:rPr>
            </w:pPr>
          </w:p>
        </w:tc>
        <w:tc>
          <w:tcPr>
            <w:tcW w:w="51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driver adjusting a rear-view mirror</w:t>
            </w:r>
          </w:p>
        </w:tc>
      </w:tr>
      <w:tr>
        <w:trPr>
          <w:trHeight w:val="341"/>
        </w:trPr>
        <w:tc>
          <w:tcPr>
            <w:tcW w:w="1860" w:type="dxa"/>
            <w:vAlign w:val="bottom"/>
          </w:tcPr>
          <w:p>
            <w:pPr>
              <w:spacing w:after="0"/>
              <w:rPr>
                <w:sz w:val="20"/>
                <w:szCs w:val="20"/>
                <w:color w:val="auto"/>
              </w:rPr>
            </w:pPr>
            <w:r>
              <w:rPr>
                <w:rFonts w:ascii="Courier New" w:cs="Courier New" w:eastAsia="Courier New" w:hAnsi="Courier New"/>
                <w:sz w:val="15"/>
                <w:szCs w:val="15"/>
                <w:color w:val="auto"/>
              </w:rPr>
              <w:t>Page 7 --</w:t>
            </w:r>
          </w:p>
        </w:tc>
        <w:tc>
          <w:tcPr>
            <w:tcW w:w="2440" w:type="dxa"/>
            <w:vAlign w:val="bottom"/>
          </w:tcPr>
          <w:p>
            <w:pPr>
              <w:ind w:left="260"/>
              <w:spacing w:after="0"/>
              <w:rPr>
                <w:sz w:val="20"/>
                <w:szCs w:val="20"/>
                <w:color w:val="auto"/>
              </w:rPr>
            </w:pPr>
            <w:r>
              <w:rPr>
                <w:rFonts w:ascii="Courier New" w:cs="Courier New" w:eastAsia="Courier New" w:hAnsi="Courier New"/>
                <w:sz w:val="15"/>
                <w:szCs w:val="15"/>
                <w:color w:val="auto"/>
                <w:w w:val="99"/>
              </w:rPr>
              <w:t>Small inset picture of a</w:t>
            </w:r>
          </w:p>
        </w:tc>
        <w:tc>
          <w:tcPr>
            <w:tcW w:w="2700" w:type="dxa"/>
            <w:vAlign w:val="bottom"/>
          </w:tcPr>
          <w:p>
            <w:pPr>
              <w:ind w:left="40"/>
              <w:spacing w:after="0"/>
              <w:rPr>
                <w:sz w:val="20"/>
                <w:szCs w:val="20"/>
                <w:color w:val="auto"/>
              </w:rPr>
            </w:pPr>
            <w:r>
              <w:rPr>
                <w:rFonts w:ascii="Courier New" w:cs="Courier New" w:eastAsia="Courier New" w:hAnsi="Courier New"/>
                <w:sz w:val="15"/>
                <w:szCs w:val="15"/>
                <w:color w:val="auto"/>
              </w:rPr>
              <w:t>Yellow Freight System tractor</w:t>
            </w:r>
          </w:p>
        </w:tc>
      </w:tr>
      <w:tr>
        <w:trPr>
          <w:trHeight w:val="171"/>
        </w:trPr>
        <w:tc>
          <w:tcPr>
            <w:tcW w:w="1860" w:type="dxa"/>
            <w:vAlign w:val="bottom"/>
          </w:tcPr>
          <w:p>
            <w:pPr>
              <w:spacing w:after="0"/>
              <w:rPr>
                <w:sz w:val="14"/>
                <w:szCs w:val="14"/>
                <w:color w:val="auto"/>
              </w:rPr>
            </w:pPr>
          </w:p>
        </w:tc>
        <w:tc>
          <w:tcPr>
            <w:tcW w:w="2440" w:type="dxa"/>
            <w:vAlign w:val="bottom"/>
          </w:tcPr>
          <w:p>
            <w:pPr>
              <w:ind w:left="260"/>
              <w:spacing w:after="0"/>
              <w:rPr>
                <w:sz w:val="20"/>
                <w:szCs w:val="20"/>
                <w:color w:val="auto"/>
              </w:rPr>
            </w:pPr>
            <w:r>
              <w:rPr>
                <w:rFonts w:ascii="Courier New" w:cs="Courier New" w:eastAsia="Courier New" w:hAnsi="Courier New"/>
                <w:sz w:val="15"/>
                <w:szCs w:val="15"/>
                <w:color w:val="auto"/>
              </w:rPr>
              <w:t>and trailer</w:t>
            </w:r>
          </w:p>
        </w:tc>
        <w:tc>
          <w:tcPr>
            <w:tcW w:w="2700" w:type="dxa"/>
            <w:vAlign w:val="bottom"/>
          </w:tcPr>
          <w:p>
            <w:pPr>
              <w:spacing w:after="0"/>
              <w:rPr>
                <w:sz w:val="14"/>
                <w:szCs w:val="14"/>
                <w:color w:val="auto"/>
              </w:rPr>
            </w:pPr>
          </w:p>
        </w:tc>
      </w:tr>
      <w:tr>
        <w:trPr>
          <w:trHeight w:val="341"/>
        </w:trPr>
        <w:tc>
          <w:tcPr>
            <w:tcW w:w="1860" w:type="dxa"/>
            <w:vAlign w:val="bottom"/>
          </w:tcPr>
          <w:p>
            <w:pPr>
              <w:spacing w:after="0"/>
              <w:rPr>
                <w:sz w:val="20"/>
                <w:szCs w:val="20"/>
                <w:color w:val="auto"/>
              </w:rPr>
            </w:pPr>
            <w:r>
              <w:rPr>
                <w:rFonts w:ascii="Courier New" w:cs="Courier New" w:eastAsia="Courier New" w:hAnsi="Courier New"/>
                <w:sz w:val="15"/>
                <w:szCs w:val="15"/>
                <w:color w:val="auto"/>
              </w:rPr>
              <w:t>Page 8 --</w:t>
            </w:r>
          </w:p>
        </w:tc>
        <w:tc>
          <w:tcPr>
            <w:tcW w:w="2440" w:type="dxa"/>
            <w:vAlign w:val="bottom"/>
          </w:tcPr>
          <w:p>
            <w:pPr>
              <w:ind w:left="260"/>
              <w:spacing w:after="0"/>
              <w:rPr>
                <w:sz w:val="20"/>
                <w:szCs w:val="20"/>
                <w:color w:val="auto"/>
              </w:rPr>
            </w:pPr>
            <w:r>
              <w:rPr>
                <w:rFonts w:ascii="Courier New" w:cs="Courier New" w:eastAsia="Courier New" w:hAnsi="Courier New"/>
                <w:sz w:val="15"/>
                <w:szCs w:val="15"/>
                <w:color w:val="auto"/>
                <w:w w:val="99"/>
              </w:rPr>
              <w:t>Small inset picture of a</w:t>
            </w:r>
          </w:p>
        </w:tc>
        <w:tc>
          <w:tcPr>
            <w:tcW w:w="2700" w:type="dxa"/>
            <w:vAlign w:val="bottom"/>
          </w:tcPr>
          <w:p>
            <w:pPr>
              <w:ind w:left="40"/>
              <w:spacing w:after="0"/>
              <w:rPr>
                <w:sz w:val="20"/>
                <w:szCs w:val="20"/>
                <w:color w:val="auto"/>
              </w:rPr>
            </w:pPr>
            <w:r>
              <w:rPr>
                <w:rFonts w:ascii="Courier New" w:cs="Courier New" w:eastAsia="Courier New" w:hAnsi="Courier New"/>
                <w:sz w:val="15"/>
                <w:szCs w:val="15"/>
                <w:color w:val="auto"/>
              </w:rPr>
              <w:t>Preston Trucking Company</w:t>
            </w:r>
          </w:p>
        </w:tc>
      </w:tr>
      <w:tr>
        <w:trPr>
          <w:trHeight w:val="171"/>
        </w:trPr>
        <w:tc>
          <w:tcPr>
            <w:tcW w:w="1860" w:type="dxa"/>
            <w:vAlign w:val="bottom"/>
          </w:tcPr>
          <w:p>
            <w:pPr>
              <w:spacing w:after="0"/>
              <w:rPr>
                <w:sz w:val="14"/>
                <w:szCs w:val="14"/>
                <w:color w:val="auto"/>
              </w:rPr>
            </w:pPr>
          </w:p>
        </w:tc>
        <w:tc>
          <w:tcPr>
            <w:tcW w:w="2440" w:type="dxa"/>
            <w:vAlign w:val="bottom"/>
          </w:tcPr>
          <w:p>
            <w:pPr>
              <w:ind w:left="260"/>
              <w:spacing w:after="0"/>
              <w:rPr>
                <w:sz w:val="20"/>
                <w:szCs w:val="20"/>
                <w:color w:val="auto"/>
              </w:rPr>
            </w:pPr>
            <w:r>
              <w:rPr>
                <w:rFonts w:ascii="Courier New" w:cs="Courier New" w:eastAsia="Courier New" w:hAnsi="Courier New"/>
                <w:sz w:val="15"/>
                <w:szCs w:val="15"/>
                <w:color w:val="auto"/>
              </w:rPr>
              <w:t>tractor and trailer</w:t>
            </w:r>
          </w:p>
        </w:tc>
        <w:tc>
          <w:tcPr>
            <w:tcW w:w="2700" w:type="dxa"/>
            <w:vAlign w:val="bottom"/>
          </w:tcPr>
          <w:p>
            <w:pPr>
              <w:spacing w:after="0"/>
              <w:rPr>
                <w:sz w:val="14"/>
                <w:szCs w:val="14"/>
                <w:color w:val="auto"/>
              </w:rPr>
            </w:pPr>
          </w:p>
        </w:tc>
      </w:tr>
      <w:tr>
        <w:trPr>
          <w:trHeight w:val="341"/>
        </w:trPr>
        <w:tc>
          <w:tcPr>
            <w:tcW w:w="1860" w:type="dxa"/>
            <w:vAlign w:val="bottom"/>
          </w:tcPr>
          <w:p>
            <w:pPr>
              <w:spacing w:after="0"/>
              <w:rPr>
                <w:sz w:val="20"/>
                <w:szCs w:val="20"/>
                <w:color w:val="auto"/>
              </w:rPr>
            </w:pPr>
            <w:r>
              <w:rPr>
                <w:rFonts w:ascii="Courier New" w:cs="Courier New" w:eastAsia="Courier New" w:hAnsi="Courier New"/>
                <w:sz w:val="15"/>
                <w:szCs w:val="15"/>
                <w:color w:val="auto"/>
              </w:rPr>
              <w:t>Page 9 --</w:t>
            </w:r>
          </w:p>
        </w:tc>
        <w:tc>
          <w:tcPr>
            <w:tcW w:w="2440" w:type="dxa"/>
            <w:vAlign w:val="bottom"/>
          </w:tcPr>
          <w:p>
            <w:pPr>
              <w:ind w:left="260"/>
              <w:spacing w:after="0"/>
              <w:rPr>
                <w:sz w:val="20"/>
                <w:szCs w:val="20"/>
                <w:color w:val="auto"/>
              </w:rPr>
            </w:pPr>
            <w:r>
              <w:rPr>
                <w:rFonts w:ascii="Courier New" w:cs="Courier New" w:eastAsia="Courier New" w:hAnsi="Courier New"/>
                <w:sz w:val="15"/>
                <w:szCs w:val="15"/>
                <w:color w:val="auto"/>
                <w:w w:val="99"/>
              </w:rPr>
              <w:t>Entire page is a picture</w:t>
            </w:r>
          </w:p>
        </w:tc>
        <w:tc>
          <w:tcPr>
            <w:tcW w:w="2700" w:type="dxa"/>
            <w:vAlign w:val="bottom"/>
          </w:tcPr>
          <w:p>
            <w:pPr>
              <w:ind w:left="40"/>
              <w:spacing w:after="0"/>
              <w:rPr>
                <w:sz w:val="20"/>
                <w:szCs w:val="20"/>
                <w:color w:val="auto"/>
              </w:rPr>
            </w:pPr>
            <w:r>
              <w:rPr>
                <w:rFonts w:ascii="Courier New" w:cs="Courier New" w:eastAsia="Courier New" w:hAnsi="Courier New"/>
                <w:sz w:val="15"/>
                <w:szCs w:val="15"/>
                <w:color w:val="auto"/>
              </w:rPr>
              <w:t>of a driver entering his</w:t>
            </w:r>
          </w:p>
        </w:tc>
      </w:tr>
      <w:tr>
        <w:trPr>
          <w:trHeight w:val="171"/>
        </w:trPr>
        <w:tc>
          <w:tcPr>
            <w:tcW w:w="1860" w:type="dxa"/>
            <w:vAlign w:val="bottom"/>
          </w:tcPr>
          <w:p>
            <w:pPr>
              <w:spacing w:after="0"/>
              <w:rPr>
                <w:sz w:val="14"/>
                <w:szCs w:val="14"/>
                <w:color w:val="auto"/>
              </w:rPr>
            </w:pPr>
          </w:p>
        </w:tc>
        <w:tc>
          <w:tcPr>
            <w:tcW w:w="2440" w:type="dxa"/>
            <w:vAlign w:val="bottom"/>
          </w:tcPr>
          <w:p>
            <w:pPr>
              <w:ind w:left="260"/>
              <w:spacing w:after="0"/>
              <w:rPr>
                <w:sz w:val="20"/>
                <w:szCs w:val="20"/>
                <w:color w:val="auto"/>
              </w:rPr>
            </w:pPr>
            <w:r>
              <w:rPr>
                <w:rFonts w:ascii="Courier New" w:cs="Courier New" w:eastAsia="Courier New" w:hAnsi="Courier New"/>
                <w:sz w:val="15"/>
                <w:szCs w:val="15"/>
                <w:color w:val="auto"/>
              </w:rPr>
              <w:t>tractor</w:t>
            </w:r>
          </w:p>
        </w:tc>
        <w:tc>
          <w:tcPr>
            <w:tcW w:w="2700" w:type="dxa"/>
            <w:vAlign w:val="bottom"/>
          </w:tcPr>
          <w:p>
            <w:pPr>
              <w:spacing w:after="0"/>
              <w:rPr>
                <w:sz w:val="14"/>
                <w:szCs w:val="14"/>
                <w:color w:val="auto"/>
              </w:rPr>
            </w:pPr>
          </w:p>
        </w:tc>
      </w:tr>
      <w:tr>
        <w:trPr>
          <w:trHeight w:val="341"/>
        </w:trPr>
        <w:tc>
          <w:tcPr>
            <w:tcW w:w="1860" w:type="dxa"/>
            <w:vAlign w:val="bottom"/>
          </w:tcPr>
          <w:p>
            <w:pPr>
              <w:spacing w:after="0"/>
              <w:rPr>
                <w:sz w:val="20"/>
                <w:szCs w:val="20"/>
                <w:color w:val="auto"/>
              </w:rPr>
            </w:pPr>
            <w:r>
              <w:rPr>
                <w:rFonts w:ascii="Courier New" w:cs="Courier New" w:eastAsia="Courier New" w:hAnsi="Courier New"/>
                <w:sz w:val="15"/>
                <w:szCs w:val="15"/>
                <w:color w:val="auto"/>
              </w:rPr>
              <w:t>Page 10 --</w:t>
            </w:r>
          </w:p>
        </w:tc>
        <w:tc>
          <w:tcPr>
            <w:tcW w:w="2440" w:type="dxa"/>
            <w:vAlign w:val="bottom"/>
          </w:tcPr>
          <w:p>
            <w:pPr>
              <w:ind w:left="260"/>
              <w:spacing w:after="0"/>
              <w:rPr>
                <w:sz w:val="20"/>
                <w:szCs w:val="20"/>
                <w:color w:val="auto"/>
              </w:rPr>
            </w:pPr>
            <w:r>
              <w:rPr>
                <w:rFonts w:ascii="Courier New" w:cs="Courier New" w:eastAsia="Courier New" w:hAnsi="Courier New"/>
                <w:sz w:val="15"/>
                <w:szCs w:val="15"/>
                <w:color w:val="auto"/>
                <w:w w:val="99"/>
              </w:rPr>
              <w:t>Entire page is a picture</w:t>
            </w:r>
          </w:p>
        </w:tc>
        <w:tc>
          <w:tcPr>
            <w:tcW w:w="2700" w:type="dxa"/>
            <w:vAlign w:val="bottom"/>
          </w:tcPr>
          <w:p>
            <w:pPr>
              <w:ind w:left="40"/>
              <w:spacing w:after="0"/>
              <w:rPr>
                <w:sz w:val="20"/>
                <w:szCs w:val="20"/>
                <w:color w:val="auto"/>
              </w:rPr>
            </w:pPr>
            <w:r>
              <w:rPr>
                <w:rFonts w:ascii="Courier New" w:cs="Courier New" w:eastAsia="Courier New" w:hAnsi="Courier New"/>
                <w:sz w:val="15"/>
                <w:szCs w:val="15"/>
                <w:color w:val="auto"/>
              </w:rPr>
              <w:t>of a driver shifting gears</w:t>
            </w:r>
          </w:p>
        </w:tc>
      </w:tr>
      <w:tr>
        <w:trPr>
          <w:trHeight w:val="341"/>
        </w:trPr>
        <w:tc>
          <w:tcPr>
            <w:tcW w:w="1860" w:type="dxa"/>
            <w:vAlign w:val="bottom"/>
          </w:tcPr>
          <w:p>
            <w:pPr>
              <w:spacing w:after="0"/>
              <w:rPr>
                <w:sz w:val="20"/>
                <w:szCs w:val="20"/>
                <w:color w:val="auto"/>
              </w:rPr>
            </w:pPr>
            <w:r>
              <w:rPr>
                <w:rFonts w:ascii="Courier New" w:cs="Courier New" w:eastAsia="Courier New" w:hAnsi="Courier New"/>
                <w:sz w:val="15"/>
                <w:szCs w:val="15"/>
                <w:color w:val="auto"/>
              </w:rPr>
              <w:t>Page 11 --</w:t>
            </w:r>
          </w:p>
        </w:tc>
        <w:tc>
          <w:tcPr>
            <w:tcW w:w="2440" w:type="dxa"/>
            <w:vAlign w:val="bottom"/>
          </w:tcPr>
          <w:p>
            <w:pPr>
              <w:ind w:left="260"/>
              <w:spacing w:after="0"/>
              <w:rPr>
                <w:sz w:val="20"/>
                <w:szCs w:val="20"/>
                <w:color w:val="auto"/>
              </w:rPr>
            </w:pPr>
            <w:r>
              <w:rPr>
                <w:rFonts w:ascii="Courier New" w:cs="Courier New" w:eastAsia="Courier New" w:hAnsi="Courier New"/>
                <w:sz w:val="15"/>
                <w:szCs w:val="15"/>
                <w:color w:val="auto"/>
                <w:w w:val="99"/>
              </w:rPr>
              <w:t>Small inset picture of a</w:t>
            </w:r>
          </w:p>
        </w:tc>
        <w:tc>
          <w:tcPr>
            <w:tcW w:w="2700" w:type="dxa"/>
            <w:vAlign w:val="bottom"/>
          </w:tcPr>
          <w:p>
            <w:pPr>
              <w:ind w:left="40"/>
              <w:spacing w:after="0"/>
              <w:rPr>
                <w:sz w:val="20"/>
                <w:szCs w:val="20"/>
                <w:color w:val="auto"/>
              </w:rPr>
            </w:pPr>
            <w:r>
              <w:rPr>
                <w:rFonts w:ascii="Courier New" w:cs="Courier New" w:eastAsia="Courier New" w:hAnsi="Courier New"/>
                <w:sz w:val="15"/>
                <w:szCs w:val="15"/>
                <w:color w:val="auto"/>
              </w:rPr>
              <w:t>Saia Motor Freight Line</w:t>
            </w:r>
          </w:p>
        </w:tc>
      </w:tr>
      <w:tr>
        <w:trPr>
          <w:trHeight w:val="171"/>
        </w:trPr>
        <w:tc>
          <w:tcPr>
            <w:tcW w:w="1860" w:type="dxa"/>
            <w:vAlign w:val="bottom"/>
          </w:tcPr>
          <w:p>
            <w:pPr>
              <w:spacing w:after="0"/>
              <w:rPr>
                <w:sz w:val="14"/>
                <w:szCs w:val="14"/>
                <w:color w:val="auto"/>
              </w:rPr>
            </w:pPr>
          </w:p>
        </w:tc>
        <w:tc>
          <w:tcPr>
            <w:tcW w:w="2440" w:type="dxa"/>
            <w:vAlign w:val="bottom"/>
          </w:tcPr>
          <w:p>
            <w:pPr>
              <w:ind w:left="260"/>
              <w:spacing w:after="0"/>
              <w:rPr>
                <w:sz w:val="20"/>
                <w:szCs w:val="20"/>
                <w:color w:val="auto"/>
              </w:rPr>
            </w:pPr>
            <w:r>
              <w:rPr>
                <w:rFonts w:ascii="Courier New" w:cs="Courier New" w:eastAsia="Courier New" w:hAnsi="Courier New"/>
                <w:sz w:val="15"/>
                <w:szCs w:val="15"/>
                <w:color w:val="auto"/>
              </w:rPr>
              <w:t>tractor and trailer</w:t>
            </w:r>
          </w:p>
        </w:tc>
        <w:tc>
          <w:tcPr>
            <w:tcW w:w="2700" w:type="dxa"/>
            <w:vAlign w:val="bottom"/>
          </w:tcPr>
          <w:p>
            <w:pPr>
              <w:spacing w:after="0"/>
              <w:rPr>
                <w:sz w:val="14"/>
                <w:szCs w:val="14"/>
                <w:color w:val="auto"/>
              </w:rPr>
            </w:pPr>
          </w:p>
        </w:tc>
      </w:tr>
      <w:tr>
        <w:trPr>
          <w:trHeight w:val="341"/>
        </w:trPr>
        <w:tc>
          <w:tcPr>
            <w:tcW w:w="1860" w:type="dxa"/>
            <w:vAlign w:val="bottom"/>
          </w:tcPr>
          <w:p>
            <w:pPr>
              <w:spacing w:after="0"/>
              <w:rPr>
                <w:sz w:val="20"/>
                <w:szCs w:val="20"/>
                <w:color w:val="auto"/>
              </w:rPr>
            </w:pPr>
            <w:r>
              <w:rPr>
                <w:rFonts w:ascii="Courier New" w:cs="Courier New" w:eastAsia="Courier New" w:hAnsi="Courier New"/>
                <w:sz w:val="15"/>
                <w:szCs w:val="15"/>
                <w:color w:val="auto"/>
              </w:rPr>
              <w:t>Page 12 --</w:t>
            </w:r>
          </w:p>
        </w:tc>
        <w:tc>
          <w:tcPr>
            <w:tcW w:w="514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8"/>
              </w:rPr>
              <w:t>Small inset picture of an interstate highway cloverleaf</w:t>
            </w:r>
          </w:p>
        </w:tc>
      </w:tr>
      <w:tr>
        <w:trPr>
          <w:trHeight w:val="171"/>
        </w:trPr>
        <w:tc>
          <w:tcPr>
            <w:tcW w:w="1860" w:type="dxa"/>
            <w:vAlign w:val="bottom"/>
          </w:tcPr>
          <w:p>
            <w:pPr>
              <w:spacing w:after="0"/>
              <w:rPr>
                <w:sz w:val="14"/>
                <w:szCs w:val="14"/>
                <w:color w:val="auto"/>
              </w:rPr>
            </w:pPr>
          </w:p>
        </w:tc>
        <w:tc>
          <w:tcPr>
            <w:tcW w:w="2440" w:type="dxa"/>
            <w:vAlign w:val="bottom"/>
          </w:tcPr>
          <w:p>
            <w:pPr>
              <w:ind w:left="260"/>
              <w:spacing w:after="0"/>
              <w:rPr>
                <w:sz w:val="20"/>
                <w:szCs w:val="20"/>
                <w:color w:val="auto"/>
              </w:rPr>
            </w:pPr>
            <w:r>
              <w:rPr>
                <w:rFonts w:ascii="Courier New" w:cs="Courier New" w:eastAsia="Courier New" w:hAnsi="Courier New"/>
                <w:sz w:val="15"/>
                <w:szCs w:val="15"/>
                <w:color w:val="auto"/>
              </w:rPr>
              <w:t>intersection</w:t>
            </w:r>
          </w:p>
        </w:tc>
        <w:tc>
          <w:tcPr>
            <w:tcW w:w="2700" w:type="dxa"/>
            <w:vAlign w:val="bottom"/>
          </w:tcPr>
          <w:p>
            <w:pPr>
              <w:spacing w:after="0"/>
              <w:rPr>
                <w:sz w:val="14"/>
                <w:szCs w:val="14"/>
                <w:color w:val="auto"/>
              </w:rPr>
            </w:pPr>
          </w:p>
        </w:tc>
      </w:tr>
      <w:tr>
        <w:trPr>
          <w:trHeight w:val="341"/>
        </w:trPr>
        <w:tc>
          <w:tcPr>
            <w:tcW w:w="1860" w:type="dxa"/>
            <w:vAlign w:val="bottom"/>
          </w:tcPr>
          <w:p>
            <w:pPr>
              <w:spacing w:after="0"/>
              <w:rPr>
                <w:sz w:val="20"/>
                <w:szCs w:val="20"/>
                <w:color w:val="auto"/>
              </w:rPr>
            </w:pPr>
            <w:r>
              <w:rPr>
                <w:rFonts w:ascii="Courier New" w:cs="Courier New" w:eastAsia="Courier New" w:hAnsi="Courier New"/>
                <w:sz w:val="15"/>
                <w:szCs w:val="15"/>
                <w:color w:val="auto"/>
              </w:rPr>
              <w:t>Page 13 --</w:t>
            </w:r>
          </w:p>
        </w:tc>
        <w:tc>
          <w:tcPr>
            <w:tcW w:w="2440" w:type="dxa"/>
            <w:vAlign w:val="bottom"/>
          </w:tcPr>
          <w:p>
            <w:pPr>
              <w:ind w:left="260"/>
              <w:spacing w:after="0"/>
              <w:rPr>
                <w:sz w:val="20"/>
                <w:szCs w:val="20"/>
                <w:color w:val="auto"/>
              </w:rPr>
            </w:pPr>
            <w:r>
              <w:rPr>
                <w:rFonts w:ascii="Courier New" w:cs="Courier New" w:eastAsia="Courier New" w:hAnsi="Courier New"/>
                <w:sz w:val="15"/>
                <w:szCs w:val="15"/>
                <w:color w:val="auto"/>
                <w:w w:val="99"/>
              </w:rPr>
              <w:t>Entire page is a picture</w:t>
            </w:r>
          </w:p>
        </w:tc>
        <w:tc>
          <w:tcPr>
            <w:tcW w:w="2700" w:type="dxa"/>
            <w:vAlign w:val="bottom"/>
          </w:tcPr>
          <w:p>
            <w:pPr>
              <w:ind w:left="40"/>
              <w:spacing w:after="0"/>
              <w:rPr>
                <w:sz w:val="20"/>
                <w:szCs w:val="20"/>
                <w:color w:val="auto"/>
              </w:rPr>
            </w:pPr>
            <w:r>
              <w:rPr>
                <w:rFonts w:ascii="Courier New" w:cs="Courier New" w:eastAsia="Courier New" w:hAnsi="Courier New"/>
                <w:sz w:val="15"/>
                <w:szCs w:val="15"/>
                <w:color w:val="auto"/>
              </w:rPr>
              <w:t>of a driver polishing his</w:t>
            </w:r>
          </w:p>
        </w:tc>
      </w:tr>
      <w:tr>
        <w:trPr>
          <w:trHeight w:val="171"/>
        </w:trPr>
        <w:tc>
          <w:tcPr>
            <w:tcW w:w="1860" w:type="dxa"/>
            <w:vAlign w:val="bottom"/>
          </w:tcPr>
          <w:p>
            <w:pPr>
              <w:spacing w:after="0"/>
              <w:rPr>
                <w:sz w:val="14"/>
                <w:szCs w:val="14"/>
                <w:color w:val="auto"/>
              </w:rPr>
            </w:pPr>
          </w:p>
        </w:tc>
        <w:tc>
          <w:tcPr>
            <w:tcW w:w="2440" w:type="dxa"/>
            <w:vAlign w:val="bottom"/>
          </w:tcPr>
          <w:p>
            <w:pPr>
              <w:ind w:left="260"/>
              <w:spacing w:after="0"/>
              <w:rPr>
                <w:sz w:val="20"/>
                <w:szCs w:val="20"/>
                <w:color w:val="auto"/>
              </w:rPr>
            </w:pPr>
            <w:r>
              <w:rPr>
                <w:rFonts w:ascii="Courier New" w:cs="Courier New" w:eastAsia="Courier New" w:hAnsi="Courier New"/>
                <w:sz w:val="15"/>
                <w:szCs w:val="15"/>
                <w:color w:val="auto"/>
                <w:w w:val="99"/>
              </w:rPr>
              <w:t>tractor's radiator grill</w:t>
            </w:r>
          </w:p>
        </w:tc>
        <w:tc>
          <w:tcPr>
            <w:tcW w:w="2700" w:type="dxa"/>
            <w:vAlign w:val="bottom"/>
          </w:tcPr>
          <w:p>
            <w:pPr>
              <w:spacing w:after="0"/>
              <w:rPr>
                <w:sz w:val="14"/>
                <w:szCs w:val="14"/>
                <w:color w:val="auto"/>
              </w:rPr>
            </w:pPr>
          </w:p>
        </w:tc>
      </w:tr>
      <w:tr>
        <w:trPr>
          <w:trHeight w:val="341"/>
        </w:trPr>
        <w:tc>
          <w:tcPr>
            <w:tcW w:w="1860" w:type="dxa"/>
            <w:vAlign w:val="bottom"/>
          </w:tcPr>
          <w:p>
            <w:pPr>
              <w:spacing w:after="0"/>
              <w:rPr>
                <w:sz w:val="20"/>
                <w:szCs w:val="20"/>
                <w:color w:val="auto"/>
              </w:rPr>
            </w:pPr>
            <w:r>
              <w:rPr>
                <w:rFonts w:ascii="Courier New" w:cs="Courier New" w:eastAsia="Courier New" w:hAnsi="Courier New"/>
                <w:sz w:val="15"/>
                <w:szCs w:val="15"/>
                <w:color w:val="auto"/>
              </w:rPr>
              <w:t>Page 14-15 --</w:t>
            </w:r>
          </w:p>
        </w:tc>
        <w:tc>
          <w:tcPr>
            <w:tcW w:w="514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9"/>
              </w:rPr>
              <w:t>Small inset picture running on both pages of a tractor</w:t>
            </w:r>
          </w:p>
        </w:tc>
      </w:tr>
      <w:tr>
        <w:trPr>
          <w:trHeight w:val="171"/>
        </w:trPr>
        <w:tc>
          <w:tcPr>
            <w:tcW w:w="1860" w:type="dxa"/>
            <w:vAlign w:val="bottom"/>
          </w:tcPr>
          <w:p>
            <w:pPr>
              <w:spacing w:after="0"/>
              <w:rPr>
                <w:sz w:val="14"/>
                <w:szCs w:val="14"/>
                <w:color w:val="auto"/>
              </w:rPr>
            </w:pPr>
          </w:p>
        </w:tc>
        <w:tc>
          <w:tcPr>
            <w:tcW w:w="2440" w:type="dxa"/>
            <w:vAlign w:val="bottom"/>
          </w:tcPr>
          <w:p>
            <w:pPr>
              <w:ind w:left="260"/>
              <w:spacing w:after="0"/>
              <w:rPr>
                <w:sz w:val="20"/>
                <w:szCs w:val="20"/>
                <w:color w:val="auto"/>
              </w:rPr>
            </w:pPr>
            <w:r>
              <w:rPr>
                <w:rFonts w:ascii="Courier New" w:cs="Courier New" w:eastAsia="Courier New" w:hAnsi="Courier New"/>
                <w:sz w:val="15"/>
                <w:szCs w:val="15"/>
                <w:color w:val="auto"/>
              </w:rPr>
              <w:t>steering wheel</w:t>
            </w:r>
          </w:p>
        </w:tc>
        <w:tc>
          <w:tcPr>
            <w:tcW w:w="2700" w:type="dxa"/>
            <w:vAlign w:val="bottom"/>
          </w:tcPr>
          <w:p>
            <w:pPr>
              <w:spacing w:after="0"/>
              <w:rPr>
                <w:sz w:val="14"/>
                <w:szCs w:val="14"/>
                <w:color w:val="auto"/>
              </w:rPr>
            </w:pPr>
          </w:p>
        </w:tc>
      </w:tr>
      <w:tr>
        <w:trPr>
          <w:trHeight w:val="341"/>
        </w:trPr>
        <w:tc>
          <w:tcPr>
            <w:tcW w:w="1860" w:type="dxa"/>
            <w:vAlign w:val="bottom"/>
          </w:tcPr>
          <w:p>
            <w:pPr>
              <w:spacing w:after="0"/>
              <w:rPr>
                <w:sz w:val="20"/>
                <w:szCs w:val="20"/>
                <w:color w:val="auto"/>
              </w:rPr>
            </w:pPr>
            <w:r>
              <w:rPr>
                <w:rFonts w:ascii="Courier New" w:cs="Courier New" w:eastAsia="Courier New" w:hAnsi="Courier New"/>
                <w:sz w:val="15"/>
                <w:szCs w:val="15"/>
                <w:color w:val="auto"/>
              </w:rPr>
              <w:t>Page 35 --</w:t>
            </w:r>
          </w:p>
        </w:tc>
        <w:tc>
          <w:tcPr>
            <w:tcW w:w="514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8"/>
              </w:rPr>
              <w:t>Small inset pictures of each of the Company's Directors</w:t>
            </w:r>
          </w:p>
        </w:tc>
      </w:tr>
      <w:tr>
        <w:trPr>
          <w:trHeight w:val="171"/>
        </w:trPr>
        <w:tc>
          <w:tcPr>
            <w:tcW w:w="1860" w:type="dxa"/>
            <w:vAlign w:val="bottom"/>
          </w:tcPr>
          <w:p>
            <w:pPr>
              <w:spacing w:after="0"/>
              <w:rPr>
                <w:sz w:val="14"/>
                <w:szCs w:val="14"/>
                <w:color w:val="auto"/>
              </w:rPr>
            </w:pPr>
          </w:p>
        </w:tc>
        <w:tc>
          <w:tcPr>
            <w:tcW w:w="2440" w:type="dxa"/>
            <w:vAlign w:val="bottom"/>
          </w:tcPr>
          <w:p>
            <w:pPr>
              <w:ind w:left="260"/>
              <w:spacing w:after="0"/>
              <w:rPr>
                <w:sz w:val="20"/>
                <w:szCs w:val="20"/>
                <w:color w:val="auto"/>
              </w:rPr>
            </w:pPr>
            <w:r>
              <w:rPr>
                <w:rFonts w:ascii="Courier New" w:cs="Courier New" w:eastAsia="Courier New" w:hAnsi="Courier New"/>
                <w:sz w:val="15"/>
                <w:szCs w:val="15"/>
                <w:color w:val="auto"/>
                <w:w w:val="99"/>
              </w:rPr>
              <w:t>and the Secretary to the</w:t>
            </w:r>
          </w:p>
        </w:tc>
        <w:tc>
          <w:tcPr>
            <w:tcW w:w="2700" w:type="dxa"/>
            <w:vAlign w:val="bottom"/>
          </w:tcPr>
          <w:p>
            <w:pPr>
              <w:ind w:left="40"/>
              <w:spacing w:after="0"/>
              <w:rPr>
                <w:sz w:val="20"/>
                <w:szCs w:val="20"/>
                <w:color w:val="auto"/>
              </w:rPr>
            </w:pPr>
            <w:r>
              <w:rPr>
                <w:rFonts w:ascii="Courier New" w:cs="Courier New" w:eastAsia="Courier New" w:hAnsi="Courier New"/>
                <w:sz w:val="15"/>
                <w:szCs w:val="15"/>
                <w:color w:val="auto"/>
              </w:rPr>
              <w:t>Board</w:t>
            </w:r>
          </w:p>
        </w:tc>
      </w:tr>
      <w:tr>
        <w:trPr>
          <w:trHeight w:val="341"/>
        </w:trPr>
        <w:tc>
          <w:tcPr>
            <w:tcW w:w="1860" w:type="dxa"/>
            <w:vAlign w:val="bottom"/>
          </w:tcPr>
          <w:p>
            <w:pPr>
              <w:spacing w:after="0"/>
              <w:rPr>
                <w:sz w:val="20"/>
                <w:szCs w:val="20"/>
                <w:color w:val="auto"/>
              </w:rPr>
            </w:pPr>
            <w:r>
              <w:rPr>
                <w:rFonts w:ascii="Courier New" w:cs="Courier New" w:eastAsia="Courier New" w:hAnsi="Courier New"/>
                <w:sz w:val="15"/>
                <w:szCs w:val="15"/>
                <w:color w:val="auto"/>
              </w:rPr>
              <w:t>Inside Back Cover --</w:t>
            </w:r>
          </w:p>
        </w:tc>
        <w:tc>
          <w:tcPr>
            <w:tcW w:w="51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Picture of a Yellow Freight System tractor and dual</w:t>
            </w:r>
          </w:p>
        </w:tc>
      </w:tr>
      <w:tr>
        <w:trPr>
          <w:trHeight w:val="171"/>
        </w:trPr>
        <w:tc>
          <w:tcPr>
            <w:tcW w:w="1860" w:type="dxa"/>
            <w:vAlign w:val="bottom"/>
          </w:tcPr>
          <w:p>
            <w:pPr>
              <w:spacing w:after="0"/>
              <w:rPr>
                <w:sz w:val="14"/>
                <w:szCs w:val="14"/>
                <w:color w:val="auto"/>
              </w:rPr>
            </w:pPr>
          </w:p>
        </w:tc>
        <w:tc>
          <w:tcPr>
            <w:tcW w:w="2440" w:type="dxa"/>
            <w:vAlign w:val="bottom"/>
          </w:tcPr>
          <w:p>
            <w:pPr>
              <w:ind w:left="260"/>
              <w:spacing w:after="0"/>
              <w:rPr>
                <w:sz w:val="20"/>
                <w:szCs w:val="20"/>
                <w:color w:val="auto"/>
              </w:rPr>
            </w:pPr>
            <w:r>
              <w:rPr>
                <w:rFonts w:ascii="Courier New" w:cs="Courier New" w:eastAsia="Courier New" w:hAnsi="Courier New"/>
                <w:sz w:val="15"/>
                <w:szCs w:val="15"/>
                <w:color w:val="auto"/>
              </w:rPr>
              <w:t>trailers</w:t>
            </w:r>
          </w:p>
        </w:tc>
        <w:tc>
          <w:tcPr>
            <w:tcW w:w="2700" w:type="dxa"/>
            <w:vAlign w:val="bottom"/>
          </w:tcPr>
          <w:p>
            <w:pPr>
              <w:spacing w:after="0"/>
              <w:rPr>
                <w:sz w:val="14"/>
                <w:szCs w:val="14"/>
                <w:color w:val="auto"/>
              </w:rPr>
            </w:pPr>
          </w:p>
        </w:tc>
      </w:tr>
    </w:tbl>
    <w:p>
      <w:pPr>
        <w:sectPr>
          <w:pgSz w:w="11900" w:h="16838" w:orient="portrait"/>
          <w:cols w:equalWidth="0" w:num="1">
            <w:col w:w="10219"/>
          </w:cols>
          <w:pgMar w:left="240" w:top="287"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YELLOW CORPORATION 1994 ANNUAL REPORT TEXT</w:t>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CONTENTS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This is Yellow Corporation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Financial Highlights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Letter To Shareholders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Serving Our Customers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Management's Discussion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Analysis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Summary</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Financial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Statements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Statements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 Of Independent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Public Accountants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Supplementary Information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Senior Officers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w:t>
      </w:r>
    </w:p>
    <w:p>
      <w:pPr>
        <w:sectPr>
          <w:pgSz w:w="11900" w:h="16838" w:orient="portrait"/>
          <w:cols w:equalWidth="0" w:num="1">
            <w:col w:w="10219"/>
          </w:cols>
          <w:pgMar w:left="240" w:top="287" w:right="1440" w:bottom="1440" w:gutter="0" w:footer="0" w:header="0"/>
        </w:sectPr>
      </w:pPr>
    </w:p>
    <w:bookmarkStart w:id="18" w:name="page19"/>
    <w:bookmarkEnd w:id="18"/>
    <w:tbl>
      <w:tblPr>
        <w:tblLayout w:type="fixed"/>
        <w:tblInd w:w="9" w:type="dxa"/>
        <w:tblCellMar>
          <w:top w:w="0" w:type="dxa"/>
          <w:left w:w="0" w:type="dxa"/>
          <w:bottom w:w="0" w:type="dxa"/>
          <w:right w:w="0" w:type="dxa"/>
        </w:tblCellMar>
      </w:tblPr>
      <w:tr>
        <w:trPr>
          <w:trHeight w:val="170"/>
        </w:trPr>
        <w:tc>
          <w:tcPr>
            <w:tcW w:w="4820" w:type="dxa"/>
            <w:vAlign w:val="bottom"/>
          </w:tcPr>
          <w:p>
            <w:pPr>
              <w:ind w:left="260"/>
              <w:spacing w:after="0"/>
              <w:rPr>
                <w:sz w:val="20"/>
                <w:szCs w:val="20"/>
                <w:color w:val="auto"/>
              </w:rPr>
            </w:pPr>
            <w:r>
              <w:rPr>
                <w:rFonts w:ascii="Courier New" w:cs="Courier New" w:eastAsia="Courier New" w:hAnsi="Courier New"/>
                <w:sz w:val="15"/>
                <w:szCs w:val="15"/>
                <w:color w:val="auto"/>
              </w:rPr>
              <w:t>4</w:t>
            </w:r>
          </w:p>
        </w:tc>
        <w:tc>
          <w:tcPr>
            <w:tcW w:w="15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512"/>
        </w:trPr>
        <w:tc>
          <w:tcPr>
            <w:tcW w:w="4820" w:type="dxa"/>
            <w:vAlign w:val="bottom"/>
          </w:tcPr>
          <w:p>
            <w:pPr>
              <w:spacing w:after="0"/>
              <w:rPr>
                <w:sz w:val="20"/>
                <w:szCs w:val="20"/>
                <w:color w:val="auto"/>
              </w:rPr>
            </w:pPr>
            <w:r>
              <w:rPr>
                <w:rFonts w:ascii="Courier New" w:cs="Courier New" w:eastAsia="Courier New" w:hAnsi="Courier New"/>
                <w:sz w:val="15"/>
                <w:szCs w:val="15"/>
                <w:color w:val="auto"/>
              </w:rPr>
              <w:t>FINANCIAL HIGHLIGHTS</w:t>
            </w:r>
          </w:p>
        </w:tc>
        <w:tc>
          <w:tcPr>
            <w:tcW w:w="15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1"/>
        </w:trPr>
        <w:tc>
          <w:tcPr>
            <w:tcW w:w="4820" w:type="dxa"/>
            <w:vAlign w:val="bottom"/>
          </w:tcPr>
          <w:p>
            <w:pPr>
              <w:spacing w:after="0"/>
              <w:rPr>
                <w:sz w:val="20"/>
                <w:szCs w:val="20"/>
                <w:color w:val="auto"/>
              </w:rPr>
            </w:pPr>
            <w:r>
              <w:rPr>
                <w:rFonts w:ascii="Courier New" w:cs="Courier New" w:eastAsia="Courier New" w:hAnsi="Courier New"/>
                <w:sz w:val="15"/>
                <w:szCs w:val="15"/>
                <w:color w:val="auto"/>
              </w:rPr>
              <w:t>Yellow Corporation and Subsidiaries</w:t>
            </w:r>
          </w:p>
        </w:tc>
        <w:tc>
          <w:tcPr>
            <w:tcW w:w="15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4820" w:type="dxa"/>
            <w:vAlign w:val="bottom"/>
          </w:tcPr>
          <w:p>
            <w:pPr>
              <w:spacing w:after="0"/>
              <w:rPr>
                <w:sz w:val="20"/>
                <w:szCs w:val="20"/>
                <w:color w:val="auto"/>
              </w:rPr>
            </w:pPr>
            <w:r>
              <w:rPr>
                <w:rFonts w:ascii="Courier New" w:cs="Courier New" w:eastAsia="Courier New" w:hAnsi="Courier New"/>
                <w:sz w:val="15"/>
                <w:szCs w:val="15"/>
                <w:color w:val="auto"/>
              </w:rPr>
              <w:t>(Amounts in thousands except per share data)</w:t>
            </w:r>
          </w:p>
        </w:tc>
        <w:tc>
          <w:tcPr>
            <w:tcW w:w="15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4820" w:type="dxa"/>
            <w:vAlign w:val="bottom"/>
          </w:tcPr>
          <w:p>
            <w:pPr>
              <w:spacing w:after="0"/>
              <w:rPr>
                <w:sz w:val="14"/>
                <w:szCs w:val="14"/>
                <w:color w:val="auto"/>
              </w:rPr>
            </w:pPr>
          </w:p>
        </w:tc>
        <w:tc>
          <w:tcPr>
            <w:tcW w:w="15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1994</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1993(a)</w:t>
            </w:r>
          </w:p>
        </w:tc>
      </w:tr>
      <w:tr>
        <w:trPr>
          <w:trHeight w:val="341"/>
        </w:trPr>
        <w:tc>
          <w:tcPr>
            <w:tcW w:w="4820" w:type="dxa"/>
            <w:vAlign w:val="bottom"/>
          </w:tcPr>
          <w:p>
            <w:pPr>
              <w:spacing w:after="0"/>
              <w:rPr>
                <w:sz w:val="20"/>
                <w:szCs w:val="20"/>
                <w:color w:val="auto"/>
              </w:rPr>
            </w:pPr>
            <w:r>
              <w:rPr>
                <w:rFonts w:ascii="Courier New" w:cs="Courier New" w:eastAsia="Courier New" w:hAnsi="Courier New"/>
                <w:sz w:val="15"/>
                <w:szCs w:val="15"/>
                <w:color w:val="auto"/>
              </w:rPr>
              <w:t>Operating revenue</w:t>
            </w:r>
          </w:p>
        </w:tc>
        <w:tc>
          <w:tcPr>
            <w:tcW w:w="15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$ 2,867,492</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$ 2,856,505</w:t>
            </w:r>
          </w:p>
        </w:tc>
      </w:tr>
      <w:tr>
        <w:trPr>
          <w:trHeight w:val="171"/>
        </w:trPr>
        <w:tc>
          <w:tcPr>
            <w:tcW w:w="482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15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11,011</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53,893</w:t>
            </w:r>
          </w:p>
        </w:tc>
      </w:tr>
      <w:tr>
        <w:trPr>
          <w:trHeight w:val="171"/>
        </w:trPr>
        <w:tc>
          <w:tcPr>
            <w:tcW w:w="4820" w:type="dxa"/>
            <w:vAlign w:val="bottom"/>
          </w:tcPr>
          <w:p>
            <w:pPr>
              <w:ind w:left="780"/>
              <w:spacing w:after="0"/>
              <w:rPr>
                <w:sz w:val="20"/>
                <w:szCs w:val="20"/>
                <w:color w:val="auto"/>
              </w:rPr>
            </w:pPr>
            <w:r>
              <w:rPr>
                <w:rFonts w:ascii="Courier New" w:cs="Courier New" w:eastAsia="Courier New" w:hAnsi="Courier New"/>
                <w:sz w:val="15"/>
                <w:szCs w:val="15"/>
                <w:color w:val="auto"/>
              </w:rPr>
              <w:t>Income (loss) before extraordinary item and</w:t>
            </w:r>
          </w:p>
        </w:tc>
        <w:tc>
          <w:tcPr>
            <w:tcW w:w="15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4820" w:type="dxa"/>
            <w:vAlign w:val="bottom"/>
          </w:tcPr>
          <w:p>
            <w:pPr>
              <w:ind w:left="780"/>
              <w:spacing w:after="0"/>
              <w:rPr>
                <w:sz w:val="20"/>
                <w:szCs w:val="20"/>
                <w:color w:val="auto"/>
              </w:rPr>
            </w:pPr>
            <w:r>
              <w:rPr>
                <w:rFonts w:ascii="Courier New" w:cs="Courier New" w:eastAsia="Courier New" w:hAnsi="Courier New"/>
                <w:sz w:val="15"/>
                <w:szCs w:val="15"/>
                <w:color w:val="auto"/>
              </w:rPr>
              <w:t>cumulative effect of accounting change</w:t>
            </w:r>
          </w:p>
        </w:tc>
        <w:tc>
          <w:tcPr>
            <w:tcW w:w="15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(3,848)</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18,801</w:t>
            </w:r>
          </w:p>
        </w:tc>
      </w:tr>
      <w:tr>
        <w:trPr>
          <w:trHeight w:val="171"/>
        </w:trPr>
        <w:tc>
          <w:tcPr>
            <w:tcW w:w="482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5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(7,906)</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18,801</w:t>
            </w:r>
          </w:p>
        </w:tc>
      </w:tr>
      <w:tr>
        <w:trPr>
          <w:trHeight w:val="341"/>
        </w:trPr>
        <w:tc>
          <w:tcPr>
            <w:tcW w:w="4820" w:type="dxa"/>
            <w:vAlign w:val="bottom"/>
          </w:tcPr>
          <w:p>
            <w:pPr>
              <w:spacing w:after="0"/>
              <w:rPr>
                <w:sz w:val="20"/>
                <w:szCs w:val="20"/>
                <w:color w:val="auto"/>
              </w:rPr>
            </w:pPr>
            <w:r>
              <w:rPr>
                <w:rFonts w:ascii="Courier New" w:cs="Courier New" w:eastAsia="Courier New" w:hAnsi="Courier New"/>
                <w:sz w:val="15"/>
                <w:szCs w:val="15"/>
                <w:color w:val="auto"/>
              </w:rPr>
              <w:t>Per share data:</w:t>
            </w:r>
          </w:p>
        </w:tc>
        <w:tc>
          <w:tcPr>
            <w:tcW w:w="15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1"/>
        </w:trPr>
        <w:tc>
          <w:tcPr>
            <w:tcW w:w="4820" w:type="dxa"/>
            <w:vAlign w:val="bottom"/>
          </w:tcPr>
          <w:p>
            <w:pPr>
              <w:ind w:left="780"/>
              <w:spacing w:after="0"/>
              <w:rPr>
                <w:sz w:val="20"/>
                <w:szCs w:val="20"/>
                <w:color w:val="auto"/>
              </w:rPr>
            </w:pPr>
            <w:r>
              <w:rPr>
                <w:rFonts w:ascii="Courier New" w:cs="Courier New" w:eastAsia="Courier New" w:hAnsi="Courier New"/>
                <w:sz w:val="15"/>
                <w:szCs w:val="15"/>
                <w:color w:val="auto"/>
              </w:rPr>
              <w:t>Income (loss) before extraordinary item and</w:t>
            </w:r>
          </w:p>
        </w:tc>
        <w:tc>
          <w:tcPr>
            <w:tcW w:w="15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4820" w:type="dxa"/>
            <w:vAlign w:val="bottom"/>
          </w:tcPr>
          <w:p>
            <w:pPr>
              <w:ind w:left="880"/>
              <w:spacing w:after="0"/>
              <w:rPr>
                <w:sz w:val="20"/>
                <w:szCs w:val="20"/>
                <w:color w:val="auto"/>
              </w:rPr>
            </w:pPr>
            <w:r>
              <w:rPr>
                <w:rFonts w:ascii="Courier New" w:cs="Courier New" w:eastAsia="Courier New" w:hAnsi="Courier New"/>
                <w:sz w:val="15"/>
                <w:szCs w:val="15"/>
                <w:color w:val="auto"/>
              </w:rPr>
              <w:t>cumulative effect of accounting change</w:t>
            </w:r>
          </w:p>
        </w:tc>
        <w:tc>
          <w:tcPr>
            <w:tcW w:w="15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.67</w:t>
            </w:r>
          </w:p>
        </w:tc>
      </w:tr>
      <w:tr>
        <w:trPr>
          <w:trHeight w:val="171"/>
        </w:trPr>
        <w:tc>
          <w:tcPr>
            <w:tcW w:w="4820" w:type="dxa"/>
            <w:vAlign w:val="bottom"/>
          </w:tcPr>
          <w:p>
            <w:pPr>
              <w:ind w:left="780"/>
              <w:spacing w:after="0"/>
              <w:rPr>
                <w:sz w:val="20"/>
                <w:szCs w:val="20"/>
                <w:color w:val="auto"/>
              </w:rPr>
            </w:pPr>
            <w:r>
              <w:rPr>
                <w:rFonts w:ascii="Courier New" w:cs="Courier New" w:eastAsia="Courier New" w:hAnsi="Courier New"/>
                <w:sz w:val="15"/>
                <w:szCs w:val="15"/>
                <w:color w:val="auto"/>
              </w:rPr>
              <w:t>Net income (loss)</w:t>
            </w:r>
          </w:p>
        </w:tc>
        <w:tc>
          <w:tcPr>
            <w:tcW w:w="15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(.28)</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.67</w:t>
            </w:r>
          </w:p>
        </w:tc>
      </w:tr>
      <w:tr>
        <w:trPr>
          <w:trHeight w:val="171"/>
        </w:trPr>
        <w:tc>
          <w:tcPr>
            <w:tcW w:w="4820" w:type="dxa"/>
            <w:vAlign w:val="bottom"/>
          </w:tcPr>
          <w:p>
            <w:pPr>
              <w:ind w:left="780"/>
              <w:spacing w:after="0"/>
              <w:rPr>
                <w:sz w:val="20"/>
                <w:szCs w:val="20"/>
                <w:color w:val="auto"/>
              </w:rPr>
            </w:pPr>
            <w:r>
              <w:rPr>
                <w:rFonts w:ascii="Courier New" w:cs="Courier New" w:eastAsia="Courier New" w:hAnsi="Courier New"/>
                <w:sz w:val="15"/>
                <w:szCs w:val="15"/>
                <w:color w:val="auto"/>
              </w:rPr>
              <w:t>Cash dividends</w:t>
            </w:r>
          </w:p>
        </w:tc>
        <w:tc>
          <w:tcPr>
            <w:tcW w:w="15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.94</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.94</w:t>
            </w:r>
          </w:p>
        </w:tc>
      </w:tr>
      <w:tr>
        <w:trPr>
          <w:trHeight w:val="171"/>
        </w:trPr>
        <w:tc>
          <w:tcPr>
            <w:tcW w:w="4820" w:type="dxa"/>
            <w:vAlign w:val="bottom"/>
          </w:tcPr>
          <w:p>
            <w:pPr>
              <w:spacing w:after="0"/>
              <w:rPr>
                <w:sz w:val="20"/>
                <w:szCs w:val="20"/>
                <w:color w:val="auto"/>
              </w:rPr>
            </w:pPr>
            <w:r>
              <w:rPr>
                <w:rFonts w:ascii="Courier New" w:cs="Courier New" w:eastAsia="Courier New" w:hAnsi="Courier New"/>
                <w:sz w:val="15"/>
                <w:szCs w:val="15"/>
                <w:color w:val="auto"/>
              </w:rPr>
              <w:t>Total debt</w:t>
            </w:r>
          </w:p>
        </w:tc>
        <w:tc>
          <w:tcPr>
            <w:tcW w:w="15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247,760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226,503</w:t>
            </w:r>
          </w:p>
        </w:tc>
      </w:tr>
      <w:tr>
        <w:trPr>
          <w:trHeight w:val="171"/>
        </w:trPr>
        <w:tc>
          <w:tcPr>
            <w:tcW w:w="482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15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460,843</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486,453</w:t>
            </w:r>
          </w:p>
        </w:tc>
      </w:tr>
    </w:tbl>
    <w:p>
      <w:pPr>
        <w:spacing w:after="0" w:line="345" w:lineRule="exact"/>
        <w:rPr>
          <w:sz w:val="20"/>
          <w:szCs w:val="20"/>
          <w:color w:val="auto"/>
        </w:rPr>
      </w:pPr>
    </w:p>
    <w:p>
      <w:pPr>
        <w:ind w:left="9" w:right="800" w:hanging="9"/>
        <w:spacing w:after="0"/>
        <w:tabs>
          <w:tab w:leader="none" w:pos="364"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- 1993 amounts include the operating results of Preston Corporation effective March 1, 1993. The 1993 results also include a network development charge of $11.2 million after taxes ($.40 per share) and a charge of $1.6 million ($.06 per share) to reflect the impact of a higher tax rate on the company's deferred tax liabilities.</w:t>
      </w:r>
    </w:p>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YELLOW CORPORATION</w:t>
      </w:r>
    </w:p>
    <w:p>
      <w:pPr>
        <w:spacing w:after="0" w:line="3" w:lineRule="exact"/>
        <w:rPr>
          <w:sz w:val="20"/>
          <w:szCs w:val="20"/>
          <w:color w:val="auto"/>
        </w:rPr>
      </w:pPr>
    </w:p>
    <w:p>
      <w:pPr>
        <w:ind w:left="9" w:right="720"/>
        <w:spacing w:after="0" w:line="239" w:lineRule="auto"/>
        <w:rPr>
          <w:sz w:val="20"/>
          <w:szCs w:val="20"/>
          <w:color w:val="auto"/>
        </w:rPr>
      </w:pPr>
      <w:r>
        <w:rPr>
          <w:rFonts w:ascii="Courier New" w:cs="Courier New" w:eastAsia="Courier New" w:hAnsi="Courier New"/>
          <w:sz w:val="15"/>
          <w:szCs w:val="15"/>
          <w:color w:val="auto"/>
        </w:rPr>
        <w:t>is a holding company whose subsidiaries offer customers an array of high-service, value-added transportation products that competitively position each subsidiary for growth.</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YELLOW FREIGHT SYSTEM, INC.</w:t>
      </w:r>
    </w:p>
    <w:p>
      <w:pPr>
        <w:spacing w:after="0" w:line="3" w:lineRule="exact"/>
        <w:rPr>
          <w:sz w:val="20"/>
          <w:szCs w:val="20"/>
          <w:color w:val="auto"/>
        </w:rPr>
      </w:pPr>
    </w:p>
    <w:p>
      <w:pPr>
        <w:ind w:left="9" w:right="540"/>
        <w:spacing w:after="0"/>
        <w:rPr>
          <w:sz w:val="20"/>
          <w:szCs w:val="20"/>
          <w:color w:val="auto"/>
        </w:rPr>
      </w:pPr>
      <w:r>
        <w:rPr>
          <w:rFonts w:ascii="Courier New" w:cs="Courier New" w:eastAsia="Courier New" w:hAnsi="Courier New"/>
          <w:sz w:val="15"/>
          <w:szCs w:val="15"/>
          <w:color w:val="auto"/>
        </w:rPr>
        <w:t>Yellow Freight System, headquartered in Overland Park, KS is the corporation's largest subsidiary with 1994 operating revenue of $2.2 billion. As the largest provider of less-than-truckload services in the nation, Yellow Freight System employs 25,400 people throughout a network of 509 facilities. Direct service is available to more than 35,000 points in the United States and Canada. The company also provides service to Mexico, the Caribbean, and, via an alliance, to Europe.</w:t>
      </w:r>
    </w:p>
    <w:p>
      <w:pPr>
        <w:spacing w:after="0" w:line="17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PRESTON TRUCKING COMPANY, INC.</w:t>
      </w:r>
    </w:p>
    <w:p>
      <w:pPr>
        <w:spacing w:after="0" w:line="3" w:lineRule="exact"/>
        <w:rPr>
          <w:sz w:val="20"/>
          <w:szCs w:val="20"/>
          <w:color w:val="auto"/>
        </w:rPr>
      </w:pPr>
    </w:p>
    <w:p>
      <w:pPr>
        <w:ind w:left="9" w:right="720"/>
        <w:spacing w:after="0" w:line="258" w:lineRule="auto"/>
        <w:rPr>
          <w:sz w:val="20"/>
          <w:szCs w:val="20"/>
          <w:color w:val="auto"/>
        </w:rPr>
      </w:pPr>
      <w:r>
        <w:rPr>
          <w:rFonts w:ascii="Courier New" w:cs="Courier New" w:eastAsia="Courier New" w:hAnsi="Courier New"/>
          <w:sz w:val="14"/>
          <w:szCs w:val="14"/>
          <w:color w:val="auto"/>
        </w:rPr>
        <w:t>Preston Trucking Company, headquartered in Preston, MD provides regional less-than-truckload services in the upper Midwest and Northeast. A network of</w:t>
      </w:r>
    </w:p>
    <w:p>
      <w:pPr>
        <w:ind w:left="9" w:right="540"/>
        <w:spacing w:after="0" w:line="239" w:lineRule="auto"/>
        <w:rPr>
          <w:sz w:val="20"/>
          <w:szCs w:val="20"/>
          <w:color w:val="auto"/>
        </w:rPr>
      </w:pPr>
      <w:r>
        <w:rPr>
          <w:rFonts w:ascii="Courier New" w:cs="Courier New" w:eastAsia="Courier New" w:hAnsi="Courier New"/>
          <w:sz w:val="15"/>
          <w:szCs w:val="15"/>
          <w:color w:val="auto"/>
        </w:rPr>
        <w:t>71 facilities throughout this geographic region is operated by 5,900 employees who focus on one and two-day service. The company recorded operating revenue of $417 million in 1994.</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SAIA MOTOR FREIGHT LINE, INC.</w:t>
      </w:r>
    </w:p>
    <w:p>
      <w:pPr>
        <w:spacing w:after="0" w:line="3" w:lineRule="exact"/>
        <w:rPr>
          <w:sz w:val="20"/>
          <w:szCs w:val="20"/>
          <w:color w:val="auto"/>
        </w:rPr>
      </w:pPr>
    </w:p>
    <w:p>
      <w:pPr>
        <w:ind w:left="9" w:right="540"/>
        <w:spacing w:after="0" w:line="260" w:lineRule="auto"/>
        <w:rPr>
          <w:sz w:val="20"/>
          <w:szCs w:val="20"/>
          <w:color w:val="auto"/>
        </w:rPr>
      </w:pPr>
      <w:r>
        <w:rPr>
          <w:rFonts w:ascii="Courier New" w:cs="Courier New" w:eastAsia="Courier New" w:hAnsi="Courier New"/>
          <w:sz w:val="14"/>
          <w:szCs w:val="14"/>
          <w:color w:val="auto"/>
        </w:rPr>
        <w:t>Saia Motor Freight Line, headquartered in Houma, LA also provides regional less-than-truckload services. Its market consists of nine states in the South. Providing premier regional service, Saia's 2,300 employees operate a network of 58 facilities. This year, Saia absorbed the operations of its sister company, Smalley Transportation Company, adding full coverage for the state of Florida and parts of Georgia. Combined revenue in 1994 was $178 million.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1992</w:t>
      </w:r>
    </w:p>
    <w:p>
      <w:pPr>
        <w:spacing w:after="0" w:line="174" w:lineRule="exact"/>
        <w:rPr>
          <w:sz w:val="20"/>
          <w:szCs w:val="20"/>
          <w:color w:val="auto"/>
        </w:rPr>
      </w:pPr>
    </w:p>
    <w:p>
      <w:pPr>
        <w:ind w:left="180" w:hanging="176"/>
        <w:spacing w:after="0"/>
        <w:tabs>
          <w:tab w:leader="none" w:pos="1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2,262,676</w:t>
      </w:r>
    </w:p>
    <w:p>
      <w:pPr>
        <w:spacing w:after="0" w:line="9"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82,814</w:t>
      </w:r>
    </w:p>
    <w:p>
      <w:pPr>
        <w:spacing w:after="0" w:line="171" w:lineRule="exact"/>
        <w:rPr>
          <w:sz w:val="20"/>
          <w:szCs w:val="20"/>
          <w:color w:val="auto"/>
        </w:rPr>
      </w:pPr>
    </w:p>
    <w:p>
      <w:pPr>
        <w:jc w:val="right"/>
        <w:ind w:right="999"/>
        <w:spacing w:after="0"/>
        <w:rPr>
          <w:sz w:val="20"/>
          <w:szCs w:val="20"/>
          <w:color w:val="auto"/>
        </w:rPr>
      </w:pPr>
      <w:r>
        <w:rPr>
          <w:rFonts w:ascii="Courier New" w:cs="Courier New" w:eastAsia="Courier New" w:hAnsi="Courier New"/>
          <w:sz w:val="15"/>
          <w:szCs w:val="15"/>
          <w:color w:val="auto"/>
        </w:rPr>
        <w:t>41,040</w:t>
      </w:r>
    </w:p>
    <w:p>
      <w:pPr>
        <w:spacing w:after="0" w:line="1" w:lineRule="exact"/>
        <w:rPr>
          <w:sz w:val="20"/>
          <w:szCs w:val="20"/>
          <w:color w:val="auto"/>
        </w:rPr>
      </w:pPr>
    </w:p>
    <w:p>
      <w:pPr>
        <w:jc w:val="right"/>
        <w:ind w:right="999"/>
        <w:spacing w:after="0"/>
        <w:rPr>
          <w:sz w:val="20"/>
          <w:szCs w:val="20"/>
          <w:color w:val="auto"/>
        </w:rPr>
      </w:pPr>
      <w:r>
        <w:rPr>
          <w:rFonts w:ascii="Courier New" w:cs="Courier New" w:eastAsia="Courier New" w:hAnsi="Courier New"/>
          <w:sz w:val="15"/>
          <w:szCs w:val="15"/>
          <w:color w:val="auto"/>
        </w:rPr>
        <w:t>29,540</w:t>
      </w:r>
    </w:p>
    <w:p>
      <w:pPr>
        <w:spacing w:after="0" w:line="200" w:lineRule="exact"/>
        <w:rPr>
          <w:sz w:val="20"/>
          <w:szCs w:val="20"/>
          <w:color w:val="auto"/>
        </w:rPr>
      </w:pPr>
    </w:p>
    <w:p>
      <w:pPr>
        <w:spacing w:after="0" w:line="313" w:lineRule="exact"/>
        <w:rPr>
          <w:sz w:val="20"/>
          <w:szCs w:val="20"/>
          <w:color w:val="auto"/>
        </w:rPr>
      </w:pPr>
    </w:p>
    <w:p>
      <w:pPr>
        <w:jc w:val="right"/>
        <w:ind w:right="999"/>
        <w:spacing w:after="0"/>
        <w:rPr>
          <w:sz w:val="20"/>
          <w:szCs w:val="20"/>
          <w:color w:val="auto"/>
        </w:rPr>
      </w:pPr>
      <w:r>
        <w:rPr>
          <w:rFonts w:ascii="Courier New" w:cs="Courier New" w:eastAsia="Courier New" w:hAnsi="Courier New"/>
          <w:sz w:val="15"/>
          <w:szCs w:val="15"/>
          <w:color w:val="auto"/>
        </w:rPr>
        <w:t>1.46</w:t>
      </w:r>
    </w:p>
    <w:p>
      <w:pPr>
        <w:spacing w:after="0" w:line="1" w:lineRule="exact"/>
        <w:rPr>
          <w:sz w:val="20"/>
          <w:szCs w:val="20"/>
          <w:color w:val="auto"/>
        </w:rPr>
      </w:pPr>
    </w:p>
    <w:p>
      <w:pPr>
        <w:jc w:val="right"/>
        <w:ind w:right="999"/>
        <w:spacing w:after="0"/>
        <w:rPr>
          <w:sz w:val="20"/>
          <w:szCs w:val="20"/>
          <w:color w:val="auto"/>
        </w:rPr>
      </w:pPr>
      <w:r>
        <w:rPr>
          <w:rFonts w:ascii="Courier New" w:cs="Courier New" w:eastAsia="Courier New" w:hAnsi="Courier New"/>
          <w:sz w:val="15"/>
          <w:szCs w:val="15"/>
          <w:color w:val="auto"/>
        </w:rPr>
        <w:t>1.05</w:t>
      </w:r>
    </w:p>
    <w:p>
      <w:pPr>
        <w:spacing w:after="0" w:line="1" w:lineRule="exact"/>
        <w:rPr>
          <w:sz w:val="20"/>
          <w:szCs w:val="20"/>
          <w:color w:val="auto"/>
        </w:rPr>
      </w:pPr>
    </w:p>
    <w:p>
      <w:pPr>
        <w:jc w:val="right"/>
        <w:ind w:right="999"/>
        <w:spacing w:after="0"/>
        <w:rPr>
          <w:sz w:val="20"/>
          <w:szCs w:val="20"/>
          <w:color w:val="auto"/>
        </w:rPr>
      </w:pPr>
      <w:r>
        <w:rPr>
          <w:rFonts w:ascii="Courier New" w:cs="Courier New" w:eastAsia="Courier New" w:hAnsi="Courier New"/>
          <w:sz w:val="15"/>
          <w:szCs w:val="15"/>
          <w:color w:val="auto"/>
        </w:rPr>
        <w:t>.94</w:t>
      </w:r>
    </w:p>
    <w:p>
      <w:pPr>
        <w:spacing w:after="0" w:line="1" w:lineRule="exact"/>
        <w:rPr>
          <w:sz w:val="20"/>
          <w:szCs w:val="20"/>
          <w:color w:val="auto"/>
        </w:rPr>
      </w:pPr>
    </w:p>
    <w:p>
      <w:pPr>
        <w:jc w:val="right"/>
        <w:ind w:right="999"/>
        <w:spacing w:after="0"/>
        <w:rPr>
          <w:sz w:val="20"/>
          <w:szCs w:val="20"/>
          <w:color w:val="auto"/>
        </w:rPr>
      </w:pPr>
      <w:r>
        <w:rPr>
          <w:rFonts w:ascii="Courier New" w:cs="Courier New" w:eastAsia="Courier New" w:hAnsi="Courier New"/>
          <w:sz w:val="15"/>
          <w:szCs w:val="15"/>
          <w:color w:val="auto"/>
        </w:rPr>
        <w:t>134,077</w:t>
      </w:r>
    </w:p>
    <w:p>
      <w:pPr>
        <w:spacing w:after="0" w:line="1" w:lineRule="exact"/>
        <w:rPr>
          <w:sz w:val="20"/>
          <w:szCs w:val="20"/>
          <w:color w:val="auto"/>
        </w:rPr>
      </w:pPr>
    </w:p>
    <w:p>
      <w:pPr>
        <w:jc w:val="right"/>
        <w:ind w:right="999"/>
        <w:spacing w:after="0"/>
        <w:rPr>
          <w:sz w:val="20"/>
          <w:szCs w:val="20"/>
          <w:color w:val="auto"/>
        </w:rPr>
      </w:pPr>
      <w:r>
        <w:rPr>
          <w:rFonts w:ascii="Courier New" w:cs="Courier New" w:eastAsia="Courier New" w:hAnsi="Courier New"/>
          <w:sz w:val="15"/>
          <w:szCs w:val="15"/>
          <w:color w:val="auto"/>
        </w:rPr>
        <w:t>485,496</w:t>
      </w:r>
    </w:p>
    <w:p>
      <w:pPr>
        <w:sectPr>
          <w:pgSz w:w="11900" w:h="16838" w:orient="portrait"/>
          <w:cols w:equalWidth="0" w:num="2">
            <w:col w:w="7549" w:space="700"/>
            <w:col w:w="1979"/>
          </w:cols>
          <w:pgMar w:left="231" w:top="287" w:right="1440"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5"/>
          <w:szCs w:val="15"/>
          <w:color w:val="auto"/>
        </w:rPr>
        <w:t>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CSI/REEVES, INC.</w:t>
      </w:r>
    </w:p>
    <w:p>
      <w:pPr>
        <w:spacing w:after="0" w:line="174" w:lineRule="exact"/>
        <w:rPr>
          <w:sz w:val="20"/>
          <w:szCs w:val="20"/>
          <w:color w:val="auto"/>
        </w:rPr>
      </w:pPr>
    </w:p>
    <w:p>
      <w:pPr>
        <w:ind w:right="3399"/>
        <w:spacing w:after="0" w:line="239" w:lineRule="auto"/>
        <w:rPr>
          <w:sz w:val="20"/>
          <w:szCs w:val="20"/>
          <w:color w:val="auto"/>
        </w:rPr>
      </w:pPr>
      <w:r>
        <w:rPr>
          <w:rFonts w:ascii="Courier New" w:cs="Courier New" w:eastAsia="Courier New" w:hAnsi="Courier New"/>
          <w:sz w:val="15"/>
          <w:szCs w:val="15"/>
          <w:color w:val="auto"/>
        </w:rPr>
        <w:t>CSI/Reeves, headquartered in Calhoun, GA is a specialty carrier providing transportation, warehousing and distribution services to the carpet and floor covering industry. Almost 400 people are employed by CSI/Reeves with 1994 revenue of $36 million.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WESTEX,</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WestEx, formerly Johnson's Freightlines, headquartered in Phoenix, AZ is 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 acquisition. This regional less-than-truckload carrier provides mostly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overnight service to the states of Arizona, New Mexico and parts of Texas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Nevada. Over 300 people are employed at WestEx with 1994 operating revenue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$17 million.* The company plans to expand into California and adjoining Western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YELLOW LOGISTICS SERVICES, INC.</w:t>
      </w:r>
    </w:p>
    <w:p>
      <w:pPr>
        <w:spacing w:after="0" w:line="3"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Yellow Logistics Services, headquartered in Overland Park, KS offers a full range of integrated logistics management services including transportation management, warehousing, information systems, distribution, package design and testing.</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YELLOW TECHNOLOGY SERVICES, INC.</w:t>
      </w:r>
    </w:p>
    <w:p>
      <w:pPr>
        <w:spacing w:after="0" w:line="3" w:lineRule="exact"/>
        <w:rPr>
          <w:sz w:val="20"/>
          <w:szCs w:val="20"/>
          <w:color w:val="auto"/>
        </w:rPr>
      </w:pPr>
    </w:p>
    <w:p>
      <w:pPr>
        <w:ind w:right="3479"/>
        <w:spacing w:after="0" w:line="262" w:lineRule="auto"/>
        <w:rPr>
          <w:sz w:val="20"/>
          <w:szCs w:val="20"/>
          <w:color w:val="auto"/>
        </w:rPr>
      </w:pPr>
      <w:r>
        <w:rPr>
          <w:rFonts w:ascii="Courier New" w:cs="Courier New" w:eastAsia="Courier New" w:hAnsi="Courier New"/>
          <w:sz w:val="14"/>
          <w:szCs w:val="14"/>
          <w:color w:val="auto"/>
        </w:rPr>
        <w:t>Yellow Technology Services, headquartered in Overland Park, KS employs 300 people and ensures that the operating companies--primarily Yellow Freight System--have access to advanced information systems that are now required to meet the ever-increasing information demands of transportation customers.</w:t>
      </w:r>
    </w:p>
    <w:p>
      <w:pPr>
        <w:spacing w:after="0" w:line="161" w:lineRule="exact"/>
        <w:rPr>
          <w:sz w:val="20"/>
          <w:szCs w:val="20"/>
          <w:color w:val="auto"/>
        </w:rPr>
      </w:pPr>
    </w:p>
    <w:p>
      <w:pPr>
        <w:ind w:right="3299"/>
        <w:spacing w:after="0" w:line="238" w:lineRule="auto"/>
        <w:rPr>
          <w:sz w:val="20"/>
          <w:szCs w:val="20"/>
          <w:color w:val="auto"/>
        </w:rPr>
      </w:pPr>
      <w:r>
        <w:rPr>
          <w:rFonts w:ascii="Courier New" w:cs="Courier New" w:eastAsia="Courier New" w:hAnsi="Courier New"/>
          <w:sz w:val="15"/>
          <w:szCs w:val="15"/>
          <w:color w:val="auto"/>
        </w:rPr>
        <w:t>*This acquisition was completed in November 1994, resulting in only two months of revenue reflected in the consolidated results.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LETTER TO SHAREHOLDERS</w:t>
      </w:r>
    </w:p>
    <w:p>
      <w:pPr>
        <w:spacing w:after="0" w:line="174" w:lineRule="exact"/>
        <w:rPr>
          <w:sz w:val="20"/>
          <w:szCs w:val="20"/>
          <w:color w:val="auto"/>
        </w:rPr>
      </w:pPr>
    </w:p>
    <w:p>
      <w:pPr>
        <w:jc w:val="both"/>
        <w:ind w:right="3579"/>
        <w:spacing w:after="0" w:line="258" w:lineRule="auto"/>
        <w:rPr>
          <w:sz w:val="20"/>
          <w:szCs w:val="20"/>
          <w:color w:val="auto"/>
        </w:rPr>
      </w:pPr>
      <w:r>
        <w:rPr>
          <w:rFonts w:ascii="Courier New" w:cs="Courier New" w:eastAsia="Courier New" w:hAnsi="Courier New"/>
          <w:sz w:val="14"/>
          <w:szCs w:val="14"/>
          <w:color w:val="auto"/>
        </w:rPr>
        <w:t>One dominant event had a material impact on Yellow Corporation in 1994. The 24-day national labor strike against our largest subsidiary, Yellow Freight System, cast a shadow over our perfor-mance in the first half of the year.</w:t>
      </w:r>
    </w:p>
    <w:p>
      <w:pPr>
        <w:spacing w:after="0" w:line="1" w:lineRule="exact"/>
        <w:rPr>
          <w:sz w:val="20"/>
          <w:szCs w:val="20"/>
          <w:color w:val="auto"/>
        </w:rPr>
      </w:pPr>
    </w:p>
    <w:p>
      <w:pPr>
        <w:ind w:right="4019"/>
        <w:spacing w:after="0" w:line="258" w:lineRule="auto"/>
        <w:rPr>
          <w:sz w:val="20"/>
          <w:szCs w:val="20"/>
          <w:color w:val="auto"/>
        </w:rPr>
      </w:pPr>
      <w:r>
        <w:rPr>
          <w:rFonts w:ascii="Courier New" w:cs="Courier New" w:eastAsia="Courier New" w:hAnsi="Courier New"/>
          <w:sz w:val="14"/>
          <w:szCs w:val="14"/>
          <w:color w:val="auto"/>
        </w:rPr>
        <w:t>During the second half, however, we regained momentum with an improved performance allowing us to resume progress on our long-term strategy.</w:t>
      </w:r>
    </w:p>
    <w:p>
      <w:pPr>
        <w:ind w:right="3219" w:firstLine="799"/>
        <w:spacing w:after="0"/>
        <w:rPr>
          <w:sz w:val="20"/>
          <w:szCs w:val="20"/>
          <w:color w:val="auto"/>
        </w:rPr>
      </w:pPr>
      <w:r>
        <w:rPr>
          <w:rFonts w:ascii="Courier New" w:cs="Courier New" w:eastAsia="Courier New" w:hAnsi="Courier New"/>
          <w:sz w:val="15"/>
          <w:szCs w:val="15"/>
          <w:color w:val="auto"/>
        </w:rPr>
        <w:t>That strategy is straightforward: maximize profitability at our core operations while lever-aging our management experience and reputation to selectively acquire and build new transportation businesses. Having transformed in the last two years from the owner of a single motor carrier to a transportation holding company, we are confident about 1995 and beyond.</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1994 PERFORMANCE</w:t>
      </w:r>
    </w:p>
    <w:p>
      <w:pPr>
        <w:spacing w:after="0" w:line="3"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Yellow Corporation lost $7.9 million, or $.28 per share in 1994, compared to a profit of $18.8 million, or $.67 per share, in 1993. The loss was due directly to the national strike by the International Brotherhood of Teamsters in April. The work stoppage at Yellow Freight had a negative earnings impact of an estimated $1.24 per share. Harsh winter weather in the first quarter and a one-time, after tax charge of $4.1 million, or $.14 per share, in the third quarter to write-off the value of intrastate operating rights also contributed to lower corporate earnings. Yellow Freight and Preston Trucking Company were</w:t>
      </w:r>
    </w:p>
    <w:p>
      <w:pPr>
        <w:sectPr>
          <w:pgSz w:w="11900" w:h="16838" w:orient="portrait"/>
          <w:cols w:equalWidth="0" w:num="1">
            <w:col w:w="10219"/>
          </w:cols>
          <w:pgMar w:left="240" w:top="287" w:right="1440" w:bottom="1440"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5"/>
          <w:szCs w:val="15"/>
          <w:color w:val="auto"/>
        </w:rPr>
        <w:t>6</w:t>
      </w:r>
    </w:p>
    <w:p>
      <w:pPr>
        <w:spacing w:after="0" w:line="3"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adversely affected by the strike. Yellow Freight, however, regained more than 98 percent of pre-strike revenue by year's end. Cost control, continued diversification of its product offering and marketplace pricing stability also contributed to a positive second half performance by Yellow Freight.</w:t>
      </w:r>
    </w:p>
    <w:p>
      <w:pPr>
        <w:spacing w:after="0" w:line="6" w:lineRule="exact"/>
        <w:rPr>
          <w:sz w:val="20"/>
          <w:szCs w:val="20"/>
          <w:color w:val="auto"/>
        </w:rPr>
      </w:pPr>
    </w:p>
    <w:p>
      <w:pPr>
        <w:ind w:right="3299" w:firstLine="799"/>
        <w:spacing w:after="0" w:line="258" w:lineRule="auto"/>
        <w:rPr>
          <w:sz w:val="20"/>
          <w:szCs w:val="20"/>
          <w:color w:val="auto"/>
        </w:rPr>
      </w:pPr>
      <w:r>
        <w:rPr>
          <w:rFonts w:ascii="Courier New" w:cs="Courier New" w:eastAsia="Courier New" w:hAnsi="Courier New"/>
          <w:sz w:val="14"/>
          <w:szCs w:val="14"/>
          <w:color w:val="auto"/>
        </w:rPr>
        <w:t>Preston Trucking, fortunate to endure only six idle days during the national strike, saw revenue increase dramatically during April as shippers turned to the carrier as one of few alternatives to move their goods. Preston Trucking was, however, adversely affected by the event when the heavy volumes strained its system. Service performance and profitability suffered in the remainder of the second quarter and the third quarter. Preston Trucking's fourth quarter showed improvement with revenue gains and further cost control.</w:t>
      </w:r>
    </w:p>
    <w:p>
      <w:pPr>
        <w:spacing w:after="0" w:line="1"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Saia Motor Freight enjoyed significant revenue growth throughout the year as it acquired new business through geographic expansion. In addition, the company received modest benefit from the labor strike as shippers sought alternative transportation capacity. Revenue increased 15 percent year over year. Saia will also grow as a result of its recent merger with sister company Smalley Transportation Company. The merger, completed in January 1995, created a $180 million company.</w:t>
      </w:r>
    </w:p>
    <w:p>
      <w:pPr>
        <w:spacing w:after="0" w:line="5"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Yellow Logistics Services successfully expanded logistics activity for existing customers and attracted new customers. Through this subsidiary, we are offering services such as transportation management, warehousing, special integrated services, package testing and optimization, and transportation and distribution process reengineering. CSI/Reeves, our specialty-carpet logistics carrier, benefited from yield improvement and market expansion and penetration. CSI had revenue growth of 28 percent and posted its first operating profit since 1988.</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PLAN</w:t>
      </w:r>
    </w:p>
    <w:p>
      <w:pPr>
        <w:spacing w:after="0" w:line="3" w:lineRule="exact"/>
        <w:rPr>
          <w:sz w:val="20"/>
          <w:szCs w:val="20"/>
          <w:color w:val="auto"/>
        </w:rPr>
      </w:pPr>
    </w:p>
    <w:p>
      <w:pPr>
        <w:ind w:right="3299" w:firstLine="799"/>
        <w:spacing w:after="0"/>
        <w:rPr>
          <w:sz w:val="20"/>
          <w:szCs w:val="20"/>
          <w:color w:val="auto"/>
        </w:rPr>
      </w:pPr>
      <w:r>
        <w:rPr>
          <w:rFonts w:ascii="Courier New" w:cs="Courier New" w:eastAsia="Courier New" w:hAnsi="Courier New"/>
          <w:sz w:val="15"/>
          <w:szCs w:val="15"/>
          <w:color w:val="auto"/>
        </w:rPr>
        <w:t>Yellow Freight provides 80 percent of our corporate revenue. As the greatest contributor to revenue and earnings, it is essential that we maximize the earning power of this core business. Strategically, Yellow Freight will reduce costs by fully implementing provisions of its new labor agreement, continuing to reconfigure its terminal network and investing in technology to improve productivity. Revenue will be enhanced with improved yield management and continued new product introduction. Profitability will also benefit from Yellow's continued commitment to pricing stability.</w:t>
      </w:r>
    </w:p>
    <w:p>
      <w:pPr>
        <w:spacing w:after="0" w:line="6" w:lineRule="exact"/>
        <w:rPr>
          <w:sz w:val="20"/>
          <w:szCs w:val="20"/>
          <w:color w:val="auto"/>
        </w:rPr>
      </w:pPr>
    </w:p>
    <w:p>
      <w:pPr>
        <w:ind w:right="3399" w:firstLine="799"/>
        <w:spacing w:after="0" w:line="239" w:lineRule="auto"/>
        <w:rPr>
          <w:sz w:val="20"/>
          <w:szCs w:val="20"/>
          <w:color w:val="auto"/>
        </w:rPr>
      </w:pPr>
      <w:r>
        <w:rPr>
          <w:rFonts w:ascii="Courier New" w:cs="Courier New" w:eastAsia="Courier New" w:hAnsi="Courier New"/>
          <w:sz w:val="15"/>
          <w:szCs w:val="15"/>
          <w:color w:val="auto"/>
        </w:rPr>
        <w:t>Terminal network changes are streamlining operations. While over 100 facilities have been consolidated, geographic coverage remains unchanged and service has improved at reduced costs. Annual cost savings are currently running in excess of $10 million.</w:t>
      </w:r>
    </w:p>
    <w:p>
      <w:pPr>
        <w:spacing w:after="0" w:line="6" w:lineRule="exact"/>
        <w:rPr>
          <w:sz w:val="20"/>
          <w:szCs w:val="20"/>
          <w:color w:val="auto"/>
        </w:rPr>
      </w:pPr>
    </w:p>
    <w:p>
      <w:pPr>
        <w:ind w:right="3219" w:firstLine="799"/>
        <w:spacing w:after="0" w:line="258" w:lineRule="auto"/>
        <w:rPr>
          <w:sz w:val="20"/>
          <w:szCs w:val="20"/>
          <w:color w:val="auto"/>
        </w:rPr>
      </w:pPr>
      <w:r>
        <w:rPr>
          <w:rFonts w:ascii="Courier New" w:cs="Courier New" w:eastAsia="Courier New" w:hAnsi="Courier New"/>
          <w:sz w:val="14"/>
          <w:szCs w:val="14"/>
          <w:color w:val="auto"/>
        </w:rPr>
        <w:t>Yellow Freight is taking full advantage of the flexibility available in its new labor agreement. In October, the company conducted operational changes to implement new intermodal provisions available in the contract. When the benefits of the provisions are fully realized, annual savings are expected to approach $30 million. Add the elimination of forced overtime for dockworkers and a lower new-hire compensation scale, and total savings are expected to exceed $40 million annually by the fourth and final year of the pact, offsetting annual increases in wages and benefits agreed to in the contract.</w:t>
      </w:r>
    </w:p>
    <w:p>
      <w:pPr>
        <w:spacing w:after="0" w:line="1"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Earning power will also be enhanced over the next three years at Yellow Freight with a $100 million investment in technology to further automate information flows, capture information at its source and streamline freight movement. Because our business is intensely transactional, the reengineering of these processes presents significant opportunities to reduce administrative costs and improve productivity through enhanced freight flow planning. As well, the centralization of customer service</w:t>
      </w:r>
    </w:p>
    <w:p>
      <w:pPr>
        <w:sectPr>
          <w:pgSz w:w="11900" w:h="16838" w:orient="portrait"/>
          <w:cols w:equalWidth="0" w:num="1">
            <w:col w:w="10219"/>
          </w:cols>
          <w:pgMar w:left="240" w:top="287" w:right="1440" w:bottom="1440" w:gutter="0" w:footer="0" w:header="0"/>
        </w:sectPr>
      </w:pPr>
    </w:p>
    <w:bookmarkStart w:id="21" w:name="page22"/>
    <w:bookmarkEnd w:id="21"/>
    <w:p>
      <w:pPr>
        <w:ind w:left="260"/>
        <w:spacing w:after="0"/>
        <w:rPr>
          <w:sz w:val="20"/>
          <w:szCs w:val="20"/>
          <w:color w:val="auto"/>
        </w:rPr>
      </w:pPr>
      <w:r>
        <w:rPr>
          <w:rFonts w:ascii="Courier New" w:cs="Courier New" w:eastAsia="Courier New" w:hAnsi="Courier New"/>
          <w:sz w:val="15"/>
          <w:szCs w:val="15"/>
          <w:color w:val="auto"/>
        </w:rPr>
        <w:t>7</w:t>
      </w:r>
    </w:p>
    <w:p>
      <w:pPr>
        <w:spacing w:after="0" w:line="3" w:lineRule="exact"/>
        <w:rPr>
          <w:sz w:val="20"/>
          <w:szCs w:val="20"/>
          <w:color w:val="auto"/>
        </w:rPr>
      </w:pPr>
    </w:p>
    <w:p>
      <w:pPr>
        <w:ind w:right="3659"/>
        <w:spacing w:after="0" w:line="239" w:lineRule="auto"/>
        <w:rPr>
          <w:sz w:val="20"/>
          <w:szCs w:val="20"/>
          <w:color w:val="auto"/>
        </w:rPr>
      </w:pPr>
      <w:r>
        <w:rPr>
          <w:rFonts w:ascii="Courier New" w:cs="Courier New" w:eastAsia="Courier New" w:hAnsi="Courier New"/>
          <w:sz w:val="15"/>
          <w:szCs w:val="15"/>
          <w:color w:val="auto"/>
        </w:rPr>
        <w:t>functions will provide more timely and more valuable customer information. Partial benefits of this investment are already evident and we expect to realize full benefits in two to three years.</w:t>
      </w:r>
    </w:p>
    <w:p>
      <w:pPr>
        <w:spacing w:after="0" w:line="4" w:lineRule="exact"/>
        <w:rPr>
          <w:sz w:val="20"/>
          <w:szCs w:val="20"/>
          <w:color w:val="auto"/>
        </w:rPr>
      </w:pPr>
    </w:p>
    <w:p>
      <w:pPr>
        <w:ind w:right="3299" w:firstLine="799"/>
        <w:spacing w:after="0"/>
        <w:rPr>
          <w:sz w:val="20"/>
          <w:szCs w:val="20"/>
          <w:color w:val="auto"/>
        </w:rPr>
      </w:pPr>
      <w:r>
        <w:rPr>
          <w:rFonts w:ascii="Courier New" w:cs="Courier New" w:eastAsia="Courier New" w:hAnsi="Courier New"/>
          <w:sz w:val="15"/>
          <w:szCs w:val="15"/>
          <w:color w:val="auto"/>
        </w:rPr>
        <w:t>In addition to removing costs and improving processes, Yellow Freight continues to create new revenue streams to maintain its market leadership position. For example, Yellow Integrated Services(TM) provides shippers with customized solutions such as warehousing, special pick up and delivery or return goods coordination. Yellow Express Services(TM) includes a guaranteed service and an expansion of reduced transit time services. Yellow Information Technology(TM) offers customers technology products ranging from electronic data interchange to imaging, to PC-based tracing and rating. Additionally, Yellow Freight will continue to pursue target markets such as the exhibit and chemical markets. Yellow International Services(TM) will expand in 1995 with plans to launch service to the Pacific Rim and add an air product to its existing transatlantic European service.</w:t>
      </w:r>
    </w:p>
    <w:p>
      <w:pPr>
        <w:spacing w:after="0" w:line="9" w:lineRule="exact"/>
        <w:rPr>
          <w:sz w:val="20"/>
          <w:szCs w:val="20"/>
          <w:color w:val="auto"/>
        </w:rPr>
      </w:pPr>
    </w:p>
    <w:p>
      <w:pPr>
        <w:jc w:val="both"/>
        <w:ind w:right="3399" w:firstLine="799"/>
        <w:spacing w:after="0" w:line="258" w:lineRule="auto"/>
        <w:rPr>
          <w:sz w:val="20"/>
          <w:szCs w:val="20"/>
          <w:color w:val="auto"/>
        </w:rPr>
      </w:pPr>
      <w:r>
        <w:rPr>
          <w:rFonts w:ascii="Courier New" w:cs="Courier New" w:eastAsia="Courier New" w:hAnsi="Courier New"/>
          <w:sz w:val="14"/>
          <w:szCs w:val="14"/>
          <w:color w:val="auto"/>
        </w:rPr>
        <w:t>Evidenced by its emphasis on cost control, technology investment and attention to revenue opportunities, Yellow Freight is a company determined to maintain its position as a leader in the transportation marketplace.</w:t>
      </w:r>
    </w:p>
    <w:p>
      <w:pPr>
        <w:spacing w:after="0" w:line="1"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Preston Trucking continues its financial turnaround. In 1994, employees gave the company overwhelming support by voting to continue a wage reduction at 7 percent below the national union standard. The percentage will be reduced to 5 percent in April 1995. Full wages will be restored in April 1996. The wage reduction will save an estimated $25 million and provides the necessary time for new productivity programs and a new service offering to take hold.</w:t>
      </w:r>
    </w:p>
    <w:p>
      <w:pPr>
        <w:spacing w:after="0" w:line="5" w:lineRule="exact"/>
        <w:rPr>
          <w:sz w:val="20"/>
          <w:szCs w:val="20"/>
          <w:color w:val="auto"/>
        </w:rPr>
      </w:pPr>
    </w:p>
    <w:p>
      <w:pPr>
        <w:ind w:right="3299" w:firstLine="799"/>
        <w:spacing w:after="0" w:line="258" w:lineRule="auto"/>
        <w:rPr>
          <w:sz w:val="20"/>
          <w:szCs w:val="20"/>
          <w:color w:val="auto"/>
        </w:rPr>
      </w:pPr>
      <w:r>
        <w:rPr>
          <w:rFonts w:ascii="Courier New" w:cs="Courier New" w:eastAsia="Courier New" w:hAnsi="Courier New"/>
          <w:sz w:val="14"/>
          <w:szCs w:val="14"/>
          <w:color w:val="auto"/>
        </w:rPr>
        <w:t>Investment at Preston Trucking is directed toward activities that provide dramatic service improvements. A $5 million, 170-door distribution center near Cleveland, Ohio is the centerpiece of the new SuperRegion service which offers reduced transit times in an expanded geographic region. To date, competitors have been unable to match the service on a comprehensive basis and customers are enthusiastic about the superior product. As a result, Preston Trucking's revenue and profitability are expected to improve throughout 1995.</w:t>
      </w:r>
    </w:p>
    <w:p>
      <w:pPr>
        <w:spacing w:after="0" w:line="1" w:lineRule="exact"/>
        <w:rPr>
          <w:sz w:val="20"/>
          <w:szCs w:val="20"/>
          <w:color w:val="auto"/>
        </w:rPr>
      </w:pPr>
    </w:p>
    <w:p>
      <w:pPr>
        <w:ind w:right="3299" w:firstLine="799"/>
        <w:spacing w:after="0"/>
        <w:rPr>
          <w:sz w:val="20"/>
          <w:szCs w:val="20"/>
          <w:color w:val="auto"/>
        </w:rPr>
      </w:pPr>
      <w:r>
        <w:rPr>
          <w:rFonts w:ascii="Courier New" w:cs="Courier New" w:eastAsia="Courier New" w:hAnsi="Courier New"/>
          <w:sz w:val="15"/>
          <w:szCs w:val="15"/>
          <w:color w:val="auto"/>
        </w:rPr>
        <w:t>Saia responded to market demands for high quality regional service in the South by opening 20 new facilities during the year. Saia also recently absorbed the business of Smalley Transportation. The combined operation, marketed as Saia, now has 58 facilities stretching from Texas to Florida. Saia will leverage the merger and recent intrastate deregulation to offer customers full-state and overnight coverage in nine states, as well as a comprehensive regional service across the South.</w:t>
      </w:r>
    </w:p>
    <w:p>
      <w:pPr>
        <w:spacing w:after="0" w:line="5" w:lineRule="exact"/>
        <w:rPr>
          <w:sz w:val="20"/>
          <w:szCs w:val="20"/>
          <w:color w:val="auto"/>
        </w:rPr>
      </w:pPr>
    </w:p>
    <w:p>
      <w:pPr>
        <w:ind w:right="3299" w:firstLine="799"/>
        <w:spacing w:after="0"/>
        <w:rPr>
          <w:sz w:val="20"/>
          <w:szCs w:val="20"/>
          <w:color w:val="auto"/>
        </w:rPr>
      </w:pPr>
      <w:r>
        <w:rPr>
          <w:rFonts w:ascii="Courier New" w:cs="Courier New" w:eastAsia="Courier New" w:hAnsi="Courier New"/>
          <w:sz w:val="15"/>
          <w:szCs w:val="15"/>
          <w:color w:val="auto"/>
        </w:rPr>
        <w:t>Consistent with our corporate strategy to expand our regional less-than-truckload business, Yellow Corporation acquired a regional carrier based in Phoenix, AZ. Johnson's Freightlines serves Arizona, New Mexico and parts of Texas and Nevada. The company was renamed WestEx and will expand its presence in the Western United States. Plans for expansion into California and adjoining states are underway.</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FUTURE</w:t>
      </w:r>
    </w:p>
    <w:p>
      <w:pPr>
        <w:spacing w:after="0" w:line="3"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What used to be exceptional service is becoming the norm. It is no longer acceptable to simply keep pace. Our companies must set the pace by redefining exceptional service. To do so, our management and employees have discarded old ways of doing business in favor of unprecedented approaches to problem solving. In the following pages of this report, you'll read examples of these new approaches and how they will lead to improved profitability.</w:t>
      </w:r>
    </w:p>
    <w:p>
      <w:pPr>
        <w:spacing w:after="0" w:line="4" w:lineRule="exact"/>
        <w:rPr>
          <w:sz w:val="20"/>
          <w:szCs w:val="20"/>
          <w:color w:val="auto"/>
        </w:rPr>
      </w:pPr>
    </w:p>
    <w:p>
      <w:pPr>
        <w:ind w:right="3759" w:firstLine="799"/>
        <w:spacing w:after="0" w:line="238" w:lineRule="auto"/>
        <w:rPr>
          <w:sz w:val="20"/>
          <w:szCs w:val="20"/>
          <w:color w:val="auto"/>
        </w:rPr>
      </w:pPr>
      <w:r>
        <w:rPr>
          <w:rFonts w:ascii="Courier New" w:cs="Courier New" w:eastAsia="Courier New" w:hAnsi="Courier New"/>
          <w:sz w:val="15"/>
          <w:szCs w:val="15"/>
          <w:color w:val="auto"/>
        </w:rPr>
        <w:t>As we mark the halfway point of the decade, history continues to record rapid change</w:t>
      </w:r>
    </w:p>
    <w:p>
      <w:pPr>
        <w:sectPr>
          <w:pgSz w:w="11900" w:h="16838" w:orient="portrait"/>
          <w:cols w:equalWidth="0" w:num="1">
            <w:col w:w="10219"/>
          </w:cols>
          <w:pgMar w:left="240" w:top="287" w:right="1440" w:bottom="1440" w:gutter="0" w:footer="0" w:header="0"/>
        </w:sectPr>
      </w:pPr>
    </w:p>
    <w:bookmarkStart w:id="22" w:name="page23"/>
    <w:bookmarkEnd w:id="22"/>
    <w:p>
      <w:pPr>
        <w:ind w:left="260"/>
        <w:spacing w:after="0"/>
        <w:rPr>
          <w:sz w:val="20"/>
          <w:szCs w:val="20"/>
          <w:color w:val="auto"/>
        </w:rPr>
      </w:pPr>
      <w:r>
        <w:rPr>
          <w:rFonts w:ascii="Courier New" w:cs="Courier New" w:eastAsia="Courier New" w:hAnsi="Courier New"/>
          <w:sz w:val="15"/>
          <w:szCs w:val="15"/>
          <w:color w:val="auto"/>
        </w:rPr>
        <w:t>8</w:t>
      </w:r>
    </w:p>
    <w:p>
      <w:pPr>
        <w:spacing w:after="0" w:line="3" w:lineRule="exact"/>
        <w:rPr>
          <w:sz w:val="20"/>
          <w:szCs w:val="20"/>
          <w:color w:val="auto"/>
        </w:rPr>
      </w:pPr>
    </w:p>
    <w:p>
      <w:pPr>
        <w:ind w:right="3299"/>
        <w:spacing w:after="0"/>
        <w:rPr>
          <w:sz w:val="20"/>
          <w:szCs w:val="20"/>
          <w:color w:val="auto"/>
        </w:rPr>
      </w:pPr>
      <w:r>
        <w:rPr>
          <w:rFonts w:ascii="Courier New" w:cs="Courier New" w:eastAsia="Courier New" w:hAnsi="Courier New"/>
          <w:sz w:val="15"/>
          <w:szCs w:val="15"/>
          <w:color w:val="auto"/>
        </w:rPr>
        <w:t>in the transportation industry. Global competitive pressures are pushing customers toward optimization of their total logistics costs, requiring faster and more reliable transit times. In many instances, customers are completely re-configuring their distribution patterns to meet these demands, resulting in the need for transportation suppliers to change. This, combined with the effects of intrastate deregulation, means that we must be prepared for increased competition.</w:t>
      </w:r>
    </w:p>
    <w:p>
      <w:pPr>
        <w:spacing w:after="0" w:line="5"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Yellow Corporation companies have anticipated these challenges and are continuing to implement changes that strengthen their position as transportation suppliers of choice. We are equipped with the assets, technology, management experience and employee commitment to successfully execute our plans. Our companies will make their customers more competitive. The result will be enhanced shareholder value.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GEORGE E. POWELL III</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 and Chief Executive Officer</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YELLOW FREIGHT'S VISION IS CLEAR</w:t>
      </w:r>
    </w:p>
    <w:p>
      <w:pPr>
        <w:spacing w:after="0" w:line="3" w:lineRule="exact"/>
        <w:rPr>
          <w:sz w:val="20"/>
          <w:szCs w:val="20"/>
          <w:color w:val="auto"/>
        </w:rPr>
      </w:pPr>
    </w:p>
    <w:p>
      <w:pPr>
        <w:ind w:right="3479"/>
        <w:spacing w:after="0" w:line="239" w:lineRule="auto"/>
        <w:rPr>
          <w:sz w:val="20"/>
          <w:szCs w:val="20"/>
          <w:color w:val="auto"/>
        </w:rPr>
      </w:pPr>
      <w:r>
        <w:rPr>
          <w:rFonts w:ascii="Courier New" w:cs="Courier New" w:eastAsia="Courier New" w:hAnsi="Courier New"/>
          <w:sz w:val="15"/>
          <w:szCs w:val="15"/>
          <w:color w:val="auto"/>
        </w:rPr>
        <w:t>In early 1994, Yellow Freight System assembled a plan called Blueprint for Change that would positively alter its activities for years to come. The "blueprint" outlines dramatic changes in the company's processes, management approach and employee skills.</w:t>
      </w:r>
    </w:p>
    <w:p>
      <w:pPr>
        <w:spacing w:after="0" w:line="176" w:lineRule="exact"/>
        <w:rPr>
          <w:sz w:val="20"/>
          <w:szCs w:val="20"/>
          <w:color w:val="auto"/>
        </w:rPr>
      </w:pPr>
    </w:p>
    <w:p>
      <w:pPr>
        <w:ind w:right="4019"/>
        <w:spacing w:after="0" w:line="271" w:lineRule="auto"/>
        <w:rPr>
          <w:sz w:val="20"/>
          <w:szCs w:val="20"/>
          <w:color w:val="auto"/>
        </w:rPr>
      </w:pPr>
      <w:r>
        <w:rPr>
          <w:rFonts w:ascii="Courier New" w:cs="Courier New" w:eastAsia="Courier New" w:hAnsi="Courier New"/>
          <w:sz w:val="14"/>
          <w:szCs w:val="14"/>
          <w:color w:val="auto"/>
        </w:rPr>
        <w:t>PHOTO COPY: Yellow Freight's vision is clear: to be the fastest, most convenient and reliable transportation partner of the 21st century.</w:t>
      </w:r>
    </w:p>
    <w:p>
      <w:pPr>
        <w:spacing w:after="0" w:line="154" w:lineRule="exact"/>
        <w:rPr>
          <w:sz w:val="20"/>
          <w:szCs w:val="20"/>
          <w:color w:val="auto"/>
        </w:rPr>
      </w:pPr>
    </w:p>
    <w:p>
      <w:pPr>
        <w:ind w:right="3299" w:firstLine="799"/>
        <w:spacing w:after="0"/>
        <w:rPr>
          <w:sz w:val="20"/>
          <w:szCs w:val="20"/>
          <w:color w:val="auto"/>
        </w:rPr>
      </w:pPr>
      <w:r>
        <w:rPr>
          <w:rFonts w:ascii="Courier New" w:cs="Courier New" w:eastAsia="Courier New" w:hAnsi="Courier New"/>
          <w:sz w:val="15"/>
          <w:szCs w:val="15"/>
          <w:color w:val="auto"/>
        </w:rPr>
        <w:t>Supported by a $100 million investment in technology, Yellow Freight is reconstructing the way it does business. Centralized customer service facilities are being established. Billing and stating will move onto the information highway available to customers in various electronic formats, and rating will be automated. Dispatch will be computer-assisted with pick up and delivery needs recorded electronically or by fax. Integrated information systems will make routine requests for shipment tracing, rating or proof of deliveries an automated reality. The automation and systemization of these activities will improve service, reduce costs, increase labor productivity and give customers better information, quicker.</w:t>
      </w:r>
    </w:p>
    <w:p>
      <w:pPr>
        <w:spacing w:after="0" w:line="7"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But the true test of superior customer service lies in how efficiently Yellow Freight can move both freight and freight information. The process is called freight flow and dramatic improvements are scheduled. The improvements are based on the guiding principle that shipment information must stay ahead of the physical flow of freight at all times. Receiving information ahead of time can accelerate freight flow because information will work as a catalyst to "pull" freight through the system rather than slow the movement as shipments wait on information.</w:t>
      </w:r>
    </w:p>
    <w:p>
      <w:pPr>
        <w:spacing w:after="0" w:line="6" w:lineRule="exact"/>
        <w:rPr>
          <w:sz w:val="20"/>
          <w:szCs w:val="20"/>
          <w:color w:val="auto"/>
        </w:rPr>
      </w:pPr>
    </w:p>
    <w:p>
      <w:pPr>
        <w:ind w:right="3399" w:firstLine="799"/>
        <w:spacing w:after="0"/>
        <w:rPr>
          <w:sz w:val="20"/>
          <w:szCs w:val="20"/>
          <w:color w:val="auto"/>
        </w:rPr>
      </w:pPr>
      <w:r>
        <w:rPr>
          <w:rFonts w:ascii="Courier New" w:cs="Courier New" w:eastAsia="Courier New" w:hAnsi="Courier New"/>
          <w:sz w:val="15"/>
          <w:szCs w:val="15"/>
          <w:color w:val="auto"/>
        </w:rPr>
        <w:t>Again, technology is key. Computer Assisted Dispatch (CAD) equipment will electronically communicate with drivers for customer pick up and deliveries. Drivers receive messages on Mobile Data Terminals (MDTs) for pick ups and respond with data about the shipments that begin the process of "pulling" freight with information. Employees plan movements using real-time information available from the computerized Shipment Transfer and Tracking System (STATS). Dockworkers use a computer-</w:t>
      </w:r>
    </w:p>
    <w:p>
      <w:pPr>
        <w:sectPr>
          <w:pgSz w:w="11900" w:h="16838" w:orient="portrait"/>
          <w:cols w:equalWidth="0" w:num="1">
            <w:col w:w="10219"/>
          </w:cols>
          <w:pgMar w:left="240" w:top="287" w:right="1440" w:bottom="1440" w:gutter="0" w:footer="0" w:header="0"/>
        </w:sectPr>
      </w:pPr>
    </w:p>
    <w:bookmarkStart w:id="23" w:name="page24"/>
    <w:bookmarkEnd w:id="23"/>
    <w:p>
      <w:pPr>
        <w:ind w:left="260"/>
        <w:spacing w:after="0"/>
        <w:rPr>
          <w:sz w:val="20"/>
          <w:szCs w:val="20"/>
          <w:color w:val="auto"/>
        </w:rPr>
      </w:pPr>
      <w:r>
        <w:rPr>
          <w:rFonts w:ascii="Courier New" w:cs="Courier New" w:eastAsia="Courier New" w:hAnsi="Courier New"/>
          <w:sz w:val="15"/>
          <w:szCs w:val="15"/>
          <w:color w:val="auto"/>
        </w:rPr>
        <w:t>9</w:t>
      </w:r>
    </w:p>
    <w:p>
      <w:pPr>
        <w:spacing w:after="0" w:line="3" w:lineRule="exact"/>
        <w:rPr>
          <w:sz w:val="20"/>
          <w:szCs w:val="20"/>
          <w:color w:val="auto"/>
        </w:rPr>
      </w:pPr>
    </w:p>
    <w:p>
      <w:pPr>
        <w:jc w:val="both"/>
        <w:ind w:right="3299"/>
        <w:spacing w:after="0" w:line="258" w:lineRule="auto"/>
        <w:rPr>
          <w:sz w:val="20"/>
          <w:szCs w:val="20"/>
          <w:color w:val="auto"/>
        </w:rPr>
      </w:pPr>
      <w:r>
        <w:rPr>
          <w:rFonts w:ascii="Courier New" w:cs="Courier New" w:eastAsia="Courier New" w:hAnsi="Courier New"/>
          <w:sz w:val="14"/>
          <w:szCs w:val="14"/>
          <w:color w:val="auto"/>
        </w:rPr>
        <w:t>aided Dock Operations Control System (DOCS) to manage the movement of trailers to and from dock doors. Finally, bar code scanners are used to update shipment information--eliminating the need to wait on paper to move freight.</w:t>
      </w:r>
    </w:p>
    <w:p>
      <w:pPr>
        <w:spacing w:after="0" w:line="1"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Technology advancements are a business requirement, but the performance of people will be the distinguishing factor in our future success. The contractual employees of our companies stepped up to the changing marketplace by overwhelmingly ratifying a new labor agreement that incorporates unprecedented flexibilities--flexibilities that will result in better service to customers.</w:t>
      </w: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YELLOW FREIGHT EMBRACES CHANGE</w:t>
      </w:r>
    </w:p>
    <w:p>
      <w:pPr>
        <w:spacing w:after="0" w:line="3"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The new four-year agreement with the International Brotherhood of Teamsters allows use of more intermodal rail transportation when it makes sense for the company and customers. Operational efficiencies are gained and customer service is enhanced. The contract also includes a combination of flexible overtime rules, greater options for adding staff in peak periods and lower new-hire rates. Now, our companies can extend pick up and delivery times and move freight faster while better managing costs.</w:t>
      </w:r>
    </w:p>
    <w:p>
      <w:pPr>
        <w:spacing w:after="0" w:line="5" w:lineRule="exact"/>
        <w:rPr>
          <w:sz w:val="20"/>
          <w:szCs w:val="20"/>
          <w:color w:val="auto"/>
        </w:rPr>
      </w:pPr>
    </w:p>
    <w:p>
      <w:pPr>
        <w:ind w:right="3219" w:firstLine="799"/>
        <w:spacing w:after="0" w:line="260" w:lineRule="auto"/>
        <w:rPr>
          <w:sz w:val="20"/>
          <w:szCs w:val="20"/>
          <w:color w:val="auto"/>
        </w:rPr>
      </w:pPr>
      <w:r>
        <w:rPr>
          <w:rFonts w:ascii="Courier New" w:cs="Courier New" w:eastAsia="Courier New" w:hAnsi="Courier New"/>
          <w:sz w:val="14"/>
          <w:szCs w:val="14"/>
          <w:color w:val="auto"/>
        </w:rPr>
        <w:t>Most importantly though, the new agreement creates a true partnership between contractual employees and our companies. A provision in the contract referred to as Article 20 recognizes that it is the customer not the company nor the union that creates jobs and job security. It states "...the union and the companies agree to work together to provide the kind of quality service and products that the ultimate employer, the customer, demands."</w:t>
      </w:r>
    </w:p>
    <w:p>
      <w:pPr>
        <w:spacing w:after="0" w:line="334"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PHOTO COPY: Preston Trucking has established itself as a leader in high-service regional transportation with the advent of the SuperRegion.</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PRESTON: DIRECT TO DESTINATION</w:t>
      </w:r>
    </w:p>
    <w:p>
      <w:pPr>
        <w:spacing w:after="0" w:line="3"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Increased global competition is causing businesses to change distribution patterns and further reduce the time it takes to make and distribute products. The result is the need for more regional transportation services. Preston Trucking Company has established itself as a leader in high-service regional transportation with the advent of SuperRegion, a geographically comprehensive one and two-day service in the Northeast and upper Midwest.</w:t>
      </w:r>
    </w:p>
    <w:p>
      <w:pPr>
        <w:spacing w:after="0" w:line="5" w:lineRule="exact"/>
        <w:rPr>
          <w:sz w:val="20"/>
          <w:szCs w:val="20"/>
          <w:color w:val="auto"/>
        </w:rPr>
      </w:pPr>
    </w:p>
    <w:p>
      <w:pPr>
        <w:ind w:right="3579" w:firstLine="799"/>
        <w:spacing w:after="0"/>
        <w:rPr>
          <w:sz w:val="20"/>
          <w:szCs w:val="20"/>
          <w:color w:val="auto"/>
        </w:rPr>
      </w:pPr>
      <w:r>
        <w:rPr>
          <w:rFonts w:ascii="Courier New" w:cs="Courier New" w:eastAsia="Courier New" w:hAnsi="Courier New"/>
          <w:sz w:val="15"/>
          <w:szCs w:val="15"/>
          <w:color w:val="auto"/>
        </w:rPr>
        <w:t>This expansive, faster service was created when Preston Trucking replaced its hub and spoke system with a single-hub regional concept. The strategic location of a consol-idation center near Cleveland allows Preston Trucking to load more freight direct to destination rather than pushing shipments through a multi-sort configuration. Less freight handling removes costly time and reduces the opportunity for damage.</w:t>
      </w:r>
    </w:p>
    <w:p>
      <w:pPr>
        <w:spacing w:after="0" w:line="4"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Over 1,200 lanes in Preston Trucking's service area experienced improvements in transit time standards to one and two days when the SuperRegion service was launched in October. Shipment activity for the system is computerized and tightly scheduled. This data combined with information on daily pick ups tells individual coordinators working in Cleveland the precise characteristics of the freight and when it will arrive. Stacking and loading plans are made accordingly, utilizing the specially designed narrow dock that eliminates space and saves time.</w:t>
      </w:r>
    </w:p>
    <w:p>
      <w:pPr>
        <w:sectPr>
          <w:pgSz w:w="11900" w:h="16838" w:orient="portrait"/>
          <w:cols w:equalWidth="0" w:num="1">
            <w:col w:w="10219"/>
          </w:cols>
          <w:pgMar w:left="240" w:top="287" w:right="1440" w:bottom="1440" w:gutter="0" w:footer="0" w:header="0"/>
        </w:sectPr>
      </w:pPr>
    </w:p>
    <w:bookmarkStart w:id="24" w:name="page25"/>
    <w:bookmarkEnd w:id="24"/>
    <w:p>
      <w:pPr>
        <w:ind w:left="260"/>
        <w:spacing w:after="0"/>
        <w:rPr>
          <w:sz w:val="20"/>
          <w:szCs w:val="20"/>
          <w:color w:val="auto"/>
        </w:rPr>
      </w:pPr>
      <w:r>
        <w:rPr>
          <w:rFonts w:ascii="Courier New" w:cs="Courier New" w:eastAsia="Courier New" w:hAnsi="Courier New"/>
          <w:sz w:val="15"/>
          <w:szCs w:val="15"/>
          <w:color w:val="auto"/>
        </w:rPr>
        <w:t>10</w:t>
      </w:r>
    </w:p>
    <w:p>
      <w:pPr>
        <w:spacing w:after="0" w:line="3"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Next, teams rapidly and systematically consolidate shipments for their final destination. Transfer time is recorded at four to six hours, dramatically below industry levels. Transfer time is the amount of time it takes to unload, sort and reload freight at a consolidation site. On-time service performance is running at record highs. Internal measures verify that freight is also more likely to be damage-free.</w:t>
      </w:r>
    </w:p>
    <w:p>
      <w:pPr>
        <w:spacing w:after="0" w:line="175" w:lineRule="exact"/>
        <w:rPr>
          <w:sz w:val="20"/>
          <w:szCs w:val="20"/>
          <w:color w:val="auto"/>
        </w:rPr>
      </w:pPr>
    </w:p>
    <w:p>
      <w:pPr>
        <w:ind w:right="3299"/>
        <w:spacing w:after="0" w:line="238" w:lineRule="auto"/>
        <w:rPr>
          <w:sz w:val="20"/>
          <w:szCs w:val="20"/>
          <w:color w:val="auto"/>
        </w:rPr>
      </w:pPr>
      <w:r>
        <w:rPr>
          <w:rFonts w:ascii="Courier New" w:cs="Courier New" w:eastAsia="Courier New" w:hAnsi="Courier New"/>
          <w:sz w:val="15"/>
          <w:szCs w:val="15"/>
          <w:color w:val="auto"/>
        </w:rPr>
        <w:t>PHOTO COPY: Saia is a key provider of transportation services in an explosive market and well-positioned for growth over the next several years.</w:t>
      </w: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GROWING SAIA</w:t>
      </w:r>
    </w:p>
    <w:p>
      <w:pPr>
        <w:spacing w:after="0" w:line="3" w:lineRule="exact"/>
        <w:rPr>
          <w:sz w:val="20"/>
          <w:szCs w:val="20"/>
          <w:color w:val="auto"/>
        </w:rPr>
      </w:pPr>
    </w:p>
    <w:p>
      <w:pPr>
        <w:ind w:right="3299" w:firstLine="799"/>
        <w:spacing w:after="0" w:line="239" w:lineRule="auto"/>
        <w:rPr>
          <w:sz w:val="20"/>
          <w:szCs w:val="20"/>
          <w:color w:val="auto"/>
        </w:rPr>
      </w:pPr>
      <w:r>
        <w:rPr>
          <w:rFonts w:ascii="Courier New" w:cs="Courier New" w:eastAsia="Courier New" w:hAnsi="Courier New"/>
          <w:sz w:val="15"/>
          <w:szCs w:val="15"/>
          <w:color w:val="auto"/>
        </w:rPr>
        <w:t>The Southeast quadrant of the United States is one of the largest markets in the world. Saia Motor Freight is a key provider of transportation services in this explosive market and well-positioned for growth over the next several years.</w:t>
      </w:r>
    </w:p>
    <w:p>
      <w:pPr>
        <w:spacing w:after="0" w:line="6"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Saia's competitive advantage lies in its quality heritage and flexible workforce. In 1994, Saia employees opened 20 facilities in Texas, Georgia and Tennessee. Simultaneously, it merged its $140 million operation with the $40 million Smalley Transportation operation, a sister company. Information systems were successfully integrated, processes were blended and personnel reassigned. No small task for the 2,300 Saia employees, but all the more impressive when records confirm continued high on-time service and remarkably low freight-damage claims.</w:t>
      </w:r>
    </w:p>
    <w:p>
      <w:pPr>
        <w:spacing w:after="0" w:line="6" w:lineRule="exact"/>
        <w:rPr>
          <w:sz w:val="20"/>
          <w:szCs w:val="20"/>
          <w:color w:val="auto"/>
        </w:rPr>
      </w:pPr>
    </w:p>
    <w:p>
      <w:pPr>
        <w:ind w:right="3219" w:firstLine="799"/>
        <w:spacing w:after="0" w:line="238" w:lineRule="auto"/>
        <w:rPr>
          <w:sz w:val="20"/>
          <w:szCs w:val="20"/>
          <w:color w:val="auto"/>
        </w:rPr>
      </w:pPr>
      <w:r>
        <w:rPr>
          <w:rFonts w:ascii="Courier New" w:cs="Courier New" w:eastAsia="Courier New" w:hAnsi="Courier New"/>
          <w:sz w:val="15"/>
          <w:szCs w:val="15"/>
          <w:color w:val="auto"/>
        </w:rPr>
        <w:t>In 1995, Saia is scheduled to complete an expansion plan that will add North Carolina and South Carolina to its present nine-state service area.</w:t>
      </w:r>
    </w:p>
    <w:p>
      <w:pPr>
        <w:spacing w:after="0" w:line="4" w:lineRule="exact"/>
        <w:rPr>
          <w:sz w:val="20"/>
          <w:szCs w:val="20"/>
          <w:color w:val="auto"/>
        </w:rPr>
      </w:pPr>
    </w:p>
    <w:p>
      <w:pPr>
        <w:ind w:right="3299" w:firstLine="799"/>
        <w:spacing w:after="0"/>
        <w:rPr>
          <w:sz w:val="20"/>
          <w:szCs w:val="20"/>
          <w:color w:val="auto"/>
        </w:rPr>
      </w:pPr>
      <w:r>
        <w:rPr>
          <w:rFonts w:ascii="Courier New" w:cs="Courier New" w:eastAsia="Courier New" w:hAnsi="Courier New"/>
          <w:sz w:val="15"/>
          <w:szCs w:val="15"/>
          <w:color w:val="auto"/>
        </w:rPr>
        <w:t>As Saia expands, the company will focus on continual reduction in transit times, direct service to all points within its region and enhancement of information systems. This focus is highly compatible with its customers' focus on reduced cycle time, lower costs and more accessible information. Customers now have a premier option for their regional transportation needs in the South as Saia becomes larger.</w:t>
      </w:r>
    </w:p>
    <w:p>
      <w:pPr>
        <w:spacing w:after="0" w:line="4"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Saia gives Yellow Corporation a significant regional presence in the South. Preston Trucking provides such a presence across the Northeast and upper Midwest. WestEx, a regional carrier based in Phoenix, AZ will expand to give the corporation the same presence in the extensive Western regional market. While growth will be managed to assure high quality customer service, WestEx will soon expand services beyond Arizona, New Mexico, Texas and Nevada into California.</w:t>
      </w: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MEETING CUSTOMERS' UNIQUE NEEDS</w:t>
      </w:r>
    </w:p>
    <w:p>
      <w:pPr>
        <w:spacing w:after="0" w:line="3" w:lineRule="exact"/>
        <w:rPr>
          <w:sz w:val="20"/>
          <w:szCs w:val="20"/>
          <w:color w:val="auto"/>
        </w:rPr>
      </w:pPr>
    </w:p>
    <w:p>
      <w:pPr>
        <w:ind w:right="3299" w:firstLine="799"/>
        <w:spacing w:after="0"/>
        <w:rPr>
          <w:sz w:val="20"/>
          <w:szCs w:val="20"/>
          <w:color w:val="auto"/>
        </w:rPr>
      </w:pPr>
      <w:r>
        <w:rPr>
          <w:rFonts w:ascii="Courier New" w:cs="Courier New" w:eastAsia="Courier New" w:hAnsi="Courier New"/>
          <w:sz w:val="15"/>
          <w:szCs w:val="15"/>
          <w:color w:val="auto"/>
        </w:rPr>
        <w:t>Businesses continued to recognize a need for logistics support in 1994. In an effort to strategically locate its expertise closer to the marketplace, Yellow Logistics Services opened regional sales offices in major metropolitan areas. Business Development staff members are located in Chicago, Kansas City, Philadelphia and Pittsburgh. As well, the company created special niche units that deliver a unique combination of transportation, warehousing and information systems above and beyond the core logistics management services.</w:t>
      </w:r>
    </w:p>
    <w:p>
      <w:pPr>
        <w:sectPr>
          <w:pgSz w:w="11900" w:h="16838" w:orient="portrait"/>
          <w:cols w:equalWidth="0" w:num="1">
            <w:col w:w="10219"/>
          </w:cols>
          <w:pgMar w:left="240" w:top="287" w:right="1440" w:bottom="1440" w:gutter="0" w:footer="0" w:header="0"/>
        </w:sectPr>
      </w:pPr>
    </w:p>
    <w:bookmarkStart w:id="25" w:name="page26"/>
    <w:bookmarkEnd w:id="25"/>
    <w:p>
      <w:pPr>
        <w:ind w:left="260"/>
        <w:spacing w:after="0"/>
        <w:rPr>
          <w:sz w:val="20"/>
          <w:szCs w:val="20"/>
          <w:color w:val="auto"/>
        </w:rPr>
      </w:pPr>
      <w:r>
        <w:rPr>
          <w:rFonts w:ascii="Courier New" w:cs="Courier New" w:eastAsia="Courier New" w:hAnsi="Courier New"/>
          <w:sz w:val="15"/>
          <w:szCs w:val="15"/>
          <w:color w:val="auto"/>
        </w:rPr>
        <w:t>11</w:t>
      </w:r>
    </w:p>
    <w:p>
      <w:pPr>
        <w:spacing w:after="0" w:line="3" w:lineRule="exact"/>
        <w:rPr>
          <w:sz w:val="20"/>
          <w:szCs w:val="20"/>
          <w:color w:val="auto"/>
        </w:rPr>
      </w:pPr>
    </w:p>
    <w:p>
      <w:pPr>
        <w:jc w:val="both"/>
        <w:ind w:right="3759" w:firstLine="799"/>
        <w:spacing w:after="0"/>
        <w:rPr>
          <w:sz w:val="20"/>
          <w:szCs w:val="20"/>
          <w:color w:val="auto"/>
        </w:rPr>
      </w:pPr>
      <w:r>
        <w:rPr>
          <w:rFonts w:ascii="Courier New" w:cs="Courier New" w:eastAsia="Courier New" w:hAnsi="Courier New"/>
          <w:sz w:val="15"/>
          <w:szCs w:val="15"/>
          <w:color w:val="auto"/>
        </w:rPr>
        <w:t>These units include Return Product Management which provides an organized system for the return of goods that are outdated or in need of refurbishment or repair. Yellow Logistics manages the packaging, pick up, transportation, shipment tracking, inspection, repair or disposal of the merchandise.</w:t>
      </w:r>
    </w:p>
    <w:p>
      <w:pPr>
        <w:spacing w:after="0" w:line="4"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Yellow Logistics also offers customized logistics modeling, which is a planning tool that is offered to companies so they may determine strategic facility locations and transportation strategies based on cost and service parameters. The modeling tools use actual company data to analyze needs and project future growth.</w:t>
      </w:r>
    </w:p>
    <w:p>
      <w:pPr>
        <w:spacing w:after="0" w:line="345" w:lineRule="exact"/>
        <w:rPr>
          <w:sz w:val="20"/>
          <w:szCs w:val="20"/>
          <w:color w:val="auto"/>
        </w:rPr>
      </w:pPr>
    </w:p>
    <w:p>
      <w:pPr>
        <w:ind w:right="3299"/>
        <w:spacing w:after="0" w:line="271" w:lineRule="auto"/>
        <w:rPr>
          <w:sz w:val="20"/>
          <w:szCs w:val="20"/>
          <w:color w:val="auto"/>
        </w:rPr>
      </w:pPr>
      <w:r>
        <w:rPr>
          <w:rFonts w:ascii="Courier New" w:cs="Courier New" w:eastAsia="Courier New" w:hAnsi="Courier New"/>
          <w:sz w:val="14"/>
          <w:szCs w:val="14"/>
          <w:color w:val="auto"/>
        </w:rPr>
        <w:t>PHOTO COPY: Technology advancements are a business requirement, but the performance of people will be the distinguishing factor in our future success.</w:t>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DEVELOPING TOMORROW'S TECHNOLOGY</w:t>
      </w:r>
    </w:p>
    <w:p>
      <w:pPr>
        <w:spacing w:after="0" w:line="3" w:lineRule="exact"/>
        <w:rPr>
          <w:sz w:val="20"/>
          <w:szCs w:val="20"/>
          <w:color w:val="auto"/>
        </w:rPr>
      </w:pPr>
    </w:p>
    <w:p>
      <w:pPr>
        <w:ind w:right="3299" w:firstLine="799"/>
        <w:spacing w:after="0"/>
        <w:rPr>
          <w:sz w:val="20"/>
          <w:szCs w:val="20"/>
          <w:color w:val="auto"/>
        </w:rPr>
      </w:pPr>
      <w:r>
        <w:rPr>
          <w:rFonts w:ascii="Courier New" w:cs="Courier New" w:eastAsia="Courier New" w:hAnsi="Courier New"/>
          <w:sz w:val="15"/>
          <w:szCs w:val="15"/>
          <w:color w:val="auto"/>
        </w:rPr>
        <w:t>The collection, organization and dissemination of information is a critical component of success for all Yellow Corporation companies. Advanced, innovative information systems will drive our success. That's why a reengineering effort at Yellow Technology Services is underway that will dramatically enhance customer satisfaction and improve the application of technology in the next few years. Specifically, Yellow Technology is moving from an environment that was dependent on mainframe com-puters to a more flexible environment which will make information more accessible to employees and customers.</w:t>
      </w:r>
    </w:p>
    <w:p>
      <w:pPr>
        <w:spacing w:after="0" w:line="7" w:lineRule="exact"/>
        <w:rPr>
          <w:sz w:val="20"/>
          <w:szCs w:val="20"/>
          <w:color w:val="auto"/>
        </w:rPr>
      </w:pPr>
    </w:p>
    <w:p>
      <w:pPr>
        <w:ind w:right="3479" w:firstLine="799"/>
        <w:spacing w:after="0" w:line="239" w:lineRule="auto"/>
        <w:rPr>
          <w:sz w:val="20"/>
          <w:szCs w:val="20"/>
          <w:color w:val="auto"/>
        </w:rPr>
      </w:pPr>
      <w:r>
        <w:rPr>
          <w:rFonts w:ascii="Courier New" w:cs="Courier New" w:eastAsia="Courier New" w:hAnsi="Courier New"/>
          <w:sz w:val="15"/>
          <w:szCs w:val="15"/>
          <w:color w:val="auto"/>
        </w:rPr>
        <w:t>This renaissance of Yellow Technology will enable it to ensure that Yellow Corporation companies have the information technology necessary to anticipate and meet the information needs of customers.</w:t>
      </w:r>
    </w:p>
    <w:p>
      <w:pPr>
        <w:spacing w:after="0" w:line="200" w:lineRule="exact"/>
        <w:rPr>
          <w:sz w:val="20"/>
          <w:szCs w:val="20"/>
          <w:color w:val="auto"/>
        </w:rPr>
      </w:pPr>
    </w:p>
    <w:p>
      <w:pPr>
        <w:spacing w:after="0" w:line="316" w:lineRule="exact"/>
        <w:rPr>
          <w:sz w:val="20"/>
          <w:szCs w:val="20"/>
          <w:color w:val="auto"/>
        </w:rPr>
      </w:pPr>
    </w:p>
    <w:p>
      <w:pPr>
        <w:ind w:right="3659"/>
        <w:spacing w:after="0" w:line="238"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1994 VS. 1993</w:t>
      </w:r>
    </w:p>
    <w:p>
      <w:pPr>
        <w:spacing w:after="0" w:line="3" w:lineRule="exact"/>
        <w:rPr>
          <w:sz w:val="20"/>
          <w:szCs w:val="20"/>
          <w:color w:val="auto"/>
        </w:rPr>
      </w:pPr>
    </w:p>
    <w:p>
      <w:pPr>
        <w:ind w:right="3219" w:firstLine="799"/>
        <w:spacing w:after="0" w:line="258" w:lineRule="auto"/>
        <w:rPr>
          <w:sz w:val="20"/>
          <w:szCs w:val="20"/>
          <w:color w:val="auto"/>
        </w:rPr>
      </w:pPr>
      <w:r>
        <w:rPr>
          <w:rFonts w:ascii="Courier New" w:cs="Courier New" w:eastAsia="Courier New" w:hAnsi="Courier New"/>
          <w:sz w:val="14"/>
          <w:szCs w:val="14"/>
          <w:color w:val="auto"/>
        </w:rPr>
        <w:t>Operating revenue for Yellow Corporation (the company) totaled $2.87 billion in 1994, an increase of $11.0 million from 1993. The flat revenue was due to a 24-day national labor strike in April by the International Brotherhood of Teamsters (Teamsters) against the company's largest subsidiary, Yellow Freight System, Inc. (Yellow Freight), which essentially offset other revenue increases. The strike also impacted most of Yellow Freight's major unionized competitors. The company realized $85 million more revenue from the inclusion of Preston Corporation (Preston) for twelve months in 1994 versus ten months in 1993. An additional $105 million of increased revenue was generated by full year growth at the subsidiaries, exclusive of the labor strike impact. This revenue growth came from rate increases and geographic expansion and was split evenly between Yellow Freight and the other subsidiaries as a group.</w:t>
      </w:r>
    </w:p>
    <w:p>
      <w:pPr>
        <w:spacing w:after="0" w:line="2" w:lineRule="exact"/>
        <w:rPr>
          <w:sz w:val="20"/>
          <w:szCs w:val="20"/>
          <w:color w:val="auto"/>
        </w:rPr>
      </w:pPr>
    </w:p>
    <w:p>
      <w:pPr>
        <w:ind w:right="3219" w:firstLine="799"/>
        <w:spacing w:after="0" w:line="239" w:lineRule="auto"/>
        <w:rPr>
          <w:sz w:val="20"/>
          <w:szCs w:val="20"/>
          <w:color w:val="auto"/>
        </w:rPr>
      </w:pPr>
      <w:r>
        <w:rPr>
          <w:rFonts w:ascii="Courier New" w:cs="Courier New" w:eastAsia="Courier New" w:hAnsi="Courier New"/>
          <w:sz w:val="15"/>
          <w:szCs w:val="15"/>
          <w:color w:val="auto"/>
        </w:rPr>
        <w:t>The company had a net loss of $7.9 million, or $.28 per share, in 1994 compared to net income of $18.8 million, or $.67 per share in 1993. The 1994 net loss resulted primarily from</w:t>
      </w:r>
    </w:p>
    <w:p>
      <w:pPr>
        <w:sectPr>
          <w:pgSz w:w="11900" w:h="16838" w:orient="portrait"/>
          <w:cols w:equalWidth="0" w:num="1">
            <w:col w:w="10219"/>
          </w:cols>
          <w:pgMar w:left="240" w:top="287" w:right="1440" w:bottom="1440" w:gutter="0" w:footer="0" w:header="0"/>
        </w:sectPr>
      </w:pPr>
    </w:p>
    <w:bookmarkStart w:id="26" w:name="page27"/>
    <w:bookmarkEnd w:id="26"/>
    <w:p>
      <w:pPr>
        <w:ind w:left="260"/>
        <w:spacing w:after="0"/>
        <w:rPr>
          <w:sz w:val="20"/>
          <w:szCs w:val="20"/>
          <w:color w:val="auto"/>
        </w:rPr>
      </w:pPr>
      <w:r>
        <w:rPr>
          <w:rFonts w:ascii="Courier New" w:cs="Courier New" w:eastAsia="Courier New" w:hAnsi="Courier New"/>
          <w:sz w:val="15"/>
          <w:szCs w:val="15"/>
          <w:color w:val="auto"/>
        </w:rPr>
        <w:t>12</w:t>
      </w:r>
    </w:p>
    <w:p>
      <w:pPr>
        <w:spacing w:after="0" w:line="3" w:lineRule="exact"/>
        <w:rPr>
          <w:sz w:val="20"/>
          <w:szCs w:val="20"/>
          <w:color w:val="auto"/>
        </w:rPr>
      </w:pPr>
    </w:p>
    <w:p>
      <w:pPr>
        <w:ind w:right="3219"/>
        <w:spacing w:after="0" w:line="258" w:lineRule="auto"/>
        <w:rPr>
          <w:sz w:val="20"/>
          <w:szCs w:val="20"/>
          <w:color w:val="auto"/>
        </w:rPr>
      </w:pPr>
      <w:r>
        <w:rPr>
          <w:rFonts w:ascii="Courier New" w:cs="Courier New" w:eastAsia="Courier New" w:hAnsi="Courier New"/>
          <w:sz w:val="14"/>
          <w:szCs w:val="14"/>
          <w:color w:val="auto"/>
        </w:rPr>
        <w:t>the labor strike which reduced earnings by an estimated $1.24 per share. A special charge of $4.1 million after taxes, or $.14 per share, to write-off the value of intrastate operating rights also negatively impacted 1994 results. This write-off was necessitated by federal legislation that deregulated the entry and rates for intrastate operations of all transportation companies. Net income in 1993 included an $11.2 million, or $.40 per share, charge for network development at Yellow Freight as well as a reduction of $1.6 million, or $.06 per share, from the impact of the statutory increase in the U.S. federal tax rate on the company's deferred tax liabilities.</w:t>
      </w:r>
    </w:p>
    <w:p>
      <w:pPr>
        <w:spacing w:after="0" w:line="2" w:lineRule="exact"/>
        <w:rPr>
          <w:sz w:val="20"/>
          <w:szCs w:val="20"/>
          <w:color w:val="auto"/>
        </w:rPr>
      </w:pPr>
    </w:p>
    <w:p>
      <w:pPr>
        <w:ind w:right="3299" w:firstLine="799"/>
        <w:spacing w:after="0"/>
        <w:rPr>
          <w:sz w:val="20"/>
          <w:szCs w:val="20"/>
          <w:color w:val="auto"/>
        </w:rPr>
      </w:pPr>
      <w:r>
        <w:rPr>
          <w:rFonts w:ascii="Courier New" w:cs="Courier New" w:eastAsia="Courier New" w:hAnsi="Courier New"/>
          <w:sz w:val="15"/>
          <w:szCs w:val="15"/>
          <w:color w:val="auto"/>
        </w:rPr>
        <w:t>As a result of the labor strike, Yellow Freight experienced a 6% decrease in revenue for 1994 ($2.22 billion) versus 1993 ($2.36 billion). Rate increases in January 1994 were offset by a 7% decrease in tonnage levels and a 12% decline in the number of shipments handled from 1993. However, the new four-year labor contract provides Yellow Freight greater operational flexibility while giving Teamster employees increased wages, benefits and job security. The increased flexibility means that Yellow Freight has the ability to lower operating costs by gaining the right to use more rail transportation and dock casual workers whose rate of pay is fixed during the contract. In return, the carriers agreed to a 14% increase in wages and benefits over the four-year contract term.</w:t>
      </w:r>
    </w:p>
    <w:p>
      <w:pPr>
        <w:spacing w:after="0" w:line="6"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Yellow Freight's earnings were also negatively impacted by severe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80" w:type="dxa"/>
            <w:vAlign w:val="bottom"/>
          </w:tcPr>
          <w:p>
            <w:pPr>
              <w:spacing w:after="0"/>
              <w:rPr>
                <w:sz w:val="20"/>
                <w:szCs w:val="20"/>
                <w:color w:val="auto"/>
              </w:rPr>
            </w:pPr>
            <w:r>
              <w:rPr>
                <w:rFonts w:ascii="Courier New" w:cs="Courier New" w:eastAsia="Courier New" w:hAnsi="Courier New"/>
                <w:sz w:val="15"/>
                <w:szCs w:val="15"/>
                <w:color w:val="auto"/>
                <w:w w:val="99"/>
              </w:rPr>
              <w:t>winter weather</w:t>
            </w:r>
          </w:p>
        </w:tc>
        <w:tc>
          <w:tcPr>
            <w:tcW w:w="29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experienced in the first quarter</w:t>
            </w:r>
          </w:p>
        </w:tc>
        <w:tc>
          <w:tcPr>
            <w:tcW w:w="28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of 1994 which caused</w:t>
            </w:r>
          </w:p>
        </w:tc>
      </w:tr>
      <w:tr>
        <w:trPr>
          <w:trHeight w:val="171"/>
        </w:trPr>
        <w:tc>
          <w:tcPr>
            <w:tcW w:w="4740" w:type="dxa"/>
            <w:vAlign w:val="bottom"/>
            <w:gridSpan w:val="4"/>
          </w:tcPr>
          <w:p>
            <w:pPr>
              <w:spacing w:after="0"/>
              <w:rPr>
                <w:sz w:val="20"/>
                <w:szCs w:val="20"/>
                <w:color w:val="auto"/>
              </w:rPr>
            </w:pPr>
            <w:r>
              <w:rPr>
                <w:rFonts w:ascii="Courier New" w:cs="Courier New" w:eastAsia="Courier New" w:hAnsi="Courier New"/>
                <w:sz w:val="15"/>
                <w:szCs w:val="15"/>
                <w:color w:val="auto"/>
                <w:w w:val="98"/>
              </w:rPr>
              <w:t>significant business disruptions and higher operating</w:t>
            </w:r>
          </w:p>
        </w:tc>
        <w:tc>
          <w:tcPr>
            <w:tcW w:w="2260" w:type="dxa"/>
            <w:vAlign w:val="bottom"/>
          </w:tcPr>
          <w:p>
            <w:pPr>
              <w:ind w:left="40"/>
              <w:spacing w:after="0"/>
              <w:rPr>
                <w:sz w:val="20"/>
                <w:szCs w:val="20"/>
                <w:color w:val="auto"/>
              </w:rPr>
            </w:pPr>
            <w:r>
              <w:rPr>
                <w:rFonts w:ascii="Courier New" w:cs="Courier New" w:eastAsia="Courier New" w:hAnsi="Courier New"/>
                <w:sz w:val="15"/>
                <w:szCs w:val="15"/>
                <w:color w:val="auto"/>
                <w:w w:val="97"/>
              </w:rPr>
              <w:t>expenses. Salaries, wages</w:t>
            </w:r>
          </w:p>
        </w:tc>
      </w:tr>
      <w:tr>
        <w:trPr>
          <w:trHeight w:val="171"/>
        </w:trPr>
        <w:tc>
          <w:tcPr>
            <w:tcW w:w="1280" w:type="dxa"/>
            <w:vAlign w:val="bottom"/>
          </w:tcPr>
          <w:p>
            <w:pPr>
              <w:spacing w:after="0"/>
              <w:rPr>
                <w:sz w:val="20"/>
                <w:szCs w:val="20"/>
                <w:color w:val="auto"/>
              </w:rPr>
            </w:pPr>
            <w:r>
              <w:rPr>
                <w:rFonts w:ascii="Courier New" w:cs="Courier New" w:eastAsia="Courier New" w:hAnsi="Courier New"/>
                <w:sz w:val="15"/>
                <w:szCs w:val="15"/>
                <w:color w:val="auto"/>
                <w:w w:val="99"/>
              </w:rPr>
              <w:t>and employees'</w:t>
            </w:r>
          </w:p>
        </w:tc>
        <w:tc>
          <w:tcPr>
            <w:tcW w:w="29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benefits expense as a percentage</w:t>
            </w:r>
          </w:p>
        </w:tc>
        <w:tc>
          <w:tcPr>
            <w:tcW w:w="28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of revenue was essentially the</w:t>
            </w:r>
          </w:p>
        </w:tc>
      </w:tr>
      <w:tr>
        <w:trPr>
          <w:trHeight w:val="171"/>
        </w:trPr>
        <w:tc>
          <w:tcPr>
            <w:tcW w:w="3320" w:type="dxa"/>
            <w:vAlign w:val="bottom"/>
            <w:gridSpan w:val="2"/>
          </w:tcPr>
          <w:p>
            <w:pPr>
              <w:spacing w:after="0"/>
              <w:rPr>
                <w:sz w:val="20"/>
                <w:szCs w:val="20"/>
                <w:color w:val="auto"/>
              </w:rPr>
            </w:pPr>
            <w:r>
              <w:rPr>
                <w:rFonts w:ascii="Courier New" w:cs="Courier New" w:eastAsia="Courier New" w:hAnsi="Courier New"/>
                <w:sz w:val="15"/>
                <w:szCs w:val="15"/>
                <w:color w:val="auto"/>
                <w:w w:val="99"/>
              </w:rPr>
              <w:t>same in 1994 and 1993. Slightly lower</w:t>
            </w:r>
          </w:p>
        </w:tc>
        <w:tc>
          <w:tcPr>
            <w:tcW w:w="14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employee levels</w:t>
            </w:r>
          </w:p>
        </w:tc>
        <w:tc>
          <w:tcPr>
            <w:tcW w:w="2260" w:type="dxa"/>
            <w:vAlign w:val="bottom"/>
          </w:tcPr>
          <w:p>
            <w:pPr>
              <w:ind w:left="40"/>
              <w:spacing w:after="0"/>
              <w:rPr>
                <w:sz w:val="20"/>
                <w:szCs w:val="20"/>
                <w:color w:val="auto"/>
              </w:rPr>
            </w:pPr>
            <w:r>
              <w:rPr>
                <w:rFonts w:ascii="Courier New" w:cs="Courier New" w:eastAsia="Courier New" w:hAnsi="Courier New"/>
                <w:sz w:val="15"/>
                <w:szCs w:val="15"/>
                <w:color w:val="auto"/>
              </w:rPr>
              <w:t>were offset by wage and</w:t>
            </w:r>
          </w:p>
        </w:tc>
      </w:tr>
      <w:tr>
        <w:trPr>
          <w:trHeight w:val="171"/>
        </w:trPr>
        <w:tc>
          <w:tcPr>
            <w:tcW w:w="3320" w:type="dxa"/>
            <w:vAlign w:val="bottom"/>
            <w:gridSpan w:val="2"/>
          </w:tcPr>
          <w:p>
            <w:pPr>
              <w:spacing w:after="0"/>
              <w:rPr>
                <w:sz w:val="20"/>
                <w:szCs w:val="20"/>
                <w:color w:val="auto"/>
              </w:rPr>
            </w:pPr>
            <w:r>
              <w:rPr>
                <w:rFonts w:ascii="Courier New" w:cs="Courier New" w:eastAsia="Courier New" w:hAnsi="Courier New"/>
                <w:sz w:val="15"/>
                <w:szCs w:val="15"/>
                <w:color w:val="auto"/>
                <w:w w:val="99"/>
              </w:rPr>
              <w:t>benefit increases of approximately 3%</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effective</w:t>
            </w:r>
          </w:p>
        </w:tc>
        <w:tc>
          <w:tcPr>
            <w:tcW w:w="540" w:type="dxa"/>
            <w:vAlign w:val="bottom"/>
          </w:tcPr>
          <w:p>
            <w:pPr>
              <w:ind w:left="60"/>
              <w:spacing w:after="0"/>
              <w:rPr>
                <w:sz w:val="20"/>
                <w:szCs w:val="20"/>
                <w:color w:val="auto"/>
              </w:rPr>
            </w:pPr>
            <w:r>
              <w:rPr>
                <w:rFonts w:ascii="Courier New" w:cs="Courier New" w:eastAsia="Courier New" w:hAnsi="Courier New"/>
                <w:sz w:val="15"/>
                <w:szCs w:val="15"/>
                <w:color w:val="auto"/>
              </w:rPr>
              <w:t>April</w:t>
            </w:r>
          </w:p>
        </w:tc>
        <w:tc>
          <w:tcPr>
            <w:tcW w:w="2260" w:type="dxa"/>
            <w:vAlign w:val="bottom"/>
          </w:tcPr>
          <w:p>
            <w:pPr>
              <w:ind w:left="40"/>
              <w:spacing w:after="0"/>
              <w:rPr>
                <w:sz w:val="20"/>
                <w:szCs w:val="20"/>
                <w:color w:val="auto"/>
              </w:rPr>
            </w:pPr>
            <w:r>
              <w:rPr>
                <w:rFonts w:ascii="Courier New" w:cs="Courier New" w:eastAsia="Courier New" w:hAnsi="Courier New"/>
                <w:sz w:val="15"/>
                <w:szCs w:val="15"/>
                <w:color w:val="auto"/>
              </w:rPr>
              <w:t>1 under the new labor</w:t>
            </w:r>
          </w:p>
        </w:tc>
      </w:tr>
      <w:tr>
        <w:trPr>
          <w:trHeight w:val="171"/>
        </w:trPr>
        <w:tc>
          <w:tcPr>
            <w:tcW w:w="1280" w:type="dxa"/>
            <w:vAlign w:val="bottom"/>
          </w:tcPr>
          <w:p>
            <w:pPr>
              <w:spacing w:after="0"/>
              <w:rPr>
                <w:sz w:val="20"/>
                <w:szCs w:val="20"/>
                <w:color w:val="auto"/>
              </w:rPr>
            </w:pPr>
            <w:r>
              <w:rPr>
                <w:rFonts w:ascii="Courier New" w:cs="Courier New" w:eastAsia="Courier New" w:hAnsi="Courier New"/>
                <w:sz w:val="15"/>
                <w:szCs w:val="15"/>
                <w:color w:val="auto"/>
              </w:rPr>
              <w:t>agreement.</w:t>
            </w:r>
          </w:p>
        </w:tc>
        <w:tc>
          <w:tcPr>
            <w:tcW w:w="2040" w:type="dxa"/>
            <w:vAlign w:val="bottom"/>
          </w:tcPr>
          <w:p>
            <w:pPr>
              <w:ind w:left="40"/>
              <w:spacing w:after="0"/>
              <w:rPr>
                <w:sz w:val="20"/>
                <w:szCs w:val="20"/>
                <w:color w:val="auto"/>
              </w:rPr>
            </w:pPr>
            <w:r>
              <w:rPr>
                <w:rFonts w:ascii="Courier New" w:cs="Courier New" w:eastAsia="Courier New" w:hAnsi="Courier New"/>
                <w:sz w:val="15"/>
                <w:szCs w:val="15"/>
                <w:color w:val="auto"/>
                <w:w w:val="99"/>
              </w:rPr>
              <w:t>Operating expenses and</w:t>
            </w:r>
          </w:p>
        </w:tc>
        <w:tc>
          <w:tcPr>
            <w:tcW w:w="36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supplies increased as a percent of</w:t>
            </w:r>
          </w:p>
        </w:tc>
      </w:tr>
    </w:tbl>
    <w:p>
      <w:pPr>
        <w:spacing w:after="0" w:line="3" w:lineRule="exact"/>
        <w:rPr>
          <w:sz w:val="20"/>
          <w:szCs w:val="20"/>
          <w:color w:val="auto"/>
        </w:rPr>
      </w:pPr>
    </w:p>
    <w:p>
      <w:pPr>
        <w:ind w:right="3299"/>
        <w:spacing w:after="0"/>
        <w:rPr>
          <w:sz w:val="20"/>
          <w:szCs w:val="20"/>
          <w:color w:val="auto"/>
        </w:rPr>
      </w:pPr>
      <w:r>
        <w:rPr>
          <w:rFonts w:ascii="Courier New" w:cs="Courier New" w:eastAsia="Courier New" w:hAnsi="Courier New"/>
          <w:sz w:val="15"/>
          <w:szCs w:val="15"/>
          <w:color w:val="auto"/>
        </w:rPr>
        <w:t>revenue, primarily due to the fixed component of certain of these costs and increases in equipment maintenance and general expenses. In the third quarter, Yellow Freight implemented a change of linehaul operations, which allows substantially more freight to be transported via rail. This change, which was made possible by the new labor agreement, will hold down operating costs, reduce capital expenditures for revenue equipment and improve service for customers. Purchased transportation costs were higher in 1994 as a result of this increased rail usage in the third and fourth quarters. Other nonoperating expenses decreased $4.1 million due primarily to gains on revenue equipment sales and less expense related to nonoperating facilities.</w:t>
      </w:r>
    </w:p>
    <w:p>
      <w:pPr>
        <w:spacing w:after="0" w:line="5"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Preston Trucking Company, Inc. (Preston Trucking) had revenue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$416.8 million in 1994, an annualized revenue increase of 5% compared to 1993.</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However, their operating margin deteriorated slightly during the year as 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 of severe winter weather in the Northeast during the first quarter, the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impact of the second quarter strike and shipper uncertainty concerning approval</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the wage reduction agreement described below. Preston Trucking saw 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dramatic increase in revenue during the second quarter of 1994 as they returned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work under an interim agreement with the Teamsters after only six days 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strike. The increased business adversely affected service performance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costs, reducing profitability in the latter part of the second quarter and into</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third quarter. In mid-1994, the Teamster employees of Preston Trucking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approved a plan to reduce wages in return for a share of profits if certain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results are achieved. The plan lessens pay by seven percent from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standard wages under the new contract for the period April 1, 1994 to March 31,</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1995 and by five percent for the period April 1, 1995 to March 31, 1996. Pay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levels return to standard contract wages on April 1, 1996. This plan replaced a</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one year, nine percent wage reduction approved in March 1993, shortly after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Preston Trucking was acquired by the company. Significant service improvements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were achieved in the fourth quarter through the implementation of a new</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regional concept featuring a 170-door distribution center near Cleveland, Ohio.</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Called the SuperRegion, it provides reduced transit times and superior service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across an expanded geographic area. This service began attracting new revenue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during the quarter.</w:t>
      </w:r>
    </w:p>
    <w:p>
      <w:pPr>
        <w:sectPr>
          <w:pgSz w:w="11900" w:h="16838" w:orient="portrait"/>
          <w:cols w:equalWidth="0" w:num="1">
            <w:col w:w="10219"/>
          </w:cols>
          <w:pgMar w:left="240" w:top="287" w:right="1440" w:bottom="1440" w:gutter="0" w:footer="0" w:header="0"/>
        </w:sectPr>
      </w:pPr>
    </w:p>
    <w:bookmarkStart w:id="27" w:name="page28"/>
    <w:bookmarkEnd w:id="27"/>
    <w:p>
      <w:pPr>
        <w:ind w:left="260"/>
        <w:spacing w:after="0"/>
        <w:rPr>
          <w:sz w:val="20"/>
          <w:szCs w:val="20"/>
          <w:color w:val="auto"/>
        </w:rPr>
      </w:pPr>
      <w:r>
        <w:rPr>
          <w:rFonts w:ascii="Courier New" w:cs="Courier New" w:eastAsia="Courier New" w:hAnsi="Courier New"/>
          <w:sz w:val="15"/>
          <w:szCs w:val="15"/>
          <w:color w:val="auto"/>
        </w:rPr>
        <w:t>13</w:t>
      </w:r>
    </w:p>
    <w:p>
      <w:pPr>
        <w:spacing w:after="0" w:line="3"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Saia Motor Freight Line, Inc. (Saia) maintained an operating ratio of 92.0 in 1994 as it expanded geographically in Texas, Tennessee and Georgia. Start up costs for these expansions burdened 1994 operating expenses while the full revenue benefits will not be realized until 1995 and subsequent years. Saia, with revenue of $137.8 million in 1994, achieved a 15% increase in revenue compared to 1993 due to growth and second quarter benefits from the labor strike. Smalley Transportation Company (Smalley) continued to improve its operating ratio, 98.8 for 1994, while maintaining 4% revenue growth to $40.3 million. Effective January 1, 1995, Smalley was merged into Saia to offer customers more comprehensive regional coverage and to reduce costs. Merger-related costs in 1994 are estimated to have negatively impacted Saia and Smalley's operating expenses by $1 million.</w:t>
      </w:r>
    </w:p>
    <w:p>
      <w:pPr>
        <w:spacing w:after="0" w:line="34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1993 VS. 1992</w:t>
      </w:r>
    </w:p>
    <w:p>
      <w:pPr>
        <w:spacing w:after="0" w:line="3"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Operating revenue for the company totaled $2.86 billion in 1993 versus $2.26 billion in 1992, an increase of 26.2%. A significant portion of the increase in 1993 revenue ($500 million) is attributable to the March 1, 1993 acquisition of Preston. The remaining revenue growth came from increases in rates and the number of shipments handled as well as contributions from new services started in 1992. Yellow Freight had revenue of $2.36 billion in 1993, up 4.2% from 1992, with a 4.9% increase in total tonnage. Tonnage levels in 1993 were essentially the same as 1990 due to the growth in the economy during that period, offset by Yellow Freight's commitment to improving account profitability and resisting discounting.</w:t>
      </w:r>
    </w:p>
    <w:p>
      <w:pPr>
        <w:spacing w:after="0" w:line="7" w:lineRule="exact"/>
        <w:rPr>
          <w:sz w:val="20"/>
          <w:szCs w:val="20"/>
          <w:color w:val="auto"/>
        </w:rPr>
      </w:pPr>
    </w:p>
    <w:p>
      <w:pPr>
        <w:ind w:right="3219" w:firstLine="799"/>
        <w:spacing w:after="0" w:line="258" w:lineRule="auto"/>
        <w:rPr>
          <w:sz w:val="20"/>
          <w:szCs w:val="20"/>
          <w:color w:val="auto"/>
        </w:rPr>
      </w:pPr>
      <w:r>
        <w:rPr>
          <w:rFonts w:ascii="Courier New" w:cs="Courier New" w:eastAsia="Courier New" w:hAnsi="Courier New"/>
          <w:sz w:val="14"/>
          <w:szCs w:val="14"/>
          <w:color w:val="auto"/>
        </w:rPr>
        <w:t>Net income for 1993 was $18.8 million, or $.67 per share, compared to 1992 net income of $29.5 million, or $1.05 per share. Earnings for 1993 reflect an $11.2 million, or $.40 per share, charge for network development at Yellow Freight as well as a reduction of $1.6 million, or $.06 per share, from the impact of the statutory increase in the U.S. federal tax rate on the company's deferred tax liabilities. Net income for 1992 was reduced $11.5 million, or $.41 per share, due to a change in the company's revenue recognition policy.</w:t>
      </w:r>
    </w:p>
    <w:p>
      <w:pPr>
        <w:spacing w:after="0" w:line="1" w:lineRule="exact"/>
        <w:rPr>
          <w:sz w:val="20"/>
          <w:szCs w:val="20"/>
          <w:color w:val="auto"/>
        </w:rPr>
      </w:pPr>
    </w:p>
    <w:p>
      <w:pPr>
        <w:ind w:right="3299" w:firstLine="799"/>
        <w:spacing w:after="0"/>
        <w:rPr>
          <w:sz w:val="20"/>
          <w:szCs w:val="20"/>
          <w:color w:val="auto"/>
        </w:rPr>
      </w:pPr>
      <w:r>
        <w:rPr>
          <w:rFonts w:ascii="Courier New" w:cs="Courier New" w:eastAsia="Courier New" w:hAnsi="Courier New"/>
          <w:sz w:val="15"/>
          <w:szCs w:val="15"/>
          <w:color w:val="auto"/>
        </w:rPr>
        <w:t>Earnings declined in 1993 largely because of competitive pricing pressures, especially in the first half of the year, and severe winter weather across the nation in the first quarter. The operations of the Preston subsidiaries had a small negative impact on earnings in 1993, although they showed steady improvement during the year and contributed $.02 per share to fourth quarter earnings.</w:t>
      </w:r>
    </w:p>
    <w:p>
      <w:pPr>
        <w:spacing w:after="0" w:line="4" w:lineRule="exact"/>
        <w:rPr>
          <w:sz w:val="20"/>
          <w:szCs w:val="20"/>
          <w:color w:val="auto"/>
        </w:rPr>
      </w:pPr>
    </w:p>
    <w:p>
      <w:pPr>
        <w:ind w:right="3299" w:firstLine="799"/>
        <w:spacing w:after="0" w:line="258" w:lineRule="auto"/>
        <w:rPr>
          <w:sz w:val="20"/>
          <w:szCs w:val="20"/>
          <w:color w:val="auto"/>
        </w:rPr>
      </w:pPr>
      <w:r>
        <w:rPr>
          <w:rFonts w:ascii="Courier New" w:cs="Courier New" w:eastAsia="Courier New" w:hAnsi="Courier New"/>
          <w:sz w:val="14"/>
          <w:szCs w:val="14"/>
          <w:color w:val="auto"/>
        </w:rPr>
        <w:t>The company's operating ratio was 98.1 in 1993 compared to 96.3 in 1992. Purchased transportation increased as a percentage of revenue due to increased use of rail transportation and the Preston subsidiaries' heavier usage of purchased transportation. Salaries, wages and employees' benefits decreased as a percent of revenue despite wage and benefit increases of approximately 3% effective April 1 for Teamster employees. This is due to a wage reduction of 9% effective April 1 for employees of Preston Trucking, a small decrease in the total number of employees and a reduction in workers' compensation expense. Due to moderate capital expenditures during the last three years and more efficient use of equipment, depreciation expense also decreased as a percent of revenue. This resulted in higher equipment maintenance costs which negated a portion of the depreciation expense savings.</w:t>
      </w:r>
    </w:p>
    <w:p>
      <w:pPr>
        <w:spacing w:after="0" w:line="2"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During 1993, Yellow Freight instituted an extensive network development process by consolidating and realigning terminals to improve customer service and reduce costs. A charge of $11.2 million after taxes was recorded for the costs to close certain facilities and dispose of excess property. This network development will result in better use of assets, reduced overhead, improved transit times and lower freight handling costs without reducing customer service.</w:t>
      </w:r>
    </w:p>
    <w:p>
      <w:pPr>
        <w:sectPr>
          <w:pgSz w:w="11900" w:h="16838" w:orient="portrait"/>
          <w:cols w:equalWidth="0" w:num="1">
            <w:col w:w="10219"/>
          </w:cols>
          <w:pgMar w:left="240" w:top="287" w:right="1440" w:bottom="1440" w:gutter="0" w:footer="0" w:header="0"/>
        </w:sectPr>
      </w:pPr>
    </w:p>
    <w:bookmarkStart w:id="28" w:name="page29"/>
    <w:bookmarkEnd w:id="28"/>
    <w:p>
      <w:pPr>
        <w:ind w:left="260"/>
        <w:spacing w:after="0"/>
        <w:rPr>
          <w:sz w:val="20"/>
          <w:szCs w:val="20"/>
          <w:color w:val="auto"/>
        </w:rPr>
      </w:pPr>
      <w:r>
        <w:rPr>
          <w:rFonts w:ascii="Courier New" w:cs="Courier New" w:eastAsia="Courier New" w:hAnsi="Courier New"/>
          <w:sz w:val="15"/>
          <w:szCs w:val="15"/>
          <w:color w:val="auto"/>
        </w:rPr>
        <w:t>14</w:t>
      </w:r>
    </w:p>
    <w:p>
      <w:pPr>
        <w:spacing w:after="0" w:line="3" w:lineRule="exact"/>
        <w:rPr>
          <w:sz w:val="20"/>
          <w:szCs w:val="20"/>
          <w:color w:val="auto"/>
        </w:rPr>
      </w:pPr>
    </w:p>
    <w:p>
      <w:pPr>
        <w:ind w:right="3219" w:firstLine="799"/>
        <w:spacing w:after="0" w:line="262" w:lineRule="auto"/>
        <w:rPr>
          <w:sz w:val="20"/>
          <w:szCs w:val="20"/>
          <w:color w:val="auto"/>
        </w:rPr>
      </w:pPr>
      <w:r>
        <w:rPr>
          <w:rFonts w:ascii="Courier New" w:cs="Courier New" w:eastAsia="Courier New" w:hAnsi="Courier New"/>
          <w:sz w:val="14"/>
          <w:szCs w:val="14"/>
          <w:color w:val="auto"/>
        </w:rPr>
        <w:t>Interest expense increased $5.5 million primarily due to increased debt levels related to the Preston acquisition. Other nonoperating expenses decreased $4.3 million due to gains on facility sales, lower levels of losses related to equipment sales and less expense related to nonoperating facilities.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1992 VS. 1991</w:t>
      </w:r>
    </w:p>
    <w:p>
      <w:pPr>
        <w:spacing w:after="0" w:line="3" w:lineRule="exact"/>
        <w:rPr>
          <w:sz w:val="20"/>
          <w:szCs w:val="20"/>
          <w:color w:val="auto"/>
        </w:rPr>
      </w:pPr>
    </w:p>
    <w:p>
      <w:pPr>
        <w:ind w:right="3219" w:firstLine="799"/>
        <w:spacing w:after="0" w:line="258" w:lineRule="auto"/>
        <w:rPr>
          <w:sz w:val="20"/>
          <w:szCs w:val="20"/>
          <w:color w:val="auto"/>
        </w:rPr>
      </w:pPr>
      <w:r>
        <w:rPr>
          <w:rFonts w:ascii="Courier New" w:cs="Courier New" w:eastAsia="Courier New" w:hAnsi="Courier New"/>
          <w:sz w:val="14"/>
          <w:szCs w:val="14"/>
          <w:color w:val="auto"/>
        </w:rPr>
        <w:t>Operating revenue for the company totaled $2.26 billion in 1992, down 3.5% from $2.34 billion in 1991. Rate increases of approximately 5% were offset by a decrease in total tonnage of 5.5% in 1992 compared to 1991, reflecting a commitment to improving account profitability and resisting discounting.</w:t>
      </w:r>
    </w:p>
    <w:p>
      <w:pPr>
        <w:spacing w:after="0" w:line="1"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Net income for 1992, before a charge for the cumulative effect of a change in revenue recognition policy, was $41.0 million, or $1.46 per share, compared to 1991 net income of $26.7 million, or $.95 per share. The nonoperating charge of $11.5 million after taxes, or $.41 per share, reduced full year net income to $1.05 per share and had no impact on cash flow. Yellow Freight was able to retain most of its January 1, 1992 rate increase, a key ingredient in improving profitability during 1992. The company's operating ratio for 1992 improved to 96.3 from 97.6 in 1991 despite decreased revenue and tonnage. The improvement in costs came primarily in the area of operating expenses and supplies. Fuel expense decreased as a result of declining prices and fewer miles operated. General operating expenses also decreased significantly in a number of key areas as a result of continued cost control efforts and decreased operating volume. Increased efficiencies and decreased operating volume resulted in lower employee levels. Additionally, workers' compensation costs were reduced in 1992. These reductions allowed total salaries, wages and employees' benefits expense to remain constant as a percentage of revenue from 1991 to 1992 despite a 3.5% increase in labor costs on April 1 under the Teamsters' agreement.</w:t>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FUTURE OUTLOOK</w:t>
      </w:r>
    </w:p>
    <w:p>
      <w:pPr>
        <w:spacing w:after="0" w:line="3" w:lineRule="exact"/>
        <w:rPr>
          <w:sz w:val="20"/>
          <w:szCs w:val="20"/>
          <w:color w:val="auto"/>
        </w:rPr>
      </w:pPr>
    </w:p>
    <w:p>
      <w:pPr>
        <w:ind w:right="3219" w:firstLine="799"/>
        <w:spacing w:after="0" w:line="258" w:lineRule="auto"/>
        <w:rPr>
          <w:sz w:val="20"/>
          <w:szCs w:val="20"/>
          <w:color w:val="auto"/>
        </w:rPr>
      </w:pPr>
      <w:r>
        <w:rPr>
          <w:rFonts w:ascii="Courier New" w:cs="Courier New" w:eastAsia="Courier New" w:hAnsi="Courier New"/>
          <w:sz w:val="14"/>
          <w:szCs w:val="14"/>
          <w:color w:val="auto"/>
        </w:rPr>
        <w:t>With business near pre-strike levels, a stable pricing environment, and a new four-year labor agreement which will help reduce costs and improve efficiency, the company expects improved operating performance in 1995. Revenue growth is expected to come from rate increases, continued development of existing services, introduction of new services and expansion of the regional carrier's service area. Rate increases of between 4% and 5% were implemented by the motor carrier subsidiaries on January 1, 1995. Yellow Freight expects that rate increases and tonnage growth coupled with cost savings from the labor agreement, investments in technology and other programs will result in improved operating performance in 1995. Preston Trucking plans to continue to leverage its new SuperRegion concept and expects improvement in both revenue growth and operating profit. Revenue growth, improved service and improved productivity are expected to produce benefits in excess of the phase down of the wage reduction agreement. Saia, following the completion of its merger with Smalley, anticipates strong revenue growth by expanding both within and outside of their present service area. Expansion costs and pricing pressures related to the deregulation of intrastate operations may have some negative impact on operating performance in 1995. However, benefits are expected from cost savings as a result of the merger and revenue opportunities from the 1994 and 1995 expansions, including access to new intrastate markets.</w:t>
      </w:r>
    </w:p>
    <w:p>
      <w:pPr>
        <w:sectPr>
          <w:pgSz w:w="11900" w:h="16838" w:orient="portrait"/>
          <w:cols w:equalWidth="0" w:num="1">
            <w:col w:w="10219"/>
          </w:cols>
          <w:pgMar w:left="240" w:top="287" w:right="1440" w:bottom="1440" w:gutter="0" w:footer="0" w:header="0"/>
        </w:sectPr>
      </w:pPr>
    </w:p>
    <w:bookmarkStart w:id="29" w:name="page30"/>
    <w:bookmarkEnd w:id="29"/>
    <w:p>
      <w:pPr>
        <w:jc w:val="right"/>
        <w:ind w:right="9779"/>
        <w:spacing w:after="0"/>
        <w:rPr>
          <w:sz w:val="20"/>
          <w:szCs w:val="20"/>
          <w:color w:val="auto"/>
        </w:rPr>
      </w:pPr>
      <w:r>
        <w:rPr>
          <w:rFonts w:ascii="Courier New" w:cs="Courier New" w:eastAsia="Courier New" w:hAnsi="Courier New"/>
          <w:sz w:val="15"/>
          <w:szCs w:val="15"/>
          <w:color w:val="auto"/>
        </w:rPr>
        <w:t>15</w:t>
      </w:r>
    </w:p>
    <w:p>
      <w:pPr>
        <w:spacing w:after="0" w:line="3" w:lineRule="exact"/>
        <w:rPr>
          <w:sz w:val="20"/>
          <w:szCs w:val="20"/>
          <w:color w:val="auto"/>
        </w:rPr>
      </w:pPr>
    </w:p>
    <w:p>
      <w:pPr>
        <w:jc w:val="right"/>
        <w:ind w:right="9779"/>
        <w:spacing w:after="0"/>
        <w:rPr>
          <w:sz w:val="20"/>
          <w:szCs w:val="20"/>
          <w:color w:val="auto"/>
        </w:rPr>
      </w:pPr>
      <w:r>
        <w:rPr>
          <w:rFonts w:ascii="Courier New" w:cs="Courier New" w:eastAsia="Courier New" w:hAnsi="Courier New"/>
          <w:sz w:val="14"/>
          <w:szCs w:val="14"/>
          <w:color w:val="auto"/>
        </w:rPr>
        <w:t>OTHER</w:t>
      </w:r>
    </w:p>
    <w:p>
      <w:pPr>
        <w:spacing w:after="0" w:line="183" w:lineRule="exact"/>
        <w:rPr>
          <w:sz w:val="20"/>
          <w:szCs w:val="20"/>
          <w:color w:val="auto"/>
        </w:rPr>
      </w:pPr>
    </w:p>
    <w:p>
      <w:pPr>
        <w:ind w:right="3479" w:firstLine="799"/>
        <w:spacing w:after="0" w:line="239" w:lineRule="auto"/>
        <w:rPr>
          <w:sz w:val="20"/>
          <w:szCs w:val="20"/>
          <w:color w:val="auto"/>
        </w:rPr>
      </w:pPr>
      <w:r>
        <w:rPr>
          <w:rFonts w:ascii="Courier New" w:cs="Courier New" w:eastAsia="Courier New" w:hAnsi="Courier New"/>
          <w:sz w:val="15"/>
          <w:szCs w:val="15"/>
          <w:color w:val="auto"/>
        </w:rPr>
        <w:t>In November 1994 the company acquired Johnson's Freightlines, a Phoenix, AZ-based regional less-than-truckload carrier. Renamed WestEx, this acquisition gives the company an established base as it plans to expand into California and adjoining states.</w:t>
      </w:r>
    </w:p>
    <w:p>
      <w:pPr>
        <w:spacing w:after="0" w:line="6"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The company uses heating oil swap and fixed price diesel fuel agreements to reduce a portion of the exposure to fluctuating diesel prices. The heating oil swap agreements provide for payments to be made or received based on the difference between fixed prices and variable prices. Gains and losses on the agreements are recognized as a component of fuel expense when the corresponding fuel is purchased.</w:t>
      </w:r>
    </w:p>
    <w:p>
      <w:pPr>
        <w:spacing w:after="0" w:line="4" w:lineRule="exact"/>
        <w:rPr>
          <w:sz w:val="20"/>
          <w:szCs w:val="20"/>
          <w:color w:val="auto"/>
        </w:rPr>
      </w:pPr>
    </w:p>
    <w:p>
      <w:pPr>
        <w:ind w:right="3299" w:firstLine="799"/>
        <w:spacing w:after="0"/>
        <w:rPr>
          <w:sz w:val="20"/>
          <w:szCs w:val="20"/>
          <w:color w:val="auto"/>
        </w:rPr>
      </w:pPr>
      <w:r>
        <w:rPr>
          <w:rFonts w:ascii="Courier New" w:cs="Courier New" w:eastAsia="Courier New" w:hAnsi="Courier New"/>
          <w:sz w:val="15"/>
          <w:szCs w:val="15"/>
          <w:color w:val="auto"/>
        </w:rPr>
        <w:t>The effective income tax rate was 14.0% in 1994, 46.8% in 1993 and 37.2% in 1992. The decrease in 1994 primarily resulted from a pre-tax loss and a higher relative impact from the statutory change in deductibility of certain business expenses. The increase in 1993 was due primarily to the impact of a higher U.S. federal tax rate on the company's deferred tax liabilities. The notes to consolidated financial statements contain an analysis of the income tax provision and the effective income tax rate.</w:t>
      </w: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CONDITION</w:t>
      </w:r>
    </w:p>
    <w:p>
      <w:pPr>
        <w:spacing w:after="0" w:line="3" w:lineRule="exact"/>
        <w:rPr>
          <w:sz w:val="20"/>
          <w:szCs w:val="20"/>
          <w:color w:val="auto"/>
        </w:rPr>
      </w:pPr>
    </w:p>
    <w:p>
      <w:pPr>
        <w:ind w:right="3299" w:firstLine="799"/>
        <w:spacing w:after="0" w:line="258" w:lineRule="auto"/>
        <w:rPr>
          <w:sz w:val="20"/>
          <w:szCs w:val="20"/>
          <w:color w:val="auto"/>
        </w:rPr>
      </w:pPr>
      <w:r>
        <w:rPr>
          <w:rFonts w:ascii="Courier New" w:cs="Courier New" w:eastAsia="Courier New" w:hAnsi="Courier New"/>
          <w:sz w:val="14"/>
          <w:szCs w:val="14"/>
          <w:color w:val="auto"/>
        </w:rPr>
        <w:t>Working capital decreased $9.5 million during 1994, resulting in a $27.4 million positive working capital position at December 31, 1994. The company's total debt level at December 31, 1994 increased $21.3 million compared to that of December 31, 1993, primarily due to a higher level of capital expenditures in 1994 and the impact on cash flow of lower earnings. Commercial paper borrowings and medium-term note issuances were used to meet these cash needs and scheduled maturities of other debt. The company maintains credit availability under a $100 million credit agreement to support the commercial paper program and provide additional borrowing capacity.</w:t>
      </w:r>
    </w:p>
    <w:p>
      <w:pPr>
        <w:spacing w:after="0" w:line="2" w:lineRule="exact"/>
        <w:rPr>
          <w:sz w:val="20"/>
          <w:szCs w:val="20"/>
          <w:color w:val="auto"/>
        </w:rPr>
      </w:pPr>
    </w:p>
    <w:p>
      <w:pPr>
        <w:ind w:right="3299" w:firstLine="799"/>
        <w:spacing w:after="0" w:line="239" w:lineRule="auto"/>
        <w:rPr>
          <w:sz w:val="20"/>
          <w:szCs w:val="20"/>
          <w:color w:val="auto"/>
        </w:rPr>
      </w:pPr>
      <w:r>
        <w:rPr>
          <w:rFonts w:ascii="Courier New" w:cs="Courier New" w:eastAsia="Courier New" w:hAnsi="Courier New"/>
          <w:sz w:val="15"/>
          <w:szCs w:val="15"/>
          <w:color w:val="auto"/>
        </w:rPr>
        <w:t>Capital expenditures are financed primarily with internally-generated funds. It is anticipated that 1995 capital expenditures will be similarly financed. Actual and projected net capital expenditures are summarized below (in millions):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Projected</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ind w:left="180"/>
              <w:spacing w:after="0"/>
              <w:rPr>
                <w:sz w:val="20"/>
                <w:szCs w:val="20"/>
                <w:color w:val="auto"/>
              </w:rPr>
            </w:pPr>
            <w:r>
              <w:rPr>
                <w:rFonts w:ascii="Courier New" w:cs="Courier New" w:eastAsia="Courier New" w:hAnsi="Courier New"/>
                <w:sz w:val="15"/>
                <w:szCs w:val="15"/>
                <w:color w:val="auto"/>
              </w:rPr>
              <w:t>Actual</w:t>
            </w:r>
          </w:p>
        </w:tc>
        <w:tc>
          <w:tcPr>
            <w:tcW w:w="580" w:type="dxa"/>
            <w:vAlign w:val="bottom"/>
          </w:tcPr>
          <w:p>
            <w:pPr>
              <w:spacing w:after="0"/>
              <w:rPr>
                <w:sz w:val="14"/>
                <w:szCs w:val="14"/>
                <w:color w:val="auto"/>
              </w:rPr>
            </w:pPr>
          </w:p>
        </w:tc>
      </w:tr>
      <w:tr>
        <w:trPr>
          <w:trHeight w:val="171"/>
        </w:trPr>
        <w:tc>
          <w:tcPr>
            <w:tcW w:w="2880" w:type="dxa"/>
            <w:vAlign w:val="bottom"/>
          </w:tcPr>
          <w:p>
            <w:pPr>
              <w:spacing w:after="0"/>
              <w:rPr>
                <w:sz w:val="14"/>
                <w:szCs w:val="14"/>
                <w:color w:val="auto"/>
              </w:rPr>
            </w:pPr>
          </w:p>
        </w:tc>
        <w:tc>
          <w:tcPr>
            <w:tcW w:w="9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1995</w:t>
            </w:r>
          </w:p>
        </w:tc>
        <w:tc>
          <w:tcPr>
            <w:tcW w:w="5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w w:val="94"/>
              </w:rPr>
              <w:t>1994</w:t>
            </w:r>
          </w:p>
        </w:tc>
        <w:tc>
          <w:tcPr>
            <w:tcW w:w="840" w:type="dxa"/>
            <w:vAlign w:val="bottom"/>
          </w:tcPr>
          <w:p>
            <w:pPr>
              <w:ind w:left="180"/>
              <w:spacing w:after="0"/>
              <w:rPr>
                <w:sz w:val="20"/>
                <w:szCs w:val="20"/>
                <w:color w:val="auto"/>
              </w:rPr>
            </w:pPr>
            <w:r>
              <w:rPr>
                <w:rFonts w:ascii="Courier New" w:cs="Courier New" w:eastAsia="Courier New" w:hAnsi="Courier New"/>
                <w:sz w:val="15"/>
                <w:szCs w:val="15"/>
                <w:color w:val="auto"/>
              </w:rPr>
              <w:t>1993</w:t>
            </w:r>
          </w:p>
        </w:tc>
        <w:tc>
          <w:tcPr>
            <w:tcW w:w="5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1992</w:t>
            </w:r>
          </w:p>
        </w:tc>
      </w:tr>
      <w:tr>
        <w:trPr>
          <w:trHeight w:val="341"/>
        </w:trPr>
        <w:tc>
          <w:tcPr>
            <w:tcW w:w="2880" w:type="dxa"/>
            <w:vAlign w:val="bottom"/>
          </w:tcPr>
          <w:p>
            <w:pPr>
              <w:spacing w:after="0"/>
              <w:rPr>
                <w:sz w:val="20"/>
                <w:szCs w:val="20"/>
                <w:color w:val="auto"/>
              </w:rPr>
            </w:pPr>
            <w:r>
              <w:rPr>
                <w:rFonts w:ascii="Courier New" w:cs="Courier New" w:eastAsia="Courier New" w:hAnsi="Courier New"/>
                <w:sz w:val="15"/>
                <w:szCs w:val="15"/>
                <w:color w:val="auto"/>
              </w:rPr>
              <w:t>Land and structures</w:t>
            </w:r>
          </w:p>
        </w:tc>
        <w:tc>
          <w:tcPr>
            <w:tcW w:w="9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$ 25</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4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171"/>
        </w:trPr>
        <w:tc>
          <w:tcPr>
            <w:tcW w:w="2880" w:type="dxa"/>
            <w:vAlign w:val="bottom"/>
          </w:tcPr>
          <w:p>
            <w:pPr>
              <w:spacing w:after="0"/>
              <w:rPr>
                <w:sz w:val="20"/>
                <w:szCs w:val="20"/>
                <w:color w:val="auto"/>
              </w:rPr>
            </w:pPr>
            <w:r>
              <w:rPr>
                <w:rFonts w:ascii="Courier New" w:cs="Courier New" w:eastAsia="Courier New" w:hAnsi="Courier New"/>
                <w:sz w:val="15"/>
                <w:szCs w:val="15"/>
                <w:color w:val="auto"/>
              </w:rPr>
              <w:t>Revenue equipment</w:t>
            </w:r>
          </w:p>
        </w:tc>
        <w:tc>
          <w:tcPr>
            <w:tcW w:w="9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85</w:t>
            </w:r>
          </w:p>
        </w:tc>
        <w:tc>
          <w:tcPr>
            <w:tcW w:w="100" w:type="dxa"/>
            <w:vAlign w:val="bottom"/>
          </w:tcPr>
          <w:p>
            <w:pPr>
              <w:spacing w:after="0"/>
              <w:rPr>
                <w:sz w:val="14"/>
                <w:szCs w:val="14"/>
                <w:color w:val="auto"/>
              </w:rPr>
            </w:pPr>
          </w:p>
        </w:tc>
        <w:tc>
          <w:tcPr>
            <w:tcW w:w="4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98</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34</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49</w:t>
            </w:r>
          </w:p>
        </w:tc>
      </w:tr>
      <w:tr>
        <w:trPr>
          <w:trHeight w:val="171"/>
        </w:trPr>
        <w:tc>
          <w:tcPr>
            <w:tcW w:w="2880" w:type="dxa"/>
            <w:vAlign w:val="bottom"/>
          </w:tcPr>
          <w:p>
            <w:pPr>
              <w:spacing w:after="0"/>
              <w:rPr>
                <w:sz w:val="20"/>
                <w:szCs w:val="20"/>
                <w:color w:val="auto"/>
              </w:rPr>
            </w:pPr>
            <w:r>
              <w:rPr>
                <w:rFonts w:ascii="Courier New" w:cs="Courier New" w:eastAsia="Courier New" w:hAnsi="Courier New"/>
                <w:sz w:val="15"/>
                <w:szCs w:val="15"/>
                <w:color w:val="auto"/>
              </w:rPr>
              <w:t>Other operating property</w:t>
            </w:r>
          </w:p>
        </w:tc>
        <w:tc>
          <w:tcPr>
            <w:tcW w:w="9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65</w:t>
            </w:r>
          </w:p>
        </w:tc>
        <w:tc>
          <w:tcPr>
            <w:tcW w:w="100" w:type="dxa"/>
            <w:vAlign w:val="bottom"/>
          </w:tcPr>
          <w:p>
            <w:pPr>
              <w:spacing w:after="0"/>
              <w:rPr>
                <w:sz w:val="14"/>
                <w:szCs w:val="14"/>
                <w:color w:val="auto"/>
              </w:rPr>
            </w:pPr>
          </w:p>
        </w:tc>
        <w:tc>
          <w:tcPr>
            <w:tcW w:w="4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50</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1"/>
        </w:trPr>
        <w:tc>
          <w:tcPr>
            <w:tcW w:w="2880" w:type="dxa"/>
            <w:vAlign w:val="bottom"/>
          </w:tcPr>
          <w:p>
            <w:pPr>
              <w:ind w:left="2300"/>
              <w:spacing w:after="0"/>
              <w:rPr>
                <w:sz w:val="20"/>
                <w:szCs w:val="20"/>
                <w:color w:val="auto"/>
              </w:rPr>
            </w:pPr>
            <w:r>
              <w:rPr>
                <w:rFonts w:ascii="Courier New" w:cs="Courier New" w:eastAsia="Courier New" w:hAnsi="Courier New"/>
                <w:sz w:val="15"/>
                <w:szCs w:val="15"/>
                <w:color w:val="auto"/>
              </w:rPr>
              <w:t>Total</w:t>
            </w:r>
          </w:p>
        </w:tc>
        <w:tc>
          <w:tcPr>
            <w:tcW w:w="9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$175</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44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88"/>
              </w:rPr>
              <w:t>151</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$67</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$79</w:t>
            </w:r>
          </w:p>
        </w:tc>
      </w:tr>
    </w:tbl>
    <w:p>
      <w:pPr>
        <w:spacing w:after="0" w:line="345" w:lineRule="exact"/>
        <w:rPr>
          <w:sz w:val="20"/>
          <w:szCs w:val="20"/>
          <w:color w:val="auto"/>
        </w:rPr>
      </w:pPr>
    </w:p>
    <w:p>
      <w:pPr>
        <w:ind w:right="3299" w:firstLine="799"/>
        <w:spacing w:after="0"/>
        <w:rPr>
          <w:sz w:val="20"/>
          <w:szCs w:val="20"/>
          <w:color w:val="auto"/>
        </w:rPr>
      </w:pPr>
      <w:r>
        <w:rPr>
          <w:rFonts w:ascii="Courier New" w:cs="Courier New" w:eastAsia="Courier New" w:hAnsi="Courier New"/>
          <w:sz w:val="15"/>
          <w:szCs w:val="15"/>
          <w:color w:val="auto"/>
        </w:rPr>
        <w:t>Projected facility expenditures will target maintenance and expansion of existing locations and the construction or purchase of new locations to improve efficiency and enter new markets in selected areas. Facility expenditures in 1994 were offset by the sale of a number of facilities at Yellow Freight and Preston Trucking, resulting in lower net expenditures than projected. Revenue equipment expenditures are estimated to consist mostly of replacement units, similar to 1994. The anticipated increase in rail use by Yellow Freight for 1995 resulted in lower projected revenue equipment expenditures. There is expected to be an even split in revenue equipment expenditures between Yellow Freight and the regional companies as a group for 1995. Other property expenditures</w:t>
      </w:r>
    </w:p>
    <w:p>
      <w:pPr>
        <w:sectPr>
          <w:pgSz w:w="11900" w:h="16838" w:orient="portrait"/>
          <w:cols w:equalWidth="0" w:num="1">
            <w:col w:w="10219"/>
          </w:cols>
          <w:pgMar w:left="240" w:top="287" w:right="1440" w:bottom="1440" w:gutter="0" w:footer="0" w:header="0"/>
        </w:sectPr>
      </w:pPr>
    </w:p>
    <w:bookmarkStart w:id="30" w:name="page31"/>
    <w:bookmarkEnd w:id="30"/>
    <w:p>
      <w:pPr>
        <w:ind w:left="269"/>
        <w:spacing w:after="0"/>
        <w:rPr>
          <w:sz w:val="20"/>
          <w:szCs w:val="20"/>
          <w:color w:val="auto"/>
        </w:rPr>
      </w:pPr>
      <w:r>
        <w:rPr>
          <w:rFonts w:ascii="Courier New" w:cs="Courier New" w:eastAsia="Courier New" w:hAnsi="Courier New"/>
          <w:sz w:val="15"/>
          <w:szCs w:val="15"/>
          <w:color w:val="auto"/>
        </w:rPr>
        <w:t>16</w:t>
      </w:r>
    </w:p>
    <w:p>
      <w:pPr>
        <w:spacing w:after="0" w:line="3" w:lineRule="exact"/>
        <w:rPr>
          <w:sz w:val="20"/>
          <w:szCs w:val="20"/>
          <w:color w:val="auto"/>
        </w:rPr>
      </w:pPr>
    </w:p>
    <w:p>
      <w:pPr>
        <w:ind w:left="9" w:right="3640"/>
        <w:spacing w:after="0" w:line="238" w:lineRule="auto"/>
        <w:rPr>
          <w:sz w:val="20"/>
          <w:szCs w:val="20"/>
          <w:color w:val="auto"/>
        </w:rPr>
      </w:pPr>
      <w:r>
        <w:rPr>
          <w:rFonts w:ascii="Courier New" w:cs="Courier New" w:eastAsia="Courier New" w:hAnsi="Courier New"/>
          <w:sz w:val="15"/>
          <w:szCs w:val="15"/>
          <w:color w:val="auto"/>
        </w:rPr>
        <w:t>are primarily for improving efficiency through technological enhancements and advanced information systems.</w:t>
      </w:r>
    </w:p>
    <w:p>
      <w:pPr>
        <w:spacing w:after="0" w:line="4" w:lineRule="exact"/>
        <w:rPr>
          <w:sz w:val="20"/>
          <w:szCs w:val="20"/>
          <w:color w:val="auto"/>
        </w:rPr>
      </w:pPr>
    </w:p>
    <w:p>
      <w:pPr>
        <w:ind w:left="9" w:right="3640" w:firstLine="799"/>
        <w:spacing w:after="0" w:line="238" w:lineRule="auto"/>
        <w:rPr>
          <w:sz w:val="20"/>
          <w:szCs w:val="20"/>
          <w:color w:val="auto"/>
        </w:rPr>
      </w:pPr>
      <w:r>
        <w:rPr>
          <w:rFonts w:ascii="Courier New" w:cs="Courier New" w:eastAsia="Courier New" w:hAnsi="Courier New"/>
          <w:sz w:val="15"/>
          <w:szCs w:val="15"/>
          <w:color w:val="auto"/>
        </w:rPr>
        <w:t>The company's cash dividends paid to shareholders have been $.94 per share ($26 million) in each of the last three years.</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FINANCIAL SUMMARY</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Yellow Corporation and Subsidiaries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(Amounts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340" w:type="dxa"/>
            <w:vAlign w:val="bottom"/>
          </w:tcPr>
          <w:p>
            <w:pPr>
              <w:spacing w:after="0"/>
              <w:rPr>
                <w:sz w:val="20"/>
                <w:szCs w:val="20"/>
                <w:color w:val="auto"/>
              </w:rPr>
            </w:pPr>
            <w:r>
              <w:rPr>
                <w:rFonts w:ascii="Courier New" w:cs="Courier New" w:eastAsia="Courier New" w:hAnsi="Courier New"/>
                <w:sz w:val="15"/>
                <w:szCs w:val="15"/>
                <w:color w:val="auto"/>
              </w:rPr>
              <w:t>FOR THE YEAR:</w:t>
            </w:r>
          </w:p>
        </w:tc>
        <w:tc>
          <w:tcPr>
            <w:tcW w:w="160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1994</w:t>
            </w:r>
          </w:p>
        </w:tc>
        <w:tc>
          <w:tcPr>
            <w:tcW w:w="168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1993(a)</w:t>
            </w:r>
          </w:p>
        </w:tc>
        <w:tc>
          <w:tcPr>
            <w:tcW w:w="160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1992</w:t>
            </w: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1991</w:t>
            </w:r>
          </w:p>
        </w:tc>
      </w:tr>
      <w:tr>
        <w:trPr>
          <w:trHeight w:val="341"/>
        </w:trPr>
        <w:tc>
          <w:tcPr>
            <w:tcW w:w="4340" w:type="dxa"/>
            <w:vAlign w:val="bottom"/>
          </w:tcPr>
          <w:p>
            <w:pPr>
              <w:spacing w:after="0"/>
              <w:rPr>
                <w:sz w:val="20"/>
                <w:szCs w:val="20"/>
                <w:color w:val="auto"/>
              </w:rPr>
            </w:pPr>
            <w:r>
              <w:rPr>
                <w:rFonts w:ascii="Courier New" w:cs="Courier New" w:eastAsia="Courier New" w:hAnsi="Courier New"/>
                <w:sz w:val="15"/>
                <w:szCs w:val="15"/>
                <w:color w:val="auto"/>
              </w:rPr>
              <w:t>Operating revenue</w:t>
            </w:r>
          </w:p>
        </w:tc>
        <w:tc>
          <w:tcPr>
            <w:tcW w:w="16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$2,867,492</w:t>
            </w:r>
          </w:p>
        </w:tc>
        <w:tc>
          <w:tcPr>
            <w:tcW w:w="16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$2,856,505</w:t>
            </w:r>
          </w:p>
        </w:tc>
        <w:tc>
          <w:tcPr>
            <w:tcW w:w="16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$2,262,676</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$2,344,143</w:t>
            </w:r>
          </w:p>
        </w:tc>
      </w:tr>
      <w:tr>
        <w:trPr>
          <w:trHeight w:val="171"/>
        </w:trPr>
        <w:tc>
          <w:tcPr>
            <w:tcW w:w="434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16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11,011</w:t>
            </w:r>
          </w:p>
        </w:tc>
        <w:tc>
          <w:tcPr>
            <w:tcW w:w="16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53,893</w:t>
            </w:r>
          </w:p>
        </w:tc>
        <w:tc>
          <w:tcPr>
            <w:tcW w:w="16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82,814</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56,907</w:t>
            </w:r>
          </w:p>
        </w:tc>
      </w:tr>
      <w:tr>
        <w:trPr>
          <w:trHeight w:val="171"/>
        </w:trPr>
        <w:tc>
          <w:tcPr>
            <w:tcW w:w="4340" w:type="dxa"/>
            <w:vAlign w:val="bottom"/>
          </w:tcPr>
          <w:p>
            <w:pPr>
              <w:spacing w:after="0"/>
              <w:rPr>
                <w:sz w:val="20"/>
                <w:szCs w:val="20"/>
                <w:color w:val="auto"/>
              </w:rPr>
            </w:pPr>
            <w:r>
              <w:rPr>
                <w:rFonts w:ascii="Courier New" w:cs="Courier New" w:eastAsia="Courier New" w:hAnsi="Courier New"/>
                <w:sz w:val="15"/>
                <w:szCs w:val="15"/>
                <w:color w:val="auto"/>
              </w:rPr>
              <w:t>Depreciation</w:t>
            </w:r>
          </w:p>
        </w:tc>
        <w:tc>
          <w:tcPr>
            <w:tcW w:w="16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133,970</w:t>
            </w:r>
          </w:p>
        </w:tc>
        <w:tc>
          <w:tcPr>
            <w:tcW w:w="16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132,371</w:t>
            </w:r>
          </w:p>
        </w:tc>
        <w:tc>
          <w:tcPr>
            <w:tcW w:w="16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118,419</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124,687</w:t>
            </w:r>
          </w:p>
        </w:tc>
      </w:tr>
      <w:tr>
        <w:trPr>
          <w:trHeight w:val="171"/>
        </w:trPr>
        <w:tc>
          <w:tcPr>
            <w:tcW w:w="434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6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18,433</w:t>
            </w:r>
          </w:p>
        </w:tc>
        <w:tc>
          <w:tcPr>
            <w:tcW w:w="16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17,668</w:t>
            </w:r>
          </w:p>
        </w:tc>
        <w:tc>
          <w:tcPr>
            <w:tcW w:w="16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12,150</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14,159</w:t>
            </w:r>
          </w:p>
        </w:tc>
      </w:tr>
      <w:tr>
        <w:trPr>
          <w:trHeight w:val="171"/>
        </w:trPr>
        <w:tc>
          <w:tcPr>
            <w:tcW w:w="4340" w:type="dxa"/>
            <w:vAlign w:val="bottom"/>
          </w:tcPr>
          <w:p>
            <w:pPr>
              <w:spacing w:after="0"/>
              <w:rPr>
                <w:sz w:val="20"/>
                <w:szCs w:val="20"/>
                <w:color w:val="auto"/>
              </w:rPr>
            </w:pPr>
            <w:r>
              <w:rPr>
                <w:rFonts w:ascii="Courier New" w:cs="Courier New" w:eastAsia="Courier New" w:hAnsi="Courier New"/>
                <w:sz w:val="15"/>
                <w:szCs w:val="15"/>
                <w:color w:val="auto"/>
              </w:rPr>
              <w:t>Income (loss) before income taxes</w:t>
            </w:r>
          </w:p>
        </w:tc>
        <w:tc>
          <w:tcPr>
            <w:tcW w:w="16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(3,375)</w:t>
            </w:r>
          </w:p>
        </w:tc>
        <w:tc>
          <w:tcPr>
            <w:tcW w:w="16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35,358</w:t>
            </w:r>
          </w:p>
        </w:tc>
        <w:tc>
          <w:tcPr>
            <w:tcW w:w="16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65,393</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40,348</w:t>
            </w:r>
          </w:p>
        </w:tc>
      </w:tr>
      <w:tr>
        <w:trPr>
          <w:trHeight w:val="171"/>
        </w:trPr>
        <w:tc>
          <w:tcPr>
            <w:tcW w:w="4340" w:type="dxa"/>
            <w:vAlign w:val="bottom"/>
          </w:tcPr>
          <w:p>
            <w:pPr>
              <w:spacing w:after="0"/>
              <w:rPr>
                <w:sz w:val="20"/>
                <w:szCs w:val="20"/>
                <w:color w:val="auto"/>
              </w:rPr>
            </w:pPr>
            <w:r>
              <w:rPr>
                <w:rFonts w:ascii="Courier New" w:cs="Courier New" w:eastAsia="Courier New" w:hAnsi="Courier New"/>
                <w:sz w:val="15"/>
                <w:szCs w:val="15"/>
                <w:color w:val="auto"/>
              </w:rPr>
              <w:t>Income (loss) before extraordinary items and</w:t>
            </w:r>
          </w:p>
        </w:tc>
        <w:tc>
          <w:tcPr>
            <w:tcW w:w="16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4340" w:type="dxa"/>
            <w:vAlign w:val="bottom"/>
          </w:tcPr>
          <w:p>
            <w:pPr>
              <w:ind w:left="260"/>
              <w:spacing w:after="0"/>
              <w:rPr>
                <w:sz w:val="20"/>
                <w:szCs w:val="20"/>
                <w:color w:val="auto"/>
              </w:rPr>
            </w:pPr>
            <w:r>
              <w:rPr>
                <w:rFonts w:ascii="Courier New" w:cs="Courier New" w:eastAsia="Courier New" w:hAnsi="Courier New"/>
                <w:sz w:val="15"/>
                <w:szCs w:val="15"/>
                <w:color w:val="auto"/>
              </w:rPr>
              <w:t>cumulative effect of accounting changes</w:t>
            </w:r>
          </w:p>
        </w:tc>
        <w:tc>
          <w:tcPr>
            <w:tcW w:w="16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(3,848)</w:t>
            </w:r>
          </w:p>
        </w:tc>
        <w:tc>
          <w:tcPr>
            <w:tcW w:w="16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18,801</w:t>
            </w:r>
          </w:p>
        </w:tc>
        <w:tc>
          <w:tcPr>
            <w:tcW w:w="16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41,040</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26,654</w:t>
            </w:r>
          </w:p>
        </w:tc>
      </w:tr>
      <w:tr>
        <w:trPr>
          <w:trHeight w:val="171"/>
        </w:trPr>
        <w:tc>
          <w:tcPr>
            <w:tcW w:w="434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6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(7,906)</w:t>
            </w:r>
          </w:p>
        </w:tc>
        <w:tc>
          <w:tcPr>
            <w:tcW w:w="16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18,801</w:t>
            </w:r>
          </w:p>
        </w:tc>
        <w:tc>
          <w:tcPr>
            <w:tcW w:w="16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29,540</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26,654</w:t>
            </w:r>
          </w:p>
        </w:tc>
      </w:tr>
      <w:tr>
        <w:trPr>
          <w:trHeight w:val="171"/>
        </w:trPr>
        <w:tc>
          <w:tcPr>
            <w:tcW w:w="4340" w:type="dxa"/>
            <w:vAlign w:val="bottom"/>
          </w:tcPr>
          <w:p>
            <w:pPr>
              <w:spacing w:after="0"/>
              <w:rPr>
                <w:sz w:val="20"/>
                <w:szCs w:val="20"/>
                <w:color w:val="auto"/>
              </w:rPr>
            </w:pPr>
            <w:r>
              <w:rPr>
                <w:rFonts w:ascii="Courier New" w:cs="Courier New" w:eastAsia="Courier New" w:hAnsi="Courier New"/>
                <w:sz w:val="15"/>
                <w:szCs w:val="15"/>
                <w:color w:val="auto"/>
              </w:rPr>
              <w:t>Net cash from operating activities</w:t>
            </w:r>
          </w:p>
        </w:tc>
        <w:tc>
          <w:tcPr>
            <w:tcW w:w="16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157,448</w:t>
            </w:r>
          </w:p>
        </w:tc>
        <w:tc>
          <w:tcPr>
            <w:tcW w:w="16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138,802</w:t>
            </w:r>
          </w:p>
        </w:tc>
        <w:tc>
          <w:tcPr>
            <w:tcW w:w="16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139,438</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146,954</w:t>
            </w:r>
          </w:p>
        </w:tc>
      </w:tr>
      <w:tr>
        <w:trPr>
          <w:trHeight w:val="171"/>
        </w:trPr>
        <w:tc>
          <w:tcPr>
            <w:tcW w:w="4340" w:type="dxa"/>
            <w:vAlign w:val="bottom"/>
          </w:tcPr>
          <w:p>
            <w:pPr>
              <w:spacing w:after="0"/>
              <w:rPr>
                <w:sz w:val="20"/>
                <w:szCs w:val="20"/>
                <w:color w:val="auto"/>
              </w:rPr>
            </w:pPr>
            <w:r>
              <w:rPr>
                <w:rFonts w:ascii="Courier New" w:cs="Courier New" w:eastAsia="Courier New" w:hAnsi="Courier New"/>
                <w:sz w:val="15"/>
                <w:szCs w:val="15"/>
                <w:color w:val="auto"/>
              </w:rPr>
              <w:t>Net operating property additions</w:t>
            </w:r>
          </w:p>
        </w:tc>
        <w:tc>
          <w:tcPr>
            <w:tcW w:w="16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150,940</w:t>
            </w:r>
          </w:p>
        </w:tc>
        <w:tc>
          <w:tcPr>
            <w:tcW w:w="16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66,786</w:t>
            </w:r>
          </w:p>
        </w:tc>
        <w:tc>
          <w:tcPr>
            <w:tcW w:w="16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78,651</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104,668</w:t>
            </w:r>
          </w:p>
        </w:tc>
      </w:tr>
      <w:tr>
        <w:trPr>
          <w:trHeight w:val="341"/>
        </w:trPr>
        <w:tc>
          <w:tcPr>
            <w:tcW w:w="4340" w:type="dxa"/>
            <w:vAlign w:val="bottom"/>
          </w:tcPr>
          <w:p>
            <w:pPr>
              <w:spacing w:after="0"/>
              <w:rPr>
                <w:sz w:val="20"/>
                <w:szCs w:val="20"/>
                <w:color w:val="auto"/>
              </w:rPr>
            </w:pPr>
            <w:r>
              <w:rPr>
                <w:rFonts w:ascii="Courier New" w:cs="Courier New" w:eastAsia="Courier New" w:hAnsi="Courier New"/>
                <w:sz w:val="15"/>
                <w:szCs w:val="15"/>
                <w:color w:val="auto"/>
              </w:rPr>
              <w:t>AT YEAR-END:</w:t>
            </w:r>
          </w:p>
        </w:tc>
        <w:tc>
          <w:tcPr>
            <w:tcW w:w="16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1"/>
        </w:trPr>
        <w:tc>
          <w:tcPr>
            <w:tcW w:w="4340" w:type="dxa"/>
            <w:vAlign w:val="bottom"/>
          </w:tcPr>
          <w:p>
            <w:pPr>
              <w:spacing w:after="0"/>
              <w:rPr>
                <w:sz w:val="20"/>
                <w:szCs w:val="20"/>
                <w:color w:val="auto"/>
              </w:rPr>
            </w:pPr>
            <w:r>
              <w:rPr>
                <w:rFonts w:ascii="Courier New" w:cs="Courier New" w:eastAsia="Courier New" w:hAnsi="Courier New"/>
                <w:sz w:val="15"/>
                <w:szCs w:val="15"/>
                <w:color w:val="auto"/>
              </w:rPr>
              <w:t>Net operating property</w:t>
            </w:r>
          </w:p>
        </w:tc>
        <w:tc>
          <w:tcPr>
            <w:tcW w:w="16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877,284</w:t>
            </w:r>
          </w:p>
        </w:tc>
        <w:tc>
          <w:tcPr>
            <w:tcW w:w="16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855,870</w:t>
            </w:r>
          </w:p>
        </w:tc>
        <w:tc>
          <w:tcPr>
            <w:tcW w:w="16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775,080</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816,174</w:t>
            </w:r>
          </w:p>
        </w:tc>
      </w:tr>
      <w:tr>
        <w:trPr>
          <w:trHeight w:val="171"/>
        </w:trPr>
        <w:tc>
          <w:tcPr>
            <w:tcW w:w="434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6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1,307,221</w:t>
            </w:r>
          </w:p>
        </w:tc>
        <w:tc>
          <w:tcPr>
            <w:tcW w:w="16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1,265,654</w:t>
            </w:r>
          </w:p>
        </w:tc>
        <w:tc>
          <w:tcPr>
            <w:tcW w:w="16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1,061,012</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1,097,771</w:t>
            </w:r>
          </w:p>
        </w:tc>
      </w:tr>
      <w:tr>
        <w:trPr>
          <w:trHeight w:val="171"/>
        </w:trPr>
        <w:tc>
          <w:tcPr>
            <w:tcW w:w="434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16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240,019</w:t>
            </w:r>
          </w:p>
        </w:tc>
        <w:tc>
          <w:tcPr>
            <w:tcW w:w="16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214,176</w:t>
            </w:r>
          </w:p>
        </w:tc>
        <w:tc>
          <w:tcPr>
            <w:tcW w:w="16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123,027</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145,584</w:t>
            </w:r>
          </w:p>
        </w:tc>
      </w:tr>
      <w:tr>
        <w:trPr>
          <w:trHeight w:val="171"/>
        </w:trPr>
        <w:tc>
          <w:tcPr>
            <w:tcW w:w="4340" w:type="dxa"/>
            <w:vAlign w:val="bottom"/>
          </w:tcPr>
          <w:p>
            <w:pPr>
              <w:spacing w:after="0"/>
              <w:rPr>
                <w:sz w:val="20"/>
                <w:szCs w:val="20"/>
                <w:color w:val="auto"/>
              </w:rPr>
            </w:pPr>
            <w:r>
              <w:rPr>
                <w:rFonts w:ascii="Courier New" w:cs="Courier New" w:eastAsia="Courier New" w:hAnsi="Courier New"/>
                <w:sz w:val="15"/>
                <w:szCs w:val="15"/>
                <w:color w:val="auto"/>
              </w:rPr>
              <w:t>Total debt</w:t>
            </w:r>
          </w:p>
        </w:tc>
        <w:tc>
          <w:tcPr>
            <w:tcW w:w="16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247,760</w:t>
            </w:r>
          </w:p>
        </w:tc>
        <w:tc>
          <w:tcPr>
            <w:tcW w:w="16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226,503</w:t>
            </w:r>
          </w:p>
        </w:tc>
        <w:tc>
          <w:tcPr>
            <w:tcW w:w="16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134,077</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156,707</w:t>
            </w:r>
          </w:p>
        </w:tc>
      </w:tr>
      <w:tr>
        <w:trPr>
          <w:trHeight w:val="171"/>
        </w:trPr>
        <w:tc>
          <w:tcPr>
            <w:tcW w:w="434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16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460,843</w:t>
            </w:r>
          </w:p>
        </w:tc>
        <w:tc>
          <w:tcPr>
            <w:tcW w:w="16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486,453</w:t>
            </w:r>
          </w:p>
        </w:tc>
        <w:tc>
          <w:tcPr>
            <w:tcW w:w="16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485,496</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475,869</w:t>
            </w:r>
          </w:p>
        </w:tc>
      </w:tr>
      <w:tr>
        <w:trPr>
          <w:trHeight w:val="341"/>
        </w:trPr>
        <w:tc>
          <w:tcPr>
            <w:tcW w:w="4340" w:type="dxa"/>
            <w:vAlign w:val="bottom"/>
          </w:tcPr>
          <w:p>
            <w:pPr>
              <w:spacing w:after="0"/>
              <w:rPr>
                <w:sz w:val="20"/>
                <w:szCs w:val="20"/>
                <w:color w:val="auto"/>
              </w:rPr>
            </w:pPr>
            <w:r>
              <w:rPr>
                <w:rFonts w:ascii="Courier New" w:cs="Courier New" w:eastAsia="Courier New" w:hAnsi="Courier New"/>
                <w:sz w:val="15"/>
                <w:szCs w:val="15"/>
                <w:color w:val="auto"/>
              </w:rPr>
              <w:t>MEASUREMENTS:</w:t>
            </w:r>
          </w:p>
        </w:tc>
        <w:tc>
          <w:tcPr>
            <w:tcW w:w="16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1"/>
        </w:trPr>
        <w:tc>
          <w:tcPr>
            <w:tcW w:w="4340" w:type="dxa"/>
            <w:vAlign w:val="bottom"/>
          </w:tcPr>
          <w:p>
            <w:pPr>
              <w:spacing w:after="0"/>
              <w:rPr>
                <w:sz w:val="20"/>
                <w:szCs w:val="20"/>
                <w:color w:val="auto"/>
              </w:rPr>
            </w:pPr>
            <w:r>
              <w:rPr>
                <w:rFonts w:ascii="Courier New" w:cs="Courier New" w:eastAsia="Courier New" w:hAnsi="Courier New"/>
                <w:sz w:val="15"/>
                <w:szCs w:val="15"/>
                <w:color w:val="auto"/>
              </w:rPr>
              <w:t>Per share data:</w:t>
            </w:r>
          </w:p>
        </w:tc>
        <w:tc>
          <w:tcPr>
            <w:tcW w:w="16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4340" w:type="dxa"/>
            <w:vAlign w:val="bottom"/>
          </w:tcPr>
          <w:p>
            <w:pPr>
              <w:ind w:left="260"/>
              <w:spacing w:after="0"/>
              <w:rPr>
                <w:sz w:val="20"/>
                <w:szCs w:val="20"/>
                <w:color w:val="auto"/>
              </w:rPr>
            </w:pPr>
            <w:r>
              <w:rPr>
                <w:rFonts w:ascii="Courier New" w:cs="Courier New" w:eastAsia="Courier New" w:hAnsi="Courier New"/>
                <w:sz w:val="15"/>
                <w:szCs w:val="15"/>
                <w:color w:val="auto"/>
              </w:rPr>
              <w:t>Income (loss) before extraordinary items and</w:t>
            </w:r>
          </w:p>
        </w:tc>
        <w:tc>
          <w:tcPr>
            <w:tcW w:w="16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4340" w:type="dxa"/>
            <w:vAlign w:val="bottom"/>
          </w:tcPr>
          <w:p>
            <w:pPr>
              <w:ind w:left="340"/>
              <w:spacing w:after="0"/>
              <w:rPr>
                <w:sz w:val="20"/>
                <w:szCs w:val="20"/>
                <w:color w:val="auto"/>
              </w:rPr>
            </w:pPr>
            <w:r>
              <w:rPr>
                <w:rFonts w:ascii="Courier New" w:cs="Courier New" w:eastAsia="Courier New" w:hAnsi="Courier New"/>
                <w:sz w:val="15"/>
                <w:szCs w:val="15"/>
                <w:color w:val="auto"/>
              </w:rPr>
              <w:t>cumulative effect of accounting changes</w:t>
            </w:r>
          </w:p>
        </w:tc>
        <w:tc>
          <w:tcPr>
            <w:tcW w:w="16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(.14)</w:t>
            </w:r>
          </w:p>
        </w:tc>
        <w:tc>
          <w:tcPr>
            <w:tcW w:w="16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.67</w:t>
            </w:r>
          </w:p>
        </w:tc>
        <w:tc>
          <w:tcPr>
            <w:tcW w:w="16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1.46</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.95</w:t>
            </w:r>
          </w:p>
        </w:tc>
      </w:tr>
      <w:tr>
        <w:trPr>
          <w:trHeight w:val="171"/>
        </w:trPr>
        <w:tc>
          <w:tcPr>
            <w:tcW w:w="4340" w:type="dxa"/>
            <w:vAlign w:val="bottom"/>
          </w:tcPr>
          <w:p>
            <w:pPr>
              <w:ind w:left="260"/>
              <w:spacing w:after="0"/>
              <w:rPr>
                <w:sz w:val="20"/>
                <w:szCs w:val="20"/>
                <w:color w:val="auto"/>
              </w:rPr>
            </w:pPr>
            <w:r>
              <w:rPr>
                <w:rFonts w:ascii="Courier New" w:cs="Courier New" w:eastAsia="Courier New" w:hAnsi="Courier New"/>
                <w:sz w:val="15"/>
                <w:szCs w:val="15"/>
                <w:color w:val="auto"/>
              </w:rPr>
              <w:t>Net income (loss)</w:t>
            </w:r>
          </w:p>
        </w:tc>
        <w:tc>
          <w:tcPr>
            <w:tcW w:w="16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(.28)</w:t>
            </w:r>
          </w:p>
        </w:tc>
        <w:tc>
          <w:tcPr>
            <w:tcW w:w="16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.67</w:t>
            </w:r>
          </w:p>
        </w:tc>
        <w:tc>
          <w:tcPr>
            <w:tcW w:w="16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1.05</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.95</w:t>
            </w:r>
          </w:p>
        </w:tc>
      </w:tr>
      <w:tr>
        <w:trPr>
          <w:trHeight w:val="171"/>
        </w:trPr>
        <w:tc>
          <w:tcPr>
            <w:tcW w:w="4340" w:type="dxa"/>
            <w:vAlign w:val="bottom"/>
          </w:tcPr>
          <w:p>
            <w:pPr>
              <w:ind w:left="260"/>
              <w:spacing w:after="0"/>
              <w:rPr>
                <w:sz w:val="20"/>
                <w:szCs w:val="20"/>
                <w:color w:val="auto"/>
              </w:rPr>
            </w:pPr>
            <w:r>
              <w:rPr>
                <w:rFonts w:ascii="Courier New" w:cs="Courier New" w:eastAsia="Courier New" w:hAnsi="Courier New"/>
                <w:sz w:val="15"/>
                <w:szCs w:val="15"/>
                <w:color w:val="auto"/>
              </w:rPr>
              <w:t>Cash dividends</w:t>
            </w:r>
          </w:p>
        </w:tc>
        <w:tc>
          <w:tcPr>
            <w:tcW w:w="16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.94</w:t>
            </w:r>
          </w:p>
        </w:tc>
        <w:tc>
          <w:tcPr>
            <w:tcW w:w="16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.94</w:t>
            </w:r>
          </w:p>
        </w:tc>
        <w:tc>
          <w:tcPr>
            <w:tcW w:w="16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.94</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.94</w:t>
            </w:r>
          </w:p>
        </w:tc>
      </w:tr>
      <w:tr>
        <w:trPr>
          <w:trHeight w:val="171"/>
        </w:trPr>
        <w:tc>
          <w:tcPr>
            <w:tcW w:w="4340" w:type="dxa"/>
            <w:vAlign w:val="bottom"/>
          </w:tcPr>
          <w:p>
            <w:pPr>
              <w:ind w:left="260"/>
              <w:spacing w:after="0"/>
              <w:rPr>
                <w:sz w:val="20"/>
                <w:szCs w:val="20"/>
                <w:color w:val="auto"/>
              </w:rPr>
            </w:pPr>
            <w:r>
              <w:rPr>
                <w:rFonts w:ascii="Courier New" w:cs="Courier New" w:eastAsia="Courier New" w:hAnsi="Courier New"/>
                <w:sz w:val="15"/>
                <w:szCs w:val="15"/>
                <w:color w:val="auto"/>
              </w:rPr>
              <w:t>Shareholders' equity</w:t>
            </w:r>
          </w:p>
        </w:tc>
        <w:tc>
          <w:tcPr>
            <w:tcW w:w="16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16.40</w:t>
            </w:r>
          </w:p>
        </w:tc>
        <w:tc>
          <w:tcPr>
            <w:tcW w:w="16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17.31</w:t>
            </w:r>
          </w:p>
        </w:tc>
        <w:tc>
          <w:tcPr>
            <w:tcW w:w="16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17.28</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16.94</w:t>
            </w:r>
          </w:p>
        </w:tc>
      </w:tr>
      <w:tr>
        <w:trPr>
          <w:trHeight w:val="171"/>
        </w:trPr>
        <w:tc>
          <w:tcPr>
            <w:tcW w:w="4340" w:type="dxa"/>
            <w:vAlign w:val="bottom"/>
          </w:tcPr>
          <w:p>
            <w:pPr>
              <w:spacing w:after="0"/>
              <w:rPr>
                <w:sz w:val="20"/>
                <w:szCs w:val="20"/>
                <w:color w:val="auto"/>
              </w:rPr>
            </w:pPr>
            <w:r>
              <w:rPr>
                <w:rFonts w:ascii="Courier New" w:cs="Courier New" w:eastAsia="Courier New" w:hAnsi="Courier New"/>
                <w:sz w:val="15"/>
                <w:szCs w:val="15"/>
                <w:color w:val="auto"/>
              </w:rPr>
              <w:t>Total debt as a % of total capitalization</w:t>
            </w:r>
          </w:p>
        </w:tc>
        <w:tc>
          <w:tcPr>
            <w:tcW w:w="16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35.0%</w:t>
            </w:r>
          </w:p>
        </w:tc>
        <w:tc>
          <w:tcPr>
            <w:tcW w:w="16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31.8%</w:t>
            </w:r>
          </w:p>
        </w:tc>
        <w:tc>
          <w:tcPr>
            <w:tcW w:w="16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21.6%</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24.8%</w:t>
            </w:r>
          </w:p>
        </w:tc>
      </w:tr>
      <w:tr>
        <w:trPr>
          <w:trHeight w:val="171"/>
        </w:trPr>
        <w:tc>
          <w:tcPr>
            <w:tcW w:w="4340" w:type="dxa"/>
            <w:vAlign w:val="bottom"/>
          </w:tcPr>
          <w:p>
            <w:pPr>
              <w:spacing w:after="0"/>
              <w:rPr>
                <w:sz w:val="20"/>
                <w:szCs w:val="20"/>
                <w:color w:val="auto"/>
              </w:rPr>
            </w:pPr>
            <w:r>
              <w:rPr>
                <w:rFonts w:ascii="Courier New" w:cs="Courier New" w:eastAsia="Courier New" w:hAnsi="Courier New"/>
                <w:sz w:val="15"/>
                <w:szCs w:val="15"/>
                <w:color w:val="auto"/>
              </w:rPr>
              <w:t>Return on average shareholders'</w:t>
            </w:r>
          </w:p>
        </w:tc>
        <w:tc>
          <w:tcPr>
            <w:tcW w:w="16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4340" w:type="dxa"/>
            <w:vAlign w:val="bottom"/>
          </w:tcPr>
          <w:p>
            <w:pPr>
              <w:ind w:left="160"/>
              <w:spacing w:after="0"/>
              <w:rPr>
                <w:sz w:val="20"/>
                <w:szCs w:val="20"/>
                <w:color w:val="auto"/>
              </w:rPr>
            </w:pPr>
            <w:r>
              <w:rPr>
                <w:rFonts w:ascii="Courier New" w:cs="Courier New" w:eastAsia="Courier New" w:hAnsi="Courier New"/>
                <w:sz w:val="15"/>
                <w:szCs w:val="15"/>
                <w:color w:val="auto"/>
              </w:rPr>
              <w:t>equity</w:t>
            </w:r>
          </w:p>
        </w:tc>
        <w:tc>
          <w:tcPr>
            <w:tcW w:w="16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(1.7)%</w:t>
            </w:r>
          </w:p>
        </w:tc>
        <w:tc>
          <w:tcPr>
            <w:tcW w:w="16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3.9%</w:t>
            </w:r>
          </w:p>
        </w:tc>
        <w:tc>
          <w:tcPr>
            <w:tcW w:w="16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6.1%</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5.6%</w:t>
            </w:r>
          </w:p>
        </w:tc>
      </w:tr>
      <w:tr>
        <w:trPr>
          <w:trHeight w:val="171"/>
        </w:trPr>
        <w:tc>
          <w:tcPr>
            <w:tcW w:w="4340" w:type="dxa"/>
            <w:vAlign w:val="bottom"/>
          </w:tcPr>
          <w:p>
            <w:pPr>
              <w:spacing w:after="0"/>
              <w:rPr>
                <w:sz w:val="20"/>
                <w:szCs w:val="20"/>
                <w:color w:val="auto"/>
              </w:rPr>
            </w:pPr>
            <w:r>
              <w:rPr>
                <w:rFonts w:ascii="Courier New" w:cs="Courier New" w:eastAsia="Courier New" w:hAnsi="Courier New"/>
                <w:sz w:val="15"/>
                <w:szCs w:val="15"/>
                <w:color w:val="auto"/>
              </w:rPr>
              <w:t>Market price range:</w:t>
            </w:r>
          </w:p>
        </w:tc>
        <w:tc>
          <w:tcPr>
            <w:tcW w:w="16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4340" w:type="dxa"/>
            <w:vAlign w:val="bottom"/>
          </w:tcPr>
          <w:p>
            <w:pPr>
              <w:ind w:left="780"/>
              <w:spacing w:after="0"/>
              <w:rPr>
                <w:sz w:val="20"/>
                <w:szCs w:val="20"/>
                <w:color w:val="auto"/>
              </w:rPr>
            </w:pPr>
            <w:r>
              <w:rPr>
                <w:rFonts w:ascii="Courier New" w:cs="Courier New" w:eastAsia="Courier New" w:hAnsi="Courier New"/>
                <w:sz w:val="15"/>
                <w:szCs w:val="15"/>
                <w:color w:val="auto"/>
              </w:rPr>
              <w:t>High</w:t>
            </w:r>
          </w:p>
        </w:tc>
        <w:tc>
          <w:tcPr>
            <w:tcW w:w="16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30-1/4</w:t>
            </w:r>
          </w:p>
        </w:tc>
        <w:tc>
          <w:tcPr>
            <w:tcW w:w="16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29-7/8</w:t>
            </w:r>
          </w:p>
        </w:tc>
        <w:tc>
          <w:tcPr>
            <w:tcW w:w="16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32-3/8</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33-1/2</w:t>
            </w:r>
          </w:p>
        </w:tc>
      </w:tr>
      <w:tr>
        <w:trPr>
          <w:trHeight w:val="171"/>
        </w:trPr>
        <w:tc>
          <w:tcPr>
            <w:tcW w:w="4340" w:type="dxa"/>
            <w:vAlign w:val="bottom"/>
          </w:tcPr>
          <w:p>
            <w:pPr>
              <w:ind w:left="780"/>
              <w:spacing w:after="0"/>
              <w:rPr>
                <w:sz w:val="20"/>
                <w:szCs w:val="20"/>
                <w:color w:val="auto"/>
              </w:rPr>
            </w:pPr>
            <w:r>
              <w:rPr>
                <w:rFonts w:ascii="Courier New" w:cs="Courier New" w:eastAsia="Courier New" w:hAnsi="Courier New"/>
                <w:sz w:val="15"/>
                <w:szCs w:val="15"/>
                <w:color w:val="auto"/>
              </w:rPr>
              <w:t>Low</w:t>
            </w:r>
          </w:p>
        </w:tc>
        <w:tc>
          <w:tcPr>
            <w:tcW w:w="16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16-3/4</w:t>
            </w:r>
          </w:p>
        </w:tc>
        <w:tc>
          <w:tcPr>
            <w:tcW w:w="16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16-7/8</w:t>
            </w:r>
          </w:p>
        </w:tc>
        <w:tc>
          <w:tcPr>
            <w:tcW w:w="16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21-3/4</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23-3/4</w:t>
            </w:r>
          </w:p>
        </w:tc>
      </w:tr>
      <w:tr>
        <w:trPr>
          <w:trHeight w:val="171"/>
        </w:trPr>
        <w:tc>
          <w:tcPr>
            <w:tcW w:w="4340" w:type="dxa"/>
            <w:vAlign w:val="bottom"/>
          </w:tcPr>
          <w:p>
            <w:pPr>
              <w:spacing w:after="0"/>
              <w:rPr>
                <w:sz w:val="20"/>
                <w:szCs w:val="20"/>
                <w:color w:val="auto"/>
              </w:rPr>
            </w:pPr>
            <w:r>
              <w:rPr>
                <w:rFonts w:ascii="Courier New" w:cs="Courier New" w:eastAsia="Courier New" w:hAnsi="Courier New"/>
                <w:sz w:val="15"/>
                <w:szCs w:val="15"/>
                <w:color w:val="auto"/>
              </w:rPr>
              <w:t>Average number of employees</w:t>
            </w:r>
          </w:p>
        </w:tc>
        <w:tc>
          <w:tcPr>
            <w:tcW w:w="16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33,400</w:t>
            </w:r>
          </w:p>
        </w:tc>
        <w:tc>
          <w:tcPr>
            <w:tcW w:w="16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35,000</w:t>
            </w:r>
          </w:p>
        </w:tc>
        <w:tc>
          <w:tcPr>
            <w:tcW w:w="16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26,800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28,700</w:t>
            </w:r>
          </w:p>
        </w:tc>
      </w:tr>
    </w:tbl>
    <w:p>
      <w:pPr>
        <w:spacing w:after="0" w:line="200" w:lineRule="exact"/>
        <w:rPr>
          <w:sz w:val="20"/>
          <w:szCs w:val="20"/>
          <w:color w:val="auto"/>
        </w:rPr>
      </w:pPr>
    </w:p>
    <w:p>
      <w:pPr>
        <w:spacing w:after="0" w:line="315" w:lineRule="exact"/>
        <w:rPr>
          <w:sz w:val="20"/>
          <w:szCs w:val="20"/>
          <w:color w:val="auto"/>
        </w:rPr>
      </w:pPr>
    </w:p>
    <w:p>
      <w:pPr>
        <w:ind w:left="9" w:right="3720" w:hanging="9"/>
        <w:spacing w:after="0"/>
        <w:tabs>
          <w:tab w:leader="none" w:pos="364"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- 1993 amounts include the operating results of Preston Corporation effective March 1, 1993. The 1993 results also include a network development charge of $11.2 million after taxes ($.40 per share) and a charge of $1.6 million ($.06 per share) to reflect the impact of a higher tax rate on the company's deferred tax liabilities.</w:t>
      </w:r>
    </w:p>
    <w:p>
      <w:pPr>
        <w:sectPr>
          <w:pgSz w:w="11900" w:h="16838" w:orient="portrait"/>
          <w:cols w:equalWidth="0" w:num="1">
            <w:col w:w="10469"/>
          </w:cols>
          <w:pgMar w:left="231" w:top="287" w:right="1199" w:bottom="1440" w:gutter="0" w:footer="0" w:header="0"/>
        </w:sectPr>
      </w:pPr>
    </w:p>
    <w:bookmarkStart w:id="31" w:name="page32"/>
    <w:bookmarkEnd w:id="31"/>
    <w:tbl>
      <w:tblPr>
        <w:tblLayout w:type="fixed"/>
        <w:tblInd w:w="9" w:type="dxa"/>
        <w:tblCellMar>
          <w:top w:w="0" w:type="dxa"/>
          <w:left w:w="0" w:type="dxa"/>
          <w:bottom w:w="0" w:type="dxa"/>
          <w:right w:w="0" w:type="dxa"/>
        </w:tblCellMar>
      </w:tblPr>
      <w:tr>
        <w:trPr>
          <w:trHeight w:val="170"/>
        </w:trPr>
        <w:tc>
          <w:tcPr>
            <w:tcW w:w="12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17</w:t>
            </w: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683"/>
        </w:trPr>
        <w:tc>
          <w:tcPr>
            <w:tcW w:w="1240" w:type="dxa"/>
            <w:vAlign w:val="bottom"/>
          </w:tcPr>
          <w:p>
            <w:pPr>
              <w:jc w:val="right"/>
              <w:ind w:right="826"/>
              <w:spacing w:after="0"/>
              <w:rPr>
                <w:sz w:val="20"/>
                <w:szCs w:val="20"/>
                <w:color w:val="auto"/>
              </w:rPr>
            </w:pPr>
            <w:r>
              <w:rPr>
                <w:rFonts w:ascii="Courier New" w:cs="Courier New" w:eastAsia="Courier New" w:hAnsi="Courier New"/>
                <w:sz w:val="15"/>
                <w:szCs w:val="15"/>
                <w:color w:val="auto"/>
                <w:w w:val="88"/>
              </w:rPr>
              <w:t>1990</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1989</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(b)</w:t>
            </w:r>
          </w:p>
        </w:tc>
        <w:tc>
          <w:tcPr>
            <w:tcW w:w="1480" w:type="dxa"/>
            <w:vAlign w:val="bottom"/>
          </w:tcPr>
          <w:p>
            <w:pPr>
              <w:ind w:left="580"/>
              <w:spacing w:after="0"/>
              <w:rPr>
                <w:sz w:val="20"/>
                <w:szCs w:val="20"/>
                <w:color w:val="auto"/>
              </w:rPr>
            </w:pPr>
            <w:r>
              <w:rPr>
                <w:rFonts w:ascii="Courier New" w:cs="Courier New" w:eastAsia="Courier New" w:hAnsi="Courier New"/>
                <w:sz w:val="15"/>
                <w:szCs w:val="15"/>
                <w:color w:val="auto"/>
              </w:rPr>
              <w:t>1988</w:t>
            </w:r>
          </w:p>
        </w:tc>
        <w:tc>
          <w:tcPr>
            <w:tcW w:w="15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1987</w:t>
            </w:r>
          </w:p>
        </w:tc>
        <w:tc>
          <w:tcPr>
            <w:tcW w:w="150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1986</w:t>
            </w:r>
          </w:p>
        </w:tc>
        <w:tc>
          <w:tcPr>
            <w:tcW w:w="15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1985</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1984</w:t>
            </w:r>
          </w:p>
        </w:tc>
      </w:tr>
      <w:tr>
        <w:trPr>
          <w:trHeight w:val="341"/>
        </w:trPr>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$2,302,421</w:t>
            </w:r>
          </w:p>
        </w:tc>
        <w:tc>
          <w:tcPr>
            <w:tcW w:w="154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$2,219,755</w:t>
            </w:r>
          </w:p>
        </w:tc>
        <w:tc>
          <w:tcPr>
            <w:tcW w:w="14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$2,016,466</w:t>
            </w:r>
          </w:p>
        </w:tc>
        <w:tc>
          <w:tcPr>
            <w:tcW w:w="15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$1,759,992</w:t>
            </w:r>
          </w:p>
        </w:tc>
        <w:tc>
          <w:tcPr>
            <w:tcW w:w="15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$1,713,731</w:t>
            </w:r>
          </w:p>
        </w:tc>
        <w:tc>
          <w:tcPr>
            <w:tcW w:w="15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$1,530,313</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$1,380,042</w:t>
            </w:r>
          </w:p>
        </w:tc>
      </w:tr>
      <w:tr>
        <w:trPr>
          <w:trHeight w:val="171"/>
        </w:trPr>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119,774</w:t>
            </w:r>
          </w:p>
        </w:tc>
        <w:tc>
          <w:tcPr>
            <w:tcW w:w="620" w:type="dxa"/>
            <w:vAlign w:val="bottom"/>
          </w:tcPr>
          <w:p>
            <w:pPr>
              <w:spacing w:after="0"/>
              <w:rPr>
                <w:sz w:val="14"/>
                <w:szCs w:val="14"/>
                <w:color w:val="auto"/>
              </w:rPr>
            </w:pPr>
          </w:p>
        </w:tc>
        <w:tc>
          <w:tcPr>
            <w:tcW w:w="92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2"/>
              </w:rPr>
              <w:t>48,041</w:t>
            </w:r>
          </w:p>
        </w:tc>
        <w:tc>
          <w:tcPr>
            <w:tcW w:w="14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117,786</w:t>
            </w:r>
          </w:p>
        </w:tc>
        <w:tc>
          <w:tcPr>
            <w:tcW w:w="15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78,089</w:t>
            </w:r>
          </w:p>
        </w:tc>
        <w:tc>
          <w:tcPr>
            <w:tcW w:w="15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135,619</w:t>
            </w:r>
          </w:p>
        </w:tc>
        <w:tc>
          <w:tcPr>
            <w:tcW w:w="15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106,424</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77,274</w:t>
            </w:r>
          </w:p>
        </w:tc>
      </w:tr>
      <w:tr>
        <w:trPr>
          <w:trHeight w:val="171"/>
        </w:trPr>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128,134</w:t>
            </w:r>
          </w:p>
        </w:tc>
        <w:tc>
          <w:tcPr>
            <w:tcW w:w="154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123,268</w:t>
            </w:r>
          </w:p>
        </w:tc>
        <w:tc>
          <w:tcPr>
            <w:tcW w:w="14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108,353</w:t>
            </w:r>
          </w:p>
        </w:tc>
        <w:tc>
          <w:tcPr>
            <w:tcW w:w="15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98,982</w:t>
            </w:r>
          </w:p>
        </w:tc>
        <w:tc>
          <w:tcPr>
            <w:tcW w:w="15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86,850</w:t>
            </w:r>
          </w:p>
        </w:tc>
        <w:tc>
          <w:tcPr>
            <w:tcW w:w="15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75,771</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59,125</w:t>
            </w:r>
          </w:p>
        </w:tc>
      </w:tr>
      <w:tr>
        <w:trPr>
          <w:trHeight w:val="171"/>
        </w:trPr>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15,763</w:t>
            </w:r>
          </w:p>
        </w:tc>
        <w:tc>
          <w:tcPr>
            <w:tcW w:w="620" w:type="dxa"/>
            <w:vAlign w:val="bottom"/>
          </w:tcPr>
          <w:p>
            <w:pPr>
              <w:spacing w:after="0"/>
              <w:rPr>
                <w:sz w:val="14"/>
                <w:szCs w:val="14"/>
                <w:color w:val="auto"/>
              </w:rPr>
            </w:pPr>
          </w:p>
        </w:tc>
        <w:tc>
          <w:tcPr>
            <w:tcW w:w="92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2"/>
              </w:rPr>
              <w:t>15,452</w:t>
            </w:r>
          </w:p>
        </w:tc>
        <w:tc>
          <w:tcPr>
            <w:tcW w:w="14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12,254</w:t>
            </w:r>
          </w:p>
        </w:tc>
        <w:tc>
          <w:tcPr>
            <w:tcW w:w="15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9,172</w:t>
            </w:r>
          </w:p>
        </w:tc>
        <w:tc>
          <w:tcPr>
            <w:tcW w:w="15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7,441</w:t>
            </w:r>
          </w:p>
        </w:tc>
        <w:tc>
          <w:tcPr>
            <w:tcW w:w="15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10,290</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6,160</w:t>
            </w:r>
          </w:p>
        </w:tc>
      </w:tr>
      <w:tr>
        <w:trPr>
          <w:trHeight w:val="171"/>
        </w:trPr>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101,905</w:t>
            </w:r>
          </w:p>
        </w:tc>
        <w:tc>
          <w:tcPr>
            <w:tcW w:w="620" w:type="dxa"/>
            <w:vAlign w:val="bottom"/>
          </w:tcPr>
          <w:p>
            <w:pPr>
              <w:spacing w:after="0"/>
              <w:rPr>
                <w:sz w:val="14"/>
                <w:szCs w:val="14"/>
                <w:color w:val="auto"/>
              </w:rPr>
            </w:pPr>
          </w:p>
        </w:tc>
        <w:tc>
          <w:tcPr>
            <w:tcW w:w="92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2"/>
              </w:rPr>
              <w:t>26,533</w:t>
            </w:r>
          </w:p>
        </w:tc>
        <w:tc>
          <w:tcPr>
            <w:tcW w:w="14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104,997</w:t>
            </w:r>
          </w:p>
        </w:tc>
        <w:tc>
          <w:tcPr>
            <w:tcW w:w="15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64,360</w:t>
            </w:r>
          </w:p>
        </w:tc>
        <w:tc>
          <w:tcPr>
            <w:tcW w:w="15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123,259</w:t>
            </w:r>
          </w:p>
        </w:tc>
        <w:tc>
          <w:tcPr>
            <w:tcW w:w="15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95,493</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72,907</w:t>
            </w:r>
          </w:p>
        </w:tc>
      </w:tr>
      <w:tr>
        <w:trPr>
          <w:trHeight w:val="341"/>
        </w:trPr>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65,319</w:t>
            </w:r>
          </w:p>
        </w:tc>
        <w:tc>
          <w:tcPr>
            <w:tcW w:w="620" w:type="dxa"/>
            <w:vAlign w:val="bottom"/>
          </w:tcPr>
          <w:p>
            <w:pPr>
              <w:spacing w:after="0"/>
              <w:rPr>
                <w:sz w:val="24"/>
                <w:szCs w:val="24"/>
                <w:color w:val="auto"/>
              </w:rPr>
            </w:pPr>
          </w:p>
        </w:tc>
        <w:tc>
          <w:tcPr>
            <w:tcW w:w="92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2"/>
              </w:rPr>
              <w:t>18,585</w:t>
            </w:r>
          </w:p>
        </w:tc>
        <w:tc>
          <w:tcPr>
            <w:tcW w:w="14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68,962</w:t>
            </w:r>
          </w:p>
        </w:tc>
        <w:tc>
          <w:tcPr>
            <w:tcW w:w="15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41,284</w:t>
            </w:r>
          </w:p>
        </w:tc>
        <w:tc>
          <w:tcPr>
            <w:tcW w:w="15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67,084</w:t>
            </w:r>
          </w:p>
        </w:tc>
        <w:tc>
          <w:tcPr>
            <w:tcW w:w="15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55,536</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44,103</w:t>
            </w:r>
          </w:p>
        </w:tc>
      </w:tr>
      <w:tr>
        <w:trPr>
          <w:trHeight w:val="171"/>
        </w:trPr>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65,319</w:t>
            </w:r>
          </w:p>
        </w:tc>
        <w:tc>
          <w:tcPr>
            <w:tcW w:w="620" w:type="dxa"/>
            <w:vAlign w:val="bottom"/>
          </w:tcPr>
          <w:p>
            <w:pPr>
              <w:spacing w:after="0"/>
              <w:rPr>
                <w:sz w:val="14"/>
                <w:szCs w:val="14"/>
                <w:color w:val="auto"/>
              </w:rPr>
            </w:pPr>
          </w:p>
        </w:tc>
        <w:tc>
          <w:tcPr>
            <w:tcW w:w="92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2"/>
              </w:rPr>
              <w:t>47,785</w:t>
            </w:r>
          </w:p>
        </w:tc>
        <w:tc>
          <w:tcPr>
            <w:tcW w:w="14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68,962</w:t>
            </w:r>
          </w:p>
        </w:tc>
        <w:tc>
          <w:tcPr>
            <w:tcW w:w="15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41,284</w:t>
            </w:r>
          </w:p>
        </w:tc>
        <w:tc>
          <w:tcPr>
            <w:tcW w:w="15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69,719</w:t>
            </w:r>
          </w:p>
        </w:tc>
        <w:tc>
          <w:tcPr>
            <w:tcW w:w="15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55,536</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44,103</w:t>
            </w:r>
          </w:p>
        </w:tc>
      </w:tr>
      <w:tr>
        <w:trPr>
          <w:trHeight w:val="171"/>
        </w:trPr>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219,463</w:t>
            </w:r>
          </w:p>
        </w:tc>
        <w:tc>
          <w:tcPr>
            <w:tcW w:w="154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179,481</w:t>
            </w:r>
          </w:p>
        </w:tc>
        <w:tc>
          <w:tcPr>
            <w:tcW w:w="14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204,943</w:t>
            </w:r>
          </w:p>
        </w:tc>
        <w:tc>
          <w:tcPr>
            <w:tcW w:w="15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140,163</w:t>
            </w:r>
          </w:p>
        </w:tc>
        <w:tc>
          <w:tcPr>
            <w:tcW w:w="15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169,745</w:t>
            </w:r>
          </w:p>
        </w:tc>
        <w:tc>
          <w:tcPr>
            <w:tcW w:w="15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156,153</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120,430</w:t>
            </w:r>
          </w:p>
        </w:tc>
      </w:tr>
      <w:tr>
        <w:trPr>
          <w:trHeight w:val="171"/>
        </w:trPr>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162,316</w:t>
            </w:r>
          </w:p>
        </w:tc>
        <w:tc>
          <w:tcPr>
            <w:tcW w:w="154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182,232</w:t>
            </w:r>
          </w:p>
        </w:tc>
        <w:tc>
          <w:tcPr>
            <w:tcW w:w="14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180,587</w:t>
            </w:r>
          </w:p>
        </w:tc>
        <w:tc>
          <w:tcPr>
            <w:tcW w:w="15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152,684</w:t>
            </w:r>
          </w:p>
        </w:tc>
        <w:tc>
          <w:tcPr>
            <w:tcW w:w="15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176,622</w:t>
            </w:r>
          </w:p>
        </w:tc>
        <w:tc>
          <w:tcPr>
            <w:tcW w:w="15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143,842</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193,599</w:t>
            </w:r>
          </w:p>
        </w:tc>
      </w:tr>
      <w:tr>
        <w:trPr>
          <w:trHeight w:val="512"/>
        </w:trPr>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836,599</w:t>
            </w:r>
          </w:p>
        </w:tc>
        <w:tc>
          <w:tcPr>
            <w:tcW w:w="154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803,402</w:t>
            </w:r>
          </w:p>
        </w:tc>
        <w:tc>
          <w:tcPr>
            <w:tcW w:w="14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748,613</w:t>
            </w:r>
          </w:p>
        </w:tc>
        <w:tc>
          <w:tcPr>
            <w:tcW w:w="15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676,869</w:t>
            </w:r>
          </w:p>
        </w:tc>
        <w:tc>
          <w:tcPr>
            <w:tcW w:w="15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623,019</w:t>
            </w:r>
          </w:p>
        </w:tc>
        <w:tc>
          <w:tcPr>
            <w:tcW w:w="15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533,703</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466,210</w:t>
            </w:r>
          </w:p>
        </w:tc>
      </w:tr>
      <w:tr>
        <w:trPr>
          <w:trHeight w:val="171"/>
        </w:trPr>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1,116,005</w:t>
            </w:r>
          </w:p>
        </w:tc>
        <w:tc>
          <w:tcPr>
            <w:tcW w:w="154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1,081,665</w:t>
            </w:r>
          </w:p>
        </w:tc>
        <w:tc>
          <w:tcPr>
            <w:tcW w:w="14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1,020,724</w:t>
            </w:r>
          </w:p>
        </w:tc>
        <w:tc>
          <w:tcPr>
            <w:tcW w:w="15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923,867</w:t>
            </w:r>
          </w:p>
        </w:tc>
        <w:tc>
          <w:tcPr>
            <w:tcW w:w="15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862,359</w:t>
            </w:r>
          </w:p>
        </w:tc>
        <w:tc>
          <w:tcPr>
            <w:tcW w:w="15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747,904</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666,380</w:t>
            </w:r>
          </w:p>
        </w:tc>
      </w:tr>
      <w:tr>
        <w:trPr>
          <w:trHeight w:val="171"/>
        </w:trPr>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163,703</w:t>
            </w:r>
          </w:p>
        </w:tc>
        <w:tc>
          <w:tcPr>
            <w:tcW w:w="154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186,680</w:t>
            </w:r>
          </w:p>
        </w:tc>
        <w:tc>
          <w:tcPr>
            <w:tcW w:w="14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168,902</w:t>
            </w:r>
          </w:p>
        </w:tc>
        <w:tc>
          <w:tcPr>
            <w:tcW w:w="15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126,241</w:t>
            </w:r>
          </w:p>
        </w:tc>
        <w:tc>
          <w:tcPr>
            <w:tcW w:w="15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75,390</w:t>
            </w:r>
          </w:p>
        </w:tc>
        <w:tc>
          <w:tcPr>
            <w:tcW w:w="15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66,581</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64,341</w:t>
            </w:r>
          </w:p>
        </w:tc>
      </w:tr>
      <w:tr>
        <w:trPr>
          <w:trHeight w:val="171"/>
        </w:trPr>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174,169</w:t>
            </w:r>
          </w:p>
        </w:tc>
        <w:tc>
          <w:tcPr>
            <w:tcW w:w="154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192,067</w:t>
            </w:r>
          </w:p>
        </w:tc>
        <w:tc>
          <w:tcPr>
            <w:tcW w:w="14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174,223</w:t>
            </w:r>
          </w:p>
        </w:tc>
        <w:tc>
          <w:tcPr>
            <w:tcW w:w="15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144,189</w:t>
            </w:r>
          </w:p>
        </w:tc>
        <w:tc>
          <w:tcPr>
            <w:tcW w:w="15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112,253</w:t>
            </w:r>
          </w:p>
        </w:tc>
        <w:tc>
          <w:tcPr>
            <w:tcW w:w="15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82,961</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82,600</w:t>
            </w:r>
          </w:p>
        </w:tc>
      </w:tr>
      <w:tr>
        <w:trPr>
          <w:trHeight w:val="171"/>
        </w:trPr>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468,944</w:t>
            </w:r>
          </w:p>
        </w:tc>
        <w:tc>
          <w:tcPr>
            <w:tcW w:w="154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438,588</w:t>
            </w:r>
          </w:p>
        </w:tc>
        <w:tc>
          <w:tcPr>
            <w:tcW w:w="14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408,986</w:t>
            </w:r>
          </w:p>
        </w:tc>
        <w:tc>
          <w:tcPr>
            <w:tcW w:w="15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392,923</w:t>
            </w:r>
          </w:p>
        </w:tc>
        <w:tc>
          <w:tcPr>
            <w:tcW w:w="15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376,370</w:t>
            </w:r>
          </w:p>
        </w:tc>
        <w:tc>
          <w:tcPr>
            <w:tcW w:w="15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321,871</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280,070</w:t>
            </w:r>
          </w:p>
        </w:tc>
      </w:tr>
      <w:tr>
        <w:trPr>
          <w:trHeight w:val="512"/>
        </w:trPr>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2.31</w:t>
            </w:r>
          </w:p>
        </w:tc>
        <w:tc>
          <w:tcPr>
            <w:tcW w:w="620" w:type="dxa"/>
            <w:vAlign w:val="bottom"/>
          </w:tcPr>
          <w:p>
            <w:pPr>
              <w:spacing w:after="0"/>
              <w:rPr>
                <w:sz w:val="24"/>
                <w:szCs w:val="24"/>
                <w:color w:val="auto"/>
              </w:rPr>
            </w:pPr>
          </w:p>
        </w:tc>
        <w:tc>
          <w:tcPr>
            <w:tcW w:w="9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.65</w:t>
            </w:r>
          </w:p>
        </w:tc>
        <w:tc>
          <w:tcPr>
            <w:tcW w:w="14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2.40</w:t>
            </w:r>
          </w:p>
        </w:tc>
        <w:tc>
          <w:tcPr>
            <w:tcW w:w="15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1.44</w:t>
            </w:r>
          </w:p>
        </w:tc>
        <w:tc>
          <w:tcPr>
            <w:tcW w:w="15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2.35</w:t>
            </w:r>
          </w:p>
        </w:tc>
        <w:tc>
          <w:tcPr>
            <w:tcW w:w="15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1.95</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1.55</w:t>
            </w:r>
          </w:p>
        </w:tc>
      </w:tr>
      <w:tr>
        <w:trPr>
          <w:trHeight w:val="171"/>
        </w:trPr>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2.31</w:t>
            </w:r>
          </w:p>
        </w:tc>
        <w:tc>
          <w:tcPr>
            <w:tcW w:w="620" w:type="dxa"/>
            <w:vAlign w:val="bottom"/>
          </w:tcPr>
          <w:p>
            <w:pPr>
              <w:spacing w:after="0"/>
              <w:rPr>
                <w:sz w:val="14"/>
                <w:szCs w:val="14"/>
                <w:color w:val="auto"/>
              </w:rPr>
            </w:pPr>
          </w:p>
        </w:tc>
        <w:tc>
          <w:tcPr>
            <w:tcW w:w="9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1.66</w:t>
            </w:r>
          </w:p>
        </w:tc>
        <w:tc>
          <w:tcPr>
            <w:tcW w:w="14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2.40</w:t>
            </w:r>
          </w:p>
        </w:tc>
        <w:tc>
          <w:tcPr>
            <w:tcW w:w="15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1.44</w:t>
            </w:r>
          </w:p>
        </w:tc>
        <w:tc>
          <w:tcPr>
            <w:tcW w:w="15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2.44</w:t>
            </w:r>
          </w:p>
        </w:tc>
        <w:tc>
          <w:tcPr>
            <w:tcW w:w="15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1.95</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1.55</w:t>
            </w:r>
          </w:p>
        </w:tc>
      </w:tr>
      <w:tr>
        <w:trPr>
          <w:trHeight w:val="171"/>
        </w:trPr>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.82</w:t>
            </w:r>
          </w:p>
        </w:tc>
        <w:tc>
          <w:tcPr>
            <w:tcW w:w="620" w:type="dxa"/>
            <w:vAlign w:val="bottom"/>
          </w:tcPr>
          <w:p>
            <w:pPr>
              <w:spacing w:after="0"/>
              <w:rPr>
                <w:sz w:val="14"/>
                <w:szCs w:val="14"/>
                <w:color w:val="auto"/>
              </w:rPr>
            </w:pPr>
          </w:p>
        </w:tc>
        <w:tc>
          <w:tcPr>
            <w:tcW w:w="9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.73</w:t>
            </w:r>
          </w:p>
        </w:tc>
        <w:tc>
          <w:tcPr>
            <w:tcW w:w="14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.66</w:t>
            </w:r>
          </w:p>
        </w:tc>
        <w:tc>
          <w:tcPr>
            <w:tcW w:w="15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.62</w:t>
            </w:r>
          </w:p>
        </w:tc>
        <w:tc>
          <w:tcPr>
            <w:tcW w:w="15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.58</w:t>
            </w:r>
          </w:p>
        </w:tc>
        <w:tc>
          <w:tcPr>
            <w:tcW w:w="15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.52</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.48</w:t>
            </w:r>
          </w:p>
        </w:tc>
      </w:tr>
      <w:tr>
        <w:trPr>
          <w:trHeight w:val="171"/>
        </w:trPr>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16.70</w:t>
            </w:r>
          </w:p>
        </w:tc>
        <w:tc>
          <w:tcPr>
            <w:tcW w:w="620" w:type="dxa"/>
            <w:vAlign w:val="bottom"/>
          </w:tcPr>
          <w:p>
            <w:pPr>
              <w:spacing w:after="0"/>
              <w:rPr>
                <w:sz w:val="14"/>
                <w:szCs w:val="14"/>
                <w:color w:val="auto"/>
              </w:rPr>
            </w:pPr>
          </w:p>
        </w:tc>
        <w:tc>
          <w:tcPr>
            <w:tcW w:w="9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15.24</w:t>
            </w:r>
          </w:p>
        </w:tc>
        <w:tc>
          <w:tcPr>
            <w:tcW w:w="14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14.21</w:t>
            </w:r>
          </w:p>
        </w:tc>
        <w:tc>
          <w:tcPr>
            <w:tcW w:w="15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13.82</w:t>
            </w:r>
          </w:p>
        </w:tc>
        <w:tc>
          <w:tcPr>
            <w:tcW w:w="15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13.14</w:t>
            </w:r>
          </w:p>
        </w:tc>
        <w:tc>
          <w:tcPr>
            <w:tcW w:w="15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11.27</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9.84</w:t>
            </w:r>
          </w:p>
        </w:tc>
      </w:tr>
      <w:tr>
        <w:trPr>
          <w:trHeight w:val="171"/>
        </w:trPr>
        <w:tc>
          <w:tcPr>
            <w:tcW w:w="12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27.1%</w:t>
            </w:r>
          </w:p>
        </w:tc>
        <w:tc>
          <w:tcPr>
            <w:tcW w:w="620" w:type="dxa"/>
            <w:vAlign w:val="bottom"/>
          </w:tcPr>
          <w:p>
            <w:pPr>
              <w:spacing w:after="0"/>
              <w:rPr>
                <w:sz w:val="14"/>
                <w:szCs w:val="14"/>
                <w:color w:val="auto"/>
              </w:rPr>
            </w:pPr>
          </w:p>
        </w:tc>
        <w:tc>
          <w:tcPr>
            <w:tcW w:w="9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30.5%</w:t>
            </w:r>
          </w:p>
        </w:tc>
        <w:tc>
          <w:tcPr>
            <w:tcW w:w="14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29.9%</w:t>
            </w:r>
          </w:p>
        </w:tc>
        <w:tc>
          <w:tcPr>
            <w:tcW w:w="15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26.8%</w:t>
            </w:r>
          </w:p>
        </w:tc>
        <w:tc>
          <w:tcPr>
            <w:tcW w:w="15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23.0%</w:t>
            </w:r>
          </w:p>
        </w:tc>
        <w:tc>
          <w:tcPr>
            <w:tcW w:w="15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20.5%</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22.8%</w:t>
            </w:r>
          </w:p>
        </w:tc>
      </w:tr>
      <w:tr>
        <w:trPr>
          <w:trHeight w:val="171"/>
        </w:trPr>
        <w:tc>
          <w:tcPr>
            <w:tcW w:w="12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14.4%</w:t>
            </w:r>
          </w:p>
        </w:tc>
        <w:tc>
          <w:tcPr>
            <w:tcW w:w="620" w:type="dxa"/>
            <w:vAlign w:val="bottom"/>
          </w:tcPr>
          <w:p>
            <w:pPr>
              <w:spacing w:after="0"/>
              <w:rPr>
                <w:sz w:val="14"/>
                <w:szCs w:val="14"/>
                <w:color w:val="auto"/>
              </w:rPr>
            </w:pPr>
          </w:p>
        </w:tc>
        <w:tc>
          <w:tcPr>
            <w:tcW w:w="9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11.3%</w:t>
            </w:r>
          </w:p>
        </w:tc>
        <w:tc>
          <w:tcPr>
            <w:tcW w:w="14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17.2%</w:t>
            </w:r>
          </w:p>
        </w:tc>
        <w:tc>
          <w:tcPr>
            <w:tcW w:w="15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10.7%</w:t>
            </w:r>
          </w:p>
        </w:tc>
        <w:tc>
          <w:tcPr>
            <w:tcW w:w="15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20.0%</w:t>
            </w:r>
          </w:p>
        </w:tc>
        <w:tc>
          <w:tcPr>
            <w:tcW w:w="15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18.5%</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16.7%</w:t>
            </w:r>
          </w:p>
        </w:tc>
      </w:tr>
      <w:tr>
        <w:trPr>
          <w:trHeight w:val="341"/>
        </w:trPr>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31-1/4</w:t>
            </w:r>
          </w:p>
        </w:tc>
        <w:tc>
          <w:tcPr>
            <w:tcW w:w="620" w:type="dxa"/>
            <w:vAlign w:val="bottom"/>
          </w:tcPr>
          <w:p>
            <w:pPr>
              <w:spacing w:after="0"/>
              <w:rPr>
                <w:sz w:val="24"/>
                <w:szCs w:val="24"/>
                <w:color w:val="auto"/>
              </w:rPr>
            </w:pPr>
          </w:p>
        </w:tc>
        <w:tc>
          <w:tcPr>
            <w:tcW w:w="92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2"/>
              </w:rPr>
              <w:t>32-7/8</w:t>
            </w:r>
          </w:p>
        </w:tc>
        <w:tc>
          <w:tcPr>
            <w:tcW w:w="1480" w:type="dxa"/>
            <w:vAlign w:val="bottom"/>
          </w:tcPr>
          <w:p>
            <w:pPr>
              <w:ind w:left="580"/>
              <w:spacing w:after="0"/>
              <w:rPr>
                <w:sz w:val="20"/>
                <w:szCs w:val="20"/>
                <w:color w:val="auto"/>
              </w:rPr>
            </w:pPr>
            <w:r>
              <w:rPr>
                <w:rFonts w:ascii="Courier New" w:cs="Courier New" w:eastAsia="Courier New" w:hAnsi="Courier New"/>
                <w:sz w:val="15"/>
                <w:szCs w:val="15"/>
                <w:color w:val="auto"/>
              </w:rPr>
              <w:t>34</w:t>
            </w:r>
          </w:p>
        </w:tc>
        <w:tc>
          <w:tcPr>
            <w:tcW w:w="15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42-1/2</w:t>
            </w:r>
          </w:p>
        </w:tc>
        <w:tc>
          <w:tcPr>
            <w:tcW w:w="15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41-1/8</w:t>
            </w:r>
          </w:p>
        </w:tc>
        <w:tc>
          <w:tcPr>
            <w:tcW w:w="15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29-1/2</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22-5/8</w:t>
            </w:r>
          </w:p>
        </w:tc>
      </w:tr>
      <w:tr>
        <w:trPr>
          <w:trHeight w:val="171"/>
        </w:trPr>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18-3/4</w:t>
            </w:r>
          </w:p>
        </w:tc>
        <w:tc>
          <w:tcPr>
            <w:tcW w:w="620" w:type="dxa"/>
            <w:vAlign w:val="bottom"/>
          </w:tcPr>
          <w:p>
            <w:pPr>
              <w:spacing w:after="0"/>
              <w:rPr>
                <w:sz w:val="14"/>
                <w:szCs w:val="14"/>
                <w:color w:val="auto"/>
              </w:rPr>
            </w:pPr>
          </w:p>
        </w:tc>
        <w:tc>
          <w:tcPr>
            <w:tcW w:w="92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2"/>
              </w:rPr>
              <w:t>23-7/8</w:t>
            </w:r>
          </w:p>
        </w:tc>
        <w:tc>
          <w:tcPr>
            <w:tcW w:w="14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23-7/8</w:t>
            </w:r>
          </w:p>
        </w:tc>
        <w:tc>
          <w:tcPr>
            <w:tcW w:w="15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20-7/8</w:t>
            </w:r>
          </w:p>
        </w:tc>
        <w:tc>
          <w:tcPr>
            <w:tcW w:w="15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27-1/2</w:t>
            </w:r>
          </w:p>
        </w:tc>
        <w:tc>
          <w:tcPr>
            <w:tcW w:w="15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15-7/8</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11-3/4</w:t>
            </w:r>
          </w:p>
        </w:tc>
      </w:tr>
      <w:tr>
        <w:trPr>
          <w:trHeight w:val="171"/>
        </w:trPr>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28,900</w:t>
            </w:r>
          </w:p>
        </w:tc>
        <w:tc>
          <w:tcPr>
            <w:tcW w:w="620" w:type="dxa"/>
            <w:vAlign w:val="bottom"/>
          </w:tcPr>
          <w:p>
            <w:pPr>
              <w:spacing w:after="0"/>
              <w:rPr>
                <w:sz w:val="14"/>
                <w:szCs w:val="14"/>
                <w:color w:val="auto"/>
              </w:rPr>
            </w:pPr>
          </w:p>
        </w:tc>
        <w:tc>
          <w:tcPr>
            <w:tcW w:w="92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2"/>
              </w:rPr>
              <w:t>29,200</w:t>
            </w:r>
          </w:p>
        </w:tc>
        <w:tc>
          <w:tcPr>
            <w:tcW w:w="14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27,200</w:t>
            </w:r>
          </w:p>
        </w:tc>
        <w:tc>
          <w:tcPr>
            <w:tcW w:w="15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25,500</w:t>
            </w:r>
          </w:p>
        </w:tc>
        <w:tc>
          <w:tcPr>
            <w:tcW w:w="15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23,400</w:t>
            </w:r>
          </w:p>
        </w:tc>
        <w:tc>
          <w:tcPr>
            <w:tcW w:w="15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20,750</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19,550</w:t>
            </w:r>
          </w:p>
        </w:tc>
      </w:tr>
    </w:tbl>
    <w:p>
      <w:pPr>
        <w:spacing w:after="0" w:line="200" w:lineRule="exact"/>
        <w:rPr>
          <w:sz w:val="20"/>
          <w:szCs w:val="20"/>
          <w:color w:val="auto"/>
        </w:rPr>
      </w:pPr>
    </w:p>
    <w:p>
      <w:pPr>
        <w:spacing w:after="0" w:line="315" w:lineRule="exact"/>
        <w:rPr>
          <w:sz w:val="20"/>
          <w:szCs w:val="20"/>
          <w:color w:val="auto"/>
        </w:rPr>
      </w:pPr>
    </w:p>
    <w:p>
      <w:pPr>
        <w:ind w:left="9" w:right="3479" w:hanging="9"/>
        <w:spacing w:after="0" w:line="271" w:lineRule="auto"/>
        <w:tabs>
          <w:tab w:leader="none" w:pos="364"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- 1989 results include an increase in reserves for workers' compensation and other reserves of $27.7 million after taxes ($.96 per share).</w:t>
      </w:r>
    </w:p>
    <w:p>
      <w:pPr>
        <w:sectPr>
          <w:pgSz w:w="11900" w:h="16838" w:orient="portrait"/>
          <w:cols w:equalWidth="0" w:num="1">
            <w:col w:w="10228"/>
          </w:cols>
          <w:pgMar w:left="231" w:top="287" w:right="1440" w:bottom="1440" w:gutter="0" w:footer="0" w:header="0"/>
        </w:sectPr>
      </w:pPr>
    </w:p>
    <w:bookmarkStart w:id="32" w:name="page33"/>
    <w:bookmarkEnd w:id="32"/>
    <w:p>
      <w:pPr>
        <w:ind w:left="260"/>
        <w:spacing w:after="0"/>
        <w:rPr>
          <w:sz w:val="20"/>
          <w:szCs w:val="20"/>
          <w:color w:val="auto"/>
        </w:rPr>
      </w:pPr>
      <w:r>
        <w:rPr>
          <w:rFonts w:ascii="Courier New" w:cs="Courier New" w:eastAsia="Courier New" w:hAnsi="Courier New"/>
          <w:sz w:val="15"/>
          <w:szCs w:val="15"/>
          <w:color w:val="auto"/>
        </w:rPr>
        <w:t>18</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BALANCE SHEETS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Yellow Corporation and Subsidiaries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31, 1994 and 1993</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(Amounts in thousands except share data)</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3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7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1994</w:t>
            </w:r>
          </w:p>
        </w:tc>
        <w:tc>
          <w:tcPr>
            <w:tcW w:w="1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1993</w:t>
            </w:r>
          </w:p>
        </w:tc>
      </w:tr>
      <w:tr>
        <w:trPr>
          <w:trHeight w:val="341"/>
        </w:trPr>
        <w:tc>
          <w:tcPr>
            <w:tcW w:w="63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7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41"/>
        </w:trPr>
        <w:tc>
          <w:tcPr>
            <w:tcW w:w="6340" w:type="dxa"/>
            <w:vAlign w:val="bottom"/>
          </w:tcPr>
          <w:p>
            <w:pPr>
              <w:ind w:left="780"/>
              <w:spacing w:after="0"/>
              <w:rPr>
                <w:sz w:val="20"/>
                <w:szCs w:val="20"/>
                <w:color w:val="auto"/>
              </w:rPr>
            </w:pPr>
            <w:r>
              <w:rPr>
                <w:rFonts w:ascii="Courier New" w:cs="Courier New" w:eastAsia="Courier New" w:hAnsi="Courier New"/>
                <w:sz w:val="15"/>
                <w:szCs w:val="15"/>
                <w:color w:val="auto"/>
              </w:rPr>
              <w:t>Cash</w:t>
            </w:r>
          </w:p>
        </w:tc>
        <w:tc>
          <w:tcPr>
            <w:tcW w:w="17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$17,613</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$13,937</w:t>
            </w:r>
          </w:p>
        </w:tc>
      </w:tr>
      <w:tr>
        <w:trPr>
          <w:trHeight w:val="171"/>
        </w:trPr>
        <w:tc>
          <w:tcPr>
            <w:tcW w:w="6340" w:type="dxa"/>
            <w:vAlign w:val="bottom"/>
          </w:tcPr>
          <w:p>
            <w:pPr>
              <w:ind w:left="780"/>
              <w:spacing w:after="0"/>
              <w:rPr>
                <w:sz w:val="20"/>
                <w:szCs w:val="20"/>
                <w:color w:val="auto"/>
              </w:rPr>
            </w:pPr>
            <w:r>
              <w:rPr>
                <w:rFonts w:ascii="Courier New" w:cs="Courier New" w:eastAsia="Courier New" w:hAnsi="Courier New"/>
                <w:sz w:val="15"/>
                <w:szCs w:val="15"/>
                <w:color w:val="auto"/>
              </w:rPr>
              <w:t>Short-term investments</w:t>
            </w:r>
          </w:p>
        </w:tc>
        <w:tc>
          <w:tcPr>
            <w:tcW w:w="17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7,305</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6,777</w:t>
            </w:r>
          </w:p>
        </w:tc>
      </w:tr>
      <w:tr>
        <w:trPr>
          <w:trHeight w:val="171"/>
        </w:trPr>
        <w:tc>
          <w:tcPr>
            <w:tcW w:w="6340" w:type="dxa"/>
            <w:vAlign w:val="bottom"/>
          </w:tcPr>
          <w:p>
            <w:pPr>
              <w:ind w:left="780"/>
              <w:spacing w:after="0"/>
              <w:rPr>
                <w:sz w:val="20"/>
                <w:szCs w:val="20"/>
                <w:color w:val="auto"/>
              </w:rPr>
            </w:pPr>
            <w:r>
              <w:rPr>
                <w:rFonts w:ascii="Courier New" w:cs="Courier New" w:eastAsia="Courier New" w:hAnsi="Courier New"/>
                <w:sz w:val="15"/>
                <w:szCs w:val="15"/>
                <w:color w:val="auto"/>
              </w:rPr>
              <w:t>Accounts receivable, less allowances of $13,082 and $10,674</w:t>
            </w:r>
          </w:p>
        </w:tc>
        <w:tc>
          <w:tcPr>
            <w:tcW w:w="17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295,332</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276,223</w:t>
            </w:r>
          </w:p>
        </w:tc>
      </w:tr>
      <w:tr>
        <w:trPr>
          <w:trHeight w:val="171"/>
        </w:trPr>
        <w:tc>
          <w:tcPr>
            <w:tcW w:w="6340" w:type="dxa"/>
            <w:vAlign w:val="bottom"/>
          </w:tcPr>
          <w:p>
            <w:pPr>
              <w:ind w:left="780"/>
              <w:spacing w:after="0"/>
              <w:rPr>
                <w:sz w:val="20"/>
                <w:szCs w:val="20"/>
                <w:color w:val="auto"/>
              </w:rPr>
            </w:pPr>
            <w:r>
              <w:rPr>
                <w:rFonts w:ascii="Courier New" w:cs="Courier New" w:eastAsia="Courier New" w:hAnsi="Courier New"/>
                <w:sz w:val="15"/>
                <w:szCs w:val="15"/>
                <w:color w:val="auto"/>
              </w:rPr>
              <w:t>Tires on equipment</w:t>
            </w:r>
          </w:p>
        </w:tc>
        <w:tc>
          <w:tcPr>
            <w:tcW w:w="17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40,817</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36,730</w:t>
            </w:r>
          </w:p>
        </w:tc>
      </w:tr>
      <w:tr>
        <w:trPr>
          <w:trHeight w:val="171"/>
        </w:trPr>
        <w:tc>
          <w:tcPr>
            <w:tcW w:w="6340" w:type="dxa"/>
            <w:vAlign w:val="bottom"/>
          </w:tcPr>
          <w:p>
            <w:pPr>
              <w:ind w:left="780"/>
              <w:spacing w:after="0"/>
              <w:rPr>
                <w:sz w:val="20"/>
                <w:szCs w:val="20"/>
                <w:color w:val="auto"/>
              </w:rPr>
            </w:pPr>
            <w:r>
              <w:rPr>
                <w:rFonts w:ascii="Courier New" w:cs="Courier New" w:eastAsia="Courier New" w:hAnsi="Courier New"/>
                <w:sz w:val="15"/>
                <w:szCs w:val="15"/>
                <w:color w:val="auto"/>
              </w:rPr>
              <w:t>Fuel and operating supplies</w:t>
            </w:r>
          </w:p>
        </w:tc>
        <w:tc>
          <w:tcPr>
            <w:tcW w:w="17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21,381</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19,183</w:t>
            </w:r>
          </w:p>
        </w:tc>
      </w:tr>
      <w:tr>
        <w:trPr>
          <w:trHeight w:val="171"/>
        </w:trPr>
        <w:tc>
          <w:tcPr>
            <w:tcW w:w="6340" w:type="dxa"/>
            <w:vAlign w:val="bottom"/>
          </w:tcPr>
          <w:p>
            <w:pPr>
              <w:ind w:left="780"/>
              <w:spacing w:after="0"/>
              <w:rPr>
                <w:sz w:val="20"/>
                <w:szCs w:val="20"/>
                <w:color w:val="auto"/>
              </w:rPr>
            </w:pPr>
            <w:r>
              <w:rPr>
                <w:rFonts w:ascii="Courier New" w:cs="Courier New" w:eastAsia="Courier New" w:hAnsi="Courier New"/>
                <w:sz w:val="15"/>
                <w:szCs w:val="15"/>
                <w:color w:val="auto"/>
              </w:rPr>
              <w:t>Deferred income taxes</w:t>
            </w:r>
          </w:p>
        </w:tc>
        <w:tc>
          <w:tcPr>
            <w:tcW w:w="17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1,586</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9,024</w:t>
            </w:r>
          </w:p>
        </w:tc>
      </w:tr>
      <w:tr>
        <w:trPr>
          <w:trHeight w:val="171"/>
        </w:trPr>
        <w:tc>
          <w:tcPr>
            <w:tcW w:w="6340" w:type="dxa"/>
            <w:vAlign w:val="bottom"/>
          </w:tcPr>
          <w:p>
            <w:pPr>
              <w:ind w:left="780"/>
              <w:spacing w:after="0"/>
              <w:rPr>
                <w:sz w:val="20"/>
                <w:szCs w:val="20"/>
                <w:color w:val="auto"/>
              </w:rPr>
            </w:pPr>
            <w:r>
              <w:rPr>
                <w:rFonts w:ascii="Courier New" w:cs="Courier New" w:eastAsia="Courier New" w:hAnsi="Courier New"/>
                <w:sz w:val="15"/>
                <w:szCs w:val="15"/>
                <w:color w:val="auto"/>
              </w:rPr>
              <w:t>Other current assets</w:t>
            </w:r>
          </w:p>
        </w:tc>
        <w:tc>
          <w:tcPr>
            <w:tcW w:w="17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19,323</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17,519</w:t>
            </w:r>
          </w:p>
        </w:tc>
      </w:tr>
      <w:tr>
        <w:trPr>
          <w:trHeight w:val="171"/>
        </w:trPr>
        <w:tc>
          <w:tcPr>
            <w:tcW w:w="6340" w:type="dxa"/>
            <w:vAlign w:val="bottom"/>
          </w:tcPr>
          <w:p>
            <w:pPr>
              <w:ind w:left="2300"/>
              <w:spacing w:after="0"/>
              <w:rPr>
                <w:sz w:val="20"/>
                <w:szCs w:val="20"/>
                <w:color w:val="auto"/>
              </w:rPr>
            </w:pPr>
            <w:r>
              <w:rPr>
                <w:rFonts w:ascii="Courier New" w:cs="Courier New" w:eastAsia="Courier New" w:hAnsi="Courier New"/>
                <w:sz w:val="15"/>
                <w:szCs w:val="15"/>
                <w:color w:val="auto"/>
              </w:rPr>
              <w:t>Total current assets</w:t>
            </w:r>
          </w:p>
        </w:tc>
        <w:tc>
          <w:tcPr>
            <w:tcW w:w="17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403,357</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379,393</w:t>
            </w:r>
          </w:p>
        </w:tc>
      </w:tr>
      <w:tr>
        <w:trPr>
          <w:trHeight w:val="341"/>
        </w:trPr>
        <w:tc>
          <w:tcPr>
            <w:tcW w:w="6340" w:type="dxa"/>
            <w:vAlign w:val="bottom"/>
          </w:tcPr>
          <w:p>
            <w:pPr>
              <w:spacing w:after="0"/>
              <w:rPr>
                <w:sz w:val="20"/>
                <w:szCs w:val="20"/>
                <w:color w:val="auto"/>
              </w:rPr>
            </w:pPr>
            <w:r>
              <w:rPr>
                <w:rFonts w:ascii="Courier New" w:cs="Courier New" w:eastAsia="Courier New" w:hAnsi="Courier New"/>
                <w:sz w:val="15"/>
                <w:szCs w:val="15"/>
                <w:color w:val="auto"/>
              </w:rPr>
              <w:t>OPERATING PROPERTY:</w:t>
            </w:r>
          </w:p>
        </w:tc>
        <w:tc>
          <w:tcPr>
            <w:tcW w:w="17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71"/>
        </w:trPr>
        <w:tc>
          <w:tcPr>
            <w:tcW w:w="6340" w:type="dxa"/>
            <w:vAlign w:val="bottom"/>
          </w:tcPr>
          <w:p>
            <w:pPr>
              <w:ind w:left="780"/>
              <w:spacing w:after="0"/>
              <w:rPr>
                <w:sz w:val="20"/>
                <w:szCs w:val="20"/>
                <w:color w:val="auto"/>
              </w:rPr>
            </w:pPr>
            <w:r>
              <w:rPr>
                <w:rFonts w:ascii="Courier New" w:cs="Courier New" w:eastAsia="Courier New" w:hAnsi="Courier New"/>
                <w:sz w:val="15"/>
                <w:szCs w:val="15"/>
                <w:color w:val="auto"/>
              </w:rPr>
              <w:t>Land</w:t>
            </w:r>
          </w:p>
        </w:tc>
        <w:tc>
          <w:tcPr>
            <w:tcW w:w="17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141,134</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154,264</w:t>
            </w:r>
          </w:p>
        </w:tc>
      </w:tr>
      <w:tr>
        <w:trPr>
          <w:trHeight w:val="171"/>
        </w:trPr>
        <w:tc>
          <w:tcPr>
            <w:tcW w:w="6340" w:type="dxa"/>
            <w:vAlign w:val="bottom"/>
          </w:tcPr>
          <w:p>
            <w:pPr>
              <w:ind w:left="780"/>
              <w:spacing w:after="0"/>
              <w:rPr>
                <w:sz w:val="20"/>
                <w:szCs w:val="20"/>
                <w:color w:val="auto"/>
              </w:rPr>
            </w:pPr>
            <w:r>
              <w:rPr>
                <w:rFonts w:ascii="Courier New" w:cs="Courier New" w:eastAsia="Courier New" w:hAnsi="Courier New"/>
                <w:sz w:val="15"/>
                <w:szCs w:val="15"/>
                <w:color w:val="auto"/>
              </w:rPr>
              <w:t>Structures</w:t>
            </w:r>
          </w:p>
        </w:tc>
        <w:tc>
          <w:tcPr>
            <w:tcW w:w="17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613,530</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604,759</w:t>
            </w:r>
          </w:p>
        </w:tc>
      </w:tr>
      <w:tr>
        <w:trPr>
          <w:trHeight w:val="171"/>
        </w:trPr>
        <w:tc>
          <w:tcPr>
            <w:tcW w:w="6340" w:type="dxa"/>
            <w:vAlign w:val="bottom"/>
          </w:tcPr>
          <w:p>
            <w:pPr>
              <w:ind w:left="780"/>
              <w:spacing w:after="0"/>
              <w:rPr>
                <w:sz w:val="20"/>
                <w:szCs w:val="20"/>
                <w:color w:val="auto"/>
              </w:rPr>
            </w:pPr>
            <w:r>
              <w:rPr>
                <w:rFonts w:ascii="Courier New" w:cs="Courier New" w:eastAsia="Courier New" w:hAnsi="Courier New"/>
                <w:sz w:val="15"/>
                <w:szCs w:val="15"/>
                <w:color w:val="auto"/>
              </w:rPr>
              <w:t>Revenue equipment</w:t>
            </w:r>
          </w:p>
        </w:tc>
        <w:tc>
          <w:tcPr>
            <w:tcW w:w="17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897,426</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838,171</w:t>
            </w:r>
          </w:p>
        </w:tc>
      </w:tr>
      <w:tr>
        <w:trPr>
          <w:trHeight w:val="171"/>
        </w:trPr>
        <w:tc>
          <w:tcPr>
            <w:tcW w:w="6340" w:type="dxa"/>
            <w:vAlign w:val="bottom"/>
          </w:tcPr>
          <w:p>
            <w:pPr>
              <w:ind w:left="780"/>
              <w:spacing w:after="0"/>
              <w:rPr>
                <w:sz w:val="20"/>
                <w:szCs w:val="20"/>
                <w:color w:val="auto"/>
              </w:rPr>
            </w:pPr>
            <w:r>
              <w:rPr>
                <w:rFonts w:ascii="Courier New" w:cs="Courier New" w:eastAsia="Courier New" w:hAnsi="Courier New"/>
                <w:sz w:val="15"/>
                <w:szCs w:val="15"/>
                <w:color w:val="auto"/>
              </w:rPr>
              <w:t>Other operating property</w:t>
            </w:r>
          </w:p>
        </w:tc>
        <w:tc>
          <w:tcPr>
            <w:tcW w:w="17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214,475</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168,798</w:t>
            </w:r>
          </w:p>
        </w:tc>
      </w:tr>
      <w:tr>
        <w:trPr>
          <w:trHeight w:val="171"/>
        </w:trPr>
        <w:tc>
          <w:tcPr>
            <w:tcW w:w="6340" w:type="dxa"/>
            <w:vAlign w:val="bottom"/>
          </w:tcPr>
          <w:p>
            <w:pPr>
              <w:spacing w:after="0"/>
              <w:rPr>
                <w:sz w:val="14"/>
                <w:szCs w:val="14"/>
                <w:color w:val="auto"/>
              </w:rPr>
            </w:pPr>
          </w:p>
        </w:tc>
        <w:tc>
          <w:tcPr>
            <w:tcW w:w="17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1,866,565</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1,765,992</w:t>
            </w:r>
          </w:p>
        </w:tc>
      </w:tr>
      <w:tr>
        <w:trPr>
          <w:trHeight w:val="171"/>
        </w:trPr>
        <w:tc>
          <w:tcPr>
            <w:tcW w:w="6340" w:type="dxa"/>
            <w:vAlign w:val="bottom"/>
          </w:tcPr>
          <w:p>
            <w:pPr>
              <w:ind w:left="780"/>
              <w:spacing w:after="0"/>
              <w:rPr>
                <w:sz w:val="20"/>
                <w:szCs w:val="20"/>
                <w:color w:val="auto"/>
              </w:rPr>
            </w:pPr>
            <w:r>
              <w:rPr>
                <w:rFonts w:ascii="Courier New" w:cs="Courier New" w:eastAsia="Courier New" w:hAnsi="Courier New"/>
                <w:sz w:val="15"/>
                <w:szCs w:val="15"/>
                <w:color w:val="auto"/>
              </w:rPr>
              <w:t>Less - Accumulated depreciation</w:t>
            </w:r>
          </w:p>
        </w:tc>
        <w:tc>
          <w:tcPr>
            <w:tcW w:w="17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989,281</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910,122</w:t>
            </w:r>
          </w:p>
        </w:tc>
      </w:tr>
      <w:tr>
        <w:trPr>
          <w:trHeight w:val="171"/>
        </w:trPr>
        <w:tc>
          <w:tcPr>
            <w:tcW w:w="6340" w:type="dxa"/>
            <w:vAlign w:val="bottom"/>
          </w:tcPr>
          <w:p>
            <w:pPr>
              <w:ind w:left="2300"/>
              <w:spacing w:after="0"/>
              <w:rPr>
                <w:sz w:val="20"/>
                <w:szCs w:val="20"/>
                <w:color w:val="auto"/>
              </w:rPr>
            </w:pPr>
            <w:r>
              <w:rPr>
                <w:rFonts w:ascii="Courier New" w:cs="Courier New" w:eastAsia="Courier New" w:hAnsi="Courier New"/>
                <w:sz w:val="15"/>
                <w:szCs w:val="15"/>
                <w:color w:val="auto"/>
              </w:rPr>
              <w:t>Net operating property</w:t>
            </w:r>
          </w:p>
        </w:tc>
        <w:tc>
          <w:tcPr>
            <w:tcW w:w="17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877,284</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855,870</w:t>
            </w:r>
          </w:p>
        </w:tc>
      </w:tr>
      <w:tr>
        <w:trPr>
          <w:trHeight w:val="341"/>
        </w:trPr>
        <w:tc>
          <w:tcPr>
            <w:tcW w:w="634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17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26,580</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30,391</w:t>
            </w:r>
          </w:p>
        </w:tc>
      </w:tr>
      <w:tr>
        <w:trPr>
          <w:trHeight w:val="171"/>
        </w:trPr>
        <w:tc>
          <w:tcPr>
            <w:tcW w:w="6340" w:type="dxa"/>
            <w:vAlign w:val="bottom"/>
          </w:tcPr>
          <w:p>
            <w:pPr>
              <w:spacing w:after="0"/>
              <w:rPr>
                <w:sz w:val="14"/>
                <w:szCs w:val="14"/>
                <w:color w:val="auto"/>
              </w:rPr>
            </w:pPr>
          </w:p>
        </w:tc>
        <w:tc>
          <w:tcPr>
            <w:tcW w:w="17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$1,307,221</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$1,265,654</w:t>
            </w:r>
          </w:p>
        </w:tc>
      </w:tr>
    </w:tbl>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5"/>
          <w:szCs w:val="15"/>
          <w:color w:val="auto"/>
        </w:rPr>
        <w:t>The notes to consolidated financial statements are an integral part of these balance sheets.</w:t>
      </w:r>
    </w:p>
    <w:p>
      <w:pPr>
        <w:sectPr>
          <w:pgSz w:w="11900" w:h="16838" w:orient="portrait"/>
          <w:cols w:equalWidth="0" w:num="1">
            <w:col w:w="10219"/>
          </w:cols>
          <w:pgMar w:left="240" w:top="287" w:right="1440" w:bottom="1440" w:gutter="0" w:footer="0" w:header="0"/>
        </w:sectPr>
      </w:pPr>
    </w:p>
    <w:bookmarkStart w:id="33" w:name="page34"/>
    <w:bookmarkEnd w:id="33"/>
    <w:p>
      <w:pPr>
        <w:ind w:left="260"/>
        <w:spacing w:after="0"/>
        <w:rPr>
          <w:sz w:val="20"/>
          <w:szCs w:val="20"/>
          <w:color w:val="auto"/>
        </w:rPr>
      </w:pPr>
      <w:r>
        <w:rPr>
          <w:rFonts w:ascii="Courier New" w:cs="Courier New" w:eastAsia="Courier New" w:hAnsi="Courier New"/>
          <w:sz w:val="15"/>
          <w:szCs w:val="15"/>
          <w:color w:val="auto"/>
        </w:rPr>
        <w:t>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62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1820" w:type="dxa"/>
            <w:vAlign w:val="bottom"/>
          </w:tcPr>
          <w:p>
            <w:pPr>
              <w:jc w:val="right"/>
              <w:ind w:right="986"/>
              <w:spacing w:after="0"/>
              <w:rPr>
                <w:sz w:val="20"/>
                <w:szCs w:val="20"/>
                <w:color w:val="auto"/>
              </w:rPr>
            </w:pPr>
            <w:r>
              <w:rPr>
                <w:rFonts w:ascii="Courier New" w:cs="Courier New" w:eastAsia="Courier New" w:hAnsi="Courier New"/>
                <w:sz w:val="15"/>
                <w:szCs w:val="15"/>
                <w:color w:val="auto"/>
              </w:rPr>
              <w:t>1994</w:t>
            </w:r>
          </w:p>
        </w:tc>
        <w:tc>
          <w:tcPr>
            <w:tcW w:w="16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1993</w:t>
            </w:r>
          </w:p>
        </w:tc>
      </w:tr>
      <w:tr>
        <w:trPr>
          <w:trHeight w:val="341"/>
        </w:trPr>
        <w:tc>
          <w:tcPr>
            <w:tcW w:w="562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8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41"/>
        </w:trPr>
        <w:tc>
          <w:tcPr>
            <w:tcW w:w="5620" w:type="dxa"/>
            <w:vAlign w:val="bottom"/>
          </w:tcPr>
          <w:p>
            <w:pPr>
              <w:ind w:left="780"/>
              <w:spacing w:after="0"/>
              <w:rPr>
                <w:sz w:val="20"/>
                <w:szCs w:val="20"/>
                <w:color w:val="auto"/>
              </w:rPr>
            </w:pPr>
            <w:r>
              <w:rPr>
                <w:rFonts w:ascii="Courier New" w:cs="Courier New" w:eastAsia="Courier New" w:hAnsi="Courier New"/>
                <w:sz w:val="15"/>
                <w:szCs w:val="15"/>
                <w:color w:val="auto"/>
              </w:rPr>
              <w:t>Accounts payable</w:t>
            </w:r>
          </w:p>
        </w:tc>
        <w:tc>
          <w:tcPr>
            <w:tcW w:w="18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$118,412</w:t>
            </w:r>
          </w:p>
        </w:tc>
        <w:tc>
          <w:tcPr>
            <w:tcW w:w="1600" w:type="dxa"/>
            <w:vAlign w:val="bottom"/>
          </w:tcPr>
          <w:p>
            <w:pPr>
              <w:jc w:val="right"/>
              <w:ind w:right="6"/>
              <w:spacing w:after="0"/>
              <w:rPr>
                <w:sz w:val="20"/>
                <w:szCs w:val="20"/>
                <w:color w:val="auto"/>
              </w:rPr>
            </w:pPr>
            <w:r>
              <w:rPr>
                <w:rFonts w:ascii="Courier New" w:cs="Courier New" w:eastAsia="Courier New" w:hAnsi="Courier New"/>
                <w:sz w:val="15"/>
                <w:szCs w:val="15"/>
                <w:color w:val="auto"/>
              </w:rPr>
              <w:t>$71,580</w:t>
            </w:r>
          </w:p>
        </w:tc>
      </w:tr>
      <w:tr>
        <w:trPr>
          <w:trHeight w:val="171"/>
        </w:trPr>
        <w:tc>
          <w:tcPr>
            <w:tcW w:w="5620" w:type="dxa"/>
            <w:vAlign w:val="bottom"/>
          </w:tcPr>
          <w:p>
            <w:pPr>
              <w:ind w:left="780"/>
              <w:spacing w:after="0"/>
              <w:rPr>
                <w:sz w:val="20"/>
                <w:szCs w:val="20"/>
                <w:color w:val="auto"/>
              </w:rPr>
            </w:pPr>
            <w:r>
              <w:rPr>
                <w:rFonts w:ascii="Courier New" w:cs="Courier New" w:eastAsia="Courier New" w:hAnsi="Courier New"/>
                <w:sz w:val="15"/>
                <w:szCs w:val="15"/>
                <w:color w:val="auto"/>
              </w:rPr>
              <w:t>Wages, vacations and employees' benefits</w:t>
            </w:r>
          </w:p>
        </w:tc>
        <w:tc>
          <w:tcPr>
            <w:tcW w:w="18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118,364</w:t>
            </w:r>
          </w:p>
        </w:tc>
        <w:tc>
          <w:tcPr>
            <w:tcW w:w="16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117,723</w:t>
            </w:r>
          </w:p>
        </w:tc>
      </w:tr>
      <w:tr>
        <w:trPr>
          <w:trHeight w:val="171"/>
        </w:trPr>
        <w:tc>
          <w:tcPr>
            <w:tcW w:w="5620" w:type="dxa"/>
            <w:vAlign w:val="bottom"/>
          </w:tcPr>
          <w:p>
            <w:pPr>
              <w:ind w:left="780"/>
              <w:spacing w:after="0"/>
              <w:rPr>
                <w:sz w:val="20"/>
                <w:szCs w:val="20"/>
                <w:color w:val="auto"/>
              </w:rPr>
            </w:pPr>
            <w:r>
              <w:rPr>
                <w:rFonts w:ascii="Courier New" w:cs="Courier New" w:eastAsia="Courier New" w:hAnsi="Courier New"/>
                <w:sz w:val="15"/>
                <w:szCs w:val="15"/>
                <w:color w:val="auto"/>
              </w:rPr>
              <w:t>Accrued income taxes</w:t>
            </w:r>
          </w:p>
        </w:tc>
        <w:tc>
          <w:tcPr>
            <w:tcW w:w="18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6,044</w:t>
            </w:r>
          </w:p>
        </w:tc>
      </w:tr>
      <w:tr>
        <w:trPr>
          <w:trHeight w:val="171"/>
        </w:trPr>
        <w:tc>
          <w:tcPr>
            <w:tcW w:w="5620" w:type="dxa"/>
            <w:vAlign w:val="bottom"/>
          </w:tcPr>
          <w:p>
            <w:pPr>
              <w:ind w:left="780"/>
              <w:spacing w:after="0"/>
              <w:rPr>
                <w:sz w:val="20"/>
                <w:szCs w:val="20"/>
                <w:color w:val="auto"/>
              </w:rPr>
            </w:pPr>
            <w:r>
              <w:rPr>
                <w:rFonts w:ascii="Courier New" w:cs="Courier New" w:eastAsia="Courier New" w:hAnsi="Courier New"/>
                <w:sz w:val="15"/>
                <w:szCs w:val="15"/>
                <w:color w:val="auto"/>
              </w:rPr>
              <w:t>Claims and insurance accruals</w:t>
            </w:r>
          </w:p>
        </w:tc>
        <w:tc>
          <w:tcPr>
            <w:tcW w:w="18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84,823</w:t>
            </w:r>
          </w:p>
        </w:tc>
        <w:tc>
          <w:tcPr>
            <w:tcW w:w="1600" w:type="dxa"/>
            <w:vAlign w:val="bottom"/>
          </w:tcPr>
          <w:p>
            <w:pPr>
              <w:jc w:val="right"/>
              <w:ind w:right="6"/>
              <w:spacing w:after="0"/>
              <w:rPr>
                <w:sz w:val="20"/>
                <w:szCs w:val="20"/>
                <w:color w:val="auto"/>
              </w:rPr>
            </w:pPr>
            <w:r>
              <w:rPr>
                <w:rFonts w:ascii="Courier New" w:cs="Courier New" w:eastAsia="Courier New" w:hAnsi="Courier New"/>
                <w:sz w:val="15"/>
                <w:szCs w:val="15"/>
                <w:color w:val="auto"/>
              </w:rPr>
              <w:t>86,804</w:t>
            </w:r>
          </w:p>
        </w:tc>
      </w:tr>
      <w:tr>
        <w:trPr>
          <w:trHeight w:val="171"/>
        </w:trPr>
        <w:tc>
          <w:tcPr>
            <w:tcW w:w="5620" w:type="dxa"/>
            <w:vAlign w:val="bottom"/>
          </w:tcPr>
          <w:p>
            <w:pPr>
              <w:ind w:left="780"/>
              <w:spacing w:after="0"/>
              <w:rPr>
                <w:sz w:val="20"/>
                <w:szCs w:val="20"/>
                <w:color w:val="auto"/>
              </w:rPr>
            </w:pPr>
            <w:r>
              <w:rPr>
                <w:rFonts w:ascii="Courier New" w:cs="Courier New" w:eastAsia="Courier New" w:hAnsi="Courier New"/>
                <w:sz w:val="15"/>
                <w:szCs w:val="15"/>
                <w:color w:val="auto"/>
              </w:rPr>
              <w:t>Other current and accrued liabilities</w:t>
            </w:r>
          </w:p>
        </w:tc>
        <w:tc>
          <w:tcPr>
            <w:tcW w:w="18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46,651</w:t>
            </w:r>
          </w:p>
        </w:tc>
        <w:tc>
          <w:tcPr>
            <w:tcW w:w="16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48,006</w:t>
            </w:r>
          </w:p>
        </w:tc>
      </w:tr>
      <w:tr>
        <w:trPr>
          <w:trHeight w:val="171"/>
        </w:trPr>
        <w:tc>
          <w:tcPr>
            <w:tcW w:w="5620" w:type="dxa"/>
            <w:vAlign w:val="bottom"/>
          </w:tcPr>
          <w:p>
            <w:pPr>
              <w:ind w:left="780"/>
              <w:spacing w:after="0"/>
              <w:rPr>
                <w:sz w:val="20"/>
                <w:szCs w:val="20"/>
                <w:color w:val="auto"/>
              </w:rPr>
            </w:pPr>
            <w:r>
              <w:rPr>
                <w:rFonts w:ascii="Courier New" w:cs="Courier New" w:eastAsia="Courier New" w:hAnsi="Courier New"/>
                <w:sz w:val="15"/>
                <w:szCs w:val="15"/>
                <w:color w:val="auto"/>
              </w:rPr>
              <w:t>Current maturities of long-term debt</w:t>
            </w:r>
          </w:p>
        </w:tc>
        <w:tc>
          <w:tcPr>
            <w:tcW w:w="18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7,741</w:t>
            </w:r>
          </w:p>
        </w:tc>
        <w:tc>
          <w:tcPr>
            <w:tcW w:w="16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12,327</w:t>
            </w:r>
          </w:p>
        </w:tc>
      </w:tr>
      <w:tr>
        <w:trPr>
          <w:trHeight w:val="171"/>
        </w:trPr>
        <w:tc>
          <w:tcPr>
            <w:tcW w:w="5620" w:type="dxa"/>
            <w:vAlign w:val="bottom"/>
          </w:tcPr>
          <w:p>
            <w:pPr>
              <w:ind w:left="2300"/>
              <w:spacing w:after="0"/>
              <w:rPr>
                <w:sz w:val="20"/>
                <w:szCs w:val="20"/>
                <w:color w:val="auto"/>
              </w:rPr>
            </w:pPr>
            <w:r>
              <w:rPr>
                <w:rFonts w:ascii="Courier New" w:cs="Courier New" w:eastAsia="Courier New" w:hAnsi="Courier New"/>
                <w:sz w:val="15"/>
                <w:szCs w:val="15"/>
                <w:color w:val="auto"/>
              </w:rPr>
              <w:t>Total current liabilities</w:t>
            </w:r>
          </w:p>
        </w:tc>
        <w:tc>
          <w:tcPr>
            <w:tcW w:w="18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375,991</w:t>
            </w:r>
          </w:p>
        </w:tc>
        <w:tc>
          <w:tcPr>
            <w:tcW w:w="16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342,484</w:t>
            </w:r>
          </w:p>
        </w:tc>
      </w:tr>
      <w:tr>
        <w:trPr>
          <w:trHeight w:val="341"/>
        </w:trPr>
        <w:tc>
          <w:tcPr>
            <w:tcW w:w="5620" w:type="dxa"/>
            <w:vAlign w:val="bottom"/>
          </w:tcPr>
          <w:p>
            <w:pPr>
              <w:spacing w:after="0"/>
              <w:rPr>
                <w:sz w:val="20"/>
                <w:szCs w:val="20"/>
                <w:color w:val="auto"/>
              </w:rPr>
            </w:pPr>
            <w:r>
              <w:rPr>
                <w:rFonts w:ascii="Courier New" w:cs="Courier New" w:eastAsia="Courier New" w:hAnsi="Courier New"/>
                <w:sz w:val="15"/>
                <w:szCs w:val="15"/>
                <w:color w:val="auto"/>
              </w:rPr>
              <w:t>OTHER LIABILITIES:</w:t>
            </w:r>
          </w:p>
        </w:tc>
        <w:tc>
          <w:tcPr>
            <w:tcW w:w="18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71"/>
        </w:trPr>
        <w:tc>
          <w:tcPr>
            <w:tcW w:w="5620" w:type="dxa"/>
            <w:vAlign w:val="bottom"/>
          </w:tcPr>
          <w:p>
            <w:pPr>
              <w:ind w:left="780"/>
              <w:spacing w:after="0"/>
              <w:rPr>
                <w:sz w:val="20"/>
                <w:szCs w:val="20"/>
                <w:color w:val="auto"/>
              </w:rPr>
            </w:pPr>
            <w:r>
              <w:rPr>
                <w:rFonts w:ascii="Courier New" w:cs="Courier New" w:eastAsia="Courier New" w:hAnsi="Courier New"/>
                <w:sz w:val="15"/>
                <w:szCs w:val="15"/>
                <w:color w:val="auto"/>
              </w:rPr>
              <w:t>Long-term debt</w:t>
            </w:r>
          </w:p>
        </w:tc>
        <w:tc>
          <w:tcPr>
            <w:tcW w:w="18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240,019</w:t>
            </w:r>
          </w:p>
        </w:tc>
        <w:tc>
          <w:tcPr>
            <w:tcW w:w="16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214,176</w:t>
            </w:r>
          </w:p>
        </w:tc>
      </w:tr>
      <w:tr>
        <w:trPr>
          <w:trHeight w:val="171"/>
        </w:trPr>
        <w:tc>
          <w:tcPr>
            <w:tcW w:w="5620" w:type="dxa"/>
            <w:vAlign w:val="bottom"/>
          </w:tcPr>
          <w:p>
            <w:pPr>
              <w:ind w:left="780"/>
              <w:spacing w:after="0"/>
              <w:rPr>
                <w:sz w:val="20"/>
                <w:szCs w:val="20"/>
                <w:color w:val="auto"/>
              </w:rPr>
            </w:pPr>
            <w:r>
              <w:rPr>
                <w:rFonts w:ascii="Courier New" w:cs="Courier New" w:eastAsia="Courier New" w:hAnsi="Courier New"/>
                <w:sz w:val="15"/>
                <w:szCs w:val="15"/>
                <w:color w:val="auto"/>
              </w:rPr>
              <w:t>Deferred income taxes</w:t>
            </w:r>
          </w:p>
        </w:tc>
        <w:tc>
          <w:tcPr>
            <w:tcW w:w="18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54,481</w:t>
            </w:r>
          </w:p>
        </w:tc>
        <w:tc>
          <w:tcPr>
            <w:tcW w:w="16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58,911</w:t>
            </w:r>
          </w:p>
        </w:tc>
      </w:tr>
      <w:tr>
        <w:trPr>
          <w:trHeight w:val="171"/>
        </w:trPr>
        <w:tc>
          <w:tcPr>
            <w:tcW w:w="5620" w:type="dxa"/>
            <w:vAlign w:val="bottom"/>
          </w:tcPr>
          <w:p>
            <w:pPr>
              <w:ind w:left="780"/>
              <w:spacing w:after="0"/>
              <w:rPr>
                <w:sz w:val="20"/>
                <w:szCs w:val="20"/>
                <w:color w:val="auto"/>
              </w:rPr>
            </w:pPr>
            <w:r>
              <w:rPr>
                <w:rFonts w:ascii="Courier New" w:cs="Courier New" w:eastAsia="Courier New" w:hAnsi="Courier New"/>
                <w:sz w:val="15"/>
                <w:szCs w:val="15"/>
                <w:color w:val="auto"/>
              </w:rPr>
              <w:t>Claims, insurance and other</w:t>
            </w:r>
          </w:p>
        </w:tc>
        <w:tc>
          <w:tcPr>
            <w:tcW w:w="18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175,887</w:t>
            </w:r>
          </w:p>
        </w:tc>
        <w:tc>
          <w:tcPr>
            <w:tcW w:w="16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163,630</w:t>
            </w:r>
          </w:p>
        </w:tc>
      </w:tr>
      <w:tr>
        <w:trPr>
          <w:trHeight w:val="171"/>
        </w:trPr>
        <w:tc>
          <w:tcPr>
            <w:tcW w:w="5620" w:type="dxa"/>
            <w:vAlign w:val="bottom"/>
          </w:tcPr>
          <w:p>
            <w:pPr>
              <w:ind w:left="2300"/>
              <w:spacing w:after="0"/>
              <w:rPr>
                <w:sz w:val="20"/>
                <w:szCs w:val="20"/>
                <w:color w:val="auto"/>
              </w:rPr>
            </w:pPr>
            <w:r>
              <w:rPr>
                <w:rFonts w:ascii="Courier New" w:cs="Courier New" w:eastAsia="Courier New" w:hAnsi="Courier New"/>
                <w:sz w:val="15"/>
                <w:szCs w:val="15"/>
                <w:color w:val="auto"/>
              </w:rPr>
              <w:t>Total other liabilities</w:t>
            </w:r>
          </w:p>
        </w:tc>
        <w:tc>
          <w:tcPr>
            <w:tcW w:w="18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470,387</w:t>
            </w:r>
          </w:p>
        </w:tc>
        <w:tc>
          <w:tcPr>
            <w:tcW w:w="16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436,717</w:t>
            </w:r>
          </w:p>
        </w:tc>
      </w:tr>
      <w:tr>
        <w:trPr>
          <w:trHeight w:val="341"/>
        </w:trPr>
        <w:tc>
          <w:tcPr>
            <w:tcW w:w="562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18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71"/>
        </w:trPr>
        <w:tc>
          <w:tcPr>
            <w:tcW w:w="5620" w:type="dxa"/>
            <w:vAlign w:val="bottom"/>
          </w:tcPr>
          <w:p>
            <w:pPr>
              <w:ind w:left="780"/>
              <w:spacing w:after="0"/>
              <w:rPr>
                <w:sz w:val="20"/>
                <w:szCs w:val="20"/>
                <w:color w:val="auto"/>
              </w:rPr>
            </w:pPr>
            <w:r>
              <w:rPr>
                <w:rFonts w:ascii="Courier New" w:cs="Courier New" w:eastAsia="Courier New" w:hAnsi="Courier New"/>
                <w:sz w:val="15"/>
                <w:szCs w:val="15"/>
                <w:color w:val="auto"/>
              </w:rPr>
              <w:t>Series A $10 Preferred stock, $1 par value -</w:t>
            </w:r>
          </w:p>
        </w:tc>
        <w:tc>
          <w:tcPr>
            <w:tcW w:w="18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71"/>
        </w:trPr>
        <w:tc>
          <w:tcPr>
            <w:tcW w:w="5620" w:type="dxa"/>
            <w:vAlign w:val="bottom"/>
          </w:tcPr>
          <w:p>
            <w:pPr>
              <w:ind w:left="1140"/>
              <w:spacing w:after="0"/>
              <w:rPr>
                <w:sz w:val="20"/>
                <w:szCs w:val="20"/>
                <w:color w:val="auto"/>
              </w:rPr>
            </w:pPr>
            <w:r>
              <w:rPr>
                <w:rFonts w:ascii="Courier New" w:cs="Courier New" w:eastAsia="Courier New" w:hAnsi="Courier New"/>
                <w:sz w:val="15"/>
                <w:szCs w:val="15"/>
                <w:color w:val="auto"/>
              </w:rPr>
              <w:t>authorized 750,000 shares, none issued</w:t>
            </w:r>
          </w:p>
        </w:tc>
        <w:tc>
          <w:tcPr>
            <w:tcW w:w="18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620" w:type="dxa"/>
            <w:vAlign w:val="bottom"/>
          </w:tcPr>
          <w:p>
            <w:pPr>
              <w:ind w:left="780"/>
              <w:spacing w:after="0"/>
              <w:rPr>
                <w:sz w:val="20"/>
                <w:szCs w:val="20"/>
                <w:color w:val="auto"/>
              </w:rPr>
            </w:pPr>
            <w:r>
              <w:rPr>
                <w:rFonts w:ascii="Courier New" w:cs="Courier New" w:eastAsia="Courier New" w:hAnsi="Courier New"/>
                <w:sz w:val="15"/>
                <w:szCs w:val="15"/>
                <w:color w:val="auto"/>
              </w:rPr>
              <w:t>Preferred stock, $1 par value - authorized</w:t>
            </w:r>
          </w:p>
        </w:tc>
        <w:tc>
          <w:tcPr>
            <w:tcW w:w="18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71"/>
        </w:trPr>
        <w:tc>
          <w:tcPr>
            <w:tcW w:w="5620" w:type="dxa"/>
            <w:vAlign w:val="bottom"/>
          </w:tcPr>
          <w:p>
            <w:pPr>
              <w:ind w:left="1140"/>
              <w:spacing w:after="0"/>
              <w:rPr>
                <w:sz w:val="20"/>
                <w:szCs w:val="20"/>
                <w:color w:val="auto"/>
              </w:rPr>
            </w:pPr>
            <w:r>
              <w:rPr>
                <w:rFonts w:ascii="Courier New" w:cs="Courier New" w:eastAsia="Courier New" w:hAnsi="Courier New"/>
                <w:sz w:val="15"/>
                <w:szCs w:val="15"/>
                <w:color w:val="auto"/>
              </w:rPr>
              <w:t>4,250,000 shares, none issued</w:t>
            </w:r>
          </w:p>
        </w:tc>
        <w:tc>
          <w:tcPr>
            <w:tcW w:w="18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620" w:type="dxa"/>
            <w:vAlign w:val="bottom"/>
          </w:tcPr>
          <w:p>
            <w:pPr>
              <w:ind w:left="780"/>
              <w:spacing w:after="0"/>
              <w:rPr>
                <w:sz w:val="20"/>
                <w:szCs w:val="20"/>
                <w:color w:val="auto"/>
              </w:rPr>
            </w:pPr>
            <w:r>
              <w:rPr>
                <w:rFonts w:ascii="Courier New" w:cs="Courier New" w:eastAsia="Courier New" w:hAnsi="Courier New"/>
                <w:sz w:val="15"/>
                <w:szCs w:val="15"/>
                <w:color w:val="auto"/>
              </w:rPr>
              <w:t>Common stock, $1 par value - authorized 120,000,000</w:t>
            </w:r>
          </w:p>
        </w:tc>
        <w:tc>
          <w:tcPr>
            <w:tcW w:w="18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71"/>
        </w:trPr>
        <w:tc>
          <w:tcPr>
            <w:tcW w:w="5620" w:type="dxa"/>
            <w:vAlign w:val="bottom"/>
          </w:tcPr>
          <w:p>
            <w:pPr>
              <w:ind w:left="1140"/>
              <w:spacing w:after="0"/>
              <w:rPr>
                <w:sz w:val="20"/>
                <w:szCs w:val="20"/>
                <w:color w:val="auto"/>
              </w:rPr>
            </w:pPr>
            <w:r>
              <w:rPr>
                <w:rFonts w:ascii="Courier New" w:cs="Courier New" w:eastAsia="Courier New" w:hAnsi="Courier New"/>
                <w:sz w:val="15"/>
                <w:szCs w:val="15"/>
                <w:color w:val="auto"/>
              </w:rPr>
              <w:t>shares, issued 28,857,537 and 28,849,837 shares</w:t>
            </w:r>
          </w:p>
        </w:tc>
        <w:tc>
          <w:tcPr>
            <w:tcW w:w="18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28,858</w:t>
            </w:r>
          </w:p>
        </w:tc>
        <w:tc>
          <w:tcPr>
            <w:tcW w:w="16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28,850</w:t>
            </w:r>
          </w:p>
        </w:tc>
      </w:tr>
      <w:tr>
        <w:trPr>
          <w:trHeight w:val="171"/>
        </w:trPr>
        <w:tc>
          <w:tcPr>
            <w:tcW w:w="5620" w:type="dxa"/>
            <w:vAlign w:val="bottom"/>
          </w:tcPr>
          <w:p>
            <w:pPr>
              <w:ind w:left="780"/>
              <w:spacing w:after="0"/>
              <w:rPr>
                <w:sz w:val="20"/>
                <w:szCs w:val="20"/>
                <w:color w:val="auto"/>
              </w:rPr>
            </w:pPr>
            <w:r>
              <w:rPr>
                <w:rFonts w:ascii="Courier New" w:cs="Courier New" w:eastAsia="Courier New" w:hAnsi="Courier New"/>
                <w:sz w:val="15"/>
                <w:szCs w:val="15"/>
                <w:color w:val="auto"/>
              </w:rPr>
              <w:t>Capital surplus</w:t>
            </w:r>
          </w:p>
        </w:tc>
        <w:tc>
          <w:tcPr>
            <w:tcW w:w="18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6,678</w:t>
            </w:r>
          </w:p>
        </w:tc>
        <w:tc>
          <w:tcPr>
            <w:tcW w:w="16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6,469</w:t>
            </w:r>
          </w:p>
        </w:tc>
      </w:tr>
      <w:tr>
        <w:trPr>
          <w:trHeight w:val="171"/>
        </w:trPr>
        <w:tc>
          <w:tcPr>
            <w:tcW w:w="5620" w:type="dxa"/>
            <w:vAlign w:val="bottom"/>
          </w:tcPr>
          <w:p>
            <w:pPr>
              <w:ind w:left="780"/>
              <w:spacing w:after="0"/>
              <w:rPr>
                <w:sz w:val="20"/>
                <w:szCs w:val="20"/>
                <w:color w:val="auto"/>
              </w:rPr>
            </w:pPr>
            <w:r>
              <w:rPr>
                <w:rFonts w:ascii="Courier New" w:cs="Courier New" w:eastAsia="Courier New" w:hAnsi="Courier New"/>
                <w:sz w:val="15"/>
                <w:szCs w:val="15"/>
                <w:color w:val="auto"/>
              </w:rPr>
              <w:t>Retained earnings</w:t>
            </w:r>
          </w:p>
        </w:tc>
        <w:tc>
          <w:tcPr>
            <w:tcW w:w="18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447,887</w:t>
            </w:r>
          </w:p>
        </w:tc>
        <w:tc>
          <w:tcPr>
            <w:tcW w:w="16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483,586</w:t>
            </w:r>
          </w:p>
        </w:tc>
      </w:tr>
      <w:tr>
        <w:trPr>
          <w:trHeight w:val="171"/>
        </w:trPr>
        <w:tc>
          <w:tcPr>
            <w:tcW w:w="5620" w:type="dxa"/>
            <w:vAlign w:val="bottom"/>
          </w:tcPr>
          <w:p>
            <w:pPr>
              <w:ind w:left="780"/>
              <w:spacing w:after="0"/>
              <w:rPr>
                <w:sz w:val="20"/>
                <w:szCs w:val="20"/>
                <w:color w:val="auto"/>
              </w:rPr>
            </w:pPr>
            <w:r>
              <w:rPr>
                <w:rFonts w:ascii="Courier New" w:cs="Courier New" w:eastAsia="Courier New" w:hAnsi="Courier New"/>
                <w:sz w:val="15"/>
                <w:szCs w:val="15"/>
                <w:color w:val="auto"/>
              </w:rPr>
              <w:t>Shares held by Stock Sharing Plan</w:t>
            </w:r>
          </w:p>
        </w:tc>
        <w:tc>
          <w:tcPr>
            <w:tcW w:w="18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(4,961)</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(14,880)</w:t>
            </w:r>
          </w:p>
        </w:tc>
      </w:tr>
      <w:tr>
        <w:trPr>
          <w:trHeight w:val="171"/>
        </w:trPr>
        <w:tc>
          <w:tcPr>
            <w:tcW w:w="5620" w:type="dxa"/>
            <w:vAlign w:val="bottom"/>
          </w:tcPr>
          <w:p>
            <w:pPr>
              <w:ind w:left="780"/>
              <w:spacing w:after="0"/>
              <w:rPr>
                <w:sz w:val="20"/>
                <w:szCs w:val="20"/>
                <w:color w:val="auto"/>
              </w:rPr>
            </w:pPr>
            <w:r>
              <w:rPr>
                <w:rFonts w:ascii="Courier New" w:cs="Courier New" w:eastAsia="Courier New" w:hAnsi="Courier New"/>
                <w:sz w:val="15"/>
                <w:szCs w:val="15"/>
                <w:color w:val="auto"/>
              </w:rPr>
              <w:t>Treasury stock, at cost (751,674 and 749,489 shares)</w:t>
            </w:r>
          </w:p>
        </w:tc>
        <w:tc>
          <w:tcPr>
            <w:tcW w:w="18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(17,619)</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(17,572)</w:t>
            </w:r>
          </w:p>
        </w:tc>
      </w:tr>
      <w:tr>
        <w:trPr>
          <w:trHeight w:val="171"/>
        </w:trPr>
        <w:tc>
          <w:tcPr>
            <w:tcW w:w="5620" w:type="dxa"/>
            <w:vAlign w:val="bottom"/>
          </w:tcPr>
          <w:p>
            <w:pPr>
              <w:ind w:left="2300"/>
              <w:spacing w:after="0"/>
              <w:rPr>
                <w:sz w:val="20"/>
                <w:szCs w:val="20"/>
                <w:color w:val="auto"/>
              </w:rPr>
            </w:pPr>
            <w:r>
              <w:rPr>
                <w:rFonts w:ascii="Courier New" w:cs="Courier New" w:eastAsia="Courier New" w:hAnsi="Courier New"/>
                <w:sz w:val="15"/>
                <w:szCs w:val="15"/>
                <w:color w:val="auto"/>
              </w:rPr>
              <w:t>Total shareholders' equity</w:t>
            </w:r>
          </w:p>
        </w:tc>
        <w:tc>
          <w:tcPr>
            <w:tcW w:w="18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460,843</w:t>
            </w:r>
          </w:p>
        </w:tc>
        <w:tc>
          <w:tcPr>
            <w:tcW w:w="16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486,453</w:t>
            </w:r>
          </w:p>
        </w:tc>
      </w:tr>
      <w:tr>
        <w:trPr>
          <w:trHeight w:val="171"/>
        </w:trPr>
        <w:tc>
          <w:tcPr>
            <w:tcW w:w="5620" w:type="dxa"/>
            <w:vAlign w:val="bottom"/>
          </w:tcPr>
          <w:p>
            <w:pPr>
              <w:spacing w:after="0"/>
              <w:rPr>
                <w:sz w:val="14"/>
                <w:szCs w:val="14"/>
                <w:color w:val="auto"/>
              </w:rPr>
            </w:pPr>
          </w:p>
        </w:tc>
        <w:tc>
          <w:tcPr>
            <w:tcW w:w="18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$1,307,221</w:t>
            </w:r>
          </w:p>
        </w:tc>
        <w:tc>
          <w:tcPr>
            <w:tcW w:w="16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$1,265,654</w:t>
            </w:r>
          </w:p>
        </w:tc>
      </w:tr>
    </w:tbl>
    <w:p>
      <w:pPr>
        <w:sectPr>
          <w:pgSz w:w="11900" w:h="16838" w:orient="portrait"/>
          <w:cols w:equalWidth="0" w:num="1">
            <w:col w:w="10219"/>
          </w:cols>
          <w:pgMar w:left="240" w:top="287" w:right="1440" w:bottom="1440" w:gutter="0" w:footer="0" w:header="0"/>
        </w:sectPr>
      </w:pPr>
    </w:p>
    <w:bookmarkStart w:id="34" w:name="page35"/>
    <w:bookmarkEnd w:id="34"/>
    <w:p>
      <w:pPr>
        <w:ind w:left="260"/>
        <w:spacing w:after="0"/>
        <w:rPr>
          <w:sz w:val="20"/>
          <w:szCs w:val="20"/>
          <w:color w:val="auto"/>
        </w:rPr>
      </w:pPr>
      <w:r>
        <w:rPr>
          <w:rFonts w:ascii="Courier New" w:cs="Courier New" w:eastAsia="Courier New" w:hAnsi="Courier New"/>
          <w:sz w:val="15"/>
          <w:szCs w:val="15"/>
          <w:color w:val="auto"/>
        </w:rPr>
        <w:t>20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STATEMENTS OF CONSOLIDATED INCOME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Yellow Corporation and Subsidiaries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Years Ended December 31</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(Amounts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40" w:type="dxa"/>
            <w:vAlign w:val="bottom"/>
          </w:tcPr>
          <w:p>
            <w:pPr>
              <w:spacing w:after="0"/>
              <w:rPr>
                <w:sz w:val="14"/>
                <w:szCs w:val="14"/>
                <w:color w:val="auto"/>
              </w:rPr>
            </w:pPr>
          </w:p>
        </w:tc>
        <w:tc>
          <w:tcPr>
            <w:tcW w:w="2040" w:type="dxa"/>
            <w:vAlign w:val="bottom"/>
          </w:tcPr>
          <w:p>
            <w:pPr>
              <w:jc w:val="right"/>
              <w:ind w:right="706"/>
              <w:spacing w:after="0"/>
              <w:rPr>
                <w:sz w:val="20"/>
                <w:szCs w:val="20"/>
                <w:color w:val="auto"/>
              </w:rPr>
            </w:pPr>
            <w:r>
              <w:rPr>
                <w:rFonts w:ascii="Courier New" w:cs="Courier New" w:eastAsia="Courier New" w:hAnsi="Courier New"/>
                <w:sz w:val="15"/>
                <w:szCs w:val="15"/>
                <w:color w:val="auto"/>
              </w:rPr>
              <w:t>1994</w:t>
            </w:r>
          </w:p>
        </w:tc>
        <w:tc>
          <w:tcPr>
            <w:tcW w:w="178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1993</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1992</w:t>
            </w:r>
          </w:p>
        </w:tc>
      </w:tr>
      <w:tr>
        <w:trPr>
          <w:trHeight w:val="341"/>
        </w:trPr>
        <w:tc>
          <w:tcPr>
            <w:tcW w:w="5840" w:type="dxa"/>
            <w:vAlign w:val="bottom"/>
          </w:tcPr>
          <w:p>
            <w:pPr>
              <w:spacing w:after="0"/>
              <w:rPr>
                <w:sz w:val="20"/>
                <w:szCs w:val="20"/>
                <w:color w:val="auto"/>
              </w:rPr>
            </w:pPr>
            <w:r>
              <w:rPr>
                <w:rFonts w:ascii="Courier New" w:cs="Courier New" w:eastAsia="Courier New" w:hAnsi="Courier New"/>
                <w:sz w:val="15"/>
                <w:szCs w:val="15"/>
                <w:color w:val="auto"/>
              </w:rPr>
              <w:t>OPERATING REVENUE</w:t>
            </w:r>
          </w:p>
        </w:tc>
        <w:tc>
          <w:tcPr>
            <w:tcW w:w="20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$2,867,492</w:t>
            </w:r>
          </w:p>
        </w:tc>
        <w:tc>
          <w:tcPr>
            <w:tcW w:w="17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$2,856,505</w:t>
            </w:r>
          </w:p>
        </w:tc>
        <w:tc>
          <w:tcPr>
            <w:tcW w:w="13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$2,262,676</w:t>
            </w:r>
          </w:p>
        </w:tc>
      </w:tr>
      <w:tr>
        <w:trPr>
          <w:trHeight w:val="341"/>
        </w:trPr>
        <w:tc>
          <w:tcPr>
            <w:tcW w:w="584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20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71"/>
        </w:trPr>
        <w:tc>
          <w:tcPr>
            <w:tcW w:w="5840" w:type="dxa"/>
            <w:vAlign w:val="bottom"/>
          </w:tcPr>
          <w:p>
            <w:pPr>
              <w:ind w:left="780"/>
              <w:spacing w:after="0"/>
              <w:rPr>
                <w:sz w:val="20"/>
                <w:szCs w:val="20"/>
                <w:color w:val="auto"/>
              </w:rPr>
            </w:pPr>
            <w:r>
              <w:rPr>
                <w:rFonts w:ascii="Courier New" w:cs="Courier New" w:eastAsia="Courier New" w:hAnsi="Courier New"/>
                <w:sz w:val="15"/>
                <w:szCs w:val="15"/>
                <w:color w:val="auto"/>
              </w:rPr>
              <w:t>Salaries, wages and employees' benefits</w:t>
            </w:r>
          </w:p>
        </w:tc>
        <w:tc>
          <w:tcPr>
            <w:tcW w:w="20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1,918,406</w:t>
            </w:r>
          </w:p>
        </w:tc>
        <w:tc>
          <w:tcPr>
            <w:tcW w:w="17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1,919,197</w:t>
            </w:r>
          </w:p>
        </w:tc>
        <w:tc>
          <w:tcPr>
            <w:tcW w:w="13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1,540,175</w:t>
            </w:r>
          </w:p>
        </w:tc>
      </w:tr>
      <w:tr>
        <w:trPr>
          <w:trHeight w:val="171"/>
        </w:trPr>
        <w:tc>
          <w:tcPr>
            <w:tcW w:w="5840" w:type="dxa"/>
            <w:vAlign w:val="bottom"/>
          </w:tcPr>
          <w:p>
            <w:pPr>
              <w:ind w:left="780"/>
              <w:spacing w:after="0"/>
              <w:rPr>
                <w:sz w:val="20"/>
                <w:szCs w:val="20"/>
                <w:color w:val="auto"/>
              </w:rPr>
            </w:pPr>
            <w:r>
              <w:rPr>
                <w:rFonts w:ascii="Courier New" w:cs="Courier New" w:eastAsia="Courier New" w:hAnsi="Courier New"/>
                <w:sz w:val="15"/>
                <w:szCs w:val="15"/>
                <w:color w:val="auto"/>
              </w:rPr>
              <w:t>Operating expenses and supplies</w:t>
            </w:r>
          </w:p>
        </w:tc>
        <w:tc>
          <w:tcPr>
            <w:tcW w:w="20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433,789</w:t>
            </w:r>
          </w:p>
        </w:tc>
        <w:tc>
          <w:tcPr>
            <w:tcW w:w="17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410,679</w:t>
            </w:r>
          </w:p>
        </w:tc>
        <w:tc>
          <w:tcPr>
            <w:tcW w:w="13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314,202</w:t>
            </w:r>
          </w:p>
        </w:tc>
      </w:tr>
      <w:tr>
        <w:trPr>
          <w:trHeight w:val="171"/>
        </w:trPr>
        <w:tc>
          <w:tcPr>
            <w:tcW w:w="5840" w:type="dxa"/>
            <w:vAlign w:val="bottom"/>
          </w:tcPr>
          <w:p>
            <w:pPr>
              <w:ind w:left="780"/>
              <w:spacing w:after="0"/>
              <w:rPr>
                <w:sz w:val="20"/>
                <w:szCs w:val="20"/>
                <w:color w:val="auto"/>
              </w:rPr>
            </w:pPr>
            <w:r>
              <w:rPr>
                <w:rFonts w:ascii="Courier New" w:cs="Courier New" w:eastAsia="Courier New" w:hAnsi="Courier New"/>
                <w:sz w:val="15"/>
                <w:szCs w:val="15"/>
                <w:color w:val="auto"/>
              </w:rPr>
              <w:t>Operating taxes and licenses</w:t>
            </w:r>
          </w:p>
        </w:tc>
        <w:tc>
          <w:tcPr>
            <w:tcW w:w="20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110,004</w:t>
            </w:r>
          </w:p>
        </w:tc>
        <w:tc>
          <w:tcPr>
            <w:tcW w:w="17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104,588</w:t>
            </w:r>
          </w:p>
        </w:tc>
        <w:tc>
          <w:tcPr>
            <w:tcW w:w="13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83,903</w:t>
            </w:r>
          </w:p>
        </w:tc>
      </w:tr>
      <w:tr>
        <w:trPr>
          <w:trHeight w:val="171"/>
        </w:trPr>
        <w:tc>
          <w:tcPr>
            <w:tcW w:w="5840" w:type="dxa"/>
            <w:vAlign w:val="bottom"/>
          </w:tcPr>
          <w:p>
            <w:pPr>
              <w:ind w:left="780"/>
              <w:spacing w:after="0"/>
              <w:rPr>
                <w:sz w:val="20"/>
                <w:szCs w:val="20"/>
                <w:color w:val="auto"/>
              </w:rPr>
            </w:pPr>
            <w:r>
              <w:rPr>
                <w:rFonts w:ascii="Courier New" w:cs="Courier New" w:eastAsia="Courier New" w:hAnsi="Courier New"/>
                <w:sz w:val="15"/>
                <w:szCs w:val="15"/>
                <w:color w:val="auto"/>
              </w:rPr>
              <w:t>Claims and insurance</w:t>
            </w:r>
          </w:p>
        </w:tc>
        <w:tc>
          <w:tcPr>
            <w:tcW w:w="20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76,953</w:t>
            </w:r>
          </w:p>
        </w:tc>
        <w:tc>
          <w:tcPr>
            <w:tcW w:w="17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70,206</w:t>
            </w:r>
          </w:p>
        </w:tc>
        <w:tc>
          <w:tcPr>
            <w:tcW w:w="13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52,051</w:t>
            </w:r>
          </w:p>
        </w:tc>
      </w:tr>
      <w:tr>
        <w:trPr>
          <w:trHeight w:val="171"/>
        </w:trPr>
        <w:tc>
          <w:tcPr>
            <w:tcW w:w="5840" w:type="dxa"/>
            <w:vAlign w:val="bottom"/>
          </w:tcPr>
          <w:p>
            <w:pPr>
              <w:ind w:left="780"/>
              <w:spacing w:after="0"/>
              <w:rPr>
                <w:sz w:val="20"/>
                <w:szCs w:val="20"/>
                <w:color w:val="auto"/>
              </w:rPr>
            </w:pPr>
            <w:r>
              <w:rPr>
                <w:rFonts w:ascii="Courier New" w:cs="Courier New" w:eastAsia="Courier New" w:hAnsi="Courier New"/>
                <w:sz w:val="15"/>
                <w:szCs w:val="15"/>
                <w:color w:val="auto"/>
              </w:rPr>
              <w:t>Communications and utilities</w:t>
            </w:r>
          </w:p>
        </w:tc>
        <w:tc>
          <w:tcPr>
            <w:tcW w:w="20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41,064</w:t>
            </w:r>
          </w:p>
        </w:tc>
        <w:tc>
          <w:tcPr>
            <w:tcW w:w="17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38,643</w:t>
            </w:r>
          </w:p>
        </w:tc>
        <w:tc>
          <w:tcPr>
            <w:tcW w:w="13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30,994</w:t>
            </w:r>
          </w:p>
        </w:tc>
      </w:tr>
      <w:tr>
        <w:trPr>
          <w:trHeight w:val="171"/>
        </w:trPr>
        <w:tc>
          <w:tcPr>
            <w:tcW w:w="5840" w:type="dxa"/>
            <w:vAlign w:val="bottom"/>
          </w:tcPr>
          <w:p>
            <w:pPr>
              <w:ind w:left="780"/>
              <w:spacing w:after="0"/>
              <w:rPr>
                <w:sz w:val="20"/>
                <w:szCs w:val="20"/>
                <w:color w:val="auto"/>
              </w:rPr>
            </w:pPr>
            <w:r>
              <w:rPr>
                <w:rFonts w:ascii="Courier New" w:cs="Courier New" w:eastAsia="Courier New" w:hAnsi="Courier New"/>
                <w:sz w:val="15"/>
                <w:szCs w:val="15"/>
                <w:color w:val="auto"/>
              </w:rPr>
              <w:t>Depreciation</w:t>
            </w:r>
          </w:p>
        </w:tc>
        <w:tc>
          <w:tcPr>
            <w:tcW w:w="20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133,970</w:t>
            </w:r>
          </w:p>
        </w:tc>
        <w:tc>
          <w:tcPr>
            <w:tcW w:w="17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132,371</w:t>
            </w:r>
          </w:p>
        </w:tc>
        <w:tc>
          <w:tcPr>
            <w:tcW w:w="13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118,419</w:t>
            </w:r>
          </w:p>
        </w:tc>
      </w:tr>
      <w:tr>
        <w:trPr>
          <w:trHeight w:val="171"/>
        </w:trPr>
        <w:tc>
          <w:tcPr>
            <w:tcW w:w="5840" w:type="dxa"/>
            <w:vAlign w:val="bottom"/>
          </w:tcPr>
          <w:p>
            <w:pPr>
              <w:ind w:left="780"/>
              <w:spacing w:after="0"/>
              <w:rPr>
                <w:sz w:val="20"/>
                <w:szCs w:val="20"/>
                <w:color w:val="auto"/>
              </w:rPr>
            </w:pPr>
            <w:r>
              <w:rPr>
                <w:rFonts w:ascii="Courier New" w:cs="Courier New" w:eastAsia="Courier New" w:hAnsi="Courier New"/>
                <w:sz w:val="15"/>
                <w:szCs w:val="15"/>
                <w:color w:val="auto"/>
              </w:rPr>
              <w:t>Purchased transportation</w:t>
            </w:r>
          </w:p>
        </w:tc>
        <w:tc>
          <w:tcPr>
            <w:tcW w:w="20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142,295</w:t>
            </w:r>
          </w:p>
        </w:tc>
        <w:tc>
          <w:tcPr>
            <w:tcW w:w="17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108,928</w:t>
            </w:r>
          </w:p>
        </w:tc>
        <w:tc>
          <w:tcPr>
            <w:tcW w:w="13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40,118</w:t>
            </w:r>
          </w:p>
        </w:tc>
      </w:tr>
      <w:tr>
        <w:trPr>
          <w:trHeight w:val="171"/>
        </w:trPr>
        <w:tc>
          <w:tcPr>
            <w:tcW w:w="5840" w:type="dxa"/>
            <w:vAlign w:val="bottom"/>
          </w:tcPr>
          <w:p>
            <w:pPr>
              <w:ind w:left="780"/>
              <w:spacing w:after="0"/>
              <w:rPr>
                <w:sz w:val="20"/>
                <w:szCs w:val="20"/>
                <w:color w:val="auto"/>
              </w:rPr>
            </w:pPr>
            <w:r>
              <w:rPr>
                <w:rFonts w:ascii="Courier New" w:cs="Courier New" w:eastAsia="Courier New" w:hAnsi="Courier New"/>
                <w:sz w:val="15"/>
                <w:szCs w:val="15"/>
                <w:color w:val="auto"/>
              </w:rPr>
              <w:t>Network development</w:t>
            </w:r>
          </w:p>
        </w:tc>
        <w:tc>
          <w:tcPr>
            <w:tcW w:w="20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18,000</w:t>
            </w:r>
          </w:p>
        </w:tc>
        <w:tc>
          <w:tcPr>
            <w:tcW w:w="13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840" w:type="dxa"/>
            <w:vAlign w:val="bottom"/>
          </w:tcPr>
          <w:p>
            <w:pPr>
              <w:ind w:left="1500"/>
              <w:spacing w:after="0"/>
              <w:rPr>
                <w:sz w:val="20"/>
                <w:szCs w:val="20"/>
                <w:color w:val="auto"/>
              </w:rPr>
            </w:pPr>
            <w:r>
              <w:rPr>
                <w:rFonts w:ascii="Courier New" w:cs="Courier New" w:eastAsia="Courier New" w:hAnsi="Courier New"/>
                <w:sz w:val="15"/>
                <w:szCs w:val="15"/>
                <w:color w:val="auto"/>
              </w:rPr>
              <w:t>Total operating expenses</w:t>
            </w:r>
          </w:p>
        </w:tc>
        <w:tc>
          <w:tcPr>
            <w:tcW w:w="20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2,856,481</w:t>
            </w:r>
          </w:p>
        </w:tc>
        <w:tc>
          <w:tcPr>
            <w:tcW w:w="17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2,802,612</w:t>
            </w:r>
          </w:p>
        </w:tc>
        <w:tc>
          <w:tcPr>
            <w:tcW w:w="13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2,179,862</w:t>
            </w:r>
          </w:p>
        </w:tc>
      </w:tr>
      <w:tr>
        <w:trPr>
          <w:trHeight w:val="341"/>
        </w:trPr>
        <w:tc>
          <w:tcPr>
            <w:tcW w:w="584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20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11,011</w:t>
            </w:r>
          </w:p>
        </w:tc>
        <w:tc>
          <w:tcPr>
            <w:tcW w:w="17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53,893</w:t>
            </w:r>
          </w:p>
        </w:tc>
        <w:tc>
          <w:tcPr>
            <w:tcW w:w="13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82,814</w:t>
            </w:r>
          </w:p>
        </w:tc>
      </w:tr>
      <w:tr>
        <w:trPr>
          <w:trHeight w:val="341"/>
        </w:trPr>
        <w:tc>
          <w:tcPr>
            <w:tcW w:w="5840" w:type="dxa"/>
            <w:vAlign w:val="bottom"/>
          </w:tcPr>
          <w:p>
            <w:pPr>
              <w:spacing w:after="0"/>
              <w:rPr>
                <w:sz w:val="20"/>
                <w:szCs w:val="20"/>
                <w:color w:val="auto"/>
              </w:rPr>
            </w:pPr>
            <w:r>
              <w:rPr>
                <w:rFonts w:ascii="Courier New" w:cs="Courier New" w:eastAsia="Courier New" w:hAnsi="Courier New"/>
                <w:sz w:val="15"/>
                <w:szCs w:val="15"/>
                <w:color w:val="auto"/>
              </w:rPr>
              <w:t>NONOPERATING (INCOME) EXPENSES:</w:t>
            </w:r>
          </w:p>
        </w:tc>
        <w:tc>
          <w:tcPr>
            <w:tcW w:w="20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71"/>
        </w:trPr>
        <w:tc>
          <w:tcPr>
            <w:tcW w:w="5840" w:type="dxa"/>
            <w:vAlign w:val="bottom"/>
          </w:tcPr>
          <w:p>
            <w:pPr>
              <w:ind w:left="780"/>
              <w:spacing w:after="0"/>
              <w:rPr>
                <w:sz w:val="20"/>
                <w:szCs w:val="20"/>
                <w:color w:val="auto"/>
              </w:rPr>
            </w:pPr>
            <w:r>
              <w:rPr>
                <w:rFonts w:ascii="Courier New" w:cs="Courier New" w:eastAsia="Courier New" w:hAnsi="Courier New"/>
                <w:sz w:val="15"/>
                <w:szCs w:val="15"/>
                <w:color w:val="auto"/>
              </w:rPr>
              <w:t>Interest expense</w:t>
            </w:r>
          </w:p>
        </w:tc>
        <w:tc>
          <w:tcPr>
            <w:tcW w:w="20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18,433</w:t>
            </w:r>
          </w:p>
        </w:tc>
        <w:tc>
          <w:tcPr>
            <w:tcW w:w="17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17,668</w:t>
            </w:r>
          </w:p>
        </w:tc>
        <w:tc>
          <w:tcPr>
            <w:tcW w:w="13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12,150</w:t>
            </w:r>
          </w:p>
        </w:tc>
      </w:tr>
      <w:tr>
        <w:trPr>
          <w:trHeight w:val="171"/>
        </w:trPr>
        <w:tc>
          <w:tcPr>
            <w:tcW w:w="5840" w:type="dxa"/>
            <w:vAlign w:val="bottom"/>
          </w:tcPr>
          <w:p>
            <w:pPr>
              <w:ind w:left="780"/>
              <w:spacing w:after="0"/>
              <w:rPr>
                <w:sz w:val="20"/>
                <w:szCs w:val="20"/>
                <w:color w:val="auto"/>
              </w:rPr>
            </w:pPr>
            <w:r>
              <w:rPr>
                <w:rFonts w:ascii="Courier New" w:cs="Courier New" w:eastAsia="Courier New" w:hAnsi="Courier New"/>
                <w:sz w:val="15"/>
                <w:szCs w:val="15"/>
                <w:color w:val="auto"/>
              </w:rPr>
              <w:t>Interest income</w:t>
            </w: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(2,202)</w:t>
            </w:r>
          </w:p>
        </w:tc>
        <w:tc>
          <w:tcPr>
            <w:tcW w:w="17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(1,446)</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(1,310)</w:t>
            </w:r>
          </w:p>
        </w:tc>
      </w:tr>
      <w:tr>
        <w:trPr>
          <w:trHeight w:val="171"/>
        </w:trPr>
        <w:tc>
          <w:tcPr>
            <w:tcW w:w="5840" w:type="dxa"/>
            <w:vAlign w:val="bottom"/>
          </w:tcPr>
          <w:p>
            <w:pPr>
              <w:ind w:left="780"/>
              <w:spacing w:after="0"/>
              <w:rPr>
                <w:sz w:val="20"/>
                <w:szCs w:val="20"/>
                <w:color w:val="auto"/>
              </w:rPr>
            </w:pPr>
            <w:r>
              <w:rPr>
                <w:rFonts w:ascii="Courier New" w:cs="Courier New" w:eastAsia="Courier New" w:hAnsi="Courier New"/>
                <w:sz w:val="15"/>
                <w:szCs w:val="15"/>
                <w:color w:val="auto"/>
              </w:rPr>
              <w:t>Other, net</w:t>
            </w: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(1,845)</w:t>
            </w:r>
          </w:p>
        </w:tc>
        <w:tc>
          <w:tcPr>
            <w:tcW w:w="17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2,313</w:t>
            </w:r>
          </w:p>
        </w:tc>
        <w:tc>
          <w:tcPr>
            <w:tcW w:w="13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6,581</w:t>
            </w:r>
          </w:p>
        </w:tc>
      </w:tr>
      <w:tr>
        <w:trPr>
          <w:trHeight w:val="171"/>
        </w:trPr>
        <w:tc>
          <w:tcPr>
            <w:tcW w:w="5840" w:type="dxa"/>
            <w:vAlign w:val="bottom"/>
          </w:tcPr>
          <w:p>
            <w:pPr>
              <w:ind w:left="1500"/>
              <w:spacing w:after="0"/>
              <w:rPr>
                <w:sz w:val="20"/>
                <w:szCs w:val="20"/>
                <w:color w:val="auto"/>
              </w:rPr>
            </w:pPr>
            <w:r>
              <w:rPr>
                <w:rFonts w:ascii="Courier New" w:cs="Courier New" w:eastAsia="Courier New" w:hAnsi="Courier New"/>
                <w:sz w:val="15"/>
                <w:szCs w:val="15"/>
                <w:color w:val="auto"/>
              </w:rPr>
              <w:t>Nonoperating expenses, net</w:t>
            </w:r>
          </w:p>
        </w:tc>
        <w:tc>
          <w:tcPr>
            <w:tcW w:w="20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14,386</w:t>
            </w:r>
          </w:p>
        </w:tc>
        <w:tc>
          <w:tcPr>
            <w:tcW w:w="17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18,535</w:t>
            </w:r>
          </w:p>
        </w:tc>
        <w:tc>
          <w:tcPr>
            <w:tcW w:w="13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17,421</w:t>
            </w:r>
          </w:p>
        </w:tc>
      </w:tr>
      <w:tr>
        <w:trPr>
          <w:trHeight w:val="341"/>
        </w:trPr>
        <w:tc>
          <w:tcPr>
            <w:tcW w:w="5840" w:type="dxa"/>
            <w:vAlign w:val="bottom"/>
          </w:tcPr>
          <w:p>
            <w:pPr>
              <w:spacing w:after="0"/>
              <w:rPr>
                <w:sz w:val="20"/>
                <w:szCs w:val="20"/>
                <w:color w:val="auto"/>
              </w:rPr>
            </w:pPr>
            <w:r>
              <w:rPr>
                <w:rFonts w:ascii="Courier New" w:cs="Courier New" w:eastAsia="Courier New" w:hAnsi="Courier New"/>
                <w:sz w:val="15"/>
                <w:szCs w:val="15"/>
                <w:color w:val="auto"/>
              </w:rPr>
              <w:t>INCOME (LOSS) BEFORE INCOME TAXES</w:t>
            </w: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(3,375)</w:t>
            </w:r>
          </w:p>
        </w:tc>
        <w:tc>
          <w:tcPr>
            <w:tcW w:w="17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35,358</w:t>
            </w:r>
          </w:p>
        </w:tc>
        <w:tc>
          <w:tcPr>
            <w:tcW w:w="13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65,393</w:t>
            </w:r>
          </w:p>
        </w:tc>
      </w:tr>
      <w:tr>
        <w:trPr>
          <w:trHeight w:val="171"/>
        </w:trPr>
        <w:tc>
          <w:tcPr>
            <w:tcW w:w="584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20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473</w:t>
            </w:r>
          </w:p>
        </w:tc>
        <w:tc>
          <w:tcPr>
            <w:tcW w:w="17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16,557</w:t>
            </w:r>
          </w:p>
        </w:tc>
        <w:tc>
          <w:tcPr>
            <w:tcW w:w="13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24,353</w:t>
            </w:r>
          </w:p>
        </w:tc>
      </w:tr>
      <w:tr>
        <w:trPr>
          <w:trHeight w:val="171"/>
        </w:trPr>
        <w:tc>
          <w:tcPr>
            <w:tcW w:w="5840" w:type="dxa"/>
            <w:vAlign w:val="bottom"/>
          </w:tcPr>
          <w:p>
            <w:pPr>
              <w:spacing w:after="0"/>
              <w:rPr>
                <w:sz w:val="20"/>
                <w:szCs w:val="20"/>
                <w:color w:val="auto"/>
              </w:rPr>
            </w:pPr>
            <w:r>
              <w:rPr>
                <w:rFonts w:ascii="Courier New" w:cs="Courier New" w:eastAsia="Courier New" w:hAnsi="Courier New"/>
                <w:sz w:val="15"/>
                <w:szCs w:val="15"/>
                <w:color w:val="auto"/>
              </w:rPr>
              <w:t>INCOME (LOSS) BEFORE EXTRAORDINARY ITEM AND</w:t>
            </w:r>
          </w:p>
        </w:tc>
        <w:tc>
          <w:tcPr>
            <w:tcW w:w="20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1"/>
        </w:trPr>
        <w:tc>
          <w:tcPr>
            <w:tcW w:w="5840" w:type="dxa"/>
            <w:vAlign w:val="bottom"/>
          </w:tcPr>
          <w:p>
            <w:pPr>
              <w:ind w:left="780"/>
              <w:spacing w:after="0"/>
              <w:rPr>
                <w:sz w:val="20"/>
                <w:szCs w:val="20"/>
                <w:color w:val="auto"/>
              </w:rPr>
            </w:pPr>
            <w:r>
              <w:rPr>
                <w:rFonts w:ascii="Courier New" w:cs="Courier New" w:eastAsia="Courier New" w:hAnsi="Courier New"/>
                <w:sz w:val="15"/>
                <w:szCs w:val="15"/>
                <w:color w:val="auto"/>
              </w:rPr>
              <w:t>CUMULATIVE EFFECT OF ACCOUNTING CHANGE</w:t>
            </w: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(3,848)</w:t>
            </w:r>
          </w:p>
        </w:tc>
        <w:tc>
          <w:tcPr>
            <w:tcW w:w="17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18,801</w:t>
            </w:r>
          </w:p>
        </w:tc>
        <w:tc>
          <w:tcPr>
            <w:tcW w:w="13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41,040</w:t>
            </w:r>
          </w:p>
        </w:tc>
      </w:tr>
      <w:tr>
        <w:trPr>
          <w:trHeight w:val="171"/>
        </w:trPr>
        <w:tc>
          <w:tcPr>
            <w:tcW w:w="5840" w:type="dxa"/>
            <w:vAlign w:val="bottom"/>
          </w:tcPr>
          <w:p>
            <w:pPr>
              <w:spacing w:after="0"/>
              <w:rPr>
                <w:sz w:val="20"/>
                <w:szCs w:val="20"/>
                <w:color w:val="auto"/>
              </w:rPr>
            </w:pPr>
            <w:r>
              <w:rPr>
                <w:rFonts w:ascii="Courier New" w:cs="Courier New" w:eastAsia="Courier New" w:hAnsi="Courier New"/>
                <w:sz w:val="15"/>
                <w:szCs w:val="15"/>
                <w:color w:val="auto"/>
              </w:rPr>
              <w:t>EXTRAORDINARY ITEM - WRITE-OFF OPERATING RIGHTS</w:t>
            </w: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(4,058)</w:t>
            </w:r>
          </w:p>
        </w:tc>
        <w:tc>
          <w:tcPr>
            <w:tcW w:w="17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840" w:type="dxa"/>
            <w:vAlign w:val="bottom"/>
          </w:tcPr>
          <w:p>
            <w:pPr>
              <w:spacing w:after="0"/>
              <w:rPr>
                <w:sz w:val="20"/>
                <w:szCs w:val="20"/>
                <w:color w:val="auto"/>
              </w:rPr>
            </w:pPr>
            <w:r>
              <w:rPr>
                <w:rFonts w:ascii="Courier New" w:cs="Courier New" w:eastAsia="Courier New" w:hAnsi="Courier New"/>
                <w:sz w:val="15"/>
                <w:szCs w:val="15"/>
                <w:color w:val="auto"/>
              </w:rPr>
              <w:t>CUMULATIVE EFFECT OF CHANGE IN REVENUE RECOGNITION</w:t>
            </w:r>
          </w:p>
        </w:tc>
        <w:tc>
          <w:tcPr>
            <w:tcW w:w="20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(11,500)</w:t>
            </w:r>
          </w:p>
        </w:tc>
      </w:tr>
      <w:tr>
        <w:trPr>
          <w:trHeight w:val="171"/>
        </w:trPr>
        <w:tc>
          <w:tcPr>
            <w:tcW w:w="584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 (7,906)</w:t>
            </w:r>
          </w:p>
        </w:tc>
        <w:tc>
          <w:tcPr>
            <w:tcW w:w="17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$18,801</w:t>
            </w:r>
          </w:p>
        </w:tc>
        <w:tc>
          <w:tcPr>
            <w:tcW w:w="13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$ 29,540</w:t>
            </w:r>
          </w:p>
        </w:tc>
      </w:tr>
      <w:tr>
        <w:trPr>
          <w:trHeight w:val="341"/>
        </w:trPr>
        <w:tc>
          <w:tcPr>
            <w:tcW w:w="5840" w:type="dxa"/>
            <w:vAlign w:val="bottom"/>
          </w:tcPr>
          <w:p>
            <w:pPr>
              <w:spacing w:after="0"/>
              <w:rPr>
                <w:sz w:val="20"/>
                <w:szCs w:val="20"/>
                <w:color w:val="auto"/>
              </w:rPr>
            </w:pPr>
            <w:r>
              <w:rPr>
                <w:rFonts w:ascii="Courier New" w:cs="Courier New" w:eastAsia="Courier New" w:hAnsi="Courier New"/>
                <w:sz w:val="15"/>
                <w:szCs w:val="15"/>
                <w:color w:val="auto"/>
              </w:rPr>
              <w:t>AVERAGE COMMON SHARES OUTSTANDING</w:t>
            </w:r>
          </w:p>
        </w:tc>
        <w:tc>
          <w:tcPr>
            <w:tcW w:w="20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28,107</w:t>
            </w:r>
          </w:p>
        </w:tc>
        <w:tc>
          <w:tcPr>
            <w:tcW w:w="17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28,105</w:t>
            </w:r>
          </w:p>
        </w:tc>
        <w:tc>
          <w:tcPr>
            <w:tcW w:w="13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28,093</w:t>
            </w:r>
          </w:p>
        </w:tc>
      </w:tr>
      <w:tr>
        <w:trPr>
          <w:trHeight w:val="341"/>
        </w:trPr>
        <w:tc>
          <w:tcPr>
            <w:tcW w:w="5840" w:type="dxa"/>
            <w:vAlign w:val="bottom"/>
          </w:tcPr>
          <w:p>
            <w:pPr>
              <w:spacing w:after="0"/>
              <w:rPr>
                <w:sz w:val="20"/>
                <w:szCs w:val="20"/>
                <w:color w:val="auto"/>
              </w:rPr>
            </w:pPr>
            <w:r>
              <w:rPr>
                <w:rFonts w:ascii="Courier New" w:cs="Courier New" w:eastAsia="Courier New" w:hAnsi="Courier New"/>
                <w:sz w:val="15"/>
                <w:szCs w:val="15"/>
                <w:color w:val="auto"/>
              </w:rPr>
              <w:t>EARNINGS (LOSS) PER SHARE:</w:t>
            </w:r>
          </w:p>
        </w:tc>
        <w:tc>
          <w:tcPr>
            <w:tcW w:w="20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71"/>
        </w:trPr>
        <w:tc>
          <w:tcPr>
            <w:tcW w:w="5840" w:type="dxa"/>
            <w:vAlign w:val="bottom"/>
          </w:tcPr>
          <w:p>
            <w:pPr>
              <w:ind w:left="780"/>
              <w:spacing w:after="0"/>
              <w:rPr>
                <w:sz w:val="20"/>
                <w:szCs w:val="20"/>
                <w:color w:val="auto"/>
              </w:rPr>
            </w:pPr>
            <w:r>
              <w:rPr>
                <w:rFonts w:ascii="Courier New" w:cs="Courier New" w:eastAsia="Courier New" w:hAnsi="Courier New"/>
                <w:sz w:val="15"/>
                <w:szCs w:val="15"/>
                <w:color w:val="auto"/>
              </w:rPr>
              <w:t>Income (loss) before extraordinary item and</w:t>
            </w:r>
          </w:p>
        </w:tc>
        <w:tc>
          <w:tcPr>
            <w:tcW w:w="20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1"/>
        </w:trPr>
        <w:tc>
          <w:tcPr>
            <w:tcW w:w="5840" w:type="dxa"/>
            <w:vAlign w:val="bottom"/>
          </w:tcPr>
          <w:p>
            <w:pPr>
              <w:ind w:left="1500"/>
              <w:spacing w:after="0"/>
              <w:rPr>
                <w:sz w:val="20"/>
                <w:szCs w:val="20"/>
                <w:color w:val="auto"/>
              </w:rPr>
            </w:pPr>
            <w:r>
              <w:rPr>
                <w:rFonts w:ascii="Courier New" w:cs="Courier New" w:eastAsia="Courier New" w:hAnsi="Courier New"/>
                <w:sz w:val="15"/>
                <w:szCs w:val="15"/>
                <w:color w:val="auto"/>
              </w:rPr>
              <w:t>cumulative effect of accounting change</w:t>
            </w: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$(.14)</w:t>
            </w:r>
          </w:p>
        </w:tc>
        <w:tc>
          <w:tcPr>
            <w:tcW w:w="17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$.67</w:t>
            </w:r>
          </w:p>
        </w:tc>
        <w:tc>
          <w:tcPr>
            <w:tcW w:w="13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$1.46</w:t>
            </w:r>
          </w:p>
        </w:tc>
      </w:tr>
      <w:tr>
        <w:trPr>
          <w:trHeight w:val="171"/>
        </w:trPr>
        <w:tc>
          <w:tcPr>
            <w:tcW w:w="5840" w:type="dxa"/>
            <w:vAlign w:val="bottom"/>
          </w:tcPr>
          <w:p>
            <w:pPr>
              <w:ind w:left="780"/>
              <w:spacing w:after="0"/>
              <w:rPr>
                <w:sz w:val="20"/>
                <w:szCs w:val="20"/>
                <w:color w:val="auto"/>
              </w:rPr>
            </w:pPr>
            <w:r>
              <w:rPr>
                <w:rFonts w:ascii="Courier New" w:cs="Courier New" w:eastAsia="Courier New" w:hAnsi="Courier New"/>
                <w:sz w:val="15"/>
                <w:szCs w:val="15"/>
                <w:color w:val="auto"/>
              </w:rPr>
              <w:t>Extraordinary item - write-off operating rights</w:t>
            </w: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(.14)</w:t>
            </w:r>
          </w:p>
        </w:tc>
        <w:tc>
          <w:tcPr>
            <w:tcW w:w="17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840" w:type="dxa"/>
            <w:vAlign w:val="bottom"/>
          </w:tcPr>
          <w:p>
            <w:pPr>
              <w:ind w:left="780"/>
              <w:spacing w:after="0"/>
              <w:rPr>
                <w:sz w:val="20"/>
                <w:szCs w:val="20"/>
                <w:color w:val="auto"/>
              </w:rPr>
            </w:pPr>
            <w:r>
              <w:rPr>
                <w:rFonts w:ascii="Courier New" w:cs="Courier New" w:eastAsia="Courier New" w:hAnsi="Courier New"/>
                <w:sz w:val="15"/>
                <w:szCs w:val="15"/>
                <w:color w:val="auto"/>
              </w:rPr>
              <w:t>Cumulative effect of change in revenue recognition</w:t>
            </w:r>
          </w:p>
        </w:tc>
        <w:tc>
          <w:tcPr>
            <w:tcW w:w="20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(.41)</w:t>
            </w:r>
          </w:p>
        </w:tc>
      </w:tr>
      <w:tr>
        <w:trPr>
          <w:trHeight w:val="171"/>
        </w:trPr>
        <w:tc>
          <w:tcPr>
            <w:tcW w:w="5840" w:type="dxa"/>
            <w:vAlign w:val="bottom"/>
          </w:tcPr>
          <w:p>
            <w:pPr>
              <w:ind w:left="780"/>
              <w:spacing w:after="0"/>
              <w:rPr>
                <w:sz w:val="20"/>
                <w:szCs w:val="20"/>
                <w:color w:val="auto"/>
              </w:rPr>
            </w:pPr>
            <w:r>
              <w:rPr>
                <w:rFonts w:ascii="Courier New" w:cs="Courier New" w:eastAsia="Courier New" w:hAnsi="Courier New"/>
                <w:sz w:val="15"/>
                <w:szCs w:val="15"/>
                <w:color w:val="auto"/>
              </w:rPr>
              <w:t>Net income (loss)</w:t>
            </w: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$(.28)</w:t>
            </w:r>
          </w:p>
        </w:tc>
        <w:tc>
          <w:tcPr>
            <w:tcW w:w="17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$.67</w:t>
            </w:r>
          </w:p>
        </w:tc>
        <w:tc>
          <w:tcPr>
            <w:tcW w:w="13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$1.05</w:t>
            </w:r>
          </w:p>
        </w:tc>
      </w:tr>
    </w:tbl>
    <w:p>
      <w:pPr>
        <w:spacing w:after="0" w:line="345" w:lineRule="exact"/>
        <w:rPr>
          <w:sz w:val="20"/>
          <w:szCs w:val="20"/>
          <w:color w:val="auto"/>
        </w:rPr>
      </w:pPr>
    </w:p>
    <w:p>
      <w:pPr>
        <w:ind w:right="4260"/>
        <w:spacing w:after="0" w:line="238" w:lineRule="auto"/>
        <w:rPr>
          <w:sz w:val="20"/>
          <w:szCs w:val="20"/>
          <w:color w:val="auto"/>
        </w:rPr>
      </w:pPr>
      <w:r>
        <w:rPr>
          <w:rFonts w:ascii="Courier New" w:cs="Courier New" w:eastAsia="Courier New" w:hAnsi="Courier New"/>
          <w:sz w:val="15"/>
          <w:szCs w:val="15"/>
          <w:color w:val="auto"/>
        </w:rPr>
        <w:t>The notes to consolidated financial statements are an integral part of these statements.</w:t>
      </w:r>
    </w:p>
    <w:p>
      <w:pPr>
        <w:sectPr>
          <w:pgSz w:w="11900" w:h="16838" w:orient="portrait"/>
          <w:cols w:equalWidth="0" w:num="1">
            <w:col w:w="11000"/>
          </w:cols>
          <w:pgMar w:left="240" w:top="287" w:right="659" w:bottom="1440" w:gutter="0" w:footer="0" w:header="0"/>
        </w:sectPr>
      </w:pPr>
    </w:p>
    <w:bookmarkStart w:id="35" w:name="page36"/>
    <w:bookmarkEnd w:id="35"/>
    <w:p>
      <w:pPr>
        <w:ind w:left="260"/>
        <w:spacing w:after="0"/>
        <w:rPr>
          <w:sz w:val="20"/>
          <w:szCs w:val="20"/>
          <w:color w:val="auto"/>
        </w:rPr>
      </w:pPr>
      <w:r>
        <w:rPr>
          <w:rFonts w:ascii="Courier New" w:cs="Courier New" w:eastAsia="Courier New" w:hAnsi="Courier New"/>
          <w:sz w:val="15"/>
          <w:szCs w:val="15"/>
          <w:color w:val="auto"/>
        </w:rPr>
        <w:t>21</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STATEMENTS OF CONSOLIDATED CASH FLOWS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Yellow Corporation and Subsidiaries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Years Ended December 31</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(Amounts in thousands)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0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72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1994</w:t>
            </w:r>
          </w:p>
        </w:tc>
        <w:tc>
          <w:tcPr>
            <w:tcW w:w="210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1993</w:t>
            </w: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1992</w:t>
            </w:r>
          </w:p>
        </w:tc>
      </w:tr>
      <w:tr>
        <w:trPr>
          <w:trHeight w:val="341"/>
        </w:trPr>
        <w:tc>
          <w:tcPr>
            <w:tcW w:w="5320" w:type="dxa"/>
            <w:vAlign w:val="bottom"/>
            <w:gridSpan w:val="2"/>
          </w:tcPr>
          <w:p>
            <w:pPr>
              <w:spacing w:after="0"/>
              <w:rPr>
                <w:sz w:val="20"/>
                <w:szCs w:val="20"/>
                <w:color w:val="auto"/>
              </w:rPr>
            </w:pPr>
            <w:r>
              <w:rPr>
                <w:rFonts w:ascii="Courier New" w:cs="Courier New" w:eastAsia="Courier New" w:hAnsi="Courier New"/>
                <w:sz w:val="15"/>
                <w:szCs w:val="15"/>
                <w:color w:val="auto"/>
              </w:rPr>
              <w:t>OPERATING ACTIVITIES:</w:t>
            </w:r>
          </w:p>
        </w:tc>
        <w:tc>
          <w:tcPr>
            <w:tcW w:w="17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71"/>
        </w:trPr>
        <w:tc>
          <w:tcPr>
            <w:tcW w:w="1100" w:type="dxa"/>
            <w:vAlign w:val="bottom"/>
          </w:tcPr>
          <w:p>
            <w:pPr>
              <w:ind w:left="160"/>
              <w:spacing w:after="0"/>
              <w:rPr>
                <w:sz w:val="20"/>
                <w:szCs w:val="20"/>
                <w:color w:val="auto"/>
              </w:rPr>
            </w:pPr>
            <w:r>
              <w:rPr>
                <w:rFonts w:ascii="Courier New" w:cs="Courier New" w:eastAsia="Courier New" w:hAnsi="Courier New"/>
                <w:sz w:val="15"/>
                <w:szCs w:val="15"/>
                <w:color w:val="auto"/>
              </w:rPr>
              <w:t>Net income</w:t>
            </w:r>
          </w:p>
        </w:tc>
        <w:tc>
          <w:tcPr>
            <w:tcW w:w="4220" w:type="dxa"/>
            <w:vAlign w:val="bottom"/>
          </w:tcPr>
          <w:p>
            <w:pPr>
              <w:ind w:left="40"/>
              <w:spacing w:after="0"/>
              <w:rPr>
                <w:sz w:val="20"/>
                <w:szCs w:val="20"/>
                <w:color w:val="auto"/>
              </w:rPr>
            </w:pPr>
            <w:r>
              <w:rPr>
                <w:rFonts w:ascii="Courier New" w:cs="Courier New" w:eastAsia="Courier New" w:hAnsi="Courier New"/>
                <w:sz w:val="15"/>
                <w:szCs w:val="15"/>
                <w:color w:val="auto"/>
              </w:rPr>
              <w:t>(loss)</w:t>
            </w:r>
          </w:p>
        </w:tc>
        <w:tc>
          <w:tcPr>
            <w:tcW w:w="17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 (7,906)</w:t>
            </w:r>
          </w:p>
        </w:tc>
        <w:tc>
          <w:tcPr>
            <w:tcW w:w="210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$ 18,801</w:t>
            </w:r>
          </w:p>
        </w:tc>
        <w:tc>
          <w:tcPr>
            <w:tcW w:w="14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$ 29,540</w:t>
            </w:r>
          </w:p>
        </w:tc>
      </w:tr>
      <w:tr>
        <w:trPr>
          <w:trHeight w:val="171"/>
        </w:trPr>
        <w:tc>
          <w:tcPr>
            <w:tcW w:w="53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Noncash items included in income (loss):</w:t>
            </w:r>
          </w:p>
        </w:tc>
        <w:tc>
          <w:tcPr>
            <w:tcW w:w="17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1"/>
        </w:trPr>
        <w:tc>
          <w:tcPr>
            <w:tcW w:w="532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Depreciation</w:t>
            </w:r>
          </w:p>
        </w:tc>
        <w:tc>
          <w:tcPr>
            <w:tcW w:w="1720" w:type="dxa"/>
            <w:vAlign w:val="bottom"/>
          </w:tcPr>
          <w:p>
            <w:pPr>
              <w:jc w:val="right"/>
              <w:ind w:right="666"/>
              <w:spacing w:after="0"/>
              <w:rPr>
                <w:sz w:val="20"/>
                <w:szCs w:val="20"/>
                <w:color w:val="auto"/>
              </w:rPr>
            </w:pPr>
            <w:r>
              <w:rPr>
                <w:rFonts w:ascii="Courier New" w:cs="Courier New" w:eastAsia="Courier New" w:hAnsi="Courier New"/>
                <w:sz w:val="15"/>
                <w:szCs w:val="15"/>
                <w:color w:val="auto"/>
              </w:rPr>
              <w:t>133,970</w:t>
            </w:r>
          </w:p>
        </w:tc>
        <w:tc>
          <w:tcPr>
            <w:tcW w:w="210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132,371</w:t>
            </w:r>
          </w:p>
        </w:tc>
        <w:tc>
          <w:tcPr>
            <w:tcW w:w="14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118,419</w:t>
            </w:r>
          </w:p>
        </w:tc>
      </w:tr>
      <w:tr>
        <w:trPr>
          <w:trHeight w:val="171"/>
        </w:trPr>
        <w:tc>
          <w:tcPr>
            <w:tcW w:w="532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Network development</w:t>
            </w:r>
          </w:p>
        </w:tc>
        <w:tc>
          <w:tcPr>
            <w:tcW w:w="1720" w:type="dxa"/>
            <w:vAlign w:val="bottom"/>
          </w:tcPr>
          <w:p>
            <w:pPr>
              <w:jc w:val="right"/>
              <w:ind w:right="666"/>
              <w:spacing w:after="0"/>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18,000</w:t>
            </w:r>
          </w:p>
        </w:tc>
        <w:tc>
          <w:tcPr>
            <w:tcW w:w="14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Write-off operating rights</w:t>
            </w:r>
          </w:p>
        </w:tc>
        <w:tc>
          <w:tcPr>
            <w:tcW w:w="1720" w:type="dxa"/>
            <w:vAlign w:val="bottom"/>
          </w:tcPr>
          <w:p>
            <w:pPr>
              <w:jc w:val="right"/>
              <w:ind w:right="666"/>
              <w:spacing w:after="0"/>
              <w:rPr>
                <w:sz w:val="20"/>
                <w:szCs w:val="20"/>
                <w:color w:val="auto"/>
              </w:rPr>
            </w:pPr>
            <w:r>
              <w:rPr>
                <w:rFonts w:ascii="Courier New" w:cs="Courier New" w:eastAsia="Courier New" w:hAnsi="Courier New"/>
                <w:sz w:val="15"/>
                <w:szCs w:val="15"/>
                <w:color w:val="auto"/>
              </w:rPr>
              <w:t>4,058</w:t>
            </w:r>
          </w:p>
        </w:tc>
        <w:tc>
          <w:tcPr>
            <w:tcW w:w="210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1100" w:type="dxa"/>
            <w:vAlign w:val="bottom"/>
          </w:tcPr>
          <w:p>
            <w:pPr>
              <w:ind w:left="340"/>
              <w:spacing w:after="0"/>
              <w:rPr>
                <w:sz w:val="20"/>
                <w:szCs w:val="20"/>
                <w:color w:val="auto"/>
              </w:rPr>
            </w:pPr>
            <w:r>
              <w:rPr>
                <w:rFonts w:ascii="Courier New" w:cs="Courier New" w:eastAsia="Courier New" w:hAnsi="Courier New"/>
                <w:sz w:val="15"/>
                <w:szCs w:val="15"/>
                <w:color w:val="auto"/>
              </w:rPr>
              <w:t>Deferred</w:t>
            </w:r>
          </w:p>
        </w:tc>
        <w:tc>
          <w:tcPr>
            <w:tcW w:w="4220" w:type="dxa"/>
            <w:vAlign w:val="bottom"/>
          </w:tcPr>
          <w:p>
            <w:pPr>
              <w:ind w:left="40"/>
              <w:spacing w:after="0"/>
              <w:rPr>
                <w:sz w:val="20"/>
                <w:szCs w:val="20"/>
                <w:color w:val="auto"/>
              </w:rPr>
            </w:pPr>
            <w:r>
              <w:rPr>
                <w:rFonts w:ascii="Courier New" w:cs="Courier New" w:eastAsia="Courier New" w:hAnsi="Courier New"/>
                <w:sz w:val="15"/>
                <w:szCs w:val="15"/>
                <w:color w:val="auto"/>
              </w:rPr>
              <w:t>income tax provision (benefit)</w:t>
            </w:r>
          </w:p>
        </w:tc>
        <w:tc>
          <w:tcPr>
            <w:tcW w:w="1720" w:type="dxa"/>
            <w:vAlign w:val="bottom"/>
          </w:tcPr>
          <w:p>
            <w:pPr>
              <w:jc w:val="right"/>
              <w:ind w:right="666"/>
              <w:spacing w:after="0"/>
              <w:rPr>
                <w:sz w:val="20"/>
                <w:szCs w:val="20"/>
                <w:color w:val="auto"/>
              </w:rPr>
            </w:pPr>
            <w:r>
              <w:rPr>
                <w:rFonts w:ascii="Courier New" w:cs="Courier New" w:eastAsia="Courier New" w:hAnsi="Courier New"/>
                <w:sz w:val="15"/>
                <w:szCs w:val="15"/>
                <w:color w:val="auto"/>
              </w:rPr>
              <w:t>4,147</w:t>
            </w:r>
          </w:p>
        </w:tc>
        <w:tc>
          <w:tcPr>
            <w:tcW w:w="210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(10,819)</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(14,345)</w:t>
            </w:r>
          </w:p>
        </w:tc>
      </w:tr>
      <w:tr>
        <w:trPr>
          <w:trHeight w:val="171"/>
        </w:trPr>
        <w:tc>
          <w:tcPr>
            <w:tcW w:w="1100" w:type="dxa"/>
            <w:vAlign w:val="bottom"/>
          </w:tcPr>
          <w:p>
            <w:pPr>
              <w:ind w:left="160"/>
              <w:spacing w:after="0"/>
              <w:rPr>
                <w:sz w:val="20"/>
                <w:szCs w:val="20"/>
                <w:color w:val="auto"/>
              </w:rPr>
            </w:pPr>
            <w:r>
              <w:rPr>
                <w:rFonts w:ascii="Courier New" w:cs="Courier New" w:eastAsia="Courier New" w:hAnsi="Courier New"/>
                <w:sz w:val="15"/>
                <w:szCs w:val="15"/>
                <w:color w:val="auto"/>
              </w:rPr>
              <w:t>Changes in</w:t>
            </w:r>
          </w:p>
        </w:tc>
        <w:tc>
          <w:tcPr>
            <w:tcW w:w="4220" w:type="dxa"/>
            <w:vAlign w:val="bottom"/>
          </w:tcPr>
          <w:p>
            <w:pPr>
              <w:ind w:left="40"/>
              <w:spacing w:after="0"/>
              <w:rPr>
                <w:sz w:val="20"/>
                <w:szCs w:val="20"/>
                <w:color w:val="auto"/>
              </w:rPr>
            </w:pPr>
            <w:r>
              <w:rPr>
                <w:rFonts w:ascii="Courier New" w:cs="Courier New" w:eastAsia="Courier New" w:hAnsi="Courier New"/>
                <w:sz w:val="15"/>
                <w:szCs w:val="15"/>
                <w:color w:val="auto"/>
              </w:rPr>
              <w:t>assets and liabilities, net of acquisitions:</w:t>
            </w:r>
          </w:p>
        </w:tc>
        <w:tc>
          <w:tcPr>
            <w:tcW w:w="17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1"/>
        </w:trPr>
        <w:tc>
          <w:tcPr>
            <w:tcW w:w="1100" w:type="dxa"/>
            <w:vAlign w:val="bottom"/>
          </w:tcPr>
          <w:p>
            <w:pPr>
              <w:ind w:left="340"/>
              <w:spacing w:after="0"/>
              <w:rPr>
                <w:sz w:val="20"/>
                <w:szCs w:val="20"/>
                <w:color w:val="auto"/>
              </w:rPr>
            </w:pPr>
            <w:r>
              <w:rPr>
                <w:rFonts w:ascii="Courier New" w:cs="Courier New" w:eastAsia="Courier New" w:hAnsi="Courier New"/>
                <w:sz w:val="15"/>
                <w:szCs w:val="15"/>
                <w:color w:val="auto"/>
              </w:rPr>
              <w:t>Accounts</w:t>
            </w:r>
          </w:p>
        </w:tc>
        <w:tc>
          <w:tcPr>
            <w:tcW w:w="4220" w:type="dxa"/>
            <w:vAlign w:val="bottom"/>
          </w:tcPr>
          <w:p>
            <w:pPr>
              <w:ind w:left="40"/>
              <w:spacing w:after="0"/>
              <w:rPr>
                <w:sz w:val="20"/>
                <w:szCs w:val="20"/>
                <w:color w:val="auto"/>
              </w:rPr>
            </w:pPr>
            <w:r>
              <w:rPr>
                <w:rFonts w:ascii="Courier New" w:cs="Courier New" w:eastAsia="Courier New" w:hAnsi="Courier New"/>
                <w:sz w:val="15"/>
                <w:szCs w:val="15"/>
                <w:color w:val="auto"/>
              </w:rPr>
              <w:t>receivable</w:t>
            </w:r>
          </w:p>
        </w:tc>
        <w:tc>
          <w:tcPr>
            <w:tcW w:w="17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(17,263)</w:t>
            </w:r>
          </w:p>
        </w:tc>
        <w:tc>
          <w:tcPr>
            <w:tcW w:w="210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(27,095)</w:t>
            </w:r>
          </w:p>
        </w:tc>
        <w:tc>
          <w:tcPr>
            <w:tcW w:w="14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12,137</w:t>
            </w:r>
          </w:p>
        </w:tc>
      </w:tr>
      <w:tr>
        <w:trPr>
          <w:trHeight w:val="171"/>
        </w:trPr>
        <w:tc>
          <w:tcPr>
            <w:tcW w:w="1100" w:type="dxa"/>
            <w:vAlign w:val="bottom"/>
          </w:tcPr>
          <w:p>
            <w:pPr>
              <w:ind w:left="340"/>
              <w:spacing w:after="0"/>
              <w:rPr>
                <w:sz w:val="20"/>
                <w:szCs w:val="20"/>
                <w:color w:val="auto"/>
              </w:rPr>
            </w:pPr>
            <w:r>
              <w:rPr>
                <w:rFonts w:ascii="Courier New" w:cs="Courier New" w:eastAsia="Courier New" w:hAnsi="Courier New"/>
                <w:sz w:val="15"/>
                <w:szCs w:val="15"/>
                <w:color w:val="auto"/>
              </w:rPr>
              <w:t>Accounts</w:t>
            </w:r>
          </w:p>
        </w:tc>
        <w:tc>
          <w:tcPr>
            <w:tcW w:w="4220" w:type="dxa"/>
            <w:vAlign w:val="bottom"/>
          </w:tcPr>
          <w:p>
            <w:pPr>
              <w:ind w:left="40"/>
              <w:spacing w:after="0"/>
              <w:rPr>
                <w:sz w:val="20"/>
                <w:szCs w:val="20"/>
                <w:color w:val="auto"/>
              </w:rPr>
            </w:pPr>
            <w:r>
              <w:rPr>
                <w:rFonts w:ascii="Courier New" w:cs="Courier New" w:eastAsia="Courier New" w:hAnsi="Courier New"/>
                <w:sz w:val="15"/>
                <w:szCs w:val="15"/>
                <w:color w:val="auto"/>
              </w:rPr>
              <w:t>payable</w:t>
            </w:r>
          </w:p>
        </w:tc>
        <w:tc>
          <w:tcPr>
            <w:tcW w:w="1720" w:type="dxa"/>
            <w:vAlign w:val="bottom"/>
          </w:tcPr>
          <w:p>
            <w:pPr>
              <w:jc w:val="right"/>
              <w:ind w:right="666"/>
              <w:spacing w:after="0"/>
              <w:rPr>
                <w:sz w:val="20"/>
                <w:szCs w:val="20"/>
                <w:color w:val="auto"/>
              </w:rPr>
            </w:pPr>
            <w:r>
              <w:rPr>
                <w:rFonts w:ascii="Courier New" w:cs="Courier New" w:eastAsia="Courier New" w:hAnsi="Courier New"/>
                <w:sz w:val="15"/>
                <w:szCs w:val="15"/>
                <w:color w:val="auto"/>
              </w:rPr>
              <w:t>46,060</w:t>
            </w:r>
          </w:p>
        </w:tc>
        <w:tc>
          <w:tcPr>
            <w:tcW w:w="210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1,113</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(3,859)</w:t>
            </w:r>
          </w:p>
        </w:tc>
      </w:tr>
      <w:tr>
        <w:trPr>
          <w:trHeight w:val="171"/>
        </w:trPr>
        <w:tc>
          <w:tcPr>
            <w:tcW w:w="532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Other working capital items</w:t>
            </w:r>
          </w:p>
        </w:tc>
        <w:tc>
          <w:tcPr>
            <w:tcW w:w="17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(17,564)</w:t>
            </w:r>
          </w:p>
        </w:tc>
        <w:tc>
          <w:tcPr>
            <w:tcW w:w="210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9,139</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(10,630)</w:t>
            </w:r>
          </w:p>
        </w:tc>
      </w:tr>
      <w:tr>
        <w:trPr>
          <w:trHeight w:val="171"/>
        </w:trPr>
        <w:tc>
          <w:tcPr>
            <w:tcW w:w="532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Claims, insurance and other</w:t>
            </w:r>
          </w:p>
        </w:tc>
        <w:tc>
          <w:tcPr>
            <w:tcW w:w="1720" w:type="dxa"/>
            <w:vAlign w:val="bottom"/>
          </w:tcPr>
          <w:p>
            <w:pPr>
              <w:jc w:val="right"/>
              <w:ind w:right="666"/>
              <w:spacing w:after="0"/>
              <w:rPr>
                <w:sz w:val="20"/>
                <w:szCs w:val="20"/>
                <w:color w:val="auto"/>
              </w:rPr>
            </w:pPr>
            <w:r>
              <w:rPr>
                <w:rFonts w:ascii="Courier New" w:cs="Courier New" w:eastAsia="Courier New" w:hAnsi="Courier New"/>
                <w:sz w:val="15"/>
                <w:szCs w:val="15"/>
                <w:color w:val="auto"/>
              </w:rPr>
              <w:t>12,007</w:t>
            </w:r>
          </w:p>
        </w:tc>
        <w:tc>
          <w:tcPr>
            <w:tcW w:w="210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(277)</w:t>
            </w:r>
          </w:p>
        </w:tc>
        <w:tc>
          <w:tcPr>
            <w:tcW w:w="14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19,055</w:t>
            </w:r>
          </w:p>
        </w:tc>
      </w:tr>
      <w:tr>
        <w:trPr>
          <w:trHeight w:val="171"/>
        </w:trPr>
        <w:tc>
          <w:tcPr>
            <w:tcW w:w="532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Other, net</w:t>
            </w:r>
          </w:p>
        </w:tc>
        <w:tc>
          <w:tcPr>
            <w:tcW w:w="17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(61)</w:t>
            </w:r>
          </w:p>
        </w:tc>
        <w:tc>
          <w:tcPr>
            <w:tcW w:w="210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(2,431)</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(10,879)</w:t>
            </w:r>
          </w:p>
        </w:tc>
      </w:tr>
      <w:tr>
        <w:trPr>
          <w:trHeight w:val="171"/>
        </w:trPr>
        <w:tc>
          <w:tcPr>
            <w:tcW w:w="53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Net cash from operating activities</w:t>
            </w:r>
          </w:p>
        </w:tc>
        <w:tc>
          <w:tcPr>
            <w:tcW w:w="1720" w:type="dxa"/>
            <w:vAlign w:val="bottom"/>
          </w:tcPr>
          <w:p>
            <w:pPr>
              <w:jc w:val="right"/>
              <w:ind w:right="666"/>
              <w:spacing w:after="0"/>
              <w:rPr>
                <w:sz w:val="20"/>
                <w:szCs w:val="20"/>
                <w:color w:val="auto"/>
              </w:rPr>
            </w:pPr>
            <w:r>
              <w:rPr>
                <w:rFonts w:ascii="Courier New" w:cs="Courier New" w:eastAsia="Courier New" w:hAnsi="Courier New"/>
                <w:sz w:val="15"/>
                <w:szCs w:val="15"/>
                <w:color w:val="auto"/>
              </w:rPr>
              <w:t>157,448</w:t>
            </w:r>
          </w:p>
        </w:tc>
        <w:tc>
          <w:tcPr>
            <w:tcW w:w="210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138,802</w:t>
            </w:r>
          </w:p>
        </w:tc>
        <w:tc>
          <w:tcPr>
            <w:tcW w:w="14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139,438</w:t>
            </w:r>
          </w:p>
        </w:tc>
      </w:tr>
      <w:tr>
        <w:trPr>
          <w:trHeight w:val="341"/>
        </w:trPr>
        <w:tc>
          <w:tcPr>
            <w:tcW w:w="5320" w:type="dxa"/>
            <w:vAlign w:val="bottom"/>
            <w:gridSpan w:val="2"/>
          </w:tcPr>
          <w:p>
            <w:pPr>
              <w:spacing w:after="0"/>
              <w:rPr>
                <w:sz w:val="20"/>
                <w:szCs w:val="20"/>
                <w:color w:val="auto"/>
              </w:rPr>
            </w:pPr>
            <w:r>
              <w:rPr>
                <w:rFonts w:ascii="Courier New" w:cs="Courier New" w:eastAsia="Courier New" w:hAnsi="Courier New"/>
                <w:sz w:val="15"/>
                <w:szCs w:val="15"/>
                <w:color w:val="auto"/>
              </w:rPr>
              <w:t>INVESTING ACTIVITIES:</w:t>
            </w:r>
          </w:p>
        </w:tc>
        <w:tc>
          <w:tcPr>
            <w:tcW w:w="17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71"/>
        </w:trPr>
        <w:tc>
          <w:tcPr>
            <w:tcW w:w="53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Acquisition of operating property</w:t>
            </w:r>
          </w:p>
        </w:tc>
        <w:tc>
          <w:tcPr>
            <w:tcW w:w="17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(182,885)</w:t>
            </w:r>
          </w:p>
        </w:tc>
        <w:tc>
          <w:tcPr>
            <w:tcW w:w="210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(76,886)</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(86,248)</w:t>
            </w:r>
          </w:p>
        </w:tc>
      </w:tr>
      <w:tr>
        <w:trPr>
          <w:trHeight w:val="171"/>
        </w:trPr>
        <w:tc>
          <w:tcPr>
            <w:tcW w:w="53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Proceeds from disposal of operating property</w:t>
            </w:r>
          </w:p>
        </w:tc>
        <w:tc>
          <w:tcPr>
            <w:tcW w:w="1720" w:type="dxa"/>
            <w:vAlign w:val="bottom"/>
          </w:tcPr>
          <w:p>
            <w:pPr>
              <w:jc w:val="right"/>
              <w:ind w:right="666"/>
              <w:spacing w:after="0"/>
              <w:rPr>
                <w:sz w:val="20"/>
                <w:szCs w:val="20"/>
                <w:color w:val="auto"/>
              </w:rPr>
            </w:pPr>
            <w:r>
              <w:rPr>
                <w:rFonts w:ascii="Courier New" w:cs="Courier New" w:eastAsia="Courier New" w:hAnsi="Courier New"/>
                <w:sz w:val="15"/>
                <w:szCs w:val="15"/>
                <w:color w:val="auto"/>
              </w:rPr>
              <w:t>31,945</w:t>
            </w:r>
          </w:p>
        </w:tc>
        <w:tc>
          <w:tcPr>
            <w:tcW w:w="210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10,100</w:t>
            </w:r>
          </w:p>
        </w:tc>
        <w:tc>
          <w:tcPr>
            <w:tcW w:w="14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7,597</w:t>
            </w:r>
          </w:p>
        </w:tc>
      </w:tr>
      <w:tr>
        <w:trPr>
          <w:trHeight w:val="171"/>
        </w:trPr>
        <w:tc>
          <w:tcPr>
            <w:tcW w:w="53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Purchases of short-term investments</w:t>
            </w:r>
          </w:p>
        </w:tc>
        <w:tc>
          <w:tcPr>
            <w:tcW w:w="17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(8,957)</w:t>
            </w:r>
          </w:p>
        </w:tc>
        <w:tc>
          <w:tcPr>
            <w:tcW w:w="210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(8,086)</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(16,740)</w:t>
            </w:r>
          </w:p>
        </w:tc>
      </w:tr>
      <w:tr>
        <w:trPr>
          <w:trHeight w:val="171"/>
        </w:trPr>
        <w:tc>
          <w:tcPr>
            <w:tcW w:w="53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Proceeds from maturities of short-term investments</w:t>
            </w:r>
          </w:p>
        </w:tc>
        <w:tc>
          <w:tcPr>
            <w:tcW w:w="1720" w:type="dxa"/>
            <w:vAlign w:val="bottom"/>
          </w:tcPr>
          <w:p>
            <w:pPr>
              <w:jc w:val="right"/>
              <w:ind w:right="666"/>
              <w:spacing w:after="0"/>
              <w:rPr>
                <w:sz w:val="20"/>
                <w:szCs w:val="20"/>
                <w:color w:val="auto"/>
              </w:rPr>
            </w:pPr>
            <w:r>
              <w:rPr>
                <w:rFonts w:ascii="Courier New" w:cs="Courier New" w:eastAsia="Courier New" w:hAnsi="Courier New"/>
                <w:sz w:val="15"/>
                <w:szCs w:val="15"/>
                <w:color w:val="auto"/>
              </w:rPr>
              <w:t>8,429</w:t>
            </w:r>
          </w:p>
        </w:tc>
        <w:tc>
          <w:tcPr>
            <w:tcW w:w="210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14,693</w:t>
            </w:r>
          </w:p>
        </w:tc>
        <w:tc>
          <w:tcPr>
            <w:tcW w:w="14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11,341</w:t>
            </w:r>
          </w:p>
        </w:tc>
      </w:tr>
      <w:tr>
        <w:trPr>
          <w:trHeight w:val="171"/>
        </w:trPr>
        <w:tc>
          <w:tcPr>
            <w:tcW w:w="53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Acquisitions, net of cash acquired</w:t>
            </w:r>
          </w:p>
        </w:tc>
        <w:tc>
          <w:tcPr>
            <w:tcW w:w="17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(6,244)</w:t>
            </w:r>
          </w:p>
        </w:tc>
        <w:tc>
          <w:tcPr>
            <w:tcW w:w="210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(23,898)</w:t>
            </w:r>
          </w:p>
        </w:tc>
        <w:tc>
          <w:tcPr>
            <w:tcW w:w="14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1100" w:type="dxa"/>
            <w:vAlign w:val="bottom"/>
          </w:tcPr>
          <w:p>
            <w:pPr>
              <w:ind w:left="340"/>
              <w:spacing w:after="0"/>
              <w:rPr>
                <w:sz w:val="20"/>
                <w:szCs w:val="20"/>
                <w:color w:val="auto"/>
              </w:rPr>
            </w:pPr>
            <w:r>
              <w:rPr>
                <w:rFonts w:ascii="Courier New" w:cs="Courier New" w:eastAsia="Courier New" w:hAnsi="Courier New"/>
                <w:sz w:val="15"/>
                <w:szCs w:val="15"/>
                <w:color w:val="auto"/>
              </w:rPr>
              <w:t>Net cash</w:t>
            </w:r>
          </w:p>
        </w:tc>
        <w:tc>
          <w:tcPr>
            <w:tcW w:w="4220" w:type="dxa"/>
            <w:vAlign w:val="bottom"/>
          </w:tcPr>
          <w:p>
            <w:pPr>
              <w:ind w:left="40"/>
              <w:spacing w:after="0"/>
              <w:rPr>
                <w:sz w:val="20"/>
                <w:szCs w:val="20"/>
                <w:color w:val="auto"/>
              </w:rPr>
            </w:pPr>
            <w:r>
              <w:rPr>
                <w:rFonts w:ascii="Courier New" w:cs="Courier New" w:eastAsia="Courier New" w:hAnsi="Courier New"/>
                <w:sz w:val="15"/>
                <w:szCs w:val="15"/>
                <w:color w:val="auto"/>
              </w:rPr>
              <w:t>used in investing activities</w:t>
            </w:r>
          </w:p>
        </w:tc>
        <w:tc>
          <w:tcPr>
            <w:tcW w:w="17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(157,712)</w:t>
            </w:r>
          </w:p>
        </w:tc>
        <w:tc>
          <w:tcPr>
            <w:tcW w:w="210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(84,077)</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(84,050)</w:t>
            </w:r>
          </w:p>
        </w:tc>
      </w:tr>
      <w:tr>
        <w:trPr>
          <w:trHeight w:val="341"/>
        </w:trPr>
        <w:tc>
          <w:tcPr>
            <w:tcW w:w="5320" w:type="dxa"/>
            <w:vAlign w:val="bottom"/>
            <w:gridSpan w:val="2"/>
          </w:tcPr>
          <w:p>
            <w:pPr>
              <w:spacing w:after="0"/>
              <w:rPr>
                <w:sz w:val="20"/>
                <w:szCs w:val="20"/>
                <w:color w:val="auto"/>
              </w:rPr>
            </w:pPr>
            <w:r>
              <w:rPr>
                <w:rFonts w:ascii="Courier New" w:cs="Courier New" w:eastAsia="Courier New" w:hAnsi="Courier New"/>
                <w:sz w:val="15"/>
                <w:szCs w:val="15"/>
                <w:color w:val="auto"/>
              </w:rPr>
              <w:t>FINANCING ACTIVITIES:</w:t>
            </w:r>
          </w:p>
        </w:tc>
        <w:tc>
          <w:tcPr>
            <w:tcW w:w="17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71"/>
        </w:trPr>
        <w:tc>
          <w:tcPr>
            <w:tcW w:w="53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Proceeds from issuance of long-term debt</w:t>
            </w:r>
          </w:p>
        </w:tc>
        <w:tc>
          <w:tcPr>
            <w:tcW w:w="1720" w:type="dxa"/>
            <w:vAlign w:val="bottom"/>
          </w:tcPr>
          <w:p>
            <w:pPr>
              <w:jc w:val="right"/>
              <w:ind w:right="666"/>
              <w:spacing w:after="0"/>
              <w:rPr>
                <w:sz w:val="20"/>
                <w:szCs w:val="20"/>
                <w:color w:val="auto"/>
              </w:rPr>
            </w:pPr>
            <w:r>
              <w:rPr>
                <w:rFonts w:ascii="Courier New" w:cs="Courier New" w:eastAsia="Courier New" w:hAnsi="Courier New"/>
                <w:sz w:val="15"/>
                <w:szCs w:val="15"/>
                <w:color w:val="auto"/>
              </w:rPr>
              <w:t>14,000</w:t>
            </w:r>
          </w:p>
        </w:tc>
        <w:tc>
          <w:tcPr>
            <w:tcW w:w="210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37,250</w:t>
            </w:r>
          </w:p>
        </w:tc>
        <w:tc>
          <w:tcPr>
            <w:tcW w:w="14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Repayment of long-term debt</w:t>
            </w:r>
          </w:p>
        </w:tc>
        <w:tc>
          <w:tcPr>
            <w:tcW w:w="17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(17,701)</w:t>
            </w:r>
          </w:p>
        </w:tc>
        <w:tc>
          <w:tcPr>
            <w:tcW w:w="210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(95,553)</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(3,241)</w:t>
            </w:r>
          </w:p>
        </w:tc>
      </w:tr>
      <w:tr>
        <w:trPr>
          <w:trHeight w:val="171"/>
        </w:trPr>
        <w:tc>
          <w:tcPr>
            <w:tcW w:w="1100" w:type="dxa"/>
            <w:vAlign w:val="bottom"/>
          </w:tcPr>
          <w:p>
            <w:pPr>
              <w:ind w:left="160"/>
              <w:spacing w:after="0"/>
              <w:rPr>
                <w:sz w:val="20"/>
                <w:szCs w:val="20"/>
                <w:color w:val="auto"/>
              </w:rPr>
            </w:pPr>
            <w:r>
              <w:rPr>
                <w:rFonts w:ascii="Courier New" w:cs="Courier New" w:eastAsia="Courier New" w:hAnsi="Courier New"/>
                <w:sz w:val="15"/>
                <w:szCs w:val="15"/>
                <w:color w:val="auto"/>
              </w:rPr>
              <w:t>Commercial</w:t>
            </w:r>
          </w:p>
        </w:tc>
        <w:tc>
          <w:tcPr>
            <w:tcW w:w="4220" w:type="dxa"/>
            <w:vAlign w:val="bottom"/>
          </w:tcPr>
          <w:p>
            <w:pPr>
              <w:ind w:left="40"/>
              <w:spacing w:after="0"/>
              <w:rPr>
                <w:sz w:val="20"/>
                <w:szCs w:val="20"/>
                <w:color w:val="auto"/>
              </w:rPr>
            </w:pPr>
            <w:r>
              <w:rPr>
                <w:rFonts w:ascii="Courier New" w:cs="Courier New" w:eastAsia="Courier New" w:hAnsi="Courier New"/>
                <w:sz w:val="15"/>
                <w:szCs w:val="15"/>
                <w:color w:val="auto"/>
              </w:rPr>
              <w:t>paper borrowings, net</w:t>
            </w:r>
          </w:p>
        </w:tc>
        <w:tc>
          <w:tcPr>
            <w:tcW w:w="1720" w:type="dxa"/>
            <w:vAlign w:val="bottom"/>
          </w:tcPr>
          <w:p>
            <w:pPr>
              <w:jc w:val="right"/>
              <w:ind w:right="666"/>
              <w:spacing w:after="0"/>
              <w:rPr>
                <w:sz w:val="20"/>
                <w:szCs w:val="20"/>
                <w:color w:val="auto"/>
              </w:rPr>
            </w:pPr>
            <w:r>
              <w:rPr>
                <w:rFonts w:ascii="Courier New" w:cs="Courier New" w:eastAsia="Courier New" w:hAnsi="Courier New"/>
                <w:sz w:val="15"/>
                <w:szCs w:val="15"/>
                <w:color w:val="auto"/>
              </w:rPr>
              <w:t>33,981</w:t>
            </w:r>
          </w:p>
        </w:tc>
        <w:tc>
          <w:tcPr>
            <w:tcW w:w="210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24,968</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(11,498)</w:t>
            </w:r>
          </w:p>
        </w:tc>
      </w:tr>
      <w:tr>
        <w:trPr>
          <w:trHeight w:val="171"/>
        </w:trPr>
        <w:tc>
          <w:tcPr>
            <w:tcW w:w="53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Cash dividends paid to shareholders</w:t>
            </w:r>
          </w:p>
        </w:tc>
        <w:tc>
          <w:tcPr>
            <w:tcW w:w="17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(26,416)</w:t>
            </w:r>
          </w:p>
        </w:tc>
        <w:tc>
          <w:tcPr>
            <w:tcW w:w="210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(26,405)</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(26,380)</w:t>
            </w:r>
          </w:p>
        </w:tc>
      </w:tr>
      <w:tr>
        <w:trPr>
          <w:trHeight w:val="171"/>
        </w:trPr>
        <w:tc>
          <w:tcPr>
            <w:tcW w:w="1100" w:type="dxa"/>
            <w:vAlign w:val="bottom"/>
          </w:tcPr>
          <w:p>
            <w:pPr>
              <w:ind w:left="160"/>
              <w:spacing w:after="0"/>
              <w:rPr>
                <w:sz w:val="20"/>
                <w:szCs w:val="20"/>
                <w:color w:val="auto"/>
              </w:rPr>
            </w:pPr>
            <w:r>
              <w:rPr>
                <w:rFonts w:ascii="Courier New" w:cs="Courier New" w:eastAsia="Courier New" w:hAnsi="Courier New"/>
                <w:sz w:val="15"/>
                <w:szCs w:val="15"/>
                <w:color w:val="auto"/>
              </w:rPr>
              <w:t>Other, net</w:t>
            </w:r>
          </w:p>
        </w:tc>
        <w:tc>
          <w:tcPr>
            <w:tcW w:w="4220" w:type="dxa"/>
            <w:vAlign w:val="bottom"/>
          </w:tcPr>
          <w:p>
            <w:pPr>
              <w:spacing w:after="0"/>
              <w:rPr>
                <w:sz w:val="14"/>
                <w:szCs w:val="14"/>
                <w:color w:val="auto"/>
              </w:rPr>
            </w:pPr>
          </w:p>
        </w:tc>
        <w:tc>
          <w:tcPr>
            <w:tcW w:w="1720" w:type="dxa"/>
            <w:vAlign w:val="bottom"/>
          </w:tcPr>
          <w:p>
            <w:pPr>
              <w:jc w:val="right"/>
              <w:ind w:right="666"/>
              <w:spacing w:after="0"/>
              <w:rPr>
                <w:sz w:val="20"/>
                <w:szCs w:val="20"/>
                <w:color w:val="auto"/>
              </w:rPr>
            </w:pPr>
            <w:r>
              <w:rPr>
                <w:rFonts w:ascii="Courier New" w:cs="Courier New" w:eastAsia="Courier New" w:hAnsi="Courier New"/>
                <w:sz w:val="15"/>
                <w:szCs w:val="15"/>
                <w:color w:val="auto"/>
              </w:rPr>
              <w:t>76</w:t>
            </w:r>
          </w:p>
        </w:tc>
        <w:tc>
          <w:tcPr>
            <w:tcW w:w="210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(64)</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(88)</w:t>
            </w:r>
          </w:p>
        </w:tc>
      </w:tr>
      <w:tr>
        <w:trPr>
          <w:trHeight w:val="171"/>
        </w:trPr>
        <w:tc>
          <w:tcPr>
            <w:tcW w:w="1100" w:type="dxa"/>
            <w:vAlign w:val="bottom"/>
          </w:tcPr>
          <w:p>
            <w:pPr>
              <w:ind w:left="340"/>
              <w:spacing w:after="0"/>
              <w:rPr>
                <w:sz w:val="20"/>
                <w:szCs w:val="20"/>
                <w:color w:val="auto"/>
              </w:rPr>
            </w:pPr>
            <w:r>
              <w:rPr>
                <w:rFonts w:ascii="Courier New" w:cs="Courier New" w:eastAsia="Courier New" w:hAnsi="Courier New"/>
                <w:sz w:val="15"/>
                <w:szCs w:val="15"/>
                <w:color w:val="auto"/>
              </w:rPr>
              <w:t>Net cash</w:t>
            </w:r>
          </w:p>
        </w:tc>
        <w:tc>
          <w:tcPr>
            <w:tcW w:w="4220" w:type="dxa"/>
            <w:vAlign w:val="bottom"/>
          </w:tcPr>
          <w:p>
            <w:pPr>
              <w:ind w:left="40"/>
              <w:spacing w:after="0"/>
              <w:rPr>
                <w:sz w:val="20"/>
                <w:szCs w:val="20"/>
                <w:color w:val="auto"/>
              </w:rPr>
            </w:pPr>
            <w:r>
              <w:rPr>
                <w:rFonts w:ascii="Courier New" w:cs="Courier New" w:eastAsia="Courier New" w:hAnsi="Courier New"/>
                <w:sz w:val="15"/>
                <w:szCs w:val="15"/>
                <w:color w:val="auto"/>
              </w:rPr>
              <w:t>from (used in) financing activities</w:t>
            </w:r>
          </w:p>
        </w:tc>
        <w:tc>
          <w:tcPr>
            <w:tcW w:w="1720" w:type="dxa"/>
            <w:vAlign w:val="bottom"/>
          </w:tcPr>
          <w:p>
            <w:pPr>
              <w:jc w:val="right"/>
              <w:ind w:right="666"/>
              <w:spacing w:after="0"/>
              <w:rPr>
                <w:sz w:val="20"/>
                <w:szCs w:val="20"/>
                <w:color w:val="auto"/>
              </w:rPr>
            </w:pPr>
            <w:r>
              <w:rPr>
                <w:rFonts w:ascii="Courier New" w:cs="Courier New" w:eastAsia="Courier New" w:hAnsi="Courier New"/>
                <w:sz w:val="15"/>
                <w:szCs w:val="15"/>
                <w:color w:val="auto"/>
              </w:rPr>
              <w:t>3,940</w:t>
            </w:r>
          </w:p>
        </w:tc>
        <w:tc>
          <w:tcPr>
            <w:tcW w:w="210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(59,804)</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(41,207)</w:t>
            </w:r>
          </w:p>
        </w:tc>
      </w:tr>
      <w:tr>
        <w:trPr>
          <w:trHeight w:val="341"/>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NET INCREASE</w:t>
            </w:r>
          </w:p>
        </w:tc>
        <w:tc>
          <w:tcPr>
            <w:tcW w:w="4220" w:type="dxa"/>
            <w:vAlign w:val="bottom"/>
          </w:tcPr>
          <w:p>
            <w:pPr>
              <w:ind w:left="40"/>
              <w:spacing w:after="0"/>
              <w:rPr>
                <w:sz w:val="20"/>
                <w:szCs w:val="20"/>
                <w:color w:val="auto"/>
              </w:rPr>
            </w:pPr>
            <w:r>
              <w:rPr>
                <w:rFonts w:ascii="Courier New" w:cs="Courier New" w:eastAsia="Courier New" w:hAnsi="Courier New"/>
                <w:sz w:val="15"/>
                <w:szCs w:val="15"/>
                <w:color w:val="auto"/>
              </w:rPr>
              <w:t>(DECREASE) IN CASH</w:t>
            </w:r>
          </w:p>
        </w:tc>
        <w:tc>
          <w:tcPr>
            <w:tcW w:w="1720" w:type="dxa"/>
            <w:vAlign w:val="bottom"/>
          </w:tcPr>
          <w:p>
            <w:pPr>
              <w:jc w:val="right"/>
              <w:ind w:right="666"/>
              <w:spacing w:after="0"/>
              <w:rPr>
                <w:sz w:val="20"/>
                <w:szCs w:val="20"/>
                <w:color w:val="auto"/>
              </w:rPr>
            </w:pPr>
            <w:r>
              <w:rPr>
                <w:rFonts w:ascii="Courier New" w:cs="Courier New" w:eastAsia="Courier New" w:hAnsi="Courier New"/>
                <w:sz w:val="15"/>
                <w:szCs w:val="15"/>
                <w:color w:val="auto"/>
              </w:rPr>
              <w:t>3,676</w:t>
            </w:r>
          </w:p>
        </w:tc>
        <w:tc>
          <w:tcPr>
            <w:tcW w:w="210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(5,079)</w:t>
            </w:r>
          </w:p>
        </w:tc>
        <w:tc>
          <w:tcPr>
            <w:tcW w:w="14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14,181</w:t>
            </w:r>
          </w:p>
        </w:tc>
      </w:tr>
      <w:tr>
        <w:trPr>
          <w:trHeight w:val="341"/>
        </w:trPr>
        <w:tc>
          <w:tcPr>
            <w:tcW w:w="5320" w:type="dxa"/>
            <w:vAlign w:val="bottom"/>
            <w:gridSpan w:val="2"/>
          </w:tcPr>
          <w:p>
            <w:pPr>
              <w:spacing w:after="0"/>
              <w:rPr>
                <w:sz w:val="20"/>
                <w:szCs w:val="20"/>
                <w:color w:val="auto"/>
              </w:rPr>
            </w:pPr>
            <w:r>
              <w:rPr>
                <w:rFonts w:ascii="Courier New" w:cs="Courier New" w:eastAsia="Courier New" w:hAnsi="Courier New"/>
                <w:sz w:val="15"/>
                <w:szCs w:val="15"/>
                <w:color w:val="auto"/>
              </w:rPr>
              <w:t>CASH, BEGINNING OF YEAR</w:t>
            </w:r>
          </w:p>
        </w:tc>
        <w:tc>
          <w:tcPr>
            <w:tcW w:w="1720" w:type="dxa"/>
            <w:vAlign w:val="bottom"/>
          </w:tcPr>
          <w:p>
            <w:pPr>
              <w:jc w:val="right"/>
              <w:ind w:right="666"/>
              <w:spacing w:after="0"/>
              <w:rPr>
                <w:sz w:val="20"/>
                <w:szCs w:val="20"/>
                <w:color w:val="auto"/>
              </w:rPr>
            </w:pPr>
            <w:r>
              <w:rPr>
                <w:rFonts w:ascii="Courier New" w:cs="Courier New" w:eastAsia="Courier New" w:hAnsi="Courier New"/>
                <w:sz w:val="15"/>
                <w:szCs w:val="15"/>
                <w:color w:val="auto"/>
              </w:rPr>
              <w:t>13,937</w:t>
            </w:r>
          </w:p>
        </w:tc>
        <w:tc>
          <w:tcPr>
            <w:tcW w:w="210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19,016</w:t>
            </w:r>
          </w:p>
        </w:tc>
        <w:tc>
          <w:tcPr>
            <w:tcW w:w="14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4,835</w:t>
            </w:r>
          </w:p>
        </w:tc>
      </w:tr>
      <w:tr>
        <w:trPr>
          <w:trHeight w:val="171"/>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CASH, END OF</w:t>
            </w:r>
          </w:p>
        </w:tc>
        <w:tc>
          <w:tcPr>
            <w:tcW w:w="4220" w:type="dxa"/>
            <w:vAlign w:val="bottom"/>
          </w:tcPr>
          <w:p>
            <w:pPr>
              <w:ind w:left="40"/>
              <w:spacing w:after="0"/>
              <w:rPr>
                <w:sz w:val="20"/>
                <w:szCs w:val="20"/>
                <w:color w:val="auto"/>
              </w:rPr>
            </w:pPr>
            <w:r>
              <w:rPr>
                <w:rFonts w:ascii="Courier New" w:cs="Courier New" w:eastAsia="Courier New" w:hAnsi="Courier New"/>
                <w:sz w:val="15"/>
                <w:szCs w:val="15"/>
                <w:color w:val="auto"/>
              </w:rPr>
              <w:t>YEAR</w:t>
            </w:r>
          </w:p>
        </w:tc>
        <w:tc>
          <w:tcPr>
            <w:tcW w:w="1720" w:type="dxa"/>
            <w:vAlign w:val="bottom"/>
          </w:tcPr>
          <w:p>
            <w:pPr>
              <w:jc w:val="right"/>
              <w:ind w:right="666"/>
              <w:spacing w:after="0"/>
              <w:rPr>
                <w:sz w:val="20"/>
                <w:szCs w:val="20"/>
                <w:color w:val="auto"/>
              </w:rPr>
            </w:pPr>
            <w:r>
              <w:rPr>
                <w:rFonts w:ascii="Courier New" w:cs="Courier New" w:eastAsia="Courier New" w:hAnsi="Courier New"/>
                <w:sz w:val="15"/>
                <w:szCs w:val="15"/>
                <w:color w:val="auto"/>
              </w:rPr>
              <w:t>$17,613</w:t>
            </w:r>
          </w:p>
        </w:tc>
        <w:tc>
          <w:tcPr>
            <w:tcW w:w="210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$13,937</w:t>
            </w:r>
          </w:p>
        </w:tc>
        <w:tc>
          <w:tcPr>
            <w:tcW w:w="14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$19,016</w:t>
            </w:r>
          </w:p>
        </w:tc>
      </w:tr>
      <w:tr>
        <w:trPr>
          <w:trHeight w:val="341"/>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SUPPLEMENTAL</w:t>
            </w:r>
          </w:p>
        </w:tc>
        <w:tc>
          <w:tcPr>
            <w:tcW w:w="4220" w:type="dxa"/>
            <w:vAlign w:val="bottom"/>
          </w:tcPr>
          <w:p>
            <w:pPr>
              <w:ind w:left="40"/>
              <w:spacing w:after="0"/>
              <w:rPr>
                <w:sz w:val="20"/>
                <w:szCs w:val="20"/>
                <w:color w:val="auto"/>
              </w:rPr>
            </w:pPr>
            <w:r>
              <w:rPr>
                <w:rFonts w:ascii="Courier New" w:cs="Courier New" w:eastAsia="Courier New" w:hAnsi="Courier New"/>
                <w:sz w:val="15"/>
                <w:szCs w:val="15"/>
                <w:color w:val="auto"/>
              </w:rPr>
              <w:t>CASH FLOW INFORMATION:</w:t>
            </w:r>
          </w:p>
        </w:tc>
        <w:tc>
          <w:tcPr>
            <w:tcW w:w="17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71"/>
        </w:trPr>
        <w:tc>
          <w:tcPr>
            <w:tcW w:w="532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Income taxes paid</w:t>
            </w:r>
          </w:p>
        </w:tc>
        <w:tc>
          <w:tcPr>
            <w:tcW w:w="1720" w:type="dxa"/>
            <w:vAlign w:val="bottom"/>
          </w:tcPr>
          <w:p>
            <w:pPr>
              <w:jc w:val="right"/>
              <w:ind w:right="666"/>
              <w:spacing w:after="0"/>
              <w:rPr>
                <w:sz w:val="20"/>
                <w:szCs w:val="20"/>
                <w:color w:val="auto"/>
              </w:rPr>
            </w:pPr>
            <w:r>
              <w:rPr>
                <w:rFonts w:ascii="Courier New" w:cs="Courier New" w:eastAsia="Courier New" w:hAnsi="Courier New"/>
                <w:sz w:val="15"/>
                <w:szCs w:val="15"/>
                <w:color w:val="auto"/>
              </w:rPr>
              <w:t>$ 1,245</w:t>
            </w:r>
          </w:p>
        </w:tc>
        <w:tc>
          <w:tcPr>
            <w:tcW w:w="210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$25,354</w:t>
            </w:r>
          </w:p>
        </w:tc>
        <w:tc>
          <w:tcPr>
            <w:tcW w:w="14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$45,523</w:t>
            </w:r>
          </w:p>
        </w:tc>
      </w:tr>
      <w:tr>
        <w:trPr>
          <w:trHeight w:val="171"/>
        </w:trPr>
        <w:tc>
          <w:tcPr>
            <w:tcW w:w="532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Interest paid</w:t>
            </w:r>
          </w:p>
        </w:tc>
        <w:tc>
          <w:tcPr>
            <w:tcW w:w="1720" w:type="dxa"/>
            <w:vAlign w:val="bottom"/>
          </w:tcPr>
          <w:p>
            <w:pPr>
              <w:jc w:val="right"/>
              <w:ind w:right="666"/>
              <w:spacing w:after="0"/>
              <w:rPr>
                <w:sz w:val="20"/>
                <w:szCs w:val="20"/>
                <w:color w:val="auto"/>
              </w:rPr>
            </w:pPr>
            <w:r>
              <w:rPr>
                <w:rFonts w:ascii="Courier New" w:cs="Courier New" w:eastAsia="Courier New" w:hAnsi="Courier New"/>
                <w:sz w:val="15"/>
                <w:szCs w:val="15"/>
                <w:color w:val="auto"/>
              </w:rPr>
              <w:t>$18,103</w:t>
            </w:r>
          </w:p>
        </w:tc>
        <w:tc>
          <w:tcPr>
            <w:tcW w:w="210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$17,715</w:t>
            </w:r>
          </w:p>
        </w:tc>
        <w:tc>
          <w:tcPr>
            <w:tcW w:w="14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$12,301</w:t>
            </w:r>
          </w:p>
        </w:tc>
      </w:tr>
    </w:tbl>
    <w:p>
      <w:pPr>
        <w:spacing w:after="0" w:line="345" w:lineRule="exact"/>
        <w:rPr>
          <w:sz w:val="20"/>
          <w:szCs w:val="20"/>
          <w:color w:val="auto"/>
        </w:rPr>
      </w:pPr>
    </w:p>
    <w:p>
      <w:pPr>
        <w:ind w:right="3820"/>
        <w:spacing w:after="0" w:line="238" w:lineRule="auto"/>
        <w:rPr>
          <w:sz w:val="20"/>
          <w:szCs w:val="20"/>
          <w:color w:val="auto"/>
        </w:rPr>
      </w:pPr>
      <w:r>
        <w:rPr>
          <w:rFonts w:ascii="Courier New" w:cs="Courier New" w:eastAsia="Courier New" w:hAnsi="Courier New"/>
          <w:sz w:val="15"/>
          <w:szCs w:val="15"/>
          <w:color w:val="auto"/>
        </w:rPr>
        <w:t>The notes to consolidated financial statements are an integral part of these statements.</w:t>
      </w:r>
    </w:p>
    <w:p>
      <w:pPr>
        <w:sectPr>
          <w:pgSz w:w="11900" w:h="16838" w:orient="portrait"/>
          <w:cols w:equalWidth="0" w:num="1">
            <w:col w:w="10560"/>
          </w:cols>
          <w:pgMar w:left="240" w:top="287" w:right="1099" w:bottom="1440" w:gutter="0" w:footer="0" w:header="0"/>
        </w:sectPr>
      </w:pPr>
    </w:p>
    <w:bookmarkStart w:id="36" w:name="page37"/>
    <w:bookmarkEnd w:id="36"/>
    <w:p>
      <w:pPr>
        <w:ind w:left="260"/>
        <w:spacing w:after="0"/>
        <w:rPr>
          <w:sz w:val="20"/>
          <w:szCs w:val="20"/>
          <w:color w:val="auto"/>
        </w:rPr>
      </w:pPr>
      <w:r>
        <w:rPr>
          <w:rFonts w:ascii="Courier New" w:cs="Courier New" w:eastAsia="Courier New" w:hAnsi="Courier New"/>
          <w:sz w:val="15"/>
          <w:szCs w:val="15"/>
          <w:color w:val="auto"/>
        </w:rPr>
        <w:t>22</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STATEMENTS OF CONSOLIDATED SHAREHOLDERS' EQUITY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Yellow Corporation and Subsidiaries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(Amounts in thousands except share data)</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80" w:type="dxa"/>
            <w:vAlign w:val="bottom"/>
          </w:tcPr>
          <w:p>
            <w:pPr>
              <w:ind w:left="340"/>
              <w:spacing w:after="0"/>
              <w:rPr>
                <w:sz w:val="20"/>
                <w:szCs w:val="20"/>
                <w:color w:val="auto"/>
              </w:rPr>
            </w:pPr>
            <w:r>
              <w:rPr>
                <w:rFonts w:ascii="Courier New" w:cs="Courier New" w:eastAsia="Courier New" w:hAnsi="Courier New"/>
                <w:sz w:val="15"/>
                <w:szCs w:val="15"/>
                <w:color w:val="auto"/>
              </w:rPr>
              <w:t>Shares Held</w:t>
            </w:r>
          </w:p>
        </w:tc>
        <w:tc>
          <w:tcPr>
            <w:tcW w:w="1060" w:type="dxa"/>
            <w:vAlign w:val="bottom"/>
          </w:tcPr>
          <w:p>
            <w:pPr>
              <w:spacing w:after="0"/>
              <w:rPr>
                <w:sz w:val="14"/>
                <w:szCs w:val="14"/>
                <w:color w:val="auto"/>
              </w:rPr>
            </w:pPr>
          </w:p>
        </w:tc>
      </w:tr>
      <w:tr>
        <w:trPr>
          <w:trHeight w:val="171"/>
        </w:trPr>
        <w:tc>
          <w:tcPr>
            <w:tcW w:w="2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40" w:type="dxa"/>
            <w:vAlign w:val="bottom"/>
          </w:tcPr>
          <w:p>
            <w:pPr>
              <w:ind w:left="320"/>
              <w:spacing w:after="0"/>
              <w:rPr>
                <w:sz w:val="20"/>
                <w:szCs w:val="20"/>
                <w:color w:val="auto"/>
              </w:rPr>
            </w:pPr>
            <w:r>
              <w:rPr>
                <w:rFonts w:ascii="Courier New" w:cs="Courier New" w:eastAsia="Courier New" w:hAnsi="Courier New"/>
                <w:sz w:val="15"/>
                <w:szCs w:val="15"/>
                <w:color w:val="auto"/>
              </w:rPr>
              <w:t>Common</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Capital</w:t>
            </w:r>
          </w:p>
        </w:tc>
        <w:tc>
          <w:tcPr>
            <w:tcW w:w="152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Retained</w:t>
            </w:r>
          </w:p>
        </w:tc>
        <w:tc>
          <w:tcPr>
            <w:tcW w:w="16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by Stock</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Treasury</w:t>
            </w:r>
          </w:p>
        </w:tc>
      </w:tr>
      <w:tr>
        <w:trPr>
          <w:trHeight w:val="171"/>
        </w:trPr>
        <w:tc>
          <w:tcPr>
            <w:tcW w:w="2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40" w:type="dxa"/>
            <w:vAlign w:val="bottom"/>
          </w:tcPr>
          <w:p>
            <w:pPr>
              <w:ind w:left="320"/>
              <w:spacing w:after="0"/>
              <w:rPr>
                <w:sz w:val="20"/>
                <w:szCs w:val="20"/>
                <w:color w:val="auto"/>
              </w:rPr>
            </w:pPr>
            <w:r>
              <w:rPr>
                <w:rFonts w:ascii="Courier New" w:cs="Courier New" w:eastAsia="Courier New" w:hAnsi="Courier New"/>
                <w:sz w:val="15"/>
                <w:szCs w:val="15"/>
                <w:color w:val="auto"/>
              </w:rPr>
              <w:t>Stock</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Surplus</w:t>
            </w:r>
          </w:p>
        </w:tc>
        <w:tc>
          <w:tcPr>
            <w:tcW w:w="152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Earnings</w:t>
            </w:r>
          </w:p>
        </w:tc>
        <w:tc>
          <w:tcPr>
            <w:tcW w:w="1680" w:type="dxa"/>
            <w:vAlign w:val="bottom"/>
          </w:tcPr>
          <w:p>
            <w:pPr>
              <w:ind w:left="340"/>
              <w:spacing w:after="0"/>
              <w:rPr>
                <w:sz w:val="20"/>
                <w:szCs w:val="20"/>
                <w:color w:val="auto"/>
              </w:rPr>
            </w:pPr>
            <w:r>
              <w:rPr>
                <w:rFonts w:ascii="Courier New" w:cs="Courier New" w:eastAsia="Courier New" w:hAnsi="Courier New"/>
                <w:sz w:val="15"/>
                <w:szCs w:val="15"/>
                <w:color w:val="auto"/>
              </w:rPr>
              <w:t>Sharing Plan</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Stock</w:t>
            </w:r>
          </w:p>
        </w:tc>
      </w:tr>
      <w:tr>
        <w:trPr>
          <w:trHeight w:val="341"/>
        </w:trPr>
        <w:tc>
          <w:tcPr>
            <w:tcW w:w="2380" w:type="dxa"/>
            <w:vAlign w:val="bottom"/>
          </w:tcPr>
          <w:p>
            <w:pPr>
              <w:spacing w:after="0"/>
              <w:rPr>
                <w:sz w:val="20"/>
                <w:szCs w:val="20"/>
                <w:color w:val="auto"/>
              </w:rPr>
            </w:pPr>
            <w:r>
              <w:rPr>
                <w:rFonts w:ascii="Courier New" w:cs="Courier New" w:eastAsia="Courier New" w:hAnsi="Courier New"/>
                <w:sz w:val="15"/>
                <w:szCs w:val="15"/>
                <w:color w:val="auto"/>
              </w:rPr>
              <w:t>BALANCE, DECEMBER 31, 1991</w:t>
            </w:r>
          </w:p>
        </w:tc>
        <w:tc>
          <w:tcPr>
            <w:tcW w:w="1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$ 28,816</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$5,691</w:t>
            </w:r>
          </w:p>
        </w:tc>
        <w:tc>
          <w:tcPr>
            <w:tcW w:w="152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$490,627</w:t>
            </w:r>
          </w:p>
        </w:tc>
        <w:tc>
          <w:tcPr>
            <w:tcW w:w="16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$(32,241)</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$(17,024)</w:t>
            </w:r>
          </w:p>
        </w:tc>
      </w:tr>
      <w:tr>
        <w:trPr>
          <w:trHeight w:val="171"/>
        </w:trPr>
        <w:tc>
          <w:tcPr>
            <w:tcW w:w="2380" w:type="dxa"/>
            <w:vAlign w:val="bottom"/>
          </w:tcPr>
          <w:p>
            <w:pPr>
              <w:ind w:left="160"/>
              <w:spacing w:after="0"/>
              <w:rPr>
                <w:sz w:val="20"/>
                <w:szCs w:val="20"/>
                <w:color w:val="auto"/>
              </w:rPr>
            </w:pPr>
            <w:r>
              <w:rPr>
                <w:rFonts w:ascii="Courier New" w:cs="Courier New" w:eastAsia="Courier New" w:hAnsi="Courier New"/>
                <w:sz w:val="15"/>
                <w:szCs w:val="15"/>
                <w:color w:val="auto"/>
              </w:rPr>
              <w:t>Net income</w:t>
            </w:r>
          </w:p>
        </w:tc>
        <w:tc>
          <w:tcPr>
            <w:tcW w:w="1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29,540</w:t>
            </w:r>
          </w:p>
        </w:tc>
        <w:tc>
          <w:tcPr>
            <w:tcW w:w="16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380" w:type="dxa"/>
            <w:vAlign w:val="bottom"/>
          </w:tcPr>
          <w:p>
            <w:pPr>
              <w:ind w:left="160"/>
              <w:spacing w:after="0"/>
              <w:rPr>
                <w:sz w:val="20"/>
                <w:szCs w:val="20"/>
                <w:color w:val="auto"/>
              </w:rPr>
            </w:pPr>
            <w:r>
              <w:rPr>
                <w:rFonts w:ascii="Courier New" w:cs="Courier New" w:eastAsia="Courier New" w:hAnsi="Courier New"/>
                <w:sz w:val="15"/>
                <w:szCs w:val="15"/>
                <w:color w:val="auto"/>
              </w:rPr>
              <w:t>Cash dividends, $.94 per</w:t>
            </w:r>
          </w:p>
        </w:tc>
        <w:tc>
          <w:tcPr>
            <w:tcW w:w="2000" w:type="dxa"/>
            <w:vAlign w:val="bottom"/>
            <w:gridSpan w:val="2"/>
          </w:tcPr>
          <w:p>
            <w:pPr>
              <w:spacing w:after="0"/>
              <w:rPr>
                <w:sz w:val="20"/>
                <w:szCs w:val="20"/>
                <w:color w:val="auto"/>
              </w:rPr>
            </w:pPr>
            <w:r>
              <w:rPr>
                <w:rFonts w:ascii="Courier New" w:cs="Courier New" w:eastAsia="Courier New" w:hAnsi="Courier New"/>
                <w:sz w:val="15"/>
                <w:szCs w:val="15"/>
                <w:color w:val="auto"/>
              </w:rPr>
              <w:t>share</w:t>
            </w: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(26,380)</w:t>
            </w:r>
          </w:p>
        </w:tc>
        <w:tc>
          <w:tcPr>
            <w:tcW w:w="16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52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Exercise of stock options,</w:t>
            </w:r>
          </w:p>
        </w:tc>
        <w:tc>
          <w:tcPr>
            <w:tcW w:w="1860" w:type="dxa"/>
            <w:vAlign w:val="bottom"/>
          </w:tcPr>
          <w:p>
            <w:pPr>
              <w:ind w:left="40"/>
              <w:spacing w:after="0"/>
              <w:rPr>
                <w:sz w:val="20"/>
                <w:szCs w:val="20"/>
                <w:color w:val="auto"/>
              </w:rPr>
            </w:pPr>
            <w:r>
              <w:rPr>
                <w:rFonts w:ascii="Courier New" w:cs="Courier New" w:eastAsia="Courier New" w:hAnsi="Courier New"/>
                <w:sz w:val="15"/>
                <w:szCs w:val="15"/>
                <w:color w:val="auto"/>
              </w:rPr>
              <w:t>21,300 shares</w:t>
            </w: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21</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311</w:t>
            </w:r>
          </w:p>
        </w:tc>
        <w:tc>
          <w:tcPr>
            <w:tcW w:w="152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380" w:type="dxa"/>
            <w:vAlign w:val="bottom"/>
          </w:tcPr>
          <w:p>
            <w:pPr>
              <w:ind w:left="160"/>
              <w:spacing w:after="0"/>
              <w:rPr>
                <w:sz w:val="20"/>
                <w:szCs w:val="20"/>
                <w:color w:val="auto"/>
              </w:rPr>
            </w:pPr>
            <w:r>
              <w:rPr>
                <w:rFonts w:ascii="Courier New" w:cs="Courier New" w:eastAsia="Courier New" w:hAnsi="Courier New"/>
                <w:sz w:val="15"/>
                <w:szCs w:val="15"/>
                <w:color w:val="auto"/>
              </w:rPr>
              <w:t>Restricted stock awards,</w:t>
            </w:r>
          </w:p>
        </w:tc>
        <w:tc>
          <w:tcPr>
            <w:tcW w:w="2000" w:type="dxa"/>
            <w:vAlign w:val="bottom"/>
            <w:gridSpan w:val="2"/>
          </w:tcPr>
          <w:p>
            <w:pPr>
              <w:spacing w:after="0"/>
              <w:rPr>
                <w:sz w:val="20"/>
                <w:szCs w:val="20"/>
                <w:color w:val="auto"/>
              </w:rPr>
            </w:pPr>
            <w:r>
              <w:rPr>
                <w:rFonts w:ascii="Courier New" w:cs="Courier New" w:eastAsia="Courier New" w:hAnsi="Courier New"/>
                <w:sz w:val="15"/>
                <w:szCs w:val="15"/>
                <w:color w:val="auto"/>
              </w:rPr>
              <w:t>8,886 shares</w:t>
            </w: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9</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w:t>
            </w:r>
          </w:p>
        </w:tc>
        <w:tc>
          <w:tcPr>
            <w:tcW w:w="152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380" w:type="dxa"/>
            <w:vAlign w:val="bottom"/>
          </w:tcPr>
          <w:p>
            <w:pPr>
              <w:ind w:left="160"/>
              <w:spacing w:after="0"/>
              <w:rPr>
                <w:sz w:val="20"/>
                <w:szCs w:val="20"/>
                <w:color w:val="auto"/>
              </w:rPr>
            </w:pPr>
            <w:r>
              <w:rPr>
                <w:rFonts w:ascii="Courier New" w:cs="Courier New" w:eastAsia="Courier New" w:hAnsi="Courier New"/>
                <w:sz w:val="15"/>
                <w:szCs w:val="15"/>
                <w:color w:val="auto"/>
              </w:rPr>
              <w:t>Amortization of unearned</w:t>
            </w:r>
          </w:p>
        </w:tc>
        <w:tc>
          <w:tcPr>
            <w:tcW w:w="2000" w:type="dxa"/>
            <w:vAlign w:val="bottom"/>
            <w:gridSpan w:val="2"/>
          </w:tcPr>
          <w:p>
            <w:pPr>
              <w:spacing w:after="0"/>
              <w:rPr>
                <w:sz w:val="20"/>
                <w:szCs w:val="20"/>
                <w:color w:val="auto"/>
              </w:rPr>
            </w:pPr>
            <w:r>
              <w:rPr>
                <w:rFonts w:ascii="Courier New" w:cs="Courier New" w:eastAsia="Courier New" w:hAnsi="Courier New"/>
                <w:sz w:val="15"/>
                <w:szCs w:val="15"/>
                <w:color w:val="auto"/>
              </w:rPr>
              <w:t>compensation</w:t>
            </w: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255</w:t>
            </w:r>
          </w:p>
        </w:tc>
        <w:tc>
          <w:tcPr>
            <w:tcW w:w="152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38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Reduction of Stock Sharing Plan debt guarantee</w:t>
            </w: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7,891</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52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Purchase of treasury stock</w:t>
            </w:r>
          </w:p>
        </w:tc>
        <w:tc>
          <w:tcPr>
            <w:tcW w:w="1860" w:type="dxa"/>
            <w:vAlign w:val="bottom"/>
          </w:tcPr>
          <w:p>
            <w:pPr>
              <w:spacing w:after="0"/>
              <w:rPr>
                <w:sz w:val="14"/>
                <w:szCs w:val="14"/>
                <w:color w:val="auto"/>
              </w:rPr>
            </w:pP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(420)</w:t>
            </w:r>
          </w:p>
        </w:tc>
      </w:tr>
      <w:tr>
        <w:trPr>
          <w:trHeight w:val="171"/>
        </w:trPr>
        <w:tc>
          <w:tcPr>
            <w:tcW w:w="438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Foreign equity translation adjustment</w:t>
            </w: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(1,591)</w:t>
            </w:r>
          </w:p>
        </w:tc>
        <w:tc>
          <w:tcPr>
            <w:tcW w:w="16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2380" w:type="dxa"/>
            <w:vAlign w:val="bottom"/>
          </w:tcPr>
          <w:p>
            <w:pPr>
              <w:spacing w:after="0"/>
              <w:rPr>
                <w:sz w:val="20"/>
                <w:szCs w:val="20"/>
                <w:color w:val="auto"/>
              </w:rPr>
            </w:pPr>
            <w:r>
              <w:rPr>
                <w:rFonts w:ascii="Courier New" w:cs="Courier New" w:eastAsia="Courier New" w:hAnsi="Courier New"/>
                <w:sz w:val="15"/>
                <w:szCs w:val="15"/>
                <w:color w:val="auto"/>
                <w:w w:val="97"/>
              </w:rPr>
              <w:t>BALANCE,  DECEMBER 31, 1992</w:t>
            </w:r>
          </w:p>
        </w:tc>
        <w:tc>
          <w:tcPr>
            <w:tcW w:w="1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28,846</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6,248</w:t>
            </w:r>
          </w:p>
        </w:tc>
        <w:tc>
          <w:tcPr>
            <w:tcW w:w="152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492,196</w:t>
            </w:r>
          </w:p>
        </w:tc>
        <w:tc>
          <w:tcPr>
            <w:tcW w:w="16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(24,350)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(17,444)</w:t>
            </w:r>
          </w:p>
        </w:tc>
      </w:tr>
      <w:tr>
        <w:trPr>
          <w:trHeight w:val="171"/>
        </w:trPr>
        <w:tc>
          <w:tcPr>
            <w:tcW w:w="2380" w:type="dxa"/>
            <w:vAlign w:val="bottom"/>
          </w:tcPr>
          <w:p>
            <w:pPr>
              <w:ind w:left="160"/>
              <w:spacing w:after="0"/>
              <w:rPr>
                <w:sz w:val="20"/>
                <w:szCs w:val="20"/>
                <w:color w:val="auto"/>
              </w:rPr>
            </w:pPr>
            <w:r>
              <w:rPr>
                <w:rFonts w:ascii="Courier New" w:cs="Courier New" w:eastAsia="Courier New" w:hAnsi="Courier New"/>
                <w:sz w:val="15"/>
                <w:szCs w:val="15"/>
                <w:color w:val="auto"/>
              </w:rPr>
              <w:t>Net income</w:t>
            </w:r>
          </w:p>
        </w:tc>
        <w:tc>
          <w:tcPr>
            <w:tcW w:w="1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18,801</w:t>
            </w:r>
          </w:p>
        </w:tc>
        <w:tc>
          <w:tcPr>
            <w:tcW w:w="16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380" w:type="dxa"/>
            <w:vAlign w:val="bottom"/>
          </w:tcPr>
          <w:p>
            <w:pPr>
              <w:ind w:left="160"/>
              <w:spacing w:after="0"/>
              <w:rPr>
                <w:sz w:val="20"/>
                <w:szCs w:val="20"/>
                <w:color w:val="auto"/>
              </w:rPr>
            </w:pPr>
            <w:r>
              <w:rPr>
                <w:rFonts w:ascii="Courier New" w:cs="Courier New" w:eastAsia="Courier New" w:hAnsi="Courier New"/>
                <w:sz w:val="15"/>
                <w:szCs w:val="15"/>
                <w:color w:val="auto"/>
              </w:rPr>
              <w:t>Cash dividends, $.94 per</w:t>
            </w:r>
          </w:p>
        </w:tc>
        <w:tc>
          <w:tcPr>
            <w:tcW w:w="2000" w:type="dxa"/>
            <w:vAlign w:val="bottom"/>
            <w:gridSpan w:val="2"/>
          </w:tcPr>
          <w:p>
            <w:pPr>
              <w:spacing w:after="0"/>
              <w:rPr>
                <w:sz w:val="20"/>
                <w:szCs w:val="20"/>
                <w:color w:val="auto"/>
              </w:rPr>
            </w:pPr>
            <w:r>
              <w:rPr>
                <w:rFonts w:ascii="Courier New" w:cs="Courier New" w:eastAsia="Courier New" w:hAnsi="Courier New"/>
                <w:sz w:val="15"/>
                <w:szCs w:val="15"/>
                <w:color w:val="auto"/>
              </w:rPr>
              <w:t>share</w:t>
            </w: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(26,405)</w:t>
            </w:r>
          </w:p>
        </w:tc>
        <w:tc>
          <w:tcPr>
            <w:tcW w:w="16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38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Exercise of stock options, 3,820 shares</w:t>
            </w: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60</w:t>
            </w:r>
          </w:p>
        </w:tc>
        <w:tc>
          <w:tcPr>
            <w:tcW w:w="152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380" w:type="dxa"/>
            <w:vAlign w:val="bottom"/>
          </w:tcPr>
          <w:p>
            <w:pPr>
              <w:ind w:left="160"/>
              <w:spacing w:after="0"/>
              <w:rPr>
                <w:sz w:val="20"/>
                <w:szCs w:val="20"/>
                <w:color w:val="auto"/>
              </w:rPr>
            </w:pPr>
            <w:r>
              <w:rPr>
                <w:rFonts w:ascii="Courier New" w:cs="Courier New" w:eastAsia="Courier New" w:hAnsi="Courier New"/>
                <w:sz w:val="15"/>
                <w:szCs w:val="15"/>
                <w:color w:val="auto"/>
              </w:rPr>
              <w:t>Amortization of unearned</w:t>
            </w:r>
          </w:p>
        </w:tc>
        <w:tc>
          <w:tcPr>
            <w:tcW w:w="2000" w:type="dxa"/>
            <w:vAlign w:val="bottom"/>
            <w:gridSpan w:val="2"/>
          </w:tcPr>
          <w:p>
            <w:pPr>
              <w:spacing w:after="0"/>
              <w:rPr>
                <w:sz w:val="20"/>
                <w:szCs w:val="20"/>
                <w:color w:val="auto"/>
              </w:rPr>
            </w:pPr>
            <w:r>
              <w:rPr>
                <w:rFonts w:ascii="Courier New" w:cs="Courier New" w:eastAsia="Courier New" w:hAnsi="Courier New"/>
                <w:sz w:val="15"/>
                <w:szCs w:val="15"/>
                <w:color w:val="auto"/>
              </w:rPr>
              <w:t>compensation</w:t>
            </w: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161</w:t>
            </w:r>
          </w:p>
        </w:tc>
        <w:tc>
          <w:tcPr>
            <w:tcW w:w="152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38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Reduction of Stock Sharing Plan debt guarantee</w:t>
            </w: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9,470</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52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Purchase of treasury stock</w:t>
            </w:r>
          </w:p>
        </w:tc>
        <w:tc>
          <w:tcPr>
            <w:tcW w:w="1860" w:type="dxa"/>
            <w:vAlign w:val="bottom"/>
          </w:tcPr>
          <w:p>
            <w:pPr>
              <w:spacing w:after="0"/>
              <w:rPr>
                <w:sz w:val="14"/>
                <w:szCs w:val="14"/>
                <w:color w:val="auto"/>
              </w:rPr>
            </w:pP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(128)</w:t>
            </w:r>
          </w:p>
        </w:tc>
      </w:tr>
      <w:tr>
        <w:trPr>
          <w:trHeight w:val="171"/>
        </w:trPr>
        <w:tc>
          <w:tcPr>
            <w:tcW w:w="438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Foreign equity translation adjustment</w:t>
            </w: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(1,006)</w:t>
            </w:r>
          </w:p>
        </w:tc>
        <w:tc>
          <w:tcPr>
            <w:tcW w:w="16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2380" w:type="dxa"/>
            <w:vAlign w:val="bottom"/>
          </w:tcPr>
          <w:p>
            <w:pPr>
              <w:spacing w:after="0"/>
              <w:rPr>
                <w:sz w:val="20"/>
                <w:szCs w:val="20"/>
                <w:color w:val="auto"/>
              </w:rPr>
            </w:pPr>
            <w:r>
              <w:rPr>
                <w:rFonts w:ascii="Courier New" w:cs="Courier New" w:eastAsia="Courier New" w:hAnsi="Courier New"/>
                <w:sz w:val="15"/>
                <w:szCs w:val="15"/>
                <w:color w:val="auto"/>
              </w:rPr>
              <w:t>BALANCE, DECEMBER 31, 1993</w:t>
            </w:r>
          </w:p>
        </w:tc>
        <w:tc>
          <w:tcPr>
            <w:tcW w:w="1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28,850</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6,469</w:t>
            </w:r>
          </w:p>
        </w:tc>
        <w:tc>
          <w:tcPr>
            <w:tcW w:w="152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483,586</w:t>
            </w:r>
          </w:p>
        </w:tc>
        <w:tc>
          <w:tcPr>
            <w:tcW w:w="16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(14,880)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(17,572)</w:t>
            </w:r>
          </w:p>
        </w:tc>
      </w:tr>
      <w:tr>
        <w:trPr>
          <w:trHeight w:val="171"/>
        </w:trPr>
        <w:tc>
          <w:tcPr>
            <w:tcW w:w="2380" w:type="dxa"/>
            <w:vAlign w:val="bottom"/>
          </w:tcPr>
          <w:p>
            <w:pPr>
              <w:ind w:left="160"/>
              <w:spacing w:after="0"/>
              <w:rPr>
                <w:sz w:val="20"/>
                <w:szCs w:val="20"/>
                <w:color w:val="auto"/>
              </w:rPr>
            </w:pPr>
            <w:r>
              <w:rPr>
                <w:rFonts w:ascii="Courier New" w:cs="Courier New" w:eastAsia="Courier New" w:hAnsi="Courier New"/>
                <w:sz w:val="15"/>
                <w:szCs w:val="15"/>
                <w:color w:val="auto"/>
              </w:rPr>
              <w:t>Net loss</w:t>
            </w:r>
          </w:p>
        </w:tc>
        <w:tc>
          <w:tcPr>
            <w:tcW w:w="1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(7,906)</w:t>
            </w:r>
          </w:p>
        </w:tc>
        <w:tc>
          <w:tcPr>
            <w:tcW w:w="16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380" w:type="dxa"/>
            <w:vAlign w:val="bottom"/>
          </w:tcPr>
          <w:p>
            <w:pPr>
              <w:ind w:left="160"/>
              <w:spacing w:after="0"/>
              <w:rPr>
                <w:sz w:val="20"/>
                <w:szCs w:val="20"/>
                <w:color w:val="auto"/>
              </w:rPr>
            </w:pPr>
            <w:r>
              <w:rPr>
                <w:rFonts w:ascii="Courier New" w:cs="Courier New" w:eastAsia="Courier New" w:hAnsi="Courier New"/>
                <w:sz w:val="15"/>
                <w:szCs w:val="15"/>
                <w:color w:val="auto"/>
              </w:rPr>
              <w:t>Cash dividends, $.94 per</w:t>
            </w:r>
          </w:p>
        </w:tc>
        <w:tc>
          <w:tcPr>
            <w:tcW w:w="2000" w:type="dxa"/>
            <w:vAlign w:val="bottom"/>
            <w:gridSpan w:val="2"/>
          </w:tcPr>
          <w:p>
            <w:pPr>
              <w:spacing w:after="0"/>
              <w:rPr>
                <w:sz w:val="20"/>
                <w:szCs w:val="20"/>
                <w:color w:val="auto"/>
              </w:rPr>
            </w:pPr>
            <w:r>
              <w:rPr>
                <w:rFonts w:ascii="Courier New" w:cs="Courier New" w:eastAsia="Courier New" w:hAnsi="Courier New"/>
                <w:sz w:val="15"/>
                <w:szCs w:val="15"/>
                <w:color w:val="auto"/>
              </w:rPr>
              <w:t>share</w:t>
            </w: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(26,416)</w:t>
            </w:r>
          </w:p>
        </w:tc>
        <w:tc>
          <w:tcPr>
            <w:tcW w:w="16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38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Exercise of stock options, 7,700 shares</w:t>
            </w: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8</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117</w:t>
            </w:r>
          </w:p>
        </w:tc>
        <w:tc>
          <w:tcPr>
            <w:tcW w:w="152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380" w:type="dxa"/>
            <w:vAlign w:val="bottom"/>
          </w:tcPr>
          <w:p>
            <w:pPr>
              <w:ind w:left="160"/>
              <w:spacing w:after="0"/>
              <w:rPr>
                <w:sz w:val="20"/>
                <w:szCs w:val="20"/>
                <w:color w:val="auto"/>
              </w:rPr>
            </w:pPr>
            <w:r>
              <w:rPr>
                <w:rFonts w:ascii="Courier New" w:cs="Courier New" w:eastAsia="Courier New" w:hAnsi="Courier New"/>
                <w:sz w:val="15"/>
                <w:szCs w:val="15"/>
                <w:color w:val="auto"/>
              </w:rPr>
              <w:t>Amortization of unearned</w:t>
            </w:r>
          </w:p>
        </w:tc>
        <w:tc>
          <w:tcPr>
            <w:tcW w:w="2000" w:type="dxa"/>
            <w:vAlign w:val="bottom"/>
            <w:gridSpan w:val="2"/>
          </w:tcPr>
          <w:p>
            <w:pPr>
              <w:spacing w:after="0"/>
              <w:rPr>
                <w:sz w:val="20"/>
                <w:szCs w:val="20"/>
                <w:color w:val="auto"/>
              </w:rPr>
            </w:pPr>
            <w:r>
              <w:rPr>
                <w:rFonts w:ascii="Courier New" w:cs="Courier New" w:eastAsia="Courier New" w:hAnsi="Courier New"/>
                <w:sz w:val="15"/>
                <w:szCs w:val="15"/>
                <w:color w:val="auto"/>
              </w:rPr>
              <w:t>compensation</w:t>
            </w: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92</w:t>
            </w:r>
          </w:p>
        </w:tc>
        <w:tc>
          <w:tcPr>
            <w:tcW w:w="152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38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Reduction of Stock Sharing Plan debt guarantee</w:t>
            </w: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9,919</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52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Purchase of treasury stock</w:t>
            </w:r>
          </w:p>
        </w:tc>
        <w:tc>
          <w:tcPr>
            <w:tcW w:w="1860" w:type="dxa"/>
            <w:vAlign w:val="bottom"/>
          </w:tcPr>
          <w:p>
            <w:pPr>
              <w:spacing w:after="0"/>
              <w:rPr>
                <w:sz w:val="14"/>
                <w:szCs w:val="14"/>
                <w:color w:val="auto"/>
              </w:rPr>
            </w:pP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(47)</w:t>
            </w:r>
          </w:p>
        </w:tc>
      </w:tr>
      <w:tr>
        <w:trPr>
          <w:trHeight w:val="171"/>
        </w:trPr>
        <w:tc>
          <w:tcPr>
            <w:tcW w:w="438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Foreign equity translation adjustment</w:t>
            </w: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(1,377)</w:t>
            </w:r>
          </w:p>
        </w:tc>
        <w:tc>
          <w:tcPr>
            <w:tcW w:w="16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2380" w:type="dxa"/>
            <w:vAlign w:val="bottom"/>
          </w:tcPr>
          <w:p>
            <w:pPr>
              <w:spacing w:after="0"/>
              <w:rPr>
                <w:sz w:val="20"/>
                <w:szCs w:val="20"/>
                <w:color w:val="auto"/>
              </w:rPr>
            </w:pPr>
            <w:r>
              <w:rPr>
                <w:rFonts w:ascii="Courier New" w:cs="Courier New" w:eastAsia="Courier New" w:hAnsi="Courier New"/>
                <w:sz w:val="15"/>
                <w:szCs w:val="15"/>
                <w:color w:val="auto"/>
              </w:rPr>
              <w:t>BALANCE, DECEMBER 31, 1994</w:t>
            </w:r>
          </w:p>
        </w:tc>
        <w:tc>
          <w:tcPr>
            <w:tcW w:w="1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$28,858</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$6,678</w:t>
            </w:r>
          </w:p>
        </w:tc>
        <w:tc>
          <w:tcPr>
            <w:tcW w:w="152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$447,887</w:t>
            </w:r>
          </w:p>
        </w:tc>
        <w:tc>
          <w:tcPr>
            <w:tcW w:w="16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$(4,961)</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$(17,619)</w:t>
            </w:r>
          </w:p>
        </w:tc>
      </w:tr>
    </w:tbl>
    <w:p>
      <w:pPr>
        <w:spacing w:after="0" w:line="345" w:lineRule="exact"/>
        <w:rPr>
          <w:sz w:val="20"/>
          <w:szCs w:val="20"/>
          <w:color w:val="auto"/>
        </w:rPr>
      </w:pPr>
    </w:p>
    <w:p>
      <w:pPr>
        <w:ind w:right="4520"/>
        <w:spacing w:after="0" w:line="238" w:lineRule="auto"/>
        <w:rPr>
          <w:sz w:val="20"/>
          <w:szCs w:val="20"/>
          <w:color w:val="auto"/>
        </w:rPr>
      </w:pPr>
      <w:r>
        <w:rPr>
          <w:rFonts w:ascii="Courier New" w:cs="Courier New" w:eastAsia="Courier New" w:hAnsi="Courier New"/>
          <w:sz w:val="15"/>
          <w:szCs w:val="15"/>
          <w:color w:val="auto"/>
        </w:rPr>
        <w:t>The notes to consolidated financial statements are an integral part of these statements.</w:t>
      </w:r>
    </w:p>
    <w:p>
      <w:pPr>
        <w:sectPr>
          <w:pgSz w:w="11900" w:h="16838" w:orient="portrait"/>
          <w:cols w:equalWidth="0" w:num="1">
            <w:col w:w="11260"/>
          </w:cols>
          <w:pgMar w:left="240" w:top="287" w:right="399" w:bottom="1440" w:gutter="0" w:footer="0" w:header="0"/>
        </w:sectPr>
      </w:pPr>
    </w:p>
    <w:bookmarkStart w:id="37" w:name="page38"/>
    <w:bookmarkEnd w:id="37"/>
    <w:p>
      <w:pPr>
        <w:ind w:left="260"/>
        <w:spacing w:after="0"/>
        <w:rPr>
          <w:sz w:val="20"/>
          <w:szCs w:val="20"/>
          <w:color w:val="auto"/>
        </w:rPr>
      </w:pPr>
      <w:r>
        <w:rPr>
          <w:rFonts w:ascii="Courier New" w:cs="Courier New" w:eastAsia="Courier New" w:hAnsi="Courier New"/>
          <w:sz w:val="15"/>
          <w:szCs w:val="15"/>
          <w:color w:val="auto"/>
        </w:rPr>
        <w:t>23</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Yellow Corporation and Subsidiaries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PRINCIPLES OF CONSOLIDATION AND SUMMARY OF ACCOUNTING POLICIES</w:t>
      </w:r>
    </w:p>
    <w:p>
      <w:pPr>
        <w:spacing w:after="0" w:line="174"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The accompanying consolidated financial statements include the accounts of Yellow Corporation and its wholly-owned subsidiaries (the company). All significant intercompany accounts and transactions have been eliminated in consolidation. The company provides transportation services primarily to the less-than-truckload (LTL) market throughout North America.</w:t>
      </w:r>
    </w:p>
    <w:p>
      <w:pPr>
        <w:spacing w:after="0" w:line="4" w:lineRule="exact"/>
        <w:rPr>
          <w:sz w:val="20"/>
          <w:szCs w:val="20"/>
          <w:color w:val="auto"/>
        </w:rPr>
      </w:pPr>
    </w:p>
    <w:p>
      <w:pPr>
        <w:ind w:right="3219" w:firstLine="799"/>
        <w:spacing w:after="0" w:line="239" w:lineRule="auto"/>
        <w:rPr>
          <w:sz w:val="20"/>
          <w:szCs w:val="20"/>
          <w:color w:val="auto"/>
        </w:rPr>
      </w:pPr>
      <w:r>
        <w:rPr>
          <w:rFonts w:ascii="Courier New" w:cs="Courier New" w:eastAsia="Courier New" w:hAnsi="Courier New"/>
          <w:sz w:val="15"/>
          <w:szCs w:val="15"/>
          <w:color w:val="auto"/>
        </w:rPr>
        <w:t>Major accounting policies and practices used in the preparation of the accompanying financial statements not covered in other notes to consolidated financial statements are as follows:</w:t>
      </w:r>
    </w:p>
    <w:p>
      <w:pPr>
        <w:spacing w:after="0" w:line="175" w:lineRule="exact"/>
        <w:rPr>
          <w:sz w:val="20"/>
          <w:szCs w:val="20"/>
          <w:color w:val="auto"/>
        </w:rPr>
      </w:pPr>
    </w:p>
    <w:p>
      <w:pPr>
        <w:ind w:right="3219" w:firstLine="799"/>
        <w:spacing w:after="0" w:line="239" w:lineRule="auto"/>
        <w:rPr>
          <w:sz w:val="20"/>
          <w:szCs w:val="20"/>
          <w:color w:val="auto"/>
        </w:rPr>
      </w:pPr>
      <w:r>
        <w:rPr>
          <w:rFonts w:ascii="Courier New" w:cs="Courier New" w:eastAsia="Courier New" w:hAnsi="Courier New"/>
          <w:sz w:val="15"/>
          <w:szCs w:val="15"/>
          <w:color w:val="auto"/>
        </w:rPr>
        <w:t>Cash includes demand deposits and highly liquid investments purchased with original maturities of three months or less. All other investments, with maturities less than one year, are classified as short-term investments and are stated at cost which approximates market.</w:t>
      </w:r>
    </w:p>
    <w:p>
      <w:pPr>
        <w:spacing w:after="0" w:line="174"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The cost of tires on equipment is amortized over the estimated tire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lives.</w:t>
      </w:r>
    </w:p>
    <w:p>
      <w:pPr>
        <w:spacing w:after="0" w:line="174"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Fuel is carried at cost. The company uses heating oil swap and fixed price diesel fuel agreements to reduce a portion of the exposure to fluctuating diesel prices. The heating oil swap agreements provide for payments to be made or received based on the difference between fixed prices and variable prices. Gains and losses on the agreements are recognized as a component of fuel expense when the corresponding fuel is purchased.</w:t>
      </w:r>
    </w:p>
    <w:p>
      <w:pPr>
        <w:spacing w:after="0" w:line="175" w:lineRule="exact"/>
        <w:rPr>
          <w:sz w:val="20"/>
          <w:szCs w:val="20"/>
          <w:color w:val="auto"/>
        </w:rPr>
      </w:pPr>
    </w:p>
    <w:p>
      <w:pPr>
        <w:ind w:right="3299" w:firstLine="799"/>
        <w:spacing w:after="0" w:line="239" w:lineRule="auto"/>
        <w:rPr>
          <w:sz w:val="20"/>
          <w:szCs w:val="20"/>
          <w:color w:val="auto"/>
        </w:rPr>
      </w:pPr>
      <w:r>
        <w:rPr>
          <w:rFonts w:ascii="Courier New" w:cs="Courier New" w:eastAsia="Courier New" w:hAnsi="Courier New"/>
          <w:sz w:val="15"/>
          <w:szCs w:val="15"/>
          <w:color w:val="auto"/>
        </w:rPr>
        <w:t>Operating property is carried at cost less accumulated depreciation. Depreciation is computed using the straight-line method based on the following service lives:</w:t>
      </w:r>
    </w:p>
    <w:p>
      <w:pPr>
        <w:spacing w:after="0" w:line="200" w:lineRule="exact"/>
        <w:rPr>
          <w:sz w:val="20"/>
          <w:szCs w:val="20"/>
          <w:color w:val="auto"/>
        </w:rPr>
      </w:pPr>
    </w:p>
    <w:p>
      <w:pPr>
        <w:spacing w:after="0" w:line="314" w:lineRule="exact"/>
        <w:rPr>
          <w:sz w:val="20"/>
          <w:szCs w:val="20"/>
          <w:color w:val="auto"/>
        </w:rPr>
      </w:pPr>
    </w:p>
    <w:tbl>
      <w:tblPr>
        <w:tblLayout w:type="fixed"/>
        <w:tblInd w:w="1140" w:type="dxa"/>
        <w:tblCellMar>
          <w:top w:w="0" w:type="dxa"/>
          <w:left w:w="0" w:type="dxa"/>
          <w:bottom w:w="0" w:type="dxa"/>
          <w:right w:w="0" w:type="dxa"/>
        </w:tblCellMar>
      </w:tblPr>
      <w:tr>
        <w:trPr>
          <w:trHeight w:val="170"/>
        </w:trPr>
        <w:tc>
          <w:tcPr>
            <w:tcW w:w="316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Years</w:t>
            </w:r>
          </w:p>
        </w:tc>
      </w:tr>
      <w:tr>
        <w:trPr>
          <w:trHeight w:val="171"/>
        </w:trPr>
        <w:tc>
          <w:tcPr>
            <w:tcW w:w="316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160" w:type="dxa"/>
            <w:vAlign w:val="bottom"/>
          </w:tcPr>
          <w:p>
            <w:pPr>
              <w:spacing w:after="0"/>
              <w:rPr>
                <w:sz w:val="20"/>
                <w:szCs w:val="20"/>
                <w:color w:val="auto"/>
              </w:rPr>
            </w:pPr>
            <w:r>
              <w:rPr>
                <w:rFonts w:ascii="Courier New" w:cs="Courier New" w:eastAsia="Courier New" w:hAnsi="Courier New"/>
                <w:sz w:val="15"/>
                <w:szCs w:val="15"/>
                <w:color w:val="auto"/>
              </w:rPr>
              <w:t>Structures</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10-40</w:t>
            </w:r>
          </w:p>
        </w:tc>
      </w:tr>
      <w:tr>
        <w:trPr>
          <w:trHeight w:val="171"/>
        </w:trPr>
        <w:tc>
          <w:tcPr>
            <w:tcW w:w="3160" w:type="dxa"/>
            <w:vAlign w:val="bottom"/>
          </w:tcPr>
          <w:p>
            <w:pPr>
              <w:spacing w:after="0"/>
              <w:rPr>
                <w:sz w:val="20"/>
                <w:szCs w:val="20"/>
                <w:color w:val="auto"/>
              </w:rPr>
            </w:pPr>
            <w:r>
              <w:rPr>
                <w:rFonts w:ascii="Courier New" w:cs="Courier New" w:eastAsia="Courier New" w:hAnsi="Courier New"/>
                <w:sz w:val="15"/>
                <w:szCs w:val="15"/>
                <w:color w:val="auto"/>
              </w:rPr>
              <w:t>Revenue equipment</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5-10</w:t>
            </w:r>
          </w:p>
        </w:tc>
      </w:tr>
      <w:tr>
        <w:trPr>
          <w:trHeight w:val="171"/>
        </w:trPr>
        <w:tc>
          <w:tcPr>
            <w:tcW w:w="3160" w:type="dxa"/>
            <w:vAlign w:val="bottom"/>
          </w:tcPr>
          <w:p>
            <w:pPr>
              <w:spacing w:after="0"/>
              <w:rPr>
                <w:sz w:val="20"/>
                <w:szCs w:val="20"/>
                <w:color w:val="auto"/>
              </w:rPr>
            </w:pPr>
            <w:r>
              <w:rPr>
                <w:rFonts w:ascii="Courier New" w:cs="Courier New" w:eastAsia="Courier New" w:hAnsi="Courier New"/>
                <w:sz w:val="15"/>
                <w:szCs w:val="15"/>
                <w:color w:val="auto"/>
              </w:rPr>
              <w:t>Other operating property</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2-10</w:t>
            </w:r>
          </w:p>
        </w:tc>
      </w:tr>
    </w:tbl>
    <w:p>
      <w:pPr>
        <w:sectPr>
          <w:pgSz w:w="11900" w:h="16838" w:orient="portrait"/>
          <w:cols w:equalWidth="0" w:num="1">
            <w:col w:w="10219"/>
          </w:cols>
          <w:pgMar w:left="240" w:top="287" w:right="1440" w:bottom="1440" w:gutter="0" w:footer="0" w:header="0"/>
        </w:sectPr>
      </w:pPr>
    </w:p>
    <w:bookmarkStart w:id="38" w:name="page39"/>
    <w:bookmarkEnd w:id="38"/>
    <w:p>
      <w:pPr>
        <w:ind w:left="260"/>
        <w:spacing w:after="0"/>
        <w:rPr>
          <w:sz w:val="20"/>
          <w:szCs w:val="20"/>
          <w:color w:val="auto"/>
        </w:rPr>
      </w:pPr>
      <w:r>
        <w:rPr>
          <w:rFonts w:ascii="Courier New" w:cs="Courier New" w:eastAsia="Courier New" w:hAnsi="Courier New"/>
          <w:sz w:val="15"/>
          <w:szCs w:val="15"/>
          <w:color w:val="auto"/>
        </w:rPr>
        <w:t>24</w:t>
      </w:r>
    </w:p>
    <w:p>
      <w:pPr>
        <w:spacing w:after="0" w:line="3" w:lineRule="exact"/>
        <w:rPr>
          <w:sz w:val="20"/>
          <w:szCs w:val="20"/>
          <w:color w:val="auto"/>
        </w:rPr>
      </w:pPr>
    </w:p>
    <w:p>
      <w:pPr>
        <w:ind w:right="3399" w:firstLine="799"/>
        <w:spacing w:after="0"/>
        <w:rPr>
          <w:sz w:val="20"/>
          <w:szCs w:val="20"/>
          <w:color w:val="auto"/>
        </w:rPr>
      </w:pPr>
      <w:r>
        <w:rPr>
          <w:rFonts w:ascii="Courier New" w:cs="Courier New" w:eastAsia="Courier New" w:hAnsi="Courier New"/>
          <w:sz w:val="15"/>
          <w:szCs w:val="15"/>
          <w:color w:val="auto"/>
        </w:rPr>
        <w:t>Maintenance and repairs are charged to operations currently; replacements and improvements are capitalized. When revenue equipment is traded, the basis of the new equipment is reduced when the trade-in allowance exceeds the basis of the old equipment. The gain or loss for all other dispositions is reflected in other nonoperating (income) expense.</w:t>
      </w:r>
    </w:p>
    <w:p>
      <w:pPr>
        <w:spacing w:after="0" w:line="174" w:lineRule="exact"/>
        <w:rPr>
          <w:sz w:val="20"/>
          <w:szCs w:val="20"/>
          <w:color w:val="auto"/>
        </w:rPr>
      </w:pPr>
    </w:p>
    <w:p>
      <w:pPr>
        <w:ind w:right="3299" w:firstLine="799"/>
        <w:spacing w:after="0" w:line="261" w:lineRule="auto"/>
        <w:rPr>
          <w:sz w:val="20"/>
          <w:szCs w:val="20"/>
          <w:color w:val="auto"/>
        </w:rPr>
      </w:pPr>
      <w:r>
        <w:rPr>
          <w:rFonts w:ascii="Courier New" w:cs="Courier New" w:eastAsia="Courier New" w:hAnsi="Courier New"/>
          <w:sz w:val="14"/>
          <w:szCs w:val="14"/>
          <w:color w:val="auto"/>
        </w:rPr>
        <w:t>Acquisitions have been accounted for by the purchase method. Earnings of the acquired companies are included in the accompanying consolidated financial statements since the date of acquisition. The excess of the purchase price over net assets acquired is included with other long-term assets and is being amortized over 20 years using the straight-line method.</w:t>
      </w:r>
    </w:p>
    <w:p>
      <w:pPr>
        <w:spacing w:after="0" w:line="162"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Claims and insurance accruals, both current and long-term, reflect the estimated cost of claims for workers' compensation, cargo loss and damage, and bodily injury and property damage not covered by insurance. These costs are included in claims and insurance expense except for workers' compensation which is included in employees' benefits expense.</w:t>
      </w:r>
    </w:p>
    <w:p>
      <w:pPr>
        <w:spacing w:after="0" w:line="4" w:lineRule="exact"/>
        <w:rPr>
          <w:sz w:val="20"/>
          <w:szCs w:val="20"/>
          <w:color w:val="auto"/>
        </w:rPr>
      </w:pPr>
    </w:p>
    <w:p>
      <w:pPr>
        <w:ind w:right="3299" w:firstLine="799"/>
        <w:spacing w:after="0" w:line="258" w:lineRule="auto"/>
        <w:rPr>
          <w:sz w:val="20"/>
          <w:szCs w:val="20"/>
          <w:color w:val="auto"/>
        </w:rPr>
      </w:pPr>
      <w:r>
        <w:rPr>
          <w:rFonts w:ascii="Courier New" w:cs="Courier New" w:eastAsia="Courier New" w:hAnsi="Courier New"/>
          <w:sz w:val="14"/>
          <w:szCs w:val="14"/>
          <w:color w:val="auto"/>
        </w:rPr>
        <w:t>Reserves for workers' compensation are based upon actuarial analyses prepared by independent actuaries and are discounted to present value using a risk-free rate. The risk-free rate is the U.S. Treasury rate for maturities that match the expected pay-out of workers' compensation liabilities. The process of determining reserve requirements utilizes historical trends and involves an evaluation of claim frequency, severity and other factors. The effect of future inflation for both medical costs and lost wages is implicitly considered in the actuarial analyses. Adjustments to previously established reserves, if required, are included in operating results.</w:t>
      </w:r>
    </w:p>
    <w:p>
      <w:pPr>
        <w:spacing w:after="0" w:line="2" w:lineRule="exact"/>
        <w:rPr>
          <w:sz w:val="20"/>
          <w:szCs w:val="20"/>
          <w:color w:val="auto"/>
        </w:rPr>
      </w:pPr>
    </w:p>
    <w:p>
      <w:pPr>
        <w:ind w:right="3299" w:firstLine="799"/>
        <w:spacing w:after="0" w:line="239" w:lineRule="auto"/>
        <w:rPr>
          <w:sz w:val="20"/>
          <w:szCs w:val="20"/>
          <w:color w:val="auto"/>
        </w:rPr>
      </w:pPr>
      <w:r>
        <w:rPr>
          <w:rFonts w:ascii="Courier New" w:cs="Courier New" w:eastAsia="Courier New" w:hAnsi="Courier New"/>
          <w:sz w:val="15"/>
          <w:szCs w:val="15"/>
          <w:color w:val="auto"/>
        </w:rPr>
        <w:t>At December 31, 1994 and 1993, estimated future payments for workers' compensation claims aggregated $162.0 million and $162.1 million. The present value of these estimated future payments was $139.8 million at December 31, 1994 and $142.3 million at December 31, 1993.</w:t>
      </w:r>
    </w:p>
    <w:p>
      <w:pPr>
        <w:spacing w:after="0" w:line="176" w:lineRule="exact"/>
        <w:rPr>
          <w:sz w:val="20"/>
          <w:szCs w:val="20"/>
          <w:color w:val="auto"/>
        </w:rPr>
      </w:pPr>
    </w:p>
    <w:p>
      <w:pPr>
        <w:ind w:right="3299" w:firstLine="799"/>
        <w:spacing w:after="0" w:line="238" w:lineRule="auto"/>
        <w:rPr>
          <w:sz w:val="20"/>
          <w:szCs w:val="20"/>
          <w:color w:val="auto"/>
        </w:rPr>
      </w:pPr>
      <w:r>
        <w:rPr>
          <w:rFonts w:ascii="Courier New" w:cs="Courier New" w:eastAsia="Courier New" w:hAnsi="Courier New"/>
          <w:sz w:val="15"/>
          <w:szCs w:val="15"/>
          <w:color w:val="auto"/>
        </w:rPr>
        <w:t>Revenue is recognized on a percentage completion basis while expenses are recognized as incurred.</w:t>
      </w:r>
    </w:p>
    <w:p>
      <w:pPr>
        <w:spacing w:after="0" w:line="175" w:lineRule="exact"/>
        <w:rPr>
          <w:sz w:val="20"/>
          <w:szCs w:val="20"/>
          <w:color w:val="auto"/>
        </w:rPr>
      </w:pPr>
    </w:p>
    <w:p>
      <w:pPr>
        <w:ind w:right="3919" w:firstLine="799"/>
        <w:spacing w:after="0" w:line="271" w:lineRule="auto"/>
        <w:rPr>
          <w:sz w:val="20"/>
          <w:szCs w:val="20"/>
          <w:color w:val="auto"/>
        </w:rPr>
      </w:pPr>
      <w:r>
        <w:rPr>
          <w:rFonts w:ascii="Courier New" w:cs="Courier New" w:eastAsia="Courier New" w:hAnsi="Courier New"/>
          <w:sz w:val="14"/>
          <w:szCs w:val="14"/>
          <w:color w:val="auto"/>
        </w:rPr>
        <w:t>Certain reclassifications have been made to the prior year consolidated financial statements to conform with current presentation.</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ACQUISITIONS</w:t>
      </w:r>
    </w:p>
    <w:p>
      <w:pPr>
        <w:spacing w:after="0" w:line="174" w:lineRule="exact"/>
        <w:rPr>
          <w:sz w:val="20"/>
          <w:szCs w:val="20"/>
          <w:color w:val="auto"/>
        </w:rPr>
      </w:pPr>
    </w:p>
    <w:p>
      <w:pPr>
        <w:ind w:right="3299" w:firstLine="799"/>
        <w:spacing w:after="0" w:line="239" w:lineRule="auto"/>
        <w:rPr>
          <w:sz w:val="20"/>
          <w:szCs w:val="20"/>
          <w:color w:val="auto"/>
        </w:rPr>
      </w:pPr>
      <w:r>
        <w:rPr>
          <w:rFonts w:ascii="Courier New" w:cs="Courier New" w:eastAsia="Courier New" w:hAnsi="Courier New"/>
          <w:sz w:val="15"/>
          <w:szCs w:val="15"/>
          <w:color w:val="auto"/>
        </w:rPr>
        <w:t>In November 1994 the company acquired Johnson's Freightlines (renamed WestEx), a Phoenix, AZ-based regional LTL carrier with annual revenue of approximately $17.0 million.</w:t>
      </w:r>
    </w:p>
    <w:p>
      <w:pPr>
        <w:spacing w:after="0" w:line="4"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In February 1993 the company acquired the stock of Preston Corporation (Preston) for $25.3 million, including related expenses. Preston is the holding company for principally three regional LTL carriers serving the Northeast, upper Midwest and Southeast United States. Preston's total debt at the date of acquisition was $135.0 million, of which $78.1 million was repaid with funds advanced to Preston by the company. The company recorded fair values at the date of acquisition of $246.3 million for assets acquired and $232.4 million for liabilities assumed, resulting in an excess of the purchase price over net assets acquired of $11.4 million. The accompanying consolidated financial statements include the results of Preston effective March 1, 1993. Assuming the acquisition of Preston</w:t>
      </w:r>
    </w:p>
    <w:p>
      <w:pPr>
        <w:sectPr>
          <w:pgSz w:w="11900" w:h="16838" w:orient="portrait"/>
          <w:cols w:equalWidth="0" w:num="1">
            <w:col w:w="10219"/>
          </w:cols>
          <w:pgMar w:left="240" w:top="287" w:right="1440" w:bottom="1440" w:gutter="0" w:footer="0" w:header="0"/>
        </w:sectPr>
      </w:pPr>
    </w:p>
    <w:bookmarkStart w:id="39" w:name="page40"/>
    <w:bookmarkEnd w:id="39"/>
    <w:p>
      <w:pPr>
        <w:ind w:left="260"/>
        <w:spacing w:after="0"/>
        <w:rPr>
          <w:sz w:val="20"/>
          <w:szCs w:val="20"/>
          <w:color w:val="auto"/>
        </w:rPr>
      </w:pPr>
      <w:r>
        <w:rPr>
          <w:rFonts w:ascii="Courier New" w:cs="Courier New" w:eastAsia="Courier New" w:hAnsi="Courier New"/>
          <w:sz w:val="15"/>
          <w:szCs w:val="15"/>
          <w:color w:val="auto"/>
        </w:rPr>
        <w:t>25</w:t>
      </w:r>
    </w:p>
    <w:p>
      <w:pPr>
        <w:spacing w:after="0" w:line="3"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had occurred on January 1, 1992, the company's unaudited results of operations are as follows (in thousands, except per share data) for the twelve months ended December 31:</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2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1993</w:t>
            </w:r>
          </w:p>
        </w:tc>
        <w:tc>
          <w:tcPr>
            <w:tcW w:w="800" w:type="dxa"/>
            <w:vAlign w:val="bottom"/>
          </w:tcPr>
          <w:p>
            <w:pPr>
              <w:spacing w:after="0"/>
              <w:rPr>
                <w:sz w:val="14"/>
                <w:szCs w:val="14"/>
                <w:color w:val="auto"/>
              </w:rPr>
            </w:pP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1992</w:t>
            </w:r>
          </w:p>
        </w:tc>
      </w:tr>
      <w:tr>
        <w:trPr>
          <w:trHeight w:val="341"/>
        </w:trPr>
        <w:tc>
          <w:tcPr>
            <w:tcW w:w="5180" w:type="dxa"/>
            <w:vAlign w:val="bottom"/>
          </w:tcPr>
          <w:p>
            <w:pPr>
              <w:spacing w:after="0"/>
              <w:rPr>
                <w:sz w:val="20"/>
                <w:szCs w:val="20"/>
                <w:color w:val="auto"/>
              </w:rPr>
            </w:pPr>
            <w:r>
              <w:rPr>
                <w:rFonts w:ascii="Courier New" w:cs="Courier New" w:eastAsia="Courier New" w:hAnsi="Courier New"/>
                <w:sz w:val="15"/>
                <w:szCs w:val="15"/>
                <w:color w:val="auto"/>
              </w:rPr>
              <w:t>Operating revenue</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646"/>
              <w:spacing w:after="0"/>
              <w:rPr>
                <w:sz w:val="20"/>
                <w:szCs w:val="20"/>
                <w:color w:val="auto"/>
              </w:rPr>
            </w:pPr>
            <w:r>
              <w:rPr>
                <w:rFonts w:ascii="Courier New" w:cs="Courier New" w:eastAsia="Courier New" w:hAnsi="Courier New"/>
                <w:sz w:val="15"/>
                <w:szCs w:val="15"/>
                <w:color w:val="auto"/>
                <w:w w:val="96"/>
              </w:rPr>
              <w:t>2,943,613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2,843,768</w:t>
            </w:r>
          </w:p>
        </w:tc>
      </w:tr>
      <w:tr>
        <w:trPr>
          <w:trHeight w:val="171"/>
        </w:trPr>
        <w:tc>
          <w:tcPr>
            <w:tcW w:w="5180" w:type="dxa"/>
            <w:vAlign w:val="bottom"/>
          </w:tcPr>
          <w:p>
            <w:pPr>
              <w:spacing w:after="0"/>
              <w:rPr>
                <w:sz w:val="20"/>
                <w:szCs w:val="20"/>
                <w:color w:val="auto"/>
              </w:rPr>
            </w:pPr>
            <w:r>
              <w:rPr>
                <w:rFonts w:ascii="Courier New" w:cs="Courier New" w:eastAsia="Courier New" w:hAnsi="Courier New"/>
                <w:sz w:val="15"/>
                <w:szCs w:val="15"/>
                <w:color w:val="auto"/>
              </w:rPr>
              <w:t>Income before cumulative effect of accounting change</w:t>
            </w:r>
          </w:p>
        </w:tc>
        <w:tc>
          <w:tcPr>
            <w:tcW w:w="660" w:type="dxa"/>
            <w:vAlign w:val="bottom"/>
          </w:tcPr>
          <w:p>
            <w:pPr>
              <w:spacing w:after="0"/>
              <w:rPr>
                <w:sz w:val="14"/>
                <w:szCs w:val="14"/>
                <w:color w:val="auto"/>
              </w:rPr>
            </w:pPr>
          </w:p>
        </w:tc>
        <w:tc>
          <w:tcPr>
            <w:tcW w:w="152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12,739</w:t>
            </w:r>
          </w:p>
        </w:tc>
        <w:tc>
          <w:tcPr>
            <w:tcW w:w="8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31,047</w:t>
            </w:r>
          </w:p>
        </w:tc>
      </w:tr>
      <w:tr>
        <w:trPr>
          <w:trHeight w:val="171"/>
        </w:trPr>
        <w:tc>
          <w:tcPr>
            <w:tcW w:w="51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660" w:type="dxa"/>
            <w:vAlign w:val="bottom"/>
          </w:tcPr>
          <w:p>
            <w:pPr>
              <w:spacing w:after="0"/>
              <w:rPr>
                <w:sz w:val="14"/>
                <w:szCs w:val="14"/>
                <w:color w:val="auto"/>
              </w:rPr>
            </w:pPr>
          </w:p>
        </w:tc>
        <w:tc>
          <w:tcPr>
            <w:tcW w:w="152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11,634</w:t>
            </w:r>
          </w:p>
        </w:tc>
        <w:tc>
          <w:tcPr>
            <w:tcW w:w="8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18,710</w:t>
            </w:r>
          </w:p>
        </w:tc>
      </w:tr>
      <w:tr>
        <w:trPr>
          <w:trHeight w:val="341"/>
        </w:trPr>
        <w:tc>
          <w:tcPr>
            <w:tcW w:w="5180" w:type="dxa"/>
            <w:vAlign w:val="bottom"/>
          </w:tcPr>
          <w:p>
            <w:pPr>
              <w:spacing w:after="0"/>
              <w:rPr>
                <w:sz w:val="20"/>
                <w:szCs w:val="20"/>
                <w:color w:val="auto"/>
              </w:rPr>
            </w:pPr>
            <w:r>
              <w:rPr>
                <w:rFonts w:ascii="Courier New" w:cs="Courier New" w:eastAsia="Courier New" w:hAnsi="Courier New"/>
                <w:sz w:val="15"/>
                <w:szCs w:val="15"/>
                <w:color w:val="auto"/>
              </w:rPr>
              <w:t>Earnings per share:</w:t>
            </w:r>
          </w:p>
        </w:tc>
        <w:tc>
          <w:tcPr>
            <w:tcW w:w="6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5180" w:type="dxa"/>
            <w:vAlign w:val="bottom"/>
          </w:tcPr>
          <w:p>
            <w:pPr>
              <w:spacing w:after="0"/>
              <w:rPr>
                <w:sz w:val="20"/>
                <w:szCs w:val="20"/>
                <w:color w:val="auto"/>
              </w:rPr>
            </w:pPr>
            <w:r>
              <w:rPr>
                <w:rFonts w:ascii="Courier New" w:cs="Courier New" w:eastAsia="Courier New" w:hAnsi="Courier New"/>
                <w:sz w:val="15"/>
                <w:szCs w:val="15"/>
                <w:color w:val="auto"/>
              </w:rPr>
              <w:t>Income before cumulative effect of accounting change</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.45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1.11</w:t>
            </w:r>
          </w:p>
        </w:tc>
      </w:tr>
      <w:tr>
        <w:trPr>
          <w:trHeight w:val="171"/>
        </w:trPr>
        <w:tc>
          <w:tcPr>
            <w:tcW w:w="51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660" w:type="dxa"/>
            <w:vAlign w:val="bottom"/>
          </w:tcPr>
          <w:p>
            <w:pPr>
              <w:spacing w:after="0"/>
              <w:rPr>
                <w:sz w:val="14"/>
                <w:szCs w:val="14"/>
                <w:color w:val="auto"/>
              </w:rPr>
            </w:pPr>
          </w:p>
        </w:tc>
        <w:tc>
          <w:tcPr>
            <w:tcW w:w="152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.41</w:t>
            </w:r>
          </w:p>
        </w:tc>
        <w:tc>
          <w:tcPr>
            <w:tcW w:w="8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.67</w:t>
            </w:r>
          </w:p>
        </w:tc>
      </w:tr>
    </w:tbl>
    <w:p>
      <w:pPr>
        <w:spacing w:after="0" w:line="345" w:lineRule="exact"/>
        <w:rPr>
          <w:sz w:val="20"/>
          <w:szCs w:val="20"/>
          <w:color w:val="auto"/>
        </w:rPr>
      </w:pPr>
    </w:p>
    <w:p>
      <w:pPr>
        <w:ind w:right="3219" w:firstLine="799"/>
        <w:spacing w:after="0" w:line="264" w:lineRule="auto"/>
        <w:rPr>
          <w:sz w:val="20"/>
          <w:szCs w:val="20"/>
          <w:color w:val="auto"/>
        </w:rPr>
      </w:pPr>
      <w:r>
        <w:rPr>
          <w:rFonts w:ascii="Courier New" w:cs="Courier New" w:eastAsia="Courier New" w:hAnsi="Courier New"/>
          <w:sz w:val="14"/>
          <w:szCs w:val="14"/>
          <w:color w:val="auto"/>
        </w:rPr>
        <w:t>The unaudited pro forma results are not necessarily indicative of what would have occurred if the Preston acquisition had been consummated at the beginning of each year, nor are they necessarily indicative of future results.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SPECIAL CHARGES</w:t>
      </w:r>
    </w:p>
    <w:p>
      <w:pPr>
        <w:spacing w:after="0" w:line="174" w:lineRule="exact"/>
        <w:rPr>
          <w:sz w:val="20"/>
          <w:szCs w:val="20"/>
          <w:color w:val="auto"/>
        </w:rPr>
      </w:pPr>
    </w:p>
    <w:p>
      <w:pPr>
        <w:ind w:right="3299" w:firstLine="799"/>
        <w:spacing w:after="0" w:line="258" w:lineRule="auto"/>
        <w:rPr>
          <w:sz w:val="20"/>
          <w:szCs w:val="20"/>
          <w:color w:val="auto"/>
        </w:rPr>
      </w:pPr>
      <w:r>
        <w:rPr>
          <w:rFonts w:ascii="Courier New" w:cs="Courier New" w:eastAsia="Courier New" w:hAnsi="Courier New"/>
          <w:sz w:val="14"/>
          <w:szCs w:val="14"/>
          <w:color w:val="auto"/>
        </w:rPr>
        <w:t>In the third quarter of 1994, the company recorded a charge to earnings of $6.7 million, $4.1 million after taxes, or $.14 per share. This charge, recorded as an extraordinary item, was to write-off the book value of its intrastate operating rights. The non-cash charge resulted from the passage of the Trucking Industry Regulatory Reform Act of 1994 which deregulated the entry and rates for intrastate operations of all transportation companies.</w:t>
      </w:r>
    </w:p>
    <w:p>
      <w:pPr>
        <w:spacing w:after="0" w:line="1"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In the second quarter of 1993, the company's primary subsidiary, Yellow Freight System, Inc., began an extensive multi-year network development process by consolidating and realigning terminals to improve customer service and reduce costs. A charge of $18.0 million, $11.2 million after taxes, or $.40 per share, was recorded for the costs to close certain facilities and dispose of excess property.</w:t>
      </w:r>
    </w:p>
    <w:p>
      <w:pPr>
        <w:spacing w:after="0" w:line="4" w:lineRule="exact"/>
        <w:rPr>
          <w:sz w:val="20"/>
          <w:szCs w:val="20"/>
          <w:color w:val="auto"/>
        </w:rPr>
      </w:pPr>
    </w:p>
    <w:p>
      <w:pPr>
        <w:ind w:right="3299" w:firstLine="799"/>
        <w:spacing w:after="0"/>
        <w:rPr>
          <w:sz w:val="20"/>
          <w:szCs w:val="20"/>
          <w:color w:val="auto"/>
        </w:rPr>
      </w:pPr>
      <w:r>
        <w:rPr>
          <w:rFonts w:ascii="Courier New" w:cs="Courier New" w:eastAsia="Courier New" w:hAnsi="Courier New"/>
          <w:sz w:val="15"/>
          <w:szCs w:val="15"/>
          <w:color w:val="auto"/>
        </w:rPr>
        <w:t>In the first quarter of 1992, the company recorded a nonoperating charge of $18.4 million, $11.5 million after taxes, or $.41 per share. This charge, which had no impact on cash flow, is the cumulative effect of a change in revenue recognition policy. Since January 1, 1992, revenue has been recognized on a percentage completion basis. Prior to that time, revenue was recognized when a shipment was picked up.</w:t>
      </w:r>
    </w:p>
    <w:p>
      <w:pPr>
        <w:sectPr>
          <w:pgSz w:w="11900" w:h="16838" w:orient="portrait"/>
          <w:cols w:equalWidth="0" w:num="1">
            <w:col w:w="10219"/>
          </w:cols>
          <w:pgMar w:left="240" w:top="287" w:right="1440" w:bottom="1440" w:gutter="0" w:footer="0" w:header="0"/>
        </w:sectPr>
      </w:pPr>
    </w:p>
    <w:bookmarkStart w:id="40" w:name="page41"/>
    <w:bookmarkEnd w:id="40"/>
    <w:p>
      <w:pPr>
        <w:ind w:left="260"/>
        <w:spacing w:after="0"/>
        <w:rPr>
          <w:sz w:val="20"/>
          <w:szCs w:val="20"/>
          <w:color w:val="auto"/>
        </w:rPr>
      </w:pPr>
      <w:r>
        <w:rPr>
          <w:rFonts w:ascii="Courier New" w:cs="Courier New" w:eastAsia="Courier New" w:hAnsi="Courier New"/>
          <w:sz w:val="15"/>
          <w:szCs w:val="15"/>
          <w:color w:val="auto"/>
        </w:rPr>
        <w:t>26</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DEBT</w:t>
      </w:r>
    </w:p>
    <w:p>
      <w:pPr>
        <w:spacing w:after="0" w:line="174" w:lineRule="exact"/>
        <w:rPr>
          <w:sz w:val="20"/>
          <w:szCs w:val="20"/>
          <w:color w:val="auto"/>
        </w:rPr>
      </w:pPr>
    </w:p>
    <w:p>
      <w:pPr>
        <w:ind w:right="4019" w:firstLine="799"/>
        <w:spacing w:after="0" w:line="238" w:lineRule="auto"/>
        <w:rPr>
          <w:sz w:val="20"/>
          <w:szCs w:val="20"/>
          <w:color w:val="auto"/>
        </w:rPr>
      </w:pPr>
      <w:r>
        <w:rPr>
          <w:rFonts w:ascii="Courier New" w:cs="Courier New" w:eastAsia="Courier New" w:hAnsi="Courier New"/>
          <w:sz w:val="15"/>
          <w:szCs w:val="15"/>
          <w:color w:val="auto"/>
        </w:rPr>
        <w:t>At December 31, long-term debt consisted of the following (in thousands):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1994</w:t>
            </w:r>
          </w:p>
        </w:tc>
        <w:tc>
          <w:tcPr>
            <w:tcW w:w="14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1993</w:t>
            </w:r>
          </w:p>
        </w:tc>
      </w:tr>
      <w:tr>
        <w:trPr>
          <w:trHeight w:val="341"/>
        </w:trPr>
        <w:tc>
          <w:tcPr>
            <w:tcW w:w="4480" w:type="dxa"/>
            <w:vAlign w:val="bottom"/>
            <w:gridSpan w:val="3"/>
          </w:tcPr>
          <w:p>
            <w:pPr>
              <w:spacing w:after="0"/>
              <w:rPr>
                <w:sz w:val="20"/>
                <w:szCs w:val="20"/>
                <w:color w:val="auto"/>
              </w:rPr>
            </w:pPr>
            <w:r>
              <w:rPr>
                <w:rFonts w:ascii="Courier New" w:cs="Courier New" w:eastAsia="Courier New" w:hAnsi="Courier New"/>
                <w:sz w:val="15"/>
                <w:szCs w:val="15"/>
                <w:color w:val="auto"/>
              </w:rPr>
              <w:t>Commercial paper</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$58,949</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$24,968</w:t>
            </w:r>
          </w:p>
        </w:tc>
      </w:tr>
      <w:tr>
        <w:trPr>
          <w:trHeight w:val="171"/>
        </w:trPr>
        <w:tc>
          <w:tcPr>
            <w:tcW w:w="4480" w:type="dxa"/>
            <w:vAlign w:val="bottom"/>
            <w:gridSpan w:val="3"/>
          </w:tcPr>
          <w:p>
            <w:pPr>
              <w:spacing w:after="0"/>
              <w:rPr>
                <w:sz w:val="20"/>
                <w:szCs w:val="20"/>
                <w:color w:val="auto"/>
              </w:rPr>
            </w:pPr>
            <w:r>
              <w:rPr>
                <w:rFonts w:ascii="Courier New" w:cs="Courier New" w:eastAsia="Courier New" w:hAnsi="Courier New"/>
                <w:sz w:val="15"/>
                <w:szCs w:val="15"/>
                <w:color w:val="auto"/>
              </w:rPr>
              <w:t>Medium-term notes</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114,250</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111,250</w:t>
            </w:r>
          </w:p>
        </w:tc>
      </w:tr>
      <w:tr>
        <w:trPr>
          <w:trHeight w:val="171"/>
        </w:trPr>
        <w:tc>
          <w:tcPr>
            <w:tcW w:w="4480" w:type="dxa"/>
            <w:vAlign w:val="bottom"/>
            <w:gridSpan w:val="3"/>
          </w:tcPr>
          <w:p>
            <w:pPr>
              <w:spacing w:after="0"/>
              <w:rPr>
                <w:sz w:val="20"/>
                <w:szCs w:val="20"/>
                <w:color w:val="auto"/>
              </w:rPr>
            </w:pPr>
            <w:r>
              <w:rPr>
                <w:rFonts w:ascii="Courier New" w:cs="Courier New" w:eastAsia="Courier New" w:hAnsi="Courier New"/>
                <w:sz w:val="15"/>
                <w:szCs w:val="15"/>
                <w:color w:val="auto"/>
              </w:rPr>
              <w:t>Stock Sharing Plan debt guarantee</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4,961</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14,880</w:t>
            </w:r>
          </w:p>
        </w:tc>
      </w:tr>
      <w:tr>
        <w:trPr>
          <w:trHeight w:val="171"/>
        </w:trPr>
        <w:tc>
          <w:tcPr>
            <w:tcW w:w="4480" w:type="dxa"/>
            <w:vAlign w:val="bottom"/>
            <w:gridSpan w:val="3"/>
          </w:tcPr>
          <w:p>
            <w:pPr>
              <w:spacing w:after="0"/>
              <w:rPr>
                <w:sz w:val="20"/>
                <w:szCs w:val="20"/>
                <w:color w:val="auto"/>
              </w:rPr>
            </w:pPr>
            <w:r>
              <w:rPr>
                <w:rFonts w:ascii="Courier New" w:cs="Courier New" w:eastAsia="Courier New" w:hAnsi="Courier New"/>
                <w:sz w:val="15"/>
                <w:szCs w:val="15"/>
                <w:color w:val="auto"/>
              </w:rPr>
              <w:t>Industrial development bonds</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32,100</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32,883</w:t>
            </w:r>
          </w:p>
        </w:tc>
      </w:tr>
      <w:tr>
        <w:trPr>
          <w:trHeight w:val="171"/>
        </w:trPr>
        <w:tc>
          <w:tcPr>
            <w:tcW w:w="4480" w:type="dxa"/>
            <w:vAlign w:val="bottom"/>
            <w:gridSpan w:val="3"/>
          </w:tcPr>
          <w:p>
            <w:pPr>
              <w:spacing w:after="0"/>
              <w:rPr>
                <w:sz w:val="20"/>
                <w:szCs w:val="20"/>
                <w:color w:val="auto"/>
              </w:rPr>
            </w:pPr>
            <w:r>
              <w:rPr>
                <w:rFonts w:ascii="Courier New" w:cs="Courier New" w:eastAsia="Courier New" w:hAnsi="Courier New"/>
                <w:sz w:val="15"/>
                <w:szCs w:val="15"/>
                <w:color w:val="auto"/>
              </w:rPr>
              <w:t>Capital leases and other</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12,334</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17,583</w:t>
            </w:r>
          </w:p>
        </w:tc>
      </w:tr>
      <w:tr>
        <w:trPr>
          <w:trHeight w:val="171"/>
        </w:trPr>
        <w:tc>
          <w:tcPr>
            <w:tcW w:w="1100" w:type="dxa"/>
            <w:vAlign w:val="bottom"/>
            <w:gridSpan w:val="2"/>
          </w:tcPr>
          <w:p>
            <w:pPr>
              <w:spacing w:after="0"/>
              <w:rPr>
                <w:sz w:val="20"/>
                <w:szCs w:val="20"/>
                <w:color w:val="auto"/>
              </w:rPr>
            </w:pPr>
            <w:r>
              <w:rPr>
                <w:rFonts w:ascii="Courier New" w:cs="Courier New" w:eastAsia="Courier New" w:hAnsi="Courier New"/>
                <w:sz w:val="15"/>
                <w:szCs w:val="15"/>
                <w:color w:val="auto"/>
                <w:w w:val="99"/>
              </w:rPr>
              <w:t>Subordinated</w:t>
            </w:r>
          </w:p>
        </w:tc>
        <w:tc>
          <w:tcPr>
            <w:tcW w:w="3380" w:type="dxa"/>
            <w:vAlign w:val="bottom"/>
          </w:tcPr>
          <w:p>
            <w:pPr>
              <w:ind w:left="40"/>
              <w:spacing w:after="0"/>
              <w:rPr>
                <w:sz w:val="20"/>
                <w:szCs w:val="20"/>
                <w:color w:val="auto"/>
              </w:rPr>
            </w:pPr>
            <w:r>
              <w:rPr>
                <w:rFonts w:ascii="Courier New" w:cs="Courier New" w:eastAsia="Courier New" w:hAnsi="Courier New"/>
                <w:sz w:val="15"/>
                <w:szCs w:val="15"/>
                <w:color w:val="auto"/>
              </w:rPr>
              <w:t>debentures</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25,166</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24,939</w:t>
            </w:r>
          </w:p>
        </w:tc>
      </w:tr>
      <w:tr>
        <w:trPr>
          <w:trHeight w:val="171"/>
        </w:trPr>
        <w:tc>
          <w:tcPr>
            <w:tcW w:w="700" w:type="dxa"/>
            <w:vAlign w:val="bottom"/>
          </w:tcPr>
          <w:p>
            <w:pPr>
              <w:spacing w:after="0"/>
              <w:rPr>
                <w:sz w:val="14"/>
                <w:szCs w:val="14"/>
                <w:color w:val="auto"/>
              </w:rPr>
            </w:pPr>
          </w:p>
        </w:tc>
        <w:tc>
          <w:tcPr>
            <w:tcW w:w="37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Total debt</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247,760</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226,503</w:t>
            </w:r>
          </w:p>
        </w:tc>
      </w:tr>
      <w:tr>
        <w:trPr>
          <w:trHeight w:val="171"/>
        </w:trPr>
        <w:tc>
          <w:tcPr>
            <w:tcW w:w="4480" w:type="dxa"/>
            <w:vAlign w:val="bottom"/>
            <w:gridSpan w:val="3"/>
          </w:tcPr>
          <w:p>
            <w:pPr>
              <w:spacing w:after="0"/>
              <w:rPr>
                <w:sz w:val="20"/>
                <w:szCs w:val="20"/>
                <w:color w:val="auto"/>
              </w:rPr>
            </w:pPr>
            <w:r>
              <w:rPr>
                <w:rFonts w:ascii="Courier New" w:cs="Courier New" w:eastAsia="Courier New" w:hAnsi="Courier New"/>
                <w:sz w:val="15"/>
                <w:szCs w:val="15"/>
                <w:color w:val="auto"/>
              </w:rPr>
              <w:t>Less - current maturities</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7,741</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12,327</w:t>
            </w:r>
          </w:p>
        </w:tc>
      </w:tr>
      <w:tr>
        <w:trPr>
          <w:trHeight w:val="171"/>
        </w:trPr>
        <w:tc>
          <w:tcPr>
            <w:tcW w:w="700" w:type="dxa"/>
            <w:vAlign w:val="bottom"/>
          </w:tcPr>
          <w:p>
            <w:pPr>
              <w:spacing w:after="0"/>
              <w:rPr>
                <w:sz w:val="14"/>
                <w:szCs w:val="14"/>
                <w:color w:val="auto"/>
              </w:rPr>
            </w:pPr>
          </w:p>
        </w:tc>
        <w:tc>
          <w:tcPr>
            <w:tcW w:w="37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Total long-term debt</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$240,019</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$214,176</w:t>
            </w:r>
          </w:p>
        </w:tc>
      </w:tr>
      <w:tr>
        <w:trPr>
          <w:trHeight w:val="512"/>
        </w:trPr>
        <w:tc>
          <w:tcPr>
            <w:tcW w:w="700" w:type="dxa"/>
            <w:vAlign w:val="bottom"/>
          </w:tcPr>
          <w:p>
            <w:pPr>
              <w:spacing w:after="0"/>
              <w:rPr>
                <w:sz w:val="24"/>
                <w:szCs w:val="24"/>
                <w:color w:val="auto"/>
              </w:rPr>
            </w:pPr>
          </w:p>
        </w:tc>
        <w:tc>
          <w:tcPr>
            <w:tcW w:w="400" w:type="dxa"/>
            <w:vAlign w:val="bottom"/>
          </w:tcPr>
          <w:p>
            <w:pPr>
              <w:ind w:left="80"/>
              <w:spacing w:after="0"/>
              <w:rPr>
                <w:sz w:val="20"/>
                <w:szCs w:val="20"/>
                <w:color w:val="auto"/>
              </w:rPr>
            </w:pPr>
            <w:r>
              <w:rPr>
                <w:rFonts w:ascii="Courier New" w:cs="Courier New" w:eastAsia="Courier New" w:hAnsi="Courier New"/>
                <w:sz w:val="15"/>
                <w:szCs w:val="15"/>
                <w:color w:val="auto"/>
              </w:rPr>
              <w:t>The</w:t>
            </w:r>
          </w:p>
        </w:tc>
        <w:tc>
          <w:tcPr>
            <w:tcW w:w="62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company has a five year $100 million credit agreement with a</w:t>
            </w:r>
          </w:p>
        </w:tc>
      </w:tr>
      <w:tr>
        <w:trPr>
          <w:trHeight w:val="171"/>
        </w:trPr>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group of</w:t>
            </w:r>
          </w:p>
        </w:tc>
        <w:tc>
          <w:tcPr>
            <w:tcW w:w="6660" w:type="dxa"/>
            <w:vAlign w:val="bottom"/>
            <w:gridSpan w:val="4"/>
          </w:tcPr>
          <w:p>
            <w:pPr>
              <w:ind w:left="80"/>
              <w:spacing w:after="0"/>
              <w:rPr>
                <w:sz w:val="20"/>
                <w:szCs w:val="20"/>
                <w:color w:val="auto"/>
              </w:rPr>
            </w:pPr>
            <w:r>
              <w:rPr>
                <w:rFonts w:ascii="Courier New" w:cs="Courier New" w:eastAsia="Courier New" w:hAnsi="Courier New"/>
                <w:sz w:val="15"/>
                <w:szCs w:val="15"/>
                <w:color w:val="auto"/>
              </w:rPr>
              <w:t>banks which expires May 31, 1997. Interest is based, at the company's</w:t>
            </w:r>
          </w:p>
        </w:tc>
      </w:tr>
      <w:tr>
        <w:trPr>
          <w:trHeight w:val="171"/>
        </w:trPr>
        <w:tc>
          <w:tcPr>
            <w:tcW w:w="7360" w:type="dxa"/>
            <w:vAlign w:val="bottom"/>
            <w:gridSpan w:val="5"/>
          </w:tcPr>
          <w:p>
            <w:pPr>
              <w:spacing w:after="0"/>
              <w:rPr>
                <w:sz w:val="20"/>
                <w:szCs w:val="20"/>
                <w:color w:val="auto"/>
              </w:rPr>
            </w:pPr>
            <w:r>
              <w:rPr>
                <w:rFonts w:ascii="Courier New" w:cs="Courier New" w:eastAsia="Courier New" w:hAnsi="Courier New"/>
                <w:sz w:val="15"/>
                <w:szCs w:val="15"/>
                <w:color w:val="auto"/>
              </w:rPr>
              <w:t>option, on competitive bidding among the banks, at a fixed increment over the</w:t>
            </w:r>
          </w:p>
        </w:tc>
      </w:tr>
      <w:tr>
        <w:trPr>
          <w:trHeight w:val="171"/>
        </w:trPr>
        <w:tc>
          <w:tcPr>
            <w:tcW w:w="7360" w:type="dxa"/>
            <w:vAlign w:val="bottom"/>
            <w:gridSpan w:val="5"/>
          </w:tcPr>
          <w:p>
            <w:pPr>
              <w:spacing w:after="0"/>
              <w:rPr>
                <w:sz w:val="20"/>
                <w:szCs w:val="20"/>
                <w:color w:val="auto"/>
              </w:rPr>
            </w:pPr>
            <w:r>
              <w:rPr>
                <w:rFonts w:ascii="Courier New" w:cs="Courier New" w:eastAsia="Courier New" w:hAnsi="Courier New"/>
                <w:sz w:val="15"/>
                <w:szCs w:val="15"/>
                <w:color w:val="auto"/>
              </w:rPr>
              <w:t>London interbank offered rate, or at the agent bank's base rate. There are no</w:t>
            </w:r>
          </w:p>
        </w:tc>
      </w:tr>
      <w:tr>
        <w:trPr>
          <w:trHeight w:val="171"/>
        </w:trPr>
        <w:tc>
          <w:tcPr>
            <w:tcW w:w="1100" w:type="dxa"/>
            <w:vAlign w:val="bottom"/>
            <w:gridSpan w:val="2"/>
          </w:tcPr>
          <w:p>
            <w:pPr>
              <w:spacing w:after="0"/>
              <w:rPr>
                <w:sz w:val="20"/>
                <w:szCs w:val="20"/>
                <w:color w:val="auto"/>
              </w:rPr>
            </w:pPr>
            <w:r>
              <w:rPr>
                <w:rFonts w:ascii="Courier New" w:cs="Courier New" w:eastAsia="Courier New" w:hAnsi="Courier New"/>
                <w:sz w:val="15"/>
                <w:szCs w:val="15"/>
                <w:color w:val="auto"/>
                <w:w w:val="99"/>
              </w:rPr>
              <w:t>compensating</w:t>
            </w:r>
          </w:p>
        </w:tc>
        <w:tc>
          <w:tcPr>
            <w:tcW w:w="62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balances required but a facility fee is charged. There were no</w:t>
            </w:r>
          </w:p>
        </w:tc>
      </w:tr>
      <w:tr>
        <w:trPr>
          <w:trHeight w:val="171"/>
        </w:trPr>
        <w:tc>
          <w:tcPr>
            <w:tcW w:w="4480" w:type="dxa"/>
            <w:vAlign w:val="bottom"/>
            <w:gridSpan w:val="3"/>
          </w:tcPr>
          <w:p>
            <w:pPr>
              <w:spacing w:after="0"/>
              <w:rPr>
                <w:sz w:val="20"/>
                <w:szCs w:val="20"/>
                <w:color w:val="auto"/>
              </w:rPr>
            </w:pPr>
            <w:r>
              <w:rPr>
                <w:rFonts w:ascii="Courier New" w:cs="Courier New" w:eastAsia="Courier New" w:hAnsi="Courier New"/>
                <w:sz w:val="15"/>
                <w:szCs w:val="15"/>
                <w:color w:val="auto"/>
              </w:rPr>
              <w:t>borrowings under this agreement in 1994 or 1993.</w:t>
            </w:r>
          </w:p>
        </w:tc>
        <w:tc>
          <w:tcPr>
            <w:tcW w:w="142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1"/>
        </w:trPr>
        <w:tc>
          <w:tcPr>
            <w:tcW w:w="700" w:type="dxa"/>
            <w:vAlign w:val="bottom"/>
          </w:tcPr>
          <w:p>
            <w:pPr>
              <w:spacing w:after="0"/>
              <w:rPr>
                <w:sz w:val="14"/>
                <w:szCs w:val="14"/>
                <w:color w:val="auto"/>
              </w:rPr>
            </w:pPr>
          </w:p>
        </w:tc>
        <w:tc>
          <w:tcPr>
            <w:tcW w:w="400" w:type="dxa"/>
            <w:vAlign w:val="bottom"/>
          </w:tcPr>
          <w:p>
            <w:pPr>
              <w:ind w:left="80"/>
              <w:spacing w:after="0"/>
              <w:rPr>
                <w:sz w:val="20"/>
                <w:szCs w:val="20"/>
                <w:color w:val="auto"/>
              </w:rPr>
            </w:pPr>
            <w:r>
              <w:rPr>
                <w:rFonts w:ascii="Courier New" w:cs="Courier New" w:eastAsia="Courier New" w:hAnsi="Courier New"/>
                <w:sz w:val="15"/>
                <w:szCs w:val="15"/>
                <w:color w:val="auto"/>
              </w:rPr>
              <w:t>The</w:t>
            </w:r>
          </w:p>
        </w:tc>
        <w:tc>
          <w:tcPr>
            <w:tcW w:w="62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company maintains credit availability under the credit agreement</w:t>
            </w:r>
          </w:p>
        </w:tc>
      </w:tr>
      <w:tr>
        <w:trPr>
          <w:trHeight w:val="171"/>
        </w:trPr>
        <w:tc>
          <w:tcPr>
            <w:tcW w:w="7360" w:type="dxa"/>
            <w:vAlign w:val="bottom"/>
            <w:gridSpan w:val="5"/>
          </w:tcPr>
          <w:p>
            <w:pPr>
              <w:spacing w:after="0"/>
              <w:rPr>
                <w:sz w:val="20"/>
                <w:szCs w:val="20"/>
                <w:color w:val="auto"/>
              </w:rPr>
            </w:pPr>
            <w:r>
              <w:rPr>
                <w:rFonts w:ascii="Courier New" w:cs="Courier New" w:eastAsia="Courier New" w:hAnsi="Courier New"/>
                <w:sz w:val="15"/>
                <w:szCs w:val="15"/>
                <w:color w:val="auto"/>
              </w:rPr>
              <w:t>to support the commercial paper program and provide additional borrowing</w:t>
            </w:r>
          </w:p>
        </w:tc>
      </w:tr>
      <w:tr>
        <w:trPr>
          <w:trHeight w:val="171"/>
        </w:trPr>
        <w:tc>
          <w:tcPr>
            <w:tcW w:w="7360" w:type="dxa"/>
            <w:vAlign w:val="bottom"/>
            <w:gridSpan w:val="5"/>
          </w:tcPr>
          <w:p>
            <w:pPr>
              <w:spacing w:after="0"/>
              <w:rPr>
                <w:sz w:val="20"/>
                <w:szCs w:val="20"/>
                <w:color w:val="auto"/>
              </w:rPr>
            </w:pPr>
            <w:r>
              <w:rPr>
                <w:rFonts w:ascii="Courier New" w:cs="Courier New" w:eastAsia="Courier New" w:hAnsi="Courier New"/>
                <w:sz w:val="15"/>
                <w:szCs w:val="15"/>
                <w:color w:val="auto"/>
              </w:rPr>
              <w:t>capacity. Accordingly, commercial paper and medium-term notes maturing within</w:t>
            </w:r>
          </w:p>
        </w:tc>
      </w:tr>
      <w:tr>
        <w:trPr>
          <w:trHeight w:val="171"/>
        </w:trPr>
        <w:tc>
          <w:tcPr>
            <w:tcW w:w="7360" w:type="dxa"/>
            <w:vAlign w:val="bottom"/>
            <w:gridSpan w:val="5"/>
          </w:tcPr>
          <w:p>
            <w:pPr>
              <w:spacing w:after="0"/>
              <w:rPr>
                <w:sz w:val="20"/>
                <w:szCs w:val="20"/>
                <w:color w:val="auto"/>
              </w:rPr>
            </w:pPr>
            <w:r>
              <w:rPr>
                <w:rFonts w:ascii="Courier New" w:cs="Courier New" w:eastAsia="Courier New" w:hAnsi="Courier New"/>
                <w:sz w:val="15"/>
                <w:szCs w:val="15"/>
                <w:color w:val="auto"/>
              </w:rPr>
              <w:t>one year, and intended to be refinanced, are classified as long-term. The</w:t>
            </w:r>
          </w:p>
        </w:tc>
      </w:tr>
      <w:tr>
        <w:trPr>
          <w:trHeight w:val="171"/>
        </w:trPr>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weighted</w:t>
            </w:r>
          </w:p>
        </w:tc>
        <w:tc>
          <w:tcPr>
            <w:tcW w:w="6660" w:type="dxa"/>
            <w:vAlign w:val="bottom"/>
            <w:gridSpan w:val="4"/>
          </w:tcPr>
          <w:p>
            <w:pPr>
              <w:ind w:left="80"/>
              <w:spacing w:after="0"/>
              <w:rPr>
                <w:sz w:val="20"/>
                <w:szCs w:val="20"/>
                <w:color w:val="auto"/>
              </w:rPr>
            </w:pPr>
            <w:r>
              <w:rPr>
                <w:rFonts w:ascii="Courier New" w:cs="Courier New" w:eastAsia="Courier New" w:hAnsi="Courier New"/>
                <w:sz w:val="15"/>
                <w:szCs w:val="15"/>
                <w:color w:val="auto"/>
              </w:rPr>
              <w:t>average interest rates on commercial paper outstanding at December 31,</w:t>
            </w:r>
          </w:p>
        </w:tc>
      </w:tr>
      <w:tr>
        <w:trPr>
          <w:trHeight w:val="171"/>
        </w:trPr>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1994 and</w:t>
            </w:r>
          </w:p>
        </w:tc>
        <w:tc>
          <w:tcPr>
            <w:tcW w:w="6660" w:type="dxa"/>
            <w:vAlign w:val="bottom"/>
            <w:gridSpan w:val="4"/>
          </w:tcPr>
          <w:p>
            <w:pPr>
              <w:ind w:left="80"/>
              <w:spacing w:after="0"/>
              <w:rPr>
                <w:sz w:val="20"/>
                <w:szCs w:val="20"/>
                <w:color w:val="auto"/>
              </w:rPr>
            </w:pPr>
            <w:r>
              <w:rPr>
                <w:rFonts w:ascii="Courier New" w:cs="Courier New" w:eastAsia="Courier New" w:hAnsi="Courier New"/>
                <w:sz w:val="15"/>
                <w:szCs w:val="15"/>
                <w:color w:val="auto"/>
              </w:rPr>
              <w:t>1993 were 6.4% and 3.5%. Medium-term notes have scheduled maturities</w:t>
            </w:r>
          </w:p>
        </w:tc>
      </w:tr>
      <w:tr>
        <w:trPr>
          <w:trHeight w:val="171"/>
        </w:trPr>
        <w:tc>
          <w:tcPr>
            <w:tcW w:w="1100" w:type="dxa"/>
            <w:vAlign w:val="bottom"/>
            <w:gridSpan w:val="2"/>
          </w:tcPr>
          <w:p>
            <w:pPr>
              <w:spacing w:after="0"/>
              <w:rPr>
                <w:sz w:val="20"/>
                <w:szCs w:val="20"/>
                <w:color w:val="auto"/>
              </w:rPr>
            </w:pPr>
            <w:r>
              <w:rPr>
                <w:rFonts w:ascii="Courier New" w:cs="Courier New" w:eastAsia="Courier New" w:hAnsi="Courier New"/>
                <w:sz w:val="15"/>
                <w:szCs w:val="15"/>
                <w:color w:val="auto"/>
                <w:w w:val="99"/>
              </w:rPr>
              <w:t>through 2008</w:t>
            </w:r>
          </w:p>
        </w:tc>
        <w:tc>
          <w:tcPr>
            <w:tcW w:w="62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with interest rates ranging from 5.7% to 9.7% per annum.</w:t>
            </w:r>
          </w:p>
        </w:tc>
      </w:tr>
      <w:tr>
        <w:trPr>
          <w:trHeight w:val="171"/>
        </w:trPr>
        <w:tc>
          <w:tcPr>
            <w:tcW w:w="700" w:type="dxa"/>
            <w:vAlign w:val="bottom"/>
          </w:tcPr>
          <w:p>
            <w:pPr>
              <w:spacing w:after="0"/>
              <w:rPr>
                <w:sz w:val="14"/>
                <w:szCs w:val="14"/>
                <w:color w:val="auto"/>
              </w:rPr>
            </w:pPr>
          </w:p>
        </w:tc>
        <w:tc>
          <w:tcPr>
            <w:tcW w:w="400" w:type="dxa"/>
            <w:vAlign w:val="bottom"/>
          </w:tcPr>
          <w:p>
            <w:pPr>
              <w:ind w:left="80"/>
              <w:spacing w:after="0"/>
              <w:rPr>
                <w:sz w:val="20"/>
                <w:szCs w:val="20"/>
                <w:color w:val="auto"/>
              </w:rPr>
            </w:pPr>
            <w:r>
              <w:rPr>
                <w:rFonts w:ascii="Courier New" w:cs="Courier New" w:eastAsia="Courier New" w:hAnsi="Courier New"/>
                <w:sz w:val="15"/>
                <w:szCs w:val="15"/>
                <w:color w:val="auto"/>
              </w:rPr>
              <w:t>The</w:t>
            </w:r>
          </w:p>
        </w:tc>
        <w:tc>
          <w:tcPr>
            <w:tcW w:w="62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company has guaranteed the debt of the Stock Sharing Plan (see</w:t>
            </w:r>
          </w:p>
        </w:tc>
      </w:tr>
      <w:tr>
        <w:trPr>
          <w:trHeight w:val="171"/>
        </w:trPr>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Employee</w:t>
            </w:r>
          </w:p>
        </w:tc>
        <w:tc>
          <w:tcPr>
            <w:tcW w:w="6660" w:type="dxa"/>
            <w:vAlign w:val="bottom"/>
            <w:gridSpan w:val="4"/>
          </w:tcPr>
          <w:p>
            <w:pPr>
              <w:ind w:left="80"/>
              <w:spacing w:after="0"/>
              <w:rPr>
                <w:sz w:val="20"/>
                <w:szCs w:val="20"/>
                <w:color w:val="auto"/>
              </w:rPr>
            </w:pPr>
            <w:r>
              <w:rPr>
                <w:rFonts w:ascii="Courier New" w:cs="Courier New" w:eastAsia="Courier New" w:hAnsi="Courier New"/>
                <w:sz w:val="15"/>
                <w:szCs w:val="15"/>
                <w:color w:val="auto"/>
              </w:rPr>
              <w:t>Benefits). This debt bears interest at a rate of 7.9% and is payable</w:t>
            </w:r>
          </w:p>
        </w:tc>
      </w:tr>
      <w:tr>
        <w:trPr>
          <w:trHeight w:val="171"/>
        </w:trPr>
        <w:tc>
          <w:tcPr>
            <w:tcW w:w="1100" w:type="dxa"/>
            <w:vAlign w:val="bottom"/>
            <w:gridSpan w:val="2"/>
          </w:tcPr>
          <w:p>
            <w:pPr>
              <w:spacing w:after="0"/>
              <w:rPr>
                <w:sz w:val="20"/>
                <w:szCs w:val="20"/>
                <w:color w:val="auto"/>
              </w:rPr>
            </w:pPr>
            <w:r>
              <w:rPr>
                <w:rFonts w:ascii="Courier New" w:cs="Courier New" w:eastAsia="Courier New" w:hAnsi="Courier New"/>
                <w:sz w:val="15"/>
                <w:szCs w:val="15"/>
                <w:color w:val="auto"/>
                <w:w w:val="99"/>
              </w:rPr>
              <w:t>by the Stock</w:t>
            </w:r>
          </w:p>
        </w:tc>
        <w:tc>
          <w:tcPr>
            <w:tcW w:w="3380" w:type="dxa"/>
            <w:vAlign w:val="bottom"/>
          </w:tcPr>
          <w:p>
            <w:pPr>
              <w:ind w:left="40"/>
              <w:spacing w:after="0"/>
              <w:rPr>
                <w:sz w:val="20"/>
                <w:szCs w:val="20"/>
                <w:color w:val="auto"/>
              </w:rPr>
            </w:pPr>
            <w:r>
              <w:rPr>
                <w:rFonts w:ascii="Courier New" w:cs="Courier New" w:eastAsia="Courier New" w:hAnsi="Courier New"/>
                <w:sz w:val="15"/>
                <w:szCs w:val="15"/>
                <w:color w:val="auto"/>
              </w:rPr>
              <w:t>Sharing Plan in 1995.</w:t>
            </w:r>
          </w:p>
        </w:tc>
        <w:tc>
          <w:tcPr>
            <w:tcW w:w="142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1"/>
        </w:trPr>
        <w:tc>
          <w:tcPr>
            <w:tcW w:w="700" w:type="dxa"/>
            <w:vAlign w:val="bottom"/>
          </w:tcPr>
          <w:p>
            <w:pPr>
              <w:spacing w:after="0"/>
              <w:rPr>
                <w:sz w:val="14"/>
                <w:szCs w:val="14"/>
                <w:color w:val="auto"/>
              </w:rPr>
            </w:pPr>
          </w:p>
        </w:tc>
        <w:tc>
          <w:tcPr>
            <w:tcW w:w="400" w:type="dxa"/>
            <w:vAlign w:val="bottom"/>
          </w:tcPr>
          <w:p>
            <w:pPr>
              <w:ind w:left="80"/>
              <w:spacing w:after="0"/>
              <w:rPr>
                <w:sz w:val="20"/>
                <w:szCs w:val="20"/>
                <w:color w:val="auto"/>
              </w:rPr>
            </w:pPr>
            <w:r>
              <w:rPr>
                <w:rFonts w:ascii="Courier New" w:cs="Courier New" w:eastAsia="Courier New" w:hAnsi="Courier New"/>
                <w:sz w:val="15"/>
                <w:szCs w:val="15"/>
                <w:color w:val="auto"/>
              </w:rPr>
              <w:t>The</w:t>
            </w:r>
          </w:p>
        </w:tc>
        <w:tc>
          <w:tcPr>
            <w:tcW w:w="62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company has loan guarantees, mortgages and lease contracts in</w:t>
            </w:r>
          </w:p>
        </w:tc>
      </w:tr>
      <w:tr>
        <w:trPr>
          <w:trHeight w:val="171"/>
        </w:trPr>
        <w:tc>
          <w:tcPr>
            <w:tcW w:w="7360" w:type="dxa"/>
            <w:vAlign w:val="bottom"/>
            <w:gridSpan w:val="5"/>
          </w:tcPr>
          <w:p>
            <w:pPr>
              <w:spacing w:after="0"/>
              <w:rPr>
                <w:sz w:val="20"/>
                <w:szCs w:val="20"/>
                <w:color w:val="auto"/>
              </w:rPr>
            </w:pPr>
            <w:r>
              <w:rPr>
                <w:rFonts w:ascii="Courier New" w:cs="Courier New" w:eastAsia="Courier New" w:hAnsi="Courier New"/>
                <w:sz w:val="15"/>
                <w:szCs w:val="15"/>
                <w:color w:val="auto"/>
              </w:rPr>
              <w:t>connection with the issuance of industrial development bonds used to acquire,</w:t>
            </w:r>
          </w:p>
        </w:tc>
      </w:tr>
      <w:tr>
        <w:trPr>
          <w:trHeight w:val="171"/>
        </w:trPr>
        <w:tc>
          <w:tcPr>
            <w:tcW w:w="1100" w:type="dxa"/>
            <w:vAlign w:val="bottom"/>
            <w:gridSpan w:val="2"/>
          </w:tcPr>
          <w:p>
            <w:pPr>
              <w:spacing w:after="0"/>
              <w:rPr>
                <w:sz w:val="20"/>
                <w:szCs w:val="20"/>
                <w:color w:val="auto"/>
              </w:rPr>
            </w:pPr>
            <w:r>
              <w:rPr>
                <w:rFonts w:ascii="Courier New" w:cs="Courier New" w:eastAsia="Courier New" w:hAnsi="Courier New"/>
                <w:sz w:val="15"/>
                <w:szCs w:val="15"/>
                <w:color w:val="auto"/>
                <w:w w:val="99"/>
              </w:rPr>
              <w:t>construct or</w:t>
            </w:r>
          </w:p>
        </w:tc>
        <w:tc>
          <w:tcPr>
            <w:tcW w:w="62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expand terminal facilities. Interest rates on some issues are</w:t>
            </w:r>
          </w:p>
        </w:tc>
      </w:tr>
      <w:tr>
        <w:trPr>
          <w:trHeight w:val="171"/>
        </w:trPr>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variable</w:t>
            </w:r>
          </w:p>
        </w:tc>
        <w:tc>
          <w:tcPr>
            <w:tcW w:w="400" w:type="dxa"/>
            <w:vAlign w:val="bottom"/>
          </w:tcPr>
          <w:p>
            <w:pPr>
              <w:ind w:left="80"/>
              <w:spacing w:after="0"/>
              <w:rPr>
                <w:sz w:val="20"/>
                <w:szCs w:val="20"/>
                <w:color w:val="auto"/>
              </w:rPr>
            </w:pPr>
            <w:r>
              <w:rPr>
                <w:rFonts w:ascii="Courier New" w:cs="Courier New" w:eastAsia="Courier New" w:hAnsi="Courier New"/>
                <w:sz w:val="15"/>
                <w:szCs w:val="15"/>
                <w:color w:val="auto"/>
              </w:rPr>
              <w:t>and</w:t>
            </w:r>
          </w:p>
        </w:tc>
        <w:tc>
          <w:tcPr>
            <w:tcW w:w="62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rates currently range from 5.0% to 6.1% per annum, with principal</w:t>
            </w:r>
          </w:p>
        </w:tc>
      </w:tr>
      <w:tr>
        <w:trPr>
          <w:trHeight w:val="171"/>
        </w:trPr>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payments</w:t>
            </w:r>
          </w:p>
        </w:tc>
        <w:tc>
          <w:tcPr>
            <w:tcW w:w="400" w:type="dxa"/>
            <w:vAlign w:val="bottom"/>
          </w:tcPr>
          <w:p>
            <w:pPr>
              <w:ind w:left="80"/>
              <w:spacing w:after="0"/>
              <w:rPr>
                <w:sz w:val="20"/>
                <w:szCs w:val="20"/>
                <w:color w:val="auto"/>
              </w:rPr>
            </w:pPr>
            <w:r>
              <w:rPr>
                <w:rFonts w:ascii="Courier New" w:cs="Courier New" w:eastAsia="Courier New" w:hAnsi="Courier New"/>
                <w:sz w:val="15"/>
                <w:szCs w:val="15"/>
                <w:color w:val="auto"/>
              </w:rPr>
              <w:t>due</w:t>
            </w:r>
          </w:p>
        </w:tc>
        <w:tc>
          <w:tcPr>
            <w:tcW w:w="3380" w:type="dxa"/>
            <w:vAlign w:val="bottom"/>
          </w:tcPr>
          <w:p>
            <w:pPr>
              <w:ind w:left="40"/>
              <w:spacing w:after="0"/>
              <w:rPr>
                <w:sz w:val="20"/>
                <w:szCs w:val="20"/>
                <w:color w:val="auto"/>
              </w:rPr>
            </w:pPr>
            <w:r>
              <w:rPr>
                <w:rFonts w:ascii="Courier New" w:cs="Courier New" w:eastAsia="Courier New" w:hAnsi="Courier New"/>
                <w:sz w:val="15"/>
                <w:szCs w:val="15"/>
                <w:color w:val="auto"/>
              </w:rPr>
              <w:t>through 2016.</w:t>
            </w:r>
          </w:p>
        </w:tc>
        <w:tc>
          <w:tcPr>
            <w:tcW w:w="142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1"/>
        </w:trPr>
        <w:tc>
          <w:tcPr>
            <w:tcW w:w="700" w:type="dxa"/>
            <w:vAlign w:val="bottom"/>
          </w:tcPr>
          <w:p>
            <w:pPr>
              <w:spacing w:after="0"/>
              <w:rPr>
                <w:sz w:val="14"/>
                <w:szCs w:val="14"/>
                <w:color w:val="auto"/>
              </w:rPr>
            </w:pPr>
          </w:p>
        </w:tc>
        <w:tc>
          <w:tcPr>
            <w:tcW w:w="6660" w:type="dxa"/>
            <w:vAlign w:val="bottom"/>
            <w:gridSpan w:val="4"/>
          </w:tcPr>
          <w:p>
            <w:pPr>
              <w:ind w:left="80"/>
              <w:spacing w:after="0"/>
              <w:rPr>
                <w:sz w:val="20"/>
                <w:szCs w:val="20"/>
                <w:color w:val="auto"/>
              </w:rPr>
            </w:pPr>
            <w:r>
              <w:rPr>
                <w:rFonts w:ascii="Courier New" w:cs="Courier New" w:eastAsia="Courier New" w:hAnsi="Courier New"/>
                <w:sz w:val="15"/>
                <w:szCs w:val="15"/>
                <w:color w:val="auto"/>
              </w:rPr>
              <w:t>Certain subsidiaries lease operating equipment under capital leases</w:t>
            </w:r>
          </w:p>
        </w:tc>
      </w:tr>
      <w:tr>
        <w:trPr>
          <w:trHeight w:val="171"/>
        </w:trPr>
        <w:tc>
          <w:tcPr>
            <w:tcW w:w="7360" w:type="dxa"/>
            <w:vAlign w:val="bottom"/>
            <w:gridSpan w:val="5"/>
          </w:tcPr>
          <w:p>
            <w:pPr>
              <w:spacing w:after="0"/>
              <w:rPr>
                <w:sz w:val="20"/>
                <w:szCs w:val="20"/>
                <w:color w:val="auto"/>
              </w:rPr>
            </w:pPr>
            <w:r>
              <w:rPr>
                <w:rFonts w:ascii="Courier New" w:cs="Courier New" w:eastAsia="Courier New" w:hAnsi="Courier New"/>
                <w:sz w:val="15"/>
                <w:szCs w:val="15"/>
                <w:color w:val="auto"/>
              </w:rPr>
              <w:t>with scheduled maturities through 1998 and interest rates ranging from 9.0% to</w:t>
            </w:r>
          </w:p>
        </w:tc>
      </w:tr>
      <w:tr>
        <w:trPr>
          <w:trHeight w:val="171"/>
        </w:trPr>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9.9% per</w:t>
            </w:r>
          </w:p>
        </w:tc>
        <w:tc>
          <w:tcPr>
            <w:tcW w:w="37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annum.</w:t>
            </w:r>
          </w:p>
        </w:tc>
        <w:tc>
          <w:tcPr>
            <w:tcW w:w="142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1"/>
        </w:trPr>
        <w:tc>
          <w:tcPr>
            <w:tcW w:w="700" w:type="dxa"/>
            <w:vAlign w:val="bottom"/>
          </w:tcPr>
          <w:p>
            <w:pPr>
              <w:spacing w:after="0"/>
              <w:rPr>
                <w:sz w:val="14"/>
                <w:szCs w:val="14"/>
                <w:color w:val="auto"/>
              </w:rPr>
            </w:pPr>
          </w:p>
        </w:tc>
        <w:tc>
          <w:tcPr>
            <w:tcW w:w="400" w:type="dxa"/>
            <w:vAlign w:val="bottom"/>
          </w:tcPr>
          <w:p>
            <w:pPr>
              <w:ind w:left="80"/>
              <w:spacing w:after="0"/>
              <w:rPr>
                <w:sz w:val="20"/>
                <w:szCs w:val="20"/>
                <w:color w:val="auto"/>
              </w:rPr>
            </w:pPr>
            <w:r>
              <w:rPr>
                <w:rFonts w:ascii="Courier New" w:cs="Courier New" w:eastAsia="Courier New" w:hAnsi="Courier New"/>
                <w:sz w:val="15"/>
                <w:szCs w:val="15"/>
                <w:color w:val="auto"/>
              </w:rPr>
              <w:t>The</w:t>
            </w:r>
          </w:p>
        </w:tc>
        <w:tc>
          <w:tcPr>
            <w:tcW w:w="480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subordinated debentures have an interest rate of 7.0%</w:t>
            </w:r>
          </w:p>
        </w:tc>
        <w:tc>
          <w:tcPr>
            <w:tcW w:w="1460" w:type="dxa"/>
            <w:vAlign w:val="bottom"/>
          </w:tcPr>
          <w:p>
            <w:pPr>
              <w:ind w:left="40"/>
              <w:spacing w:after="0"/>
              <w:rPr>
                <w:sz w:val="20"/>
                <w:szCs w:val="20"/>
                <w:color w:val="auto"/>
              </w:rPr>
            </w:pPr>
            <w:r>
              <w:rPr>
                <w:rFonts w:ascii="Courier New" w:cs="Courier New" w:eastAsia="Courier New" w:hAnsi="Courier New"/>
                <w:sz w:val="15"/>
                <w:szCs w:val="15"/>
                <w:color w:val="auto"/>
              </w:rPr>
              <w:t>and are due</w:t>
            </w:r>
          </w:p>
        </w:tc>
      </w:tr>
      <w:tr>
        <w:trPr>
          <w:trHeight w:val="171"/>
        </w:trPr>
        <w:tc>
          <w:tcPr>
            <w:tcW w:w="4480" w:type="dxa"/>
            <w:vAlign w:val="bottom"/>
            <w:gridSpan w:val="3"/>
          </w:tcPr>
          <w:p>
            <w:pPr>
              <w:spacing w:after="0"/>
              <w:rPr>
                <w:sz w:val="20"/>
                <w:szCs w:val="20"/>
                <w:color w:val="auto"/>
              </w:rPr>
            </w:pPr>
            <w:r>
              <w:rPr>
                <w:rFonts w:ascii="Courier New" w:cs="Courier New" w:eastAsia="Courier New" w:hAnsi="Courier New"/>
                <w:sz w:val="15"/>
                <w:szCs w:val="15"/>
                <w:color w:val="auto"/>
              </w:rPr>
              <w:t>in installments from 1997 to 2011.</w:t>
            </w:r>
          </w:p>
        </w:tc>
        <w:tc>
          <w:tcPr>
            <w:tcW w:w="142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1"/>
        </w:trPr>
        <w:tc>
          <w:tcPr>
            <w:tcW w:w="700" w:type="dxa"/>
            <w:vAlign w:val="bottom"/>
          </w:tcPr>
          <w:p>
            <w:pPr>
              <w:spacing w:after="0"/>
              <w:rPr>
                <w:sz w:val="14"/>
                <w:szCs w:val="14"/>
                <w:color w:val="auto"/>
              </w:rPr>
            </w:pPr>
          </w:p>
        </w:tc>
        <w:tc>
          <w:tcPr>
            <w:tcW w:w="6660" w:type="dxa"/>
            <w:vAlign w:val="bottom"/>
            <w:gridSpan w:val="4"/>
          </w:tcPr>
          <w:p>
            <w:pPr>
              <w:spacing w:after="0"/>
              <w:rPr>
                <w:sz w:val="20"/>
                <w:szCs w:val="20"/>
                <w:color w:val="auto"/>
              </w:rPr>
            </w:pPr>
            <w:r>
              <w:rPr>
                <w:rFonts w:ascii="Courier New" w:cs="Courier New" w:eastAsia="Courier New" w:hAnsi="Courier New"/>
                <w:sz w:val="15"/>
                <w:szCs w:val="15"/>
                <w:color w:val="auto"/>
              </w:rPr>
              <w:t>The aggregate amounts of principal maturities of long-term debt</w:t>
            </w:r>
          </w:p>
        </w:tc>
      </w:tr>
      <w:tr>
        <w:trPr>
          <w:trHeight w:val="171"/>
        </w:trPr>
        <w:tc>
          <w:tcPr>
            <w:tcW w:w="4480" w:type="dxa"/>
            <w:vAlign w:val="bottom"/>
            <w:gridSpan w:val="3"/>
          </w:tcPr>
          <w:p>
            <w:pPr>
              <w:spacing w:after="0"/>
              <w:rPr>
                <w:sz w:val="20"/>
                <w:szCs w:val="20"/>
                <w:color w:val="auto"/>
              </w:rPr>
            </w:pPr>
            <w:r>
              <w:rPr>
                <w:rFonts w:ascii="Courier New" w:cs="Courier New" w:eastAsia="Courier New" w:hAnsi="Courier New"/>
                <w:sz w:val="15"/>
                <w:szCs w:val="15"/>
                <w:color w:val="auto"/>
              </w:rPr>
              <w:t>(excluding commercial paper and medium-term notes</w:t>
            </w:r>
          </w:p>
        </w:tc>
        <w:tc>
          <w:tcPr>
            <w:tcW w:w="28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w w:val="99"/>
              </w:rPr>
              <w:t>due within one year) for the</w:t>
            </w:r>
          </w:p>
        </w:tc>
      </w:tr>
      <w:tr>
        <w:trPr>
          <w:trHeight w:val="171"/>
        </w:trPr>
        <w:tc>
          <w:tcPr>
            <w:tcW w:w="7360" w:type="dxa"/>
            <w:vAlign w:val="bottom"/>
            <w:gridSpan w:val="5"/>
          </w:tcPr>
          <w:p>
            <w:pPr>
              <w:spacing w:after="0"/>
              <w:rPr>
                <w:sz w:val="20"/>
                <w:szCs w:val="20"/>
                <w:color w:val="auto"/>
              </w:rPr>
            </w:pPr>
            <w:r>
              <w:rPr>
                <w:rFonts w:ascii="Courier New" w:cs="Courier New" w:eastAsia="Courier New" w:hAnsi="Courier New"/>
                <w:sz w:val="15"/>
                <w:szCs w:val="15"/>
                <w:color w:val="auto"/>
              </w:rPr>
              <w:t>next five years are as follows: 1995 - $7,741,000, 1996 - $26,640,000, 1997 -</w:t>
            </w:r>
          </w:p>
        </w:tc>
      </w:tr>
      <w:tr>
        <w:trPr>
          <w:trHeight w:val="171"/>
        </w:trPr>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$14,636,000,</w:t>
            </w:r>
          </w:p>
        </w:tc>
        <w:tc>
          <w:tcPr>
            <w:tcW w:w="3380" w:type="dxa"/>
            <w:vAlign w:val="bottom"/>
          </w:tcPr>
          <w:p>
            <w:pPr>
              <w:ind w:left="40"/>
              <w:spacing w:after="0"/>
              <w:rPr>
                <w:sz w:val="20"/>
                <w:szCs w:val="20"/>
                <w:color w:val="auto"/>
              </w:rPr>
            </w:pPr>
            <w:r>
              <w:rPr>
                <w:rFonts w:ascii="Courier New" w:cs="Courier New" w:eastAsia="Courier New" w:hAnsi="Courier New"/>
                <w:sz w:val="15"/>
                <w:szCs w:val="15"/>
                <w:color w:val="auto"/>
                <w:w w:val="99"/>
              </w:rPr>
              <w:t>1998 - $4,031,000, 1999 - $2,816,000.</w:t>
            </w:r>
          </w:p>
        </w:tc>
        <w:tc>
          <w:tcPr>
            <w:tcW w:w="142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1"/>
        </w:trPr>
        <w:tc>
          <w:tcPr>
            <w:tcW w:w="700" w:type="dxa"/>
            <w:vAlign w:val="bottom"/>
          </w:tcPr>
          <w:p>
            <w:pPr>
              <w:spacing w:after="0"/>
              <w:rPr>
                <w:sz w:val="14"/>
                <w:szCs w:val="14"/>
                <w:color w:val="auto"/>
              </w:rPr>
            </w:pPr>
          </w:p>
        </w:tc>
        <w:tc>
          <w:tcPr>
            <w:tcW w:w="6660" w:type="dxa"/>
            <w:vAlign w:val="bottom"/>
            <w:gridSpan w:val="4"/>
          </w:tcPr>
          <w:p>
            <w:pPr>
              <w:spacing w:after="0"/>
              <w:rPr>
                <w:sz w:val="20"/>
                <w:szCs w:val="20"/>
                <w:color w:val="auto"/>
              </w:rPr>
            </w:pPr>
            <w:r>
              <w:rPr>
                <w:rFonts w:ascii="Courier New" w:cs="Courier New" w:eastAsia="Courier New" w:hAnsi="Courier New"/>
                <w:sz w:val="15"/>
                <w:szCs w:val="15"/>
                <w:color w:val="auto"/>
              </w:rPr>
              <w:t>The company has short-term unsecured credit lines with domestic and</w:t>
            </w:r>
          </w:p>
        </w:tc>
      </w:tr>
      <w:tr>
        <w:trPr>
          <w:trHeight w:val="171"/>
        </w:trPr>
        <w:tc>
          <w:tcPr>
            <w:tcW w:w="700" w:type="dxa"/>
            <w:vAlign w:val="bottom"/>
          </w:tcPr>
          <w:p>
            <w:pPr>
              <w:spacing w:after="0"/>
              <w:rPr>
                <w:sz w:val="20"/>
                <w:szCs w:val="20"/>
                <w:color w:val="auto"/>
              </w:rPr>
            </w:pPr>
            <w:r>
              <w:rPr>
                <w:rFonts w:ascii="Courier New" w:cs="Courier New" w:eastAsia="Courier New" w:hAnsi="Courier New"/>
                <w:sz w:val="15"/>
                <w:szCs w:val="15"/>
                <w:color w:val="auto"/>
              </w:rPr>
              <w:t>foreign</w:t>
            </w:r>
          </w:p>
        </w:tc>
        <w:tc>
          <w:tcPr>
            <w:tcW w:w="6660" w:type="dxa"/>
            <w:vAlign w:val="bottom"/>
            <w:gridSpan w:val="4"/>
          </w:tcPr>
          <w:p>
            <w:pPr>
              <w:ind w:left="80"/>
              <w:spacing w:after="0"/>
              <w:rPr>
                <w:sz w:val="20"/>
                <w:szCs w:val="20"/>
                <w:color w:val="auto"/>
              </w:rPr>
            </w:pPr>
            <w:r>
              <w:rPr>
                <w:rFonts w:ascii="Courier New" w:cs="Courier New" w:eastAsia="Courier New" w:hAnsi="Courier New"/>
                <w:sz w:val="15"/>
                <w:szCs w:val="15"/>
                <w:color w:val="auto"/>
              </w:rPr>
              <w:t>banks totaling $135 million. There are no compensating balance</w:t>
            </w:r>
          </w:p>
        </w:tc>
      </w:tr>
      <w:tr>
        <w:trPr>
          <w:trHeight w:val="171"/>
        </w:trPr>
        <w:tc>
          <w:tcPr>
            <w:tcW w:w="1100" w:type="dxa"/>
            <w:vAlign w:val="bottom"/>
            <w:gridSpan w:val="2"/>
          </w:tcPr>
          <w:p>
            <w:pPr>
              <w:spacing w:after="0"/>
              <w:rPr>
                <w:sz w:val="20"/>
                <w:szCs w:val="20"/>
                <w:color w:val="auto"/>
              </w:rPr>
            </w:pPr>
            <w:r>
              <w:rPr>
                <w:rFonts w:ascii="Courier New" w:cs="Courier New" w:eastAsia="Courier New" w:hAnsi="Courier New"/>
                <w:sz w:val="15"/>
                <w:szCs w:val="15"/>
                <w:color w:val="auto"/>
                <w:w w:val="99"/>
              </w:rPr>
              <w:t>requirements</w:t>
            </w:r>
          </w:p>
        </w:tc>
        <w:tc>
          <w:tcPr>
            <w:tcW w:w="62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or fees associated with these credit lines and the lines can be</w:t>
            </w:r>
          </w:p>
        </w:tc>
      </w:tr>
      <w:tr>
        <w:trPr>
          <w:trHeight w:val="171"/>
        </w:trPr>
        <w:tc>
          <w:tcPr>
            <w:tcW w:w="1100" w:type="dxa"/>
            <w:vAlign w:val="bottom"/>
            <w:gridSpan w:val="2"/>
          </w:tcPr>
          <w:p>
            <w:pPr>
              <w:spacing w:after="0"/>
              <w:rPr>
                <w:sz w:val="20"/>
                <w:szCs w:val="20"/>
                <w:color w:val="auto"/>
              </w:rPr>
            </w:pPr>
            <w:r>
              <w:rPr>
                <w:rFonts w:ascii="Courier New" w:cs="Courier New" w:eastAsia="Courier New" w:hAnsi="Courier New"/>
                <w:sz w:val="15"/>
                <w:szCs w:val="15"/>
                <w:color w:val="auto"/>
                <w:w w:val="99"/>
              </w:rPr>
              <w:t>cancelled by</w:t>
            </w:r>
          </w:p>
        </w:tc>
        <w:tc>
          <w:tcPr>
            <w:tcW w:w="62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either the banks or the company at any time.  There were no</w:t>
            </w:r>
          </w:p>
        </w:tc>
      </w:tr>
      <w:tr>
        <w:trPr>
          <w:trHeight w:val="171"/>
        </w:trPr>
        <w:tc>
          <w:tcPr>
            <w:tcW w:w="7360" w:type="dxa"/>
            <w:vAlign w:val="bottom"/>
            <w:gridSpan w:val="5"/>
          </w:tcPr>
          <w:p>
            <w:pPr>
              <w:spacing w:after="0"/>
              <w:rPr>
                <w:sz w:val="20"/>
                <w:szCs w:val="20"/>
                <w:color w:val="auto"/>
              </w:rPr>
            </w:pPr>
            <w:r>
              <w:rPr>
                <w:rFonts w:ascii="Courier New" w:cs="Courier New" w:eastAsia="Courier New" w:hAnsi="Courier New"/>
                <w:sz w:val="15"/>
                <w:szCs w:val="15"/>
                <w:color w:val="auto"/>
              </w:rPr>
              <w:t>borrowings outstanding under these lines at December 31, 1994 or 1993.</w:t>
            </w:r>
          </w:p>
        </w:tc>
      </w:tr>
      <w:tr>
        <w:trPr>
          <w:trHeight w:val="171"/>
        </w:trPr>
        <w:tc>
          <w:tcPr>
            <w:tcW w:w="700" w:type="dxa"/>
            <w:vAlign w:val="bottom"/>
          </w:tcPr>
          <w:p>
            <w:pPr>
              <w:spacing w:after="0"/>
              <w:rPr>
                <w:sz w:val="14"/>
                <w:szCs w:val="14"/>
                <w:color w:val="auto"/>
              </w:rPr>
            </w:pPr>
          </w:p>
        </w:tc>
        <w:tc>
          <w:tcPr>
            <w:tcW w:w="6660" w:type="dxa"/>
            <w:vAlign w:val="bottom"/>
            <w:gridSpan w:val="4"/>
          </w:tcPr>
          <w:p>
            <w:pPr>
              <w:spacing w:after="0"/>
              <w:rPr>
                <w:sz w:val="20"/>
                <w:szCs w:val="20"/>
                <w:color w:val="auto"/>
              </w:rPr>
            </w:pPr>
            <w:r>
              <w:rPr>
                <w:rFonts w:ascii="Courier New" w:cs="Courier New" w:eastAsia="Courier New" w:hAnsi="Courier New"/>
                <w:sz w:val="15"/>
                <w:szCs w:val="15"/>
                <w:color w:val="auto"/>
              </w:rPr>
              <w:t>Based on the borrowing rates currently available to the company for debt</w:t>
            </w:r>
          </w:p>
        </w:tc>
      </w:tr>
      <w:tr>
        <w:trPr>
          <w:trHeight w:val="171"/>
        </w:trPr>
        <w:tc>
          <w:tcPr>
            <w:tcW w:w="1100" w:type="dxa"/>
            <w:vAlign w:val="bottom"/>
            <w:gridSpan w:val="2"/>
          </w:tcPr>
          <w:p>
            <w:pPr>
              <w:spacing w:after="0"/>
              <w:rPr>
                <w:sz w:val="20"/>
                <w:szCs w:val="20"/>
                <w:color w:val="auto"/>
              </w:rPr>
            </w:pPr>
            <w:r>
              <w:rPr>
                <w:rFonts w:ascii="Courier New" w:cs="Courier New" w:eastAsia="Courier New" w:hAnsi="Courier New"/>
                <w:sz w:val="15"/>
                <w:szCs w:val="15"/>
                <w:color w:val="auto"/>
                <w:w w:val="99"/>
              </w:rPr>
              <w:t>with similar</w:t>
            </w:r>
          </w:p>
        </w:tc>
        <w:tc>
          <w:tcPr>
            <w:tcW w:w="62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terms and remaining maturities, the fair value of total debt at</w:t>
            </w:r>
          </w:p>
        </w:tc>
      </w:tr>
      <w:tr>
        <w:trPr>
          <w:trHeight w:val="171"/>
        </w:trPr>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December</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c>
          <w:tcPr>
            <w:tcW w:w="480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1994 and 1993 was approximately $242 million and $234</w:t>
            </w:r>
          </w:p>
        </w:tc>
        <w:tc>
          <w:tcPr>
            <w:tcW w:w="1460" w:type="dxa"/>
            <w:vAlign w:val="bottom"/>
          </w:tcPr>
          <w:p>
            <w:pPr>
              <w:ind w:left="40"/>
              <w:spacing w:after="0"/>
              <w:rPr>
                <w:sz w:val="20"/>
                <w:szCs w:val="20"/>
                <w:color w:val="auto"/>
              </w:rPr>
            </w:pPr>
            <w:r>
              <w:rPr>
                <w:rFonts w:ascii="Courier New" w:cs="Courier New" w:eastAsia="Courier New" w:hAnsi="Courier New"/>
                <w:sz w:val="15"/>
                <w:szCs w:val="15"/>
                <w:color w:val="auto"/>
              </w:rPr>
              <w:t>million.</w:t>
            </w:r>
          </w:p>
        </w:tc>
      </w:tr>
    </w:tbl>
    <w:p>
      <w:pPr>
        <w:sectPr>
          <w:pgSz w:w="11900" w:h="16838" w:orient="portrait"/>
          <w:cols w:equalWidth="0" w:num="1">
            <w:col w:w="10219"/>
          </w:cols>
          <w:pgMar w:left="240" w:top="287" w:right="1440" w:bottom="1440" w:gutter="0" w:footer="0" w:header="0"/>
        </w:sectPr>
      </w:pPr>
    </w:p>
    <w:bookmarkStart w:id="41" w:name="page42"/>
    <w:bookmarkEnd w:id="41"/>
    <w:p>
      <w:pPr>
        <w:ind w:left="260"/>
        <w:spacing w:after="0"/>
        <w:rPr>
          <w:sz w:val="20"/>
          <w:szCs w:val="20"/>
          <w:color w:val="auto"/>
        </w:rPr>
      </w:pPr>
      <w:r>
        <w:rPr>
          <w:rFonts w:ascii="Courier New" w:cs="Courier New" w:eastAsia="Courier New" w:hAnsi="Courier New"/>
          <w:sz w:val="15"/>
          <w:szCs w:val="15"/>
          <w:color w:val="auto"/>
        </w:rPr>
        <w:t>27</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174"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The company accounts for income taxes in accordance with the liability method. Deferred income taxes are determined based upon the difference between the book and the tax basis of the company's assets and liabilities. Deferred taxes are provided at the enacted tax rates expected to be in effect when these differences reverse.</w:t>
      </w:r>
    </w:p>
    <w:p>
      <w:pPr>
        <w:spacing w:after="0" w:line="172"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Deferred tax liabilities (assets) are comprised of the following at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31 (in thousands):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40" w:type="dxa"/>
            <w:vAlign w:val="bottom"/>
          </w:tcPr>
          <w:p>
            <w:pPr>
              <w:spacing w:after="0"/>
              <w:rPr>
                <w:sz w:val="14"/>
                <w:szCs w:val="14"/>
                <w:color w:val="auto"/>
              </w:rPr>
            </w:pPr>
          </w:p>
        </w:tc>
        <w:tc>
          <w:tcPr>
            <w:tcW w:w="2540" w:type="dxa"/>
            <w:vAlign w:val="bottom"/>
          </w:tcPr>
          <w:p>
            <w:pPr>
              <w:jc w:val="right"/>
              <w:ind w:right="966"/>
              <w:spacing w:after="0"/>
              <w:rPr>
                <w:sz w:val="20"/>
                <w:szCs w:val="20"/>
                <w:color w:val="auto"/>
              </w:rPr>
            </w:pPr>
            <w:r>
              <w:rPr>
                <w:rFonts w:ascii="Courier New" w:cs="Courier New" w:eastAsia="Courier New" w:hAnsi="Courier New"/>
                <w:sz w:val="15"/>
                <w:szCs w:val="15"/>
                <w:color w:val="auto"/>
              </w:rPr>
              <w:t>1994</w:t>
            </w:r>
          </w:p>
        </w:tc>
        <w:tc>
          <w:tcPr>
            <w:tcW w:w="15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1993</w:t>
            </w:r>
          </w:p>
        </w:tc>
      </w:tr>
      <w:tr>
        <w:trPr>
          <w:trHeight w:val="341"/>
        </w:trPr>
        <w:tc>
          <w:tcPr>
            <w:tcW w:w="3540" w:type="dxa"/>
            <w:vAlign w:val="bottom"/>
          </w:tcPr>
          <w:p>
            <w:pPr>
              <w:spacing w:after="0"/>
              <w:rPr>
                <w:sz w:val="20"/>
                <w:szCs w:val="20"/>
                <w:color w:val="auto"/>
              </w:rPr>
            </w:pPr>
            <w:r>
              <w:rPr>
                <w:rFonts w:ascii="Courier New" w:cs="Courier New" w:eastAsia="Courier New" w:hAnsi="Courier New"/>
                <w:sz w:val="15"/>
                <w:szCs w:val="15"/>
                <w:color w:val="auto"/>
              </w:rPr>
              <w:t>Depreciation</w:t>
            </w:r>
          </w:p>
        </w:tc>
        <w:tc>
          <w:tcPr>
            <w:tcW w:w="2540" w:type="dxa"/>
            <w:vAlign w:val="bottom"/>
          </w:tcPr>
          <w:p>
            <w:pPr>
              <w:jc w:val="right"/>
              <w:ind w:right="786"/>
              <w:spacing w:after="0"/>
              <w:rPr>
                <w:sz w:val="20"/>
                <w:szCs w:val="20"/>
                <w:color w:val="auto"/>
              </w:rPr>
            </w:pPr>
            <w:r>
              <w:rPr>
                <w:rFonts w:ascii="Courier New" w:cs="Courier New" w:eastAsia="Courier New" w:hAnsi="Courier New"/>
                <w:sz w:val="15"/>
                <w:szCs w:val="15"/>
                <w:color w:val="auto"/>
              </w:rPr>
              <w:t>$118,469</w:t>
            </w:r>
          </w:p>
        </w:tc>
        <w:tc>
          <w:tcPr>
            <w:tcW w:w="15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$123,787</w:t>
            </w: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Prepaids</w:t>
            </w:r>
          </w:p>
        </w:tc>
        <w:tc>
          <w:tcPr>
            <w:tcW w:w="2540" w:type="dxa"/>
            <w:vAlign w:val="bottom"/>
          </w:tcPr>
          <w:p>
            <w:pPr>
              <w:jc w:val="right"/>
              <w:ind w:right="786"/>
              <w:spacing w:after="0"/>
              <w:rPr>
                <w:sz w:val="20"/>
                <w:szCs w:val="20"/>
                <w:color w:val="auto"/>
              </w:rPr>
            </w:pPr>
            <w:r>
              <w:rPr>
                <w:rFonts w:ascii="Courier New" w:cs="Courier New" w:eastAsia="Courier New" w:hAnsi="Courier New"/>
                <w:sz w:val="15"/>
                <w:szCs w:val="15"/>
                <w:color w:val="auto"/>
              </w:rPr>
              <w:t>19,555</w:t>
            </w:r>
          </w:p>
        </w:tc>
        <w:tc>
          <w:tcPr>
            <w:tcW w:w="15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17,345</w:t>
            </w: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2540" w:type="dxa"/>
            <w:vAlign w:val="bottom"/>
          </w:tcPr>
          <w:p>
            <w:pPr>
              <w:jc w:val="right"/>
              <w:ind w:right="786"/>
              <w:spacing w:after="0"/>
              <w:rPr>
                <w:sz w:val="20"/>
                <w:szCs w:val="20"/>
                <w:color w:val="auto"/>
              </w:rPr>
            </w:pPr>
            <w:r>
              <w:rPr>
                <w:rFonts w:ascii="Courier New" w:cs="Courier New" w:eastAsia="Courier New" w:hAnsi="Courier New"/>
                <w:sz w:val="15"/>
                <w:szCs w:val="15"/>
                <w:color w:val="auto"/>
              </w:rPr>
              <w:t>8,783</w:t>
            </w:r>
          </w:p>
        </w:tc>
        <w:tc>
          <w:tcPr>
            <w:tcW w:w="1540" w:type="dxa"/>
            <w:vAlign w:val="bottom"/>
          </w:tcPr>
          <w:p>
            <w:pPr>
              <w:jc w:val="right"/>
              <w:ind w:right="6"/>
              <w:spacing w:after="0"/>
              <w:rPr>
                <w:sz w:val="20"/>
                <w:szCs w:val="20"/>
                <w:color w:val="auto"/>
              </w:rPr>
            </w:pPr>
            <w:r>
              <w:rPr>
                <w:rFonts w:ascii="Courier New" w:cs="Courier New" w:eastAsia="Courier New" w:hAnsi="Courier New"/>
                <w:sz w:val="15"/>
                <w:szCs w:val="15"/>
                <w:color w:val="auto"/>
              </w:rPr>
              <w:t>8,806</w:t>
            </w: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2540" w:type="dxa"/>
            <w:vAlign w:val="bottom"/>
          </w:tcPr>
          <w:p>
            <w:pPr>
              <w:jc w:val="right"/>
              <w:ind w:right="786"/>
              <w:spacing w:after="0"/>
              <w:rPr>
                <w:sz w:val="20"/>
                <w:szCs w:val="20"/>
                <w:color w:val="auto"/>
              </w:rPr>
            </w:pPr>
            <w:r>
              <w:rPr>
                <w:rFonts w:ascii="Courier New" w:cs="Courier New" w:eastAsia="Courier New" w:hAnsi="Courier New"/>
                <w:sz w:val="15"/>
                <w:szCs w:val="15"/>
                <w:color w:val="auto"/>
              </w:rPr>
              <w:t>11,486</w:t>
            </w:r>
          </w:p>
        </w:tc>
        <w:tc>
          <w:tcPr>
            <w:tcW w:w="1540" w:type="dxa"/>
            <w:vAlign w:val="bottom"/>
          </w:tcPr>
          <w:p>
            <w:pPr>
              <w:jc w:val="right"/>
              <w:ind w:right="6"/>
              <w:spacing w:after="0"/>
              <w:rPr>
                <w:sz w:val="20"/>
                <w:szCs w:val="20"/>
                <w:color w:val="auto"/>
              </w:rPr>
            </w:pPr>
            <w:r>
              <w:rPr>
                <w:rFonts w:ascii="Courier New" w:cs="Courier New" w:eastAsia="Courier New" w:hAnsi="Courier New"/>
                <w:sz w:val="15"/>
                <w:szCs w:val="15"/>
                <w:color w:val="auto"/>
              </w:rPr>
              <w:t>6,067</w:t>
            </w:r>
          </w:p>
        </w:tc>
      </w:tr>
      <w:tr>
        <w:trPr>
          <w:trHeight w:val="171"/>
        </w:trPr>
        <w:tc>
          <w:tcPr>
            <w:tcW w:w="3540" w:type="dxa"/>
            <w:vAlign w:val="bottom"/>
          </w:tcPr>
          <w:p>
            <w:pPr>
              <w:ind w:left="780"/>
              <w:spacing w:after="0"/>
              <w:rPr>
                <w:sz w:val="20"/>
                <w:szCs w:val="20"/>
                <w:color w:val="auto"/>
              </w:rPr>
            </w:pPr>
            <w:r>
              <w:rPr>
                <w:rFonts w:ascii="Courier New" w:cs="Courier New" w:eastAsia="Courier New" w:hAnsi="Courier New"/>
                <w:sz w:val="15"/>
                <w:szCs w:val="15"/>
                <w:color w:val="auto"/>
              </w:rPr>
              <w:t>Gross liabilities</w:t>
            </w:r>
          </w:p>
        </w:tc>
        <w:tc>
          <w:tcPr>
            <w:tcW w:w="2540" w:type="dxa"/>
            <w:vAlign w:val="bottom"/>
          </w:tcPr>
          <w:p>
            <w:pPr>
              <w:jc w:val="right"/>
              <w:ind w:right="786"/>
              <w:spacing w:after="0"/>
              <w:rPr>
                <w:sz w:val="20"/>
                <w:szCs w:val="20"/>
                <w:color w:val="auto"/>
              </w:rPr>
            </w:pPr>
            <w:r>
              <w:rPr>
                <w:rFonts w:ascii="Courier New" w:cs="Courier New" w:eastAsia="Courier New" w:hAnsi="Courier New"/>
                <w:sz w:val="15"/>
                <w:szCs w:val="15"/>
                <w:color w:val="auto"/>
              </w:rPr>
              <w:t>158,293</w:t>
            </w:r>
          </w:p>
        </w:tc>
        <w:tc>
          <w:tcPr>
            <w:tcW w:w="15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156,005</w:t>
            </w:r>
          </w:p>
        </w:tc>
      </w:tr>
      <w:tr>
        <w:trPr>
          <w:trHeight w:val="341"/>
        </w:trPr>
        <w:tc>
          <w:tcPr>
            <w:tcW w:w="3540" w:type="dxa"/>
            <w:vAlign w:val="bottom"/>
          </w:tcPr>
          <w:p>
            <w:pPr>
              <w:spacing w:after="0"/>
              <w:rPr>
                <w:sz w:val="20"/>
                <w:szCs w:val="20"/>
                <w:color w:val="auto"/>
              </w:rPr>
            </w:pPr>
            <w:r>
              <w:rPr>
                <w:rFonts w:ascii="Courier New" w:cs="Courier New" w:eastAsia="Courier New" w:hAnsi="Courier New"/>
                <w:sz w:val="15"/>
                <w:szCs w:val="15"/>
                <w:color w:val="auto"/>
              </w:rPr>
              <w:t>Claims and insurance</w:t>
            </w:r>
          </w:p>
        </w:tc>
        <w:tc>
          <w:tcPr>
            <w:tcW w:w="254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(84,425)</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(81,577)</w:t>
            </w: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NOL and AMT credit carryovers</w:t>
            </w:r>
          </w:p>
        </w:tc>
        <w:tc>
          <w:tcPr>
            <w:tcW w:w="254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(3,582)</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(5,856)</w:t>
            </w: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Bad debts</w:t>
            </w:r>
          </w:p>
        </w:tc>
        <w:tc>
          <w:tcPr>
            <w:tcW w:w="254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(5,466)</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(4,797)</w:t>
            </w: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254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(11,925)</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(13,888)</w:t>
            </w:r>
          </w:p>
        </w:tc>
      </w:tr>
      <w:tr>
        <w:trPr>
          <w:trHeight w:val="171"/>
        </w:trPr>
        <w:tc>
          <w:tcPr>
            <w:tcW w:w="3540" w:type="dxa"/>
            <w:vAlign w:val="bottom"/>
          </w:tcPr>
          <w:p>
            <w:pPr>
              <w:ind w:left="780"/>
              <w:spacing w:after="0"/>
              <w:rPr>
                <w:sz w:val="20"/>
                <w:szCs w:val="20"/>
                <w:color w:val="auto"/>
              </w:rPr>
            </w:pPr>
            <w:r>
              <w:rPr>
                <w:rFonts w:ascii="Courier New" w:cs="Courier New" w:eastAsia="Courier New" w:hAnsi="Courier New"/>
                <w:sz w:val="15"/>
                <w:szCs w:val="15"/>
                <w:color w:val="auto"/>
              </w:rPr>
              <w:t>Gross assets</w:t>
            </w:r>
          </w:p>
        </w:tc>
        <w:tc>
          <w:tcPr>
            <w:tcW w:w="254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(105,398)</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(106,118)</w:t>
            </w:r>
          </w:p>
        </w:tc>
      </w:tr>
      <w:tr>
        <w:trPr>
          <w:trHeight w:val="171"/>
        </w:trPr>
        <w:tc>
          <w:tcPr>
            <w:tcW w:w="3540" w:type="dxa"/>
            <w:vAlign w:val="bottom"/>
          </w:tcPr>
          <w:p>
            <w:pPr>
              <w:ind w:left="780"/>
              <w:spacing w:after="0"/>
              <w:rPr>
                <w:sz w:val="20"/>
                <w:szCs w:val="20"/>
                <w:color w:val="auto"/>
              </w:rPr>
            </w:pPr>
            <w:r>
              <w:rPr>
                <w:rFonts w:ascii="Courier New" w:cs="Courier New" w:eastAsia="Courier New" w:hAnsi="Courier New"/>
                <w:sz w:val="15"/>
                <w:szCs w:val="15"/>
                <w:color w:val="auto"/>
              </w:rPr>
              <w:t>Net liability</w:t>
            </w:r>
          </w:p>
        </w:tc>
        <w:tc>
          <w:tcPr>
            <w:tcW w:w="2540" w:type="dxa"/>
            <w:vAlign w:val="bottom"/>
          </w:tcPr>
          <w:p>
            <w:pPr>
              <w:jc w:val="right"/>
              <w:ind w:right="786"/>
              <w:spacing w:after="0"/>
              <w:rPr>
                <w:sz w:val="20"/>
                <w:szCs w:val="20"/>
                <w:color w:val="auto"/>
              </w:rPr>
            </w:pPr>
            <w:r>
              <w:rPr>
                <w:rFonts w:ascii="Courier New" w:cs="Courier New" w:eastAsia="Courier New" w:hAnsi="Courier New"/>
                <w:sz w:val="15"/>
                <w:szCs w:val="15"/>
                <w:color w:val="auto"/>
              </w:rPr>
              <w:t>$52,895</w:t>
            </w:r>
          </w:p>
        </w:tc>
        <w:tc>
          <w:tcPr>
            <w:tcW w:w="1540" w:type="dxa"/>
            <w:vAlign w:val="bottom"/>
          </w:tcPr>
          <w:p>
            <w:pPr>
              <w:jc w:val="right"/>
              <w:ind w:right="6"/>
              <w:spacing w:after="0"/>
              <w:rPr>
                <w:sz w:val="20"/>
                <w:szCs w:val="20"/>
                <w:color w:val="auto"/>
              </w:rPr>
            </w:pPr>
            <w:r>
              <w:rPr>
                <w:rFonts w:ascii="Courier New" w:cs="Courier New" w:eastAsia="Courier New" w:hAnsi="Courier New"/>
                <w:sz w:val="15"/>
                <w:szCs w:val="15"/>
                <w:color w:val="auto"/>
              </w:rPr>
              <w:t>$49,887</w:t>
            </w:r>
          </w:p>
        </w:tc>
      </w:tr>
    </w:tbl>
    <w:p>
      <w:pPr>
        <w:spacing w:after="0" w:line="345" w:lineRule="exact"/>
        <w:rPr>
          <w:sz w:val="20"/>
          <w:szCs w:val="20"/>
          <w:color w:val="auto"/>
        </w:rPr>
      </w:pPr>
    </w:p>
    <w:p>
      <w:pPr>
        <w:ind w:right="3659" w:firstLine="799"/>
        <w:spacing w:after="0" w:line="238" w:lineRule="auto"/>
        <w:rPr>
          <w:sz w:val="20"/>
          <w:szCs w:val="20"/>
          <w:color w:val="auto"/>
        </w:rPr>
      </w:pPr>
      <w:r>
        <w:rPr>
          <w:rFonts w:ascii="Courier New" w:cs="Courier New" w:eastAsia="Courier New" w:hAnsi="Courier New"/>
          <w:sz w:val="15"/>
          <w:szCs w:val="15"/>
          <w:color w:val="auto"/>
        </w:rPr>
        <w:t>The provision for income taxes is computed based on the following amounts of income (loss) before income taxes (in thousands):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940" w:type="dxa"/>
            <w:vAlign w:val="bottom"/>
          </w:tcPr>
          <w:p>
            <w:pPr>
              <w:ind w:left="840"/>
              <w:spacing w:after="0"/>
              <w:rPr>
                <w:sz w:val="20"/>
                <w:szCs w:val="20"/>
                <w:color w:val="auto"/>
              </w:rPr>
            </w:pPr>
            <w:r>
              <w:rPr>
                <w:rFonts w:ascii="Courier New" w:cs="Courier New" w:eastAsia="Courier New" w:hAnsi="Courier New"/>
                <w:sz w:val="15"/>
                <w:szCs w:val="15"/>
                <w:color w:val="auto"/>
              </w:rPr>
              <w:t>1994</w:t>
            </w:r>
          </w:p>
        </w:tc>
        <w:tc>
          <w:tcPr>
            <w:tcW w:w="146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1993</w:t>
            </w: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1992</w:t>
            </w:r>
          </w:p>
        </w:tc>
      </w:tr>
      <w:tr>
        <w:trPr>
          <w:trHeight w:val="341"/>
        </w:trPr>
        <w:tc>
          <w:tcPr>
            <w:tcW w:w="4480" w:type="dxa"/>
            <w:vAlign w:val="bottom"/>
            <w:gridSpan w:val="2"/>
          </w:tcPr>
          <w:p>
            <w:pPr>
              <w:spacing w:after="0"/>
              <w:rPr>
                <w:sz w:val="20"/>
                <w:szCs w:val="20"/>
                <w:color w:val="auto"/>
              </w:rPr>
            </w:pPr>
            <w:r>
              <w:rPr>
                <w:rFonts w:ascii="Courier New" w:cs="Courier New" w:eastAsia="Courier New" w:hAnsi="Courier New"/>
                <w:sz w:val="15"/>
                <w:szCs w:val="15"/>
                <w:color w:val="auto"/>
              </w:rPr>
              <w:t>Domestic</w:t>
            </w:r>
          </w:p>
        </w:tc>
        <w:tc>
          <w:tcPr>
            <w:tcW w:w="1940" w:type="dxa"/>
            <w:vAlign w:val="bottom"/>
          </w:tcPr>
          <w:p>
            <w:pPr>
              <w:ind w:left="840"/>
              <w:spacing w:after="0"/>
              <w:rPr>
                <w:sz w:val="20"/>
                <w:szCs w:val="20"/>
                <w:color w:val="auto"/>
              </w:rPr>
            </w:pPr>
            <w:r>
              <w:rPr>
                <w:rFonts w:ascii="Courier New" w:cs="Courier New" w:eastAsia="Courier New" w:hAnsi="Courier New"/>
                <w:sz w:val="15"/>
                <w:szCs w:val="15"/>
                <w:color w:val="auto"/>
              </w:rPr>
              <w:t>$(7,276)</w:t>
            </w:r>
          </w:p>
        </w:tc>
        <w:tc>
          <w:tcPr>
            <w:tcW w:w="14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$31,175</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$62,553</w:t>
            </w:r>
          </w:p>
        </w:tc>
      </w:tr>
      <w:tr>
        <w:trPr>
          <w:trHeight w:val="171"/>
        </w:trPr>
        <w:tc>
          <w:tcPr>
            <w:tcW w:w="660" w:type="dxa"/>
            <w:vAlign w:val="bottom"/>
          </w:tcPr>
          <w:p>
            <w:pPr>
              <w:jc w:val="right"/>
              <w:spacing w:after="0"/>
              <w:rPr>
                <w:sz w:val="20"/>
                <w:szCs w:val="20"/>
                <w:color w:val="auto"/>
              </w:rPr>
            </w:pPr>
            <w:r>
              <w:rPr>
                <w:rFonts w:ascii="Courier New" w:cs="Courier New" w:eastAsia="Courier New" w:hAnsi="Courier New"/>
                <w:sz w:val="15"/>
                <w:szCs w:val="15"/>
                <w:color w:val="auto"/>
                <w:w w:val="95"/>
              </w:rPr>
              <w:t>Foreign</w:t>
            </w:r>
          </w:p>
        </w:tc>
        <w:tc>
          <w:tcPr>
            <w:tcW w:w="3820" w:type="dxa"/>
            <w:vAlign w:val="bottom"/>
          </w:tcPr>
          <w:p>
            <w:pPr>
              <w:spacing w:after="0"/>
              <w:rPr>
                <w:sz w:val="14"/>
                <w:szCs w:val="14"/>
                <w:color w:val="auto"/>
              </w:rPr>
            </w:pPr>
          </w:p>
        </w:tc>
        <w:tc>
          <w:tcPr>
            <w:tcW w:w="19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3,901</w:t>
            </w:r>
          </w:p>
        </w:tc>
        <w:tc>
          <w:tcPr>
            <w:tcW w:w="14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4,183</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2,840</w:t>
            </w:r>
          </w:p>
        </w:tc>
      </w:tr>
      <w:tr>
        <w:trPr>
          <w:trHeight w:val="171"/>
        </w:trPr>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3820" w:type="dxa"/>
            <w:vAlign w:val="bottom"/>
          </w:tcPr>
          <w:p>
            <w:pPr>
              <w:ind w:left="40"/>
              <w:spacing w:after="0"/>
              <w:rPr>
                <w:sz w:val="20"/>
                <w:szCs w:val="20"/>
                <w:color w:val="auto"/>
              </w:rPr>
            </w:pPr>
            <w:r>
              <w:rPr>
                <w:rFonts w:ascii="Courier New" w:cs="Courier New" w:eastAsia="Courier New" w:hAnsi="Courier New"/>
                <w:sz w:val="15"/>
                <w:szCs w:val="15"/>
                <w:color w:val="auto"/>
              </w:rPr>
              <w:t>income (loss) before income taxes</w:t>
            </w:r>
          </w:p>
        </w:tc>
        <w:tc>
          <w:tcPr>
            <w:tcW w:w="1940" w:type="dxa"/>
            <w:vAlign w:val="bottom"/>
          </w:tcPr>
          <w:p>
            <w:pPr>
              <w:ind w:left="840"/>
              <w:spacing w:after="0"/>
              <w:rPr>
                <w:sz w:val="20"/>
                <w:szCs w:val="20"/>
                <w:color w:val="auto"/>
              </w:rPr>
            </w:pPr>
            <w:r>
              <w:rPr>
                <w:rFonts w:ascii="Courier New" w:cs="Courier New" w:eastAsia="Courier New" w:hAnsi="Courier New"/>
                <w:sz w:val="15"/>
                <w:szCs w:val="15"/>
                <w:color w:val="auto"/>
              </w:rPr>
              <w:t>$(3,375)</w:t>
            </w:r>
          </w:p>
        </w:tc>
        <w:tc>
          <w:tcPr>
            <w:tcW w:w="14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$35,358</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$65,393</w:t>
            </w:r>
          </w:p>
        </w:tc>
      </w:tr>
    </w:tbl>
    <w:p>
      <w:pPr>
        <w:sectPr>
          <w:pgSz w:w="11900" w:h="16838" w:orient="portrait"/>
          <w:cols w:equalWidth="0" w:num="1">
            <w:col w:w="10219"/>
          </w:cols>
          <w:pgMar w:left="240" w:top="287" w:right="1440" w:bottom="1440" w:gutter="0" w:footer="0" w:header="0"/>
        </w:sectPr>
      </w:pPr>
    </w:p>
    <w:bookmarkStart w:id="42" w:name="page43"/>
    <w:bookmarkEnd w:id="42"/>
    <w:p>
      <w:pPr>
        <w:ind w:left="260"/>
        <w:spacing w:after="0"/>
        <w:rPr>
          <w:sz w:val="20"/>
          <w:szCs w:val="20"/>
          <w:color w:val="auto"/>
        </w:rPr>
      </w:pPr>
      <w:r>
        <w:rPr>
          <w:rFonts w:ascii="Courier New" w:cs="Courier New" w:eastAsia="Courier New" w:hAnsi="Courier New"/>
          <w:sz w:val="15"/>
          <w:szCs w:val="15"/>
          <w:color w:val="auto"/>
        </w:rPr>
        <w:t>28</w:t>
      </w:r>
    </w:p>
    <w:p>
      <w:pPr>
        <w:spacing w:after="0" w:line="3" w:lineRule="exact"/>
        <w:rPr>
          <w:sz w:val="20"/>
          <w:szCs w:val="20"/>
          <w:color w:val="auto"/>
        </w:rPr>
      </w:pPr>
    </w:p>
    <w:p>
      <w:pPr>
        <w:ind w:right="4099" w:firstLine="799"/>
        <w:spacing w:after="0" w:line="238" w:lineRule="auto"/>
        <w:rPr>
          <w:sz w:val="20"/>
          <w:szCs w:val="20"/>
          <w:color w:val="auto"/>
        </w:rPr>
      </w:pPr>
      <w:r>
        <w:rPr>
          <w:rFonts w:ascii="Courier New" w:cs="Courier New" w:eastAsia="Courier New" w:hAnsi="Courier New"/>
          <w:sz w:val="15"/>
          <w:szCs w:val="15"/>
          <w:color w:val="auto"/>
        </w:rPr>
        <w:t>The provision for income taxes consists of the following (in thousands):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20" w:type="dxa"/>
            <w:vAlign w:val="bottom"/>
          </w:tcPr>
          <w:p>
            <w:pPr>
              <w:spacing w:after="0"/>
              <w:rPr>
                <w:sz w:val="14"/>
                <w:szCs w:val="14"/>
                <w:color w:val="auto"/>
              </w:rPr>
            </w:pPr>
          </w:p>
        </w:tc>
        <w:tc>
          <w:tcPr>
            <w:tcW w:w="120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1994</w:t>
            </w:r>
          </w:p>
        </w:tc>
        <w:tc>
          <w:tcPr>
            <w:tcW w:w="14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1993</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1992</w:t>
            </w:r>
          </w:p>
        </w:tc>
      </w:tr>
      <w:tr>
        <w:trPr>
          <w:trHeight w:val="341"/>
        </w:trPr>
        <w:tc>
          <w:tcPr>
            <w:tcW w:w="362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1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1"/>
        </w:trPr>
        <w:tc>
          <w:tcPr>
            <w:tcW w:w="3620" w:type="dxa"/>
            <w:vAlign w:val="bottom"/>
          </w:tcPr>
          <w:p>
            <w:pPr>
              <w:ind w:left="780"/>
              <w:spacing w:after="0"/>
              <w:rPr>
                <w:sz w:val="20"/>
                <w:szCs w:val="20"/>
                <w:color w:val="auto"/>
              </w:rPr>
            </w:pPr>
            <w:r>
              <w:rPr>
                <w:rFonts w:ascii="Courier New" w:cs="Courier New" w:eastAsia="Courier New" w:hAnsi="Courier New"/>
                <w:sz w:val="15"/>
                <w:szCs w:val="15"/>
                <w:color w:val="auto"/>
              </w:rPr>
              <w:t>U.S. federal</w:t>
            </w: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$(4,158)</w:t>
            </w:r>
          </w:p>
        </w:tc>
        <w:tc>
          <w:tcPr>
            <w:tcW w:w="148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$21,407</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$32,701</w:t>
            </w:r>
          </w:p>
        </w:tc>
      </w:tr>
      <w:tr>
        <w:trPr>
          <w:trHeight w:val="171"/>
        </w:trPr>
        <w:tc>
          <w:tcPr>
            <w:tcW w:w="3620" w:type="dxa"/>
            <w:vAlign w:val="bottom"/>
          </w:tcPr>
          <w:p>
            <w:pPr>
              <w:ind w:left="780"/>
              <w:spacing w:after="0"/>
              <w:rPr>
                <w:sz w:val="20"/>
                <w:szCs w:val="20"/>
                <w:color w:val="auto"/>
              </w:rPr>
            </w:pPr>
            <w:r>
              <w:rPr>
                <w:rFonts w:ascii="Courier New" w:cs="Courier New" w:eastAsia="Courier New" w:hAnsi="Courier New"/>
                <w:sz w:val="15"/>
                <w:szCs w:val="15"/>
                <w:color w:val="auto"/>
              </w:rPr>
              <w:t>State</w:t>
            </w: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(1,870)</w:t>
            </w:r>
          </w:p>
        </w:tc>
        <w:tc>
          <w:tcPr>
            <w:tcW w:w="148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4,814</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4,768</w:t>
            </w:r>
          </w:p>
        </w:tc>
      </w:tr>
      <w:tr>
        <w:trPr>
          <w:trHeight w:val="171"/>
        </w:trPr>
        <w:tc>
          <w:tcPr>
            <w:tcW w:w="3620" w:type="dxa"/>
            <w:vAlign w:val="bottom"/>
          </w:tcPr>
          <w:p>
            <w:pPr>
              <w:ind w:left="780"/>
              <w:spacing w:after="0"/>
              <w:rPr>
                <w:sz w:val="20"/>
                <w:szCs w:val="20"/>
                <w:color w:val="auto"/>
              </w:rPr>
            </w:pPr>
            <w:r>
              <w:rPr>
                <w:rFonts w:ascii="Courier New" w:cs="Courier New" w:eastAsia="Courier New" w:hAnsi="Courier New"/>
                <w:sz w:val="15"/>
                <w:szCs w:val="15"/>
                <w:color w:val="auto"/>
              </w:rPr>
              <w:t>Foreign</w:t>
            </w:r>
          </w:p>
        </w:tc>
        <w:tc>
          <w:tcPr>
            <w:tcW w:w="12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2,354</w:t>
            </w:r>
          </w:p>
        </w:tc>
        <w:tc>
          <w:tcPr>
            <w:tcW w:w="148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2,216</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2,211</w:t>
            </w:r>
          </w:p>
        </w:tc>
      </w:tr>
      <w:tr>
        <w:trPr>
          <w:trHeight w:val="171"/>
        </w:trPr>
        <w:tc>
          <w:tcPr>
            <w:tcW w:w="3620" w:type="dxa"/>
            <w:vAlign w:val="bottom"/>
          </w:tcPr>
          <w:p>
            <w:pPr>
              <w:ind w:left="780"/>
              <w:spacing w:after="0"/>
              <w:rPr>
                <w:sz w:val="20"/>
                <w:szCs w:val="20"/>
                <w:color w:val="auto"/>
              </w:rPr>
            </w:pPr>
            <w:r>
              <w:rPr>
                <w:rFonts w:ascii="Courier New" w:cs="Courier New" w:eastAsia="Courier New" w:hAnsi="Courier New"/>
                <w:sz w:val="15"/>
                <w:szCs w:val="15"/>
                <w:color w:val="auto"/>
              </w:rPr>
              <w:t>Total current</w:t>
            </w: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(3,674)</w:t>
            </w:r>
          </w:p>
        </w:tc>
        <w:tc>
          <w:tcPr>
            <w:tcW w:w="148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28,437</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39,680</w:t>
            </w: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1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620" w:type="dxa"/>
            <w:vAlign w:val="bottom"/>
          </w:tcPr>
          <w:p>
            <w:pPr>
              <w:ind w:left="780"/>
              <w:spacing w:after="0"/>
              <w:rPr>
                <w:sz w:val="20"/>
                <w:szCs w:val="20"/>
                <w:color w:val="auto"/>
              </w:rPr>
            </w:pPr>
            <w:r>
              <w:rPr>
                <w:rFonts w:ascii="Courier New" w:cs="Courier New" w:eastAsia="Courier New" w:hAnsi="Courier New"/>
                <w:sz w:val="15"/>
                <w:szCs w:val="15"/>
                <w:color w:val="auto"/>
              </w:rPr>
              <w:t>U.S. federal</w:t>
            </w:r>
          </w:p>
        </w:tc>
        <w:tc>
          <w:tcPr>
            <w:tcW w:w="12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4,235</w:t>
            </w:r>
          </w:p>
        </w:tc>
        <w:tc>
          <w:tcPr>
            <w:tcW w:w="14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(9,214)</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(11,408)</w:t>
            </w:r>
          </w:p>
        </w:tc>
      </w:tr>
      <w:tr>
        <w:trPr>
          <w:trHeight w:val="171"/>
        </w:trPr>
        <w:tc>
          <w:tcPr>
            <w:tcW w:w="3620" w:type="dxa"/>
            <w:vAlign w:val="bottom"/>
          </w:tcPr>
          <w:p>
            <w:pPr>
              <w:ind w:left="780"/>
              <w:spacing w:after="0"/>
              <w:rPr>
                <w:sz w:val="20"/>
                <w:szCs w:val="20"/>
                <w:color w:val="auto"/>
              </w:rPr>
            </w:pPr>
            <w:r>
              <w:rPr>
                <w:rFonts w:ascii="Courier New" w:cs="Courier New" w:eastAsia="Courier New" w:hAnsi="Courier New"/>
                <w:sz w:val="15"/>
                <w:szCs w:val="15"/>
                <w:color w:val="auto"/>
              </w:rPr>
              <w:t>State</w:t>
            </w:r>
          </w:p>
        </w:tc>
        <w:tc>
          <w:tcPr>
            <w:tcW w:w="12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768</w:t>
            </w:r>
          </w:p>
        </w:tc>
        <w:tc>
          <w:tcPr>
            <w:tcW w:w="14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(3,244)</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(2,131)</w:t>
            </w:r>
          </w:p>
        </w:tc>
      </w:tr>
      <w:tr>
        <w:trPr>
          <w:trHeight w:val="171"/>
        </w:trPr>
        <w:tc>
          <w:tcPr>
            <w:tcW w:w="3620" w:type="dxa"/>
            <w:vAlign w:val="bottom"/>
          </w:tcPr>
          <w:p>
            <w:pPr>
              <w:ind w:left="780"/>
              <w:spacing w:after="0"/>
              <w:rPr>
                <w:sz w:val="20"/>
                <w:szCs w:val="20"/>
                <w:color w:val="auto"/>
              </w:rPr>
            </w:pPr>
            <w:r>
              <w:rPr>
                <w:rFonts w:ascii="Courier New" w:cs="Courier New" w:eastAsia="Courier New" w:hAnsi="Courier New"/>
                <w:sz w:val="15"/>
                <w:szCs w:val="15"/>
                <w:color w:val="auto"/>
              </w:rPr>
              <w:t>Foreign</w:t>
            </w: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(856)</w:t>
            </w:r>
          </w:p>
        </w:tc>
        <w:tc>
          <w:tcPr>
            <w:tcW w:w="148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(806)</w:t>
            </w:r>
          </w:p>
        </w:tc>
      </w:tr>
      <w:tr>
        <w:trPr>
          <w:trHeight w:val="171"/>
        </w:trPr>
        <w:tc>
          <w:tcPr>
            <w:tcW w:w="3620" w:type="dxa"/>
            <w:vAlign w:val="bottom"/>
          </w:tcPr>
          <w:p>
            <w:pPr>
              <w:ind w:left="780"/>
              <w:spacing w:after="0"/>
              <w:rPr>
                <w:sz w:val="20"/>
                <w:szCs w:val="20"/>
                <w:color w:val="auto"/>
              </w:rPr>
            </w:pPr>
            <w:r>
              <w:rPr>
                <w:rFonts w:ascii="Courier New" w:cs="Courier New" w:eastAsia="Courier New" w:hAnsi="Courier New"/>
                <w:sz w:val="15"/>
                <w:szCs w:val="15"/>
                <w:color w:val="auto"/>
              </w:rPr>
              <w:t>Change in U.S. federal tax rate</w:t>
            </w:r>
          </w:p>
        </w:tc>
        <w:tc>
          <w:tcPr>
            <w:tcW w:w="12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1,639</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620" w:type="dxa"/>
            <w:vAlign w:val="bottom"/>
          </w:tcPr>
          <w:p>
            <w:pPr>
              <w:ind w:left="1500"/>
              <w:spacing w:after="0"/>
              <w:rPr>
                <w:sz w:val="20"/>
                <w:szCs w:val="20"/>
                <w:color w:val="auto"/>
              </w:rPr>
            </w:pPr>
            <w:r>
              <w:rPr>
                <w:rFonts w:ascii="Courier New" w:cs="Courier New" w:eastAsia="Courier New" w:hAnsi="Courier New"/>
                <w:sz w:val="15"/>
                <w:szCs w:val="15"/>
                <w:color w:val="auto"/>
              </w:rPr>
              <w:t>Total deferred</w:t>
            </w:r>
          </w:p>
        </w:tc>
        <w:tc>
          <w:tcPr>
            <w:tcW w:w="12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4,147</w:t>
            </w:r>
          </w:p>
        </w:tc>
        <w:tc>
          <w:tcPr>
            <w:tcW w:w="14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(10,819)</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(14,345)</w:t>
            </w: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rPr>
              <w:t>Investment tax credit amortization</w:t>
            </w:r>
          </w:p>
        </w:tc>
        <w:tc>
          <w:tcPr>
            <w:tcW w:w="12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(1,061)</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(982)</w:t>
            </w: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rPr>
              <w:t>Total provision</w:t>
            </w:r>
          </w:p>
        </w:tc>
        <w:tc>
          <w:tcPr>
            <w:tcW w:w="12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$473</w:t>
            </w:r>
          </w:p>
        </w:tc>
        <w:tc>
          <w:tcPr>
            <w:tcW w:w="148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$16,557</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$24,353</w:t>
            </w:r>
          </w:p>
        </w:tc>
      </w:tr>
    </w:tbl>
    <w:p>
      <w:pPr>
        <w:spacing w:after="0" w:line="345" w:lineRule="exact"/>
        <w:rPr>
          <w:sz w:val="20"/>
          <w:szCs w:val="20"/>
          <w:color w:val="auto"/>
        </w:rPr>
      </w:pPr>
    </w:p>
    <w:p>
      <w:pPr>
        <w:ind w:right="3479" w:firstLine="799"/>
        <w:spacing w:after="0" w:line="271" w:lineRule="auto"/>
        <w:rPr>
          <w:sz w:val="20"/>
          <w:szCs w:val="20"/>
          <w:color w:val="auto"/>
        </w:rPr>
      </w:pPr>
      <w:r>
        <w:rPr>
          <w:rFonts w:ascii="Courier New" w:cs="Courier New" w:eastAsia="Courier New" w:hAnsi="Courier New"/>
          <w:sz w:val="14"/>
          <w:szCs w:val="14"/>
          <w:color w:val="auto"/>
        </w:rPr>
        <w:t>A reconciliation between income taxes at the federal statutory rate (35% in 1994 and 1993, 34% in 1992) and the consolidated provision follows:</w:t>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20" w:type="dxa"/>
            <w:vAlign w:val="bottom"/>
          </w:tcPr>
          <w:p>
            <w:pPr>
              <w:jc w:val="right"/>
              <w:ind w:right="586"/>
              <w:spacing w:after="0"/>
              <w:rPr>
                <w:sz w:val="20"/>
                <w:szCs w:val="20"/>
                <w:color w:val="auto"/>
              </w:rPr>
            </w:pPr>
            <w:r>
              <w:rPr>
                <w:rFonts w:ascii="Courier New" w:cs="Courier New" w:eastAsia="Courier New" w:hAnsi="Courier New"/>
                <w:sz w:val="15"/>
                <w:szCs w:val="15"/>
                <w:color w:val="auto"/>
                <w:w w:val="94"/>
              </w:rPr>
              <w:t>1994</w:t>
            </w:r>
          </w:p>
        </w:tc>
        <w:tc>
          <w:tcPr>
            <w:tcW w:w="14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1993</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1992</w:t>
            </w:r>
          </w:p>
        </w:tc>
      </w:tr>
      <w:tr>
        <w:trPr>
          <w:trHeight w:val="341"/>
        </w:trPr>
        <w:tc>
          <w:tcPr>
            <w:tcW w:w="2040" w:type="dxa"/>
            <w:vAlign w:val="bottom"/>
          </w:tcPr>
          <w:p>
            <w:pPr>
              <w:spacing w:after="0"/>
              <w:rPr>
                <w:sz w:val="20"/>
                <w:szCs w:val="20"/>
                <w:color w:val="auto"/>
              </w:rPr>
            </w:pPr>
            <w:r>
              <w:rPr>
                <w:rFonts w:ascii="Courier New" w:cs="Courier New" w:eastAsia="Courier New" w:hAnsi="Courier New"/>
                <w:sz w:val="15"/>
                <w:szCs w:val="15"/>
                <w:color w:val="auto"/>
              </w:rPr>
              <w:t>Provision (benefit) at</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federal statutory rate</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5"/>
              </w:rPr>
              <w:t>(1,181)</w:t>
            </w:r>
          </w:p>
        </w:tc>
        <w:tc>
          <w:tcPr>
            <w:tcW w:w="14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$12,375</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$22,234</w:t>
            </w:r>
          </w:p>
        </w:tc>
      </w:tr>
      <w:tr>
        <w:trPr>
          <w:trHeight w:val="171"/>
        </w:trPr>
        <w:tc>
          <w:tcPr>
            <w:tcW w:w="2040" w:type="dxa"/>
            <w:vAlign w:val="bottom"/>
          </w:tcPr>
          <w:p>
            <w:pPr>
              <w:spacing w:after="0"/>
              <w:rPr>
                <w:sz w:val="20"/>
                <w:szCs w:val="20"/>
                <w:color w:val="auto"/>
              </w:rPr>
            </w:pPr>
            <w:r>
              <w:rPr>
                <w:rFonts w:ascii="Courier New" w:cs="Courier New" w:eastAsia="Courier New" w:hAnsi="Courier New"/>
                <w:sz w:val="15"/>
                <w:szCs w:val="15"/>
                <w:color w:val="auto"/>
                <w:w w:val="97"/>
              </w:rPr>
              <w:t>State income taxes, net</w:t>
            </w:r>
          </w:p>
        </w:tc>
        <w:tc>
          <w:tcPr>
            <w:tcW w:w="2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(716)</w:t>
            </w:r>
          </w:p>
        </w:tc>
        <w:tc>
          <w:tcPr>
            <w:tcW w:w="14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1,021</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1,740</w:t>
            </w:r>
          </w:p>
        </w:tc>
      </w:tr>
      <w:tr>
        <w:trPr>
          <w:trHeight w:val="171"/>
        </w:trPr>
        <w:tc>
          <w:tcPr>
            <w:tcW w:w="2040" w:type="dxa"/>
            <w:vAlign w:val="bottom"/>
          </w:tcPr>
          <w:p>
            <w:pPr>
              <w:spacing w:after="0"/>
              <w:rPr>
                <w:sz w:val="20"/>
                <w:szCs w:val="20"/>
                <w:color w:val="auto"/>
              </w:rPr>
            </w:pPr>
            <w:r>
              <w:rPr>
                <w:rFonts w:ascii="Courier New" w:cs="Courier New" w:eastAsia="Courier New" w:hAnsi="Courier New"/>
                <w:sz w:val="15"/>
                <w:szCs w:val="15"/>
                <w:color w:val="auto"/>
              </w:rPr>
              <w:t>Change in U.S. federal</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tax rate</w:t>
            </w:r>
          </w:p>
        </w:tc>
        <w:tc>
          <w:tcPr>
            <w:tcW w:w="720" w:type="dxa"/>
            <w:vAlign w:val="bottom"/>
          </w:tcPr>
          <w:p>
            <w:pPr>
              <w:spacing w:after="0"/>
              <w:rPr>
                <w:sz w:val="14"/>
                <w:szCs w:val="14"/>
                <w:color w:val="auto"/>
              </w:rPr>
            </w:pPr>
          </w:p>
        </w:tc>
        <w:tc>
          <w:tcPr>
            <w:tcW w:w="10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1,639</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rPr>
              <w:t>Foreign tax rate differential</w:t>
            </w:r>
          </w:p>
        </w:tc>
        <w:tc>
          <w:tcPr>
            <w:tcW w:w="720" w:type="dxa"/>
            <w:vAlign w:val="bottom"/>
          </w:tcPr>
          <w:p>
            <w:pPr>
              <w:spacing w:after="0"/>
              <w:rPr>
                <w:sz w:val="14"/>
                <w:szCs w:val="14"/>
                <w:color w:val="auto"/>
              </w:rPr>
            </w:pPr>
          </w:p>
        </w:tc>
        <w:tc>
          <w:tcPr>
            <w:tcW w:w="10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133</w:t>
            </w:r>
          </w:p>
        </w:tc>
        <w:tc>
          <w:tcPr>
            <w:tcW w:w="14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752</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439</w:t>
            </w:r>
          </w:p>
        </w:tc>
      </w:tr>
      <w:tr>
        <w:trPr>
          <w:trHeight w:val="171"/>
        </w:trPr>
        <w:tc>
          <w:tcPr>
            <w:tcW w:w="2040" w:type="dxa"/>
            <w:vAlign w:val="bottom"/>
          </w:tcPr>
          <w:p>
            <w:pPr>
              <w:spacing w:after="0"/>
              <w:rPr>
                <w:sz w:val="20"/>
                <w:szCs w:val="20"/>
                <w:color w:val="auto"/>
              </w:rPr>
            </w:pPr>
            <w:r>
              <w:rPr>
                <w:rFonts w:ascii="Courier New" w:cs="Courier New" w:eastAsia="Courier New" w:hAnsi="Courier New"/>
                <w:sz w:val="15"/>
                <w:szCs w:val="15"/>
                <w:color w:val="auto"/>
              </w:rPr>
              <w:t>Nondeductible business</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720" w:type="dxa"/>
            <w:vAlign w:val="bottom"/>
          </w:tcPr>
          <w:p>
            <w:pPr>
              <w:spacing w:after="0"/>
              <w:rPr>
                <w:sz w:val="14"/>
                <w:szCs w:val="14"/>
                <w:color w:val="auto"/>
              </w:rPr>
            </w:pPr>
          </w:p>
        </w:tc>
        <w:tc>
          <w:tcPr>
            <w:tcW w:w="10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2,571</w:t>
            </w:r>
          </w:p>
        </w:tc>
        <w:tc>
          <w:tcPr>
            <w:tcW w:w="14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1,331</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909</w:t>
            </w:r>
          </w:p>
        </w:tc>
      </w:tr>
      <w:tr>
        <w:trPr>
          <w:trHeight w:val="171"/>
        </w:trPr>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rPr>
              <w:t>Amortization of investment tax credits</w:t>
            </w:r>
          </w:p>
        </w:tc>
        <w:tc>
          <w:tcPr>
            <w:tcW w:w="720" w:type="dxa"/>
            <w:vAlign w:val="bottom"/>
          </w:tcPr>
          <w:p>
            <w:pPr>
              <w:spacing w:after="0"/>
              <w:rPr>
                <w:sz w:val="14"/>
                <w:szCs w:val="14"/>
                <w:color w:val="auto"/>
              </w:rPr>
            </w:pPr>
          </w:p>
        </w:tc>
        <w:tc>
          <w:tcPr>
            <w:tcW w:w="10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(1,061)</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(982)</w:t>
            </w:r>
          </w:p>
        </w:tc>
      </w:tr>
      <w:tr>
        <w:trPr>
          <w:trHeight w:val="171"/>
        </w:trPr>
        <w:tc>
          <w:tcPr>
            <w:tcW w:w="2040" w:type="dxa"/>
            <w:vAlign w:val="bottom"/>
          </w:tcPr>
          <w:p>
            <w:pPr>
              <w:spacing w:after="0"/>
              <w:rPr>
                <w:sz w:val="20"/>
                <w:szCs w:val="20"/>
                <w:color w:val="auto"/>
              </w:rPr>
            </w:pPr>
            <w:r>
              <w:rPr>
                <w:rFonts w:ascii="Courier New" w:cs="Courier New" w:eastAsia="Courier New" w:hAnsi="Courier New"/>
                <w:sz w:val="15"/>
                <w:szCs w:val="15"/>
                <w:color w:val="auto"/>
              </w:rPr>
              <w:t>Other, net</w:t>
            </w:r>
          </w:p>
        </w:tc>
        <w:tc>
          <w:tcPr>
            <w:tcW w:w="2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(334)</w:t>
            </w:r>
          </w:p>
        </w:tc>
        <w:tc>
          <w:tcPr>
            <w:tcW w:w="14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500</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w:t>
            </w:r>
          </w:p>
        </w:tc>
      </w:tr>
      <w:tr>
        <w:trPr>
          <w:trHeight w:val="171"/>
        </w:trPr>
        <w:tc>
          <w:tcPr>
            <w:tcW w:w="460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Total provision</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473</w:t>
            </w:r>
          </w:p>
        </w:tc>
        <w:tc>
          <w:tcPr>
            <w:tcW w:w="14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$16,557</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$24,353</w:t>
            </w:r>
          </w:p>
        </w:tc>
      </w:tr>
      <w:tr>
        <w:trPr>
          <w:trHeight w:val="341"/>
        </w:trPr>
        <w:tc>
          <w:tcPr>
            <w:tcW w:w="2040" w:type="dxa"/>
            <w:vAlign w:val="bottom"/>
          </w:tcPr>
          <w:p>
            <w:pPr>
              <w:ind w:left="780"/>
              <w:spacing w:after="0"/>
              <w:rPr>
                <w:sz w:val="20"/>
                <w:szCs w:val="20"/>
                <w:color w:val="auto"/>
              </w:rPr>
            </w:pPr>
            <w:r>
              <w:rPr>
                <w:rFonts w:ascii="Courier New" w:cs="Courier New" w:eastAsia="Courier New" w:hAnsi="Courier New"/>
                <w:sz w:val="15"/>
                <w:szCs w:val="15"/>
                <w:color w:val="auto"/>
              </w:rPr>
              <w:t>Effective tax</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rate</w:t>
            </w:r>
          </w:p>
        </w:tc>
        <w:tc>
          <w:tcPr>
            <w:tcW w:w="720" w:type="dxa"/>
            <w:vAlign w:val="bottom"/>
          </w:tcPr>
          <w:p>
            <w:pPr>
              <w:spacing w:after="0"/>
              <w:rPr>
                <w:sz w:val="24"/>
                <w:szCs w:val="2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14.0%</w:t>
            </w:r>
          </w:p>
        </w:tc>
        <w:tc>
          <w:tcPr>
            <w:tcW w:w="14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46.8%</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37.2%</w:t>
            </w:r>
          </w:p>
        </w:tc>
      </w:tr>
    </w:tbl>
    <w:p>
      <w:pPr>
        <w:sectPr>
          <w:pgSz w:w="11900" w:h="16838" w:orient="portrait"/>
          <w:cols w:equalWidth="0" w:num="1">
            <w:col w:w="10219"/>
          </w:cols>
          <w:pgMar w:left="240" w:top="287" w:right="1440" w:bottom="1440" w:gutter="0" w:footer="0" w:header="0"/>
        </w:sectPr>
      </w:pPr>
    </w:p>
    <w:bookmarkStart w:id="43" w:name="page44"/>
    <w:bookmarkEnd w:id="43"/>
    <w:p>
      <w:pPr>
        <w:ind w:left="260"/>
        <w:spacing w:after="0"/>
        <w:rPr>
          <w:sz w:val="20"/>
          <w:szCs w:val="20"/>
          <w:color w:val="auto"/>
        </w:rPr>
      </w:pPr>
      <w:r>
        <w:rPr>
          <w:rFonts w:ascii="Courier New" w:cs="Courier New" w:eastAsia="Courier New" w:hAnsi="Courier New"/>
          <w:sz w:val="15"/>
          <w:szCs w:val="15"/>
          <w:color w:val="auto"/>
        </w:rPr>
        <w:t>29</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EMPLOYEE</w:t>
            </w:r>
          </w:p>
        </w:tc>
        <w:tc>
          <w:tcPr>
            <w:tcW w:w="4140" w:type="dxa"/>
            <w:vAlign w:val="bottom"/>
          </w:tcPr>
          <w:p>
            <w:pPr>
              <w:ind w:left="40"/>
              <w:spacing w:after="0"/>
              <w:rPr>
                <w:sz w:val="20"/>
                <w:szCs w:val="20"/>
                <w:color w:val="auto"/>
              </w:rPr>
            </w:pPr>
            <w:r>
              <w:rPr>
                <w:rFonts w:ascii="Courier New" w:cs="Courier New" w:eastAsia="Courier New" w:hAnsi="Courier New"/>
                <w:sz w:val="15"/>
                <w:szCs w:val="15"/>
                <w:color w:val="auto"/>
              </w:rPr>
              <w:t>BENEFITS</w:t>
            </w:r>
          </w:p>
        </w:tc>
        <w:tc>
          <w:tcPr>
            <w:tcW w:w="19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41"/>
        </w:trPr>
        <w:tc>
          <w:tcPr>
            <w:tcW w:w="740" w:type="dxa"/>
            <w:vAlign w:val="bottom"/>
          </w:tcPr>
          <w:p>
            <w:pPr>
              <w:spacing w:after="0"/>
              <w:rPr>
                <w:sz w:val="24"/>
                <w:szCs w:val="24"/>
                <w:color w:val="auto"/>
              </w:rPr>
            </w:pPr>
          </w:p>
        </w:tc>
        <w:tc>
          <w:tcPr>
            <w:tcW w:w="60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Certain subsidiaries provide defined benefit pension plans for</w:t>
            </w:r>
          </w:p>
        </w:tc>
        <w:tc>
          <w:tcPr>
            <w:tcW w:w="800" w:type="dxa"/>
            <w:vAlign w:val="bottom"/>
          </w:tcPr>
          <w:p>
            <w:pPr>
              <w:spacing w:after="0"/>
              <w:rPr>
                <w:sz w:val="24"/>
                <w:szCs w:val="24"/>
                <w:color w:val="auto"/>
              </w:rPr>
            </w:pPr>
          </w:p>
        </w:tc>
      </w:tr>
      <w:tr>
        <w:trPr>
          <w:trHeight w:val="171"/>
        </w:trPr>
        <w:tc>
          <w:tcPr>
            <w:tcW w:w="6820" w:type="dxa"/>
            <w:vAlign w:val="bottom"/>
            <w:gridSpan w:val="3"/>
          </w:tcPr>
          <w:p>
            <w:pPr>
              <w:spacing w:after="0"/>
              <w:rPr>
                <w:sz w:val="20"/>
                <w:szCs w:val="20"/>
                <w:color w:val="auto"/>
              </w:rPr>
            </w:pPr>
            <w:r>
              <w:rPr>
                <w:rFonts w:ascii="Courier New" w:cs="Courier New" w:eastAsia="Courier New" w:hAnsi="Courier New"/>
                <w:sz w:val="15"/>
                <w:szCs w:val="15"/>
                <w:color w:val="auto"/>
              </w:rPr>
              <w:t>employees not covered by collective bargaining agreements. The benefits are</w:t>
            </w:r>
          </w:p>
        </w:tc>
        <w:tc>
          <w:tcPr>
            <w:tcW w:w="800" w:type="dxa"/>
            <w:vAlign w:val="bottom"/>
          </w:tcPr>
          <w:p>
            <w:pPr>
              <w:spacing w:after="0"/>
              <w:rPr>
                <w:sz w:val="14"/>
                <w:szCs w:val="14"/>
                <w:color w:val="auto"/>
              </w:rPr>
            </w:pPr>
          </w:p>
        </w:tc>
      </w:tr>
      <w:tr>
        <w:trPr>
          <w:trHeight w:val="171"/>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based on</w:t>
            </w:r>
          </w:p>
        </w:tc>
        <w:tc>
          <w:tcPr>
            <w:tcW w:w="60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years of service and the employees' final average earnings. The</w:t>
            </w:r>
          </w:p>
        </w:tc>
        <w:tc>
          <w:tcPr>
            <w:tcW w:w="800" w:type="dxa"/>
            <w:vAlign w:val="bottom"/>
          </w:tcPr>
          <w:p>
            <w:pPr>
              <w:spacing w:after="0"/>
              <w:rPr>
                <w:sz w:val="14"/>
                <w:szCs w:val="14"/>
                <w:color w:val="auto"/>
              </w:rPr>
            </w:pPr>
          </w:p>
        </w:tc>
      </w:tr>
      <w:tr>
        <w:trPr>
          <w:trHeight w:val="171"/>
        </w:trPr>
        <w:tc>
          <w:tcPr>
            <w:tcW w:w="6820" w:type="dxa"/>
            <w:vAlign w:val="bottom"/>
            <w:gridSpan w:val="3"/>
          </w:tcPr>
          <w:p>
            <w:pPr>
              <w:spacing w:after="0"/>
              <w:rPr>
                <w:sz w:val="20"/>
                <w:szCs w:val="20"/>
                <w:color w:val="auto"/>
              </w:rPr>
            </w:pPr>
            <w:r>
              <w:rPr>
                <w:rFonts w:ascii="Courier New" w:cs="Courier New" w:eastAsia="Courier New" w:hAnsi="Courier New"/>
                <w:sz w:val="15"/>
                <w:szCs w:val="15"/>
                <w:color w:val="auto"/>
                <w:w w:val="98"/>
              </w:rPr>
              <w:t>company's funding policy is to contribute the minimum required tax-deductible</w:t>
            </w:r>
          </w:p>
        </w:tc>
        <w:tc>
          <w:tcPr>
            <w:tcW w:w="800" w:type="dxa"/>
            <w:vAlign w:val="bottom"/>
          </w:tcPr>
          <w:p>
            <w:pPr>
              <w:spacing w:after="0"/>
              <w:rPr>
                <w:sz w:val="14"/>
                <w:szCs w:val="14"/>
                <w:color w:val="auto"/>
              </w:rPr>
            </w:pPr>
          </w:p>
        </w:tc>
      </w:tr>
      <w:tr>
        <w:trPr>
          <w:trHeight w:val="171"/>
        </w:trPr>
        <w:tc>
          <w:tcPr>
            <w:tcW w:w="6820" w:type="dxa"/>
            <w:vAlign w:val="bottom"/>
            <w:gridSpan w:val="3"/>
          </w:tcPr>
          <w:p>
            <w:pPr>
              <w:spacing w:after="0"/>
              <w:rPr>
                <w:sz w:val="20"/>
                <w:szCs w:val="20"/>
                <w:color w:val="auto"/>
              </w:rPr>
            </w:pPr>
            <w:r>
              <w:rPr>
                <w:rFonts w:ascii="Courier New" w:cs="Courier New" w:eastAsia="Courier New" w:hAnsi="Courier New"/>
                <w:sz w:val="15"/>
                <w:szCs w:val="15"/>
                <w:color w:val="auto"/>
              </w:rPr>
              <w:t>contribution for the year. The plans' assets consist primarily of U.S.</w:t>
            </w:r>
          </w:p>
        </w:tc>
        <w:tc>
          <w:tcPr>
            <w:tcW w:w="800" w:type="dxa"/>
            <w:vAlign w:val="bottom"/>
          </w:tcPr>
          <w:p>
            <w:pPr>
              <w:spacing w:after="0"/>
              <w:rPr>
                <w:sz w:val="14"/>
                <w:szCs w:val="14"/>
                <w:color w:val="auto"/>
              </w:rPr>
            </w:pPr>
          </w:p>
        </w:tc>
      </w:tr>
      <w:tr>
        <w:trPr>
          <w:trHeight w:val="171"/>
        </w:trPr>
        <w:tc>
          <w:tcPr>
            <w:tcW w:w="4880" w:type="dxa"/>
            <w:vAlign w:val="bottom"/>
            <w:gridSpan w:val="2"/>
          </w:tcPr>
          <w:p>
            <w:pPr>
              <w:spacing w:after="0"/>
              <w:rPr>
                <w:sz w:val="20"/>
                <w:szCs w:val="20"/>
                <w:color w:val="auto"/>
              </w:rPr>
            </w:pPr>
            <w:r>
              <w:rPr>
                <w:rFonts w:ascii="Courier New" w:cs="Courier New" w:eastAsia="Courier New" w:hAnsi="Courier New"/>
                <w:sz w:val="15"/>
                <w:szCs w:val="15"/>
                <w:color w:val="auto"/>
              </w:rPr>
              <w:t>Government and equity securities.</w:t>
            </w:r>
          </w:p>
        </w:tc>
        <w:tc>
          <w:tcPr>
            <w:tcW w:w="19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740" w:type="dxa"/>
            <w:vAlign w:val="bottom"/>
          </w:tcPr>
          <w:p>
            <w:pPr>
              <w:spacing w:after="0"/>
              <w:rPr>
                <w:sz w:val="14"/>
                <w:szCs w:val="14"/>
                <w:color w:val="auto"/>
              </w:rPr>
            </w:pPr>
          </w:p>
        </w:tc>
        <w:tc>
          <w:tcPr>
            <w:tcW w:w="68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The following tables set forth the plans' funded status and components</w:t>
            </w:r>
          </w:p>
        </w:tc>
      </w:tr>
      <w:tr>
        <w:trPr>
          <w:trHeight w:val="171"/>
        </w:trPr>
        <w:tc>
          <w:tcPr>
            <w:tcW w:w="4880" w:type="dxa"/>
            <w:vAlign w:val="bottom"/>
            <w:gridSpan w:val="2"/>
          </w:tcPr>
          <w:p>
            <w:pPr>
              <w:spacing w:after="0"/>
              <w:rPr>
                <w:sz w:val="20"/>
                <w:szCs w:val="20"/>
                <w:color w:val="auto"/>
              </w:rPr>
            </w:pPr>
            <w:r>
              <w:rPr>
                <w:rFonts w:ascii="Courier New" w:cs="Courier New" w:eastAsia="Courier New" w:hAnsi="Courier New"/>
                <w:sz w:val="15"/>
                <w:szCs w:val="15"/>
                <w:color w:val="auto"/>
              </w:rPr>
              <w:t>of net pension cost (in thousands):</w:t>
            </w:r>
          </w:p>
        </w:tc>
        <w:tc>
          <w:tcPr>
            <w:tcW w:w="19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683"/>
        </w:trPr>
        <w:tc>
          <w:tcPr>
            <w:tcW w:w="4880" w:type="dxa"/>
            <w:vAlign w:val="bottom"/>
            <w:gridSpan w:val="2"/>
          </w:tcPr>
          <w:p>
            <w:pPr>
              <w:spacing w:after="0"/>
              <w:rPr>
                <w:sz w:val="20"/>
                <w:szCs w:val="20"/>
                <w:color w:val="auto"/>
              </w:rPr>
            </w:pPr>
            <w:r>
              <w:rPr>
                <w:rFonts w:ascii="Courier New" w:cs="Courier New" w:eastAsia="Courier New" w:hAnsi="Courier New"/>
                <w:sz w:val="15"/>
                <w:szCs w:val="15"/>
                <w:color w:val="auto"/>
              </w:rPr>
              <w:t>Funded status at December 31:</w:t>
            </w:r>
          </w:p>
        </w:tc>
        <w:tc>
          <w:tcPr>
            <w:tcW w:w="194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1994</w:t>
            </w: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1993</w:t>
            </w:r>
          </w:p>
        </w:tc>
      </w:tr>
      <w:tr>
        <w:trPr>
          <w:trHeight w:val="341"/>
        </w:trPr>
        <w:tc>
          <w:tcPr>
            <w:tcW w:w="4880" w:type="dxa"/>
            <w:vAlign w:val="bottom"/>
            <w:gridSpan w:val="2"/>
          </w:tcPr>
          <w:p>
            <w:pPr>
              <w:spacing w:after="0"/>
              <w:rPr>
                <w:sz w:val="20"/>
                <w:szCs w:val="20"/>
                <w:color w:val="auto"/>
              </w:rPr>
            </w:pPr>
            <w:r>
              <w:rPr>
                <w:rFonts w:ascii="Courier New" w:cs="Courier New" w:eastAsia="Courier New" w:hAnsi="Courier New"/>
                <w:sz w:val="15"/>
                <w:szCs w:val="15"/>
                <w:color w:val="auto"/>
              </w:rPr>
              <w:t>Actuarial present value of benefits at current</w:t>
            </w:r>
          </w:p>
        </w:tc>
        <w:tc>
          <w:tcPr>
            <w:tcW w:w="19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48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salary levels and service rendered to date:</w:t>
            </w:r>
          </w:p>
        </w:tc>
        <w:tc>
          <w:tcPr>
            <w:tcW w:w="19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740" w:type="dxa"/>
            <w:vAlign w:val="bottom"/>
          </w:tcPr>
          <w:p>
            <w:pPr>
              <w:spacing w:after="0"/>
              <w:rPr>
                <w:sz w:val="14"/>
                <w:szCs w:val="14"/>
                <w:color w:val="auto"/>
              </w:rPr>
            </w:pPr>
          </w:p>
        </w:tc>
        <w:tc>
          <w:tcPr>
            <w:tcW w:w="4140" w:type="dxa"/>
            <w:vAlign w:val="bottom"/>
          </w:tcPr>
          <w:p>
            <w:pPr>
              <w:ind w:left="40"/>
              <w:spacing w:after="0"/>
              <w:rPr>
                <w:sz w:val="20"/>
                <w:szCs w:val="20"/>
                <w:color w:val="auto"/>
              </w:rPr>
            </w:pPr>
            <w:r>
              <w:rPr>
                <w:rFonts w:ascii="Courier New" w:cs="Courier New" w:eastAsia="Courier New" w:hAnsi="Courier New"/>
                <w:sz w:val="15"/>
                <w:szCs w:val="15"/>
                <w:color w:val="auto"/>
              </w:rPr>
              <w:t>Vested benefits</w:t>
            </w:r>
          </w:p>
        </w:tc>
        <w:tc>
          <w:tcPr>
            <w:tcW w:w="19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$114,788</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$120,843</w:t>
            </w:r>
          </w:p>
        </w:tc>
      </w:tr>
      <w:tr>
        <w:trPr>
          <w:trHeight w:val="171"/>
        </w:trPr>
        <w:tc>
          <w:tcPr>
            <w:tcW w:w="740" w:type="dxa"/>
            <w:vAlign w:val="bottom"/>
          </w:tcPr>
          <w:p>
            <w:pPr>
              <w:spacing w:after="0"/>
              <w:rPr>
                <w:sz w:val="14"/>
                <w:szCs w:val="14"/>
                <w:color w:val="auto"/>
              </w:rPr>
            </w:pPr>
          </w:p>
        </w:tc>
        <w:tc>
          <w:tcPr>
            <w:tcW w:w="4140" w:type="dxa"/>
            <w:vAlign w:val="bottom"/>
          </w:tcPr>
          <w:p>
            <w:pPr>
              <w:ind w:left="40"/>
              <w:spacing w:after="0"/>
              <w:rPr>
                <w:sz w:val="20"/>
                <w:szCs w:val="20"/>
                <w:color w:val="auto"/>
              </w:rPr>
            </w:pPr>
            <w:r>
              <w:rPr>
                <w:rFonts w:ascii="Courier New" w:cs="Courier New" w:eastAsia="Courier New" w:hAnsi="Courier New"/>
                <w:sz w:val="15"/>
                <w:szCs w:val="15"/>
                <w:color w:val="auto"/>
              </w:rPr>
              <w:t>Non-vested benefits</w:t>
            </w:r>
          </w:p>
        </w:tc>
        <w:tc>
          <w:tcPr>
            <w:tcW w:w="19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1,624</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2,422</w:t>
            </w:r>
          </w:p>
        </w:tc>
      </w:tr>
      <w:tr>
        <w:trPr>
          <w:trHeight w:val="171"/>
        </w:trPr>
        <w:tc>
          <w:tcPr>
            <w:tcW w:w="740" w:type="dxa"/>
            <w:vAlign w:val="bottom"/>
          </w:tcPr>
          <w:p>
            <w:pPr>
              <w:spacing w:after="0"/>
              <w:rPr>
                <w:sz w:val="14"/>
                <w:szCs w:val="14"/>
                <w:color w:val="auto"/>
              </w:rPr>
            </w:pPr>
          </w:p>
        </w:tc>
        <w:tc>
          <w:tcPr>
            <w:tcW w:w="4140" w:type="dxa"/>
            <w:vAlign w:val="bottom"/>
          </w:tcPr>
          <w:p>
            <w:pPr>
              <w:ind w:left="760"/>
              <w:spacing w:after="0"/>
              <w:rPr>
                <w:sz w:val="20"/>
                <w:szCs w:val="20"/>
                <w:color w:val="auto"/>
              </w:rPr>
            </w:pPr>
            <w:r>
              <w:rPr>
                <w:rFonts w:ascii="Courier New" w:cs="Courier New" w:eastAsia="Courier New" w:hAnsi="Courier New"/>
                <w:sz w:val="15"/>
                <w:szCs w:val="15"/>
                <w:color w:val="auto"/>
              </w:rPr>
              <w:t>Accumulated benefit obligation</w:t>
            </w:r>
          </w:p>
        </w:tc>
        <w:tc>
          <w:tcPr>
            <w:tcW w:w="19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116,412</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123,265</w:t>
            </w:r>
          </w:p>
        </w:tc>
      </w:tr>
      <w:tr>
        <w:trPr>
          <w:trHeight w:val="171"/>
        </w:trPr>
        <w:tc>
          <w:tcPr>
            <w:tcW w:w="4880" w:type="dxa"/>
            <w:vAlign w:val="bottom"/>
            <w:gridSpan w:val="2"/>
          </w:tcPr>
          <w:p>
            <w:pPr>
              <w:spacing w:after="0"/>
              <w:rPr>
                <w:sz w:val="20"/>
                <w:szCs w:val="20"/>
                <w:color w:val="auto"/>
              </w:rPr>
            </w:pPr>
            <w:r>
              <w:rPr>
                <w:rFonts w:ascii="Courier New" w:cs="Courier New" w:eastAsia="Courier New" w:hAnsi="Courier New"/>
                <w:sz w:val="15"/>
                <w:szCs w:val="15"/>
                <w:color w:val="auto"/>
              </w:rPr>
              <w:t>Effect of anticipated future salary increases</w:t>
            </w:r>
          </w:p>
        </w:tc>
        <w:tc>
          <w:tcPr>
            <w:tcW w:w="19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22,165</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23,449</w:t>
            </w:r>
          </w:p>
        </w:tc>
      </w:tr>
      <w:tr>
        <w:trPr>
          <w:trHeight w:val="171"/>
        </w:trPr>
        <w:tc>
          <w:tcPr>
            <w:tcW w:w="740" w:type="dxa"/>
            <w:vAlign w:val="bottom"/>
          </w:tcPr>
          <w:p>
            <w:pPr>
              <w:spacing w:after="0"/>
              <w:rPr>
                <w:sz w:val="14"/>
                <w:szCs w:val="14"/>
                <w:color w:val="auto"/>
              </w:rPr>
            </w:pPr>
          </w:p>
        </w:tc>
        <w:tc>
          <w:tcPr>
            <w:tcW w:w="4140" w:type="dxa"/>
            <w:vAlign w:val="bottom"/>
          </w:tcPr>
          <w:p>
            <w:pPr>
              <w:ind w:left="760"/>
              <w:spacing w:after="0"/>
              <w:rPr>
                <w:sz w:val="20"/>
                <w:szCs w:val="20"/>
                <w:color w:val="auto"/>
              </w:rPr>
            </w:pPr>
            <w:r>
              <w:rPr>
                <w:rFonts w:ascii="Courier New" w:cs="Courier New" w:eastAsia="Courier New" w:hAnsi="Courier New"/>
                <w:sz w:val="15"/>
                <w:szCs w:val="15"/>
                <w:color w:val="auto"/>
              </w:rPr>
              <w:t>Projected benefit obligation</w:t>
            </w:r>
          </w:p>
        </w:tc>
        <w:tc>
          <w:tcPr>
            <w:tcW w:w="19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138,577</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146,714</w:t>
            </w:r>
          </w:p>
        </w:tc>
      </w:tr>
      <w:tr>
        <w:trPr>
          <w:trHeight w:val="171"/>
        </w:trPr>
        <w:tc>
          <w:tcPr>
            <w:tcW w:w="4880" w:type="dxa"/>
            <w:vAlign w:val="bottom"/>
            <w:gridSpan w:val="2"/>
          </w:tcPr>
          <w:p>
            <w:pPr>
              <w:spacing w:after="0"/>
              <w:rPr>
                <w:sz w:val="20"/>
                <w:szCs w:val="20"/>
                <w:color w:val="auto"/>
              </w:rPr>
            </w:pPr>
            <w:r>
              <w:rPr>
                <w:rFonts w:ascii="Courier New" w:cs="Courier New" w:eastAsia="Courier New" w:hAnsi="Courier New"/>
                <w:sz w:val="15"/>
                <w:szCs w:val="15"/>
                <w:color w:val="auto"/>
              </w:rPr>
              <w:t>Plan assets at fair value</w:t>
            </w:r>
          </w:p>
        </w:tc>
        <w:tc>
          <w:tcPr>
            <w:tcW w:w="19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118,080</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122,092</w:t>
            </w:r>
          </w:p>
        </w:tc>
      </w:tr>
      <w:tr>
        <w:trPr>
          <w:trHeight w:val="171"/>
        </w:trPr>
        <w:tc>
          <w:tcPr>
            <w:tcW w:w="4880" w:type="dxa"/>
            <w:vAlign w:val="bottom"/>
            <w:gridSpan w:val="2"/>
          </w:tcPr>
          <w:p>
            <w:pPr>
              <w:spacing w:after="0"/>
              <w:rPr>
                <w:sz w:val="20"/>
                <w:szCs w:val="20"/>
                <w:color w:val="auto"/>
              </w:rPr>
            </w:pPr>
            <w:r>
              <w:rPr>
                <w:rFonts w:ascii="Courier New" w:cs="Courier New" w:eastAsia="Courier New" w:hAnsi="Courier New"/>
                <w:sz w:val="15"/>
                <w:szCs w:val="15"/>
                <w:color w:val="auto"/>
              </w:rPr>
              <w:t>Plan assets less than projected benefit obligation</w:t>
            </w:r>
          </w:p>
        </w:tc>
        <w:tc>
          <w:tcPr>
            <w:tcW w:w="194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(20,497)</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(24,622)</w:t>
            </w:r>
          </w:p>
        </w:tc>
      </w:tr>
      <w:tr>
        <w:trPr>
          <w:trHeight w:val="171"/>
        </w:trPr>
        <w:tc>
          <w:tcPr>
            <w:tcW w:w="4880" w:type="dxa"/>
            <w:vAlign w:val="bottom"/>
            <w:gridSpan w:val="2"/>
          </w:tcPr>
          <w:p>
            <w:pPr>
              <w:spacing w:after="0"/>
              <w:rPr>
                <w:sz w:val="20"/>
                <w:szCs w:val="20"/>
                <w:color w:val="auto"/>
              </w:rPr>
            </w:pPr>
            <w:r>
              <w:rPr>
                <w:rFonts w:ascii="Courier New" w:cs="Courier New" w:eastAsia="Courier New" w:hAnsi="Courier New"/>
                <w:sz w:val="15"/>
                <w:szCs w:val="15"/>
                <w:color w:val="auto"/>
              </w:rPr>
              <w:t>Unrecognized net loss</w:t>
            </w:r>
          </w:p>
        </w:tc>
        <w:tc>
          <w:tcPr>
            <w:tcW w:w="19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4,153</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17,188</w:t>
            </w:r>
          </w:p>
        </w:tc>
      </w:tr>
      <w:tr>
        <w:trPr>
          <w:trHeight w:val="171"/>
        </w:trPr>
        <w:tc>
          <w:tcPr>
            <w:tcW w:w="4880" w:type="dxa"/>
            <w:vAlign w:val="bottom"/>
            <w:gridSpan w:val="2"/>
          </w:tcPr>
          <w:p>
            <w:pPr>
              <w:spacing w:after="0"/>
              <w:rPr>
                <w:sz w:val="20"/>
                <w:szCs w:val="20"/>
                <w:color w:val="auto"/>
              </w:rPr>
            </w:pPr>
            <w:r>
              <w:rPr>
                <w:rFonts w:ascii="Courier New" w:cs="Courier New" w:eastAsia="Courier New" w:hAnsi="Courier New"/>
                <w:sz w:val="15"/>
                <w:szCs w:val="15"/>
                <w:color w:val="auto"/>
              </w:rPr>
              <w:t>Unrecognized initial net asset being amortized</w:t>
            </w:r>
          </w:p>
        </w:tc>
        <w:tc>
          <w:tcPr>
            <w:tcW w:w="19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740" w:type="dxa"/>
            <w:vAlign w:val="bottom"/>
          </w:tcPr>
          <w:p>
            <w:pPr>
              <w:ind w:left="80"/>
              <w:spacing w:after="0"/>
              <w:rPr>
                <w:sz w:val="20"/>
                <w:szCs w:val="20"/>
                <w:color w:val="auto"/>
              </w:rPr>
            </w:pPr>
            <w:r>
              <w:rPr>
                <w:rFonts w:ascii="Courier New" w:cs="Courier New" w:eastAsia="Courier New" w:hAnsi="Courier New"/>
                <w:sz w:val="15"/>
                <w:szCs w:val="15"/>
                <w:color w:val="auto"/>
              </w:rPr>
              <w:t>over 17</w:t>
            </w:r>
          </w:p>
        </w:tc>
        <w:tc>
          <w:tcPr>
            <w:tcW w:w="414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c>
          <w:tcPr>
            <w:tcW w:w="194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(20,445)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(22,833)</w:t>
            </w:r>
          </w:p>
        </w:tc>
      </w:tr>
      <w:tr>
        <w:trPr>
          <w:trHeight w:val="171"/>
        </w:trPr>
        <w:tc>
          <w:tcPr>
            <w:tcW w:w="740" w:type="dxa"/>
            <w:vAlign w:val="bottom"/>
          </w:tcPr>
          <w:p>
            <w:pPr>
              <w:ind w:left="80"/>
              <w:spacing w:after="0"/>
              <w:rPr>
                <w:sz w:val="20"/>
                <w:szCs w:val="20"/>
                <w:color w:val="auto"/>
              </w:rPr>
            </w:pPr>
            <w:r>
              <w:rPr>
                <w:rFonts w:ascii="Courier New" w:cs="Courier New" w:eastAsia="Courier New" w:hAnsi="Courier New"/>
                <w:sz w:val="15"/>
                <w:szCs w:val="15"/>
                <w:color w:val="auto"/>
              </w:rPr>
              <w:t>Pension</w:t>
            </w:r>
          </w:p>
        </w:tc>
        <w:tc>
          <w:tcPr>
            <w:tcW w:w="4140" w:type="dxa"/>
            <w:vAlign w:val="bottom"/>
          </w:tcPr>
          <w:p>
            <w:pPr>
              <w:ind w:left="40"/>
              <w:spacing w:after="0"/>
              <w:rPr>
                <w:sz w:val="20"/>
                <w:szCs w:val="20"/>
                <w:color w:val="auto"/>
              </w:rPr>
            </w:pPr>
            <w:r>
              <w:rPr>
                <w:rFonts w:ascii="Courier New" w:cs="Courier New" w:eastAsia="Courier New" w:hAnsi="Courier New"/>
                <w:sz w:val="15"/>
                <w:szCs w:val="15"/>
                <w:color w:val="auto"/>
              </w:rPr>
              <w:t>cost accrued, not funded</w:t>
            </w:r>
          </w:p>
        </w:tc>
        <w:tc>
          <w:tcPr>
            <w:tcW w:w="194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$(36,789)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$(30,267)</w:t>
            </w:r>
          </w:p>
        </w:tc>
      </w:tr>
    </w:tbl>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00" w:type="dxa"/>
            <w:vAlign w:val="bottom"/>
          </w:tcPr>
          <w:p>
            <w:pPr>
              <w:spacing w:after="0"/>
              <w:rPr>
                <w:sz w:val="20"/>
                <w:szCs w:val="20"/>
                <w:color w:val="auto"/>
              </w:rPr>
            </w:pPr>
            <w:r>
              <w:rPr>
                <w:rFonts w:ascii="Courier New" w:cs="Courier New" w:eastAsia="Courier New" w:hAnsi="Courier New"/>
                <w:sz w:val="15"/>
                <w:szCs w:val="15"/>
                <w:color w:val="auto"/>
                <w:w w:val="96"/>
              </w:rPr>
              <w:t>Net pension cost:</w:t>
            </w:r>
          </w:p>
        </w:tc>
        <w:tc>
          <w:tcPr>
            <w:tcW w:w="3280" w:type="dxa"/>
            <w:vAlign w:val="bottom"/>
          </w:tcPr>
          <w:p>
            <w:pPr>
              <w:spacing w:after="0"/>
              <w:rPr>
                <w:sz w:val="14"/>
                <w:szCs w:val="14"/>
                <w:color w:val="auto"/>
              </w:rPr>
            </w:pPr>
          </w:p>
        </w:tc>
        <w:tc>
          <w:tcPr>
            <w:tcW w:w="178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1994</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1993</w:t>
            </w: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1992</w:t>
            </w:r>
          </w:p>
        </w:tc>
      </w:tr>
      <w:tr>
        <w:trPr>
          <w:trHeight w:val="341"/>
        </w:trPr>
        <w:tc>
          <w:tcPr>
            <w:tcW w:w="4780" w:type="dxa"/>
            <w:vAlign w:val="bottom"/>
            <w:gridSpan w:val="2"/>
          </w:tcPr>
          <w:p>
            <w:pPr>
              <w:spacing w:after="0"/>
              <w:rPr>
                <w:sz w:val="20"/>
                <w:szCs w:val="20"/>
                <w:color w:val="auto"/>
              </w:rPr>
            </w:pPr>
            <w:r>
              <w:rPr>
                <w:rFonts w:ascii="Courier New" w:cs="Courier New" w:eastAsia="Courier New" w:hAnsi="Courier New"/>
                <w:sz w:val="15"/>
                <w:szCs w:val="15"/>
                <w:color w:val="auto"/>
              </w:rPr>
              <w:t>Service cost - benefits earned during the period</w:t>
            </w:r>
          </w:p>
        </w:tc>
        <w:tc>
          <w:tcPr>
            <w:tcW w:w="178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$8,313</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$6,919</w:t>
            </w:r>
          </w:p>
        </w:tc>
        <w:tc>
          <w:tcPr>
            <w:tcW w:w="1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$8,072</w:t>
            </w:r>
          </w:p>
        </w:tc>
      </w:tr>
      <w:tr>
        <w:trPr>
          <w:trHeight w:val="171"/>
        </w:trPr>
        <w:tc>
          <w:tcPr>
            <w:tcW w:w="1500" w:type="dxa"/>
            <w:vAlign w:val="bottom"/>
          </w:tcPr>
          <w:p>
            <w:pPr>
              <w:spacing w:after="0"/>
              <w:rPr>
                <w:sz w:val="20"/>
                <w:szCs w:val="20"/>
                <w:color w:val="auto"/>
              </w:rPr>
            </w:pPr>
            <w:r>
              <w:rPr>
                <w:rFonts w:ascii="Courier New" w:cs="Courier New" w:eastAsia="Courier New" w:hAnsi="Courier New"/>
                <w:sz w:val="15"/>
                <w:szCs w:val="15"/>
                <w:color w:val="auto"/>
              </w:rPr>
              <w:t>Interest cost on</w:t>
            </w:r>
          </w:p>
        </w:tc>
        <w:tc>
          <w:tcPr>
            <w:tcW w:w="3280" w:type="dxa"/>
            <w:vAlign w:val="bottom"/>
          </w:tcPr>
          <w:p>
            <w:pPr>
              <w:spacing w:after="0"/>
              <w:rPr>
                <w:sz w:val="20"/>
                <w:szCs w:val="20"/>
                <w:color w:val="auto"/>
              </w:rPr>
            </w:pPr>
            <w:r>
              <w:rPr>
                <w:rFonts w:ascii="Courier New" w:cs="Courier New" w:eastAsia="Courier New" w:hAnsi="Courier New"/>
                <w:sz w:val="15"/>
                <w:szCs w:val="15"/>
                <w:color w:val="auto"/>
              </w:rPr>
              <w:t>projected benefit obligation</w:t>
            </w:r>
          </w:p>
        </w:tc>
        <w:tc>
          <w:tcPr>
            <w:tcW w:w="178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11,109</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9,954</w:t>
            </w:r>
          </w:p>
        </w:tc>
        <w:tc>
          <w:tcPr>
            <w:tcW w:w="1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10,018</w:t>
            </w:r>
          </w:p>
        </w:tc>
      </w:tr>
      <w:tr>
        <w:trPr>
          <w:trHeight w:val="171"/>
        </w:trPr>
        <w:tc>
          <w:tcPr>
            <w:tcW w:w="1500" w:type="dxa"/>
            <w:vAlign w:val="bottom"/>
          </w:tcPr>
          <w:p>
            <w:pPr>
              <w:spacing w:after="0"/>
              <w:rPr>
                <w:sz w:val="20"/>
                <w:szCs w:val="20"/>
                <w:color w:val="auto"/>
              </w:rPr>
            </w:pPr>
            <w:r>
              <w:rPr>
                <w:rFonts w:ascii="Courier New" w:cs="Courier New" w:eastAsia="Courier New" w:hAnsi="Courier New"/>
                <w:sz w:val="15"/>
                <w:szCs w:val="15"/>
                <w:color w:val="auto"/>
              </w:rPr>
              <w:t>Actual return on</w:t>
            </w:r>
          </w:p>
        </w:tc>
        <w:tc>
          <w:tcPr>
            <w:tcW w:w="3280" w:type="dxa"/>
            <w:vAlign w:val="bottom"/>
          </w:tcPr>
          <w:p>
            <w:pPr>
              <w:spacing w:after="0"/>
              <w:rPr>
                <w:sz w:val="20"/>
                <w:szCs w:val="20"/>
                <w:color w:val="auto"/>
              </w:rPr>
            </w:pPr>
            <w:r>
              <w:rPr>
                <w:rFonts w:ascii="Courier New" w:cs="Courier New" w:eastAsia="Courier New" w:hAnsi="Courier New"/>
                <w:sz w:val="15"/>
                <w:szCs w:val="15"/>
                <w:color w:val="auto"/>
              </w:rPr>
              <w:t>plan assets</w:t>
            </w:r>
          </w:p>
        </w:tc>
        <w:tc>
          <w:tcPr>
            <w:tcW w:w="178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393</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(8,177)</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(8,333)</w:t>
            </w:r>
          </w:p>
        </w:tc>
      </w:tr>
      <w:tr>
        <w:trPr>
          <w:trHeight w:val="171"/>
        </w:trPr>
        <w:tc>
          <w:tcPr>
            <w:tcW w:w="4780" w:type="dxa"/>
            <w:vAlign w:val="bottom"/>
            <w:gridSpan w:val="2"/>
          </w:tcPr>
          <w:p>
            <w:pPr>
              <w:spacing w:after="0"/>
              <w:rPr>
                <w:sz w:val="20"/>
                <w:szCs w:val="20"/>
                <w:color w:val="auto"/>
              </w:rPr>
            </w:pPr>
            <w:r>
              <w:rPr>
                <w:rFonts w:ascii="Courier New" w:cs="Courier New" w:eastAsia="Courier New" w:hAnsi="Courier New"/>
                <w:sz w:val="15"/>
                <w:szCs w:val="15"/>
                <w:color w:val="auto"/>
              </w:rPr>
              <w:t>Amortization of unrecognized net assets</w:t>
            </w:r>
          </w:p>
        </w:tc>
        <w:tc>
          <w:tcPr>
            <w:tcW w:w="178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(2,197)</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(2,393)</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(2,251)</w:t>
            </w:r>
          </w:p>
        </w:tc>
      </w:tr>
      <w:tr>
        <w:trPr>
          <w:trHeight w:val="171"/>
        </w:trPr>
        <w:tc>
          <w:tcPr>
            <w:tcW w:w="1500" w:type="dxa"/>
            <w:vAlign w:val="bottom"/>
          </w:tcPr>
          <w:p>
            <w:pPr>
              <w:spacing w:after="0"/>
              <w:rPr>
                <w:sz w:val="20"/>
                <w:szCs w:val="20"/>
                <w:color w:val="auto"/>
              </w:rPr>
            </w:pPr>
            <w:r>
              <w:rPr>
                <w:rFonts w:ascii="Courier New" w:cs="Courier New" w:eastAsia="Courier New" w:hAnsi="Courier New"/>
                <w:sz w:val="15"/>
                <w:szCs w:val="15"/>
                <w:color w:val="auto"/>
              </w:rPr>
              <w:t>Net deferral</w:t>
            </w:r>
          </w:p>
        </w:tc>
        <w:tc>
          <w:tcPr>
            <w:tcW w:w="3280" w:type="dxa"/>
            <w:vAlign w:val="bottom"/>
          </w:tcPr>
          <w:p>
            <w:pPr>
              <w:spacing w:after="0"/>
              <w:rPr>
                <w:sz w:val="14"/>
                <w:szCs w:val="14"/>
                <w:color w:val="auto"/>
              </w:rPr>
            </w:pPr>
          </w:p>
        </w:tc>
        <w:tc>
          <w:tcPr>
            <w:tcW w:w="178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(10,818)</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(1,683)</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(800)</w:t>
            </w:r>
          </w:p>
        </w:tc>
      </w:tr>
      <w:tr>
        <w:trPr>
          <w:trHeight w:val="171"/>
        </w:trPr>
        <w:tc>
          <w:tcPr>
            <w:tcW w:w="1500" w:type="dxa"/>
            <w:vAlign w:val="bottom"/>
          </w:tcPr>
          <w:p>
            <w:pPr>
              <w:spacing w:after="0"/>
              <w:rPr>
                <w:sz w:val="14"/>
                <w:szCs w:val="14"/>
                <w:color w:val="auto"/>
              </w:rPr>
            </w:pPr>
          </w:p>
        </w:tc>
        <w:tc>
          <w:tcPr>
            <w:tcW w:w="3280" w:type="dxa"/>
            <w:vAlign w:val="bottom"/>
          </w:tcPr>
          <w:p>
            <w:pPr>
              <w:spacing w:after="0"/>
              <w:rPr>
                <w:sz w:val="20"/>
                <w:szCs w:val="20"/>
                <w:color w:val="auto"/>
              </w:rPr>
            </w:pPr>
            <w:r>
              <w:rPr>
                <w:rFonts w:ascii="Courier New" w:cs="Courier New" w:eastAsia="Courier New" w:hAnsi="Courier New"/>
                <w:sz w:val="15"/>
                <w:szCs w:val="15"/>
                <w:color w:val="auto"/>
              </w:rPr>
              <w:t>Net pension cost</w:t>
            </w:r>
          </w:p>
        </w:tc>
        <w:tc>
          <w:tcPr>
            <w:tcW w:w="178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$6,800</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$4,620</w:t>
            </w:r>
          </w:p>
        </w:tc>
        <w:tc>
          <w:tcPr>
            <w:tcW w:w="1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$6,706</w:t>
            </w:r>
          </w:p>
        </w:tc>
      </w:tr>
      <w:tr>
        <w:trPr>
          <w:trHeight w:val="853"/>
        </w:trPr>
        <w:tc>
          <w:tcPr>
            <w:tcW w:w="1500" w:type="dxa"/>
            <w:vAlign w:val="bottom"/>
          </w:tcPr>
          <w:p>
            <w:pPr>
              <w:spacing w:after="0"/>
              <w:rPr>
                <w:sz w:val="20"/>
                <w:szCs w:val="20"/>
                <w:color w:val="auto"/>
              </w:rPr>
            </w:pPr>
            <w:r>
              <w:rPr>
                <w:rFonts w:ascii="Courier New" w:cs="Courier New" w:eastAsia="Courier New" w:hAnsi="Courier New"/>
                <w:sz w:val="15"/>
                <w:szCs w:val="15"/>
                <w:color w:val="auto"/>
              </w:rPr>
              <w:t>Assumptions used</w:t>
            </w:r>
          </w:p>
        </w:tc>
        <w:tc>
          <w:tcPr>
            <w:tcW w:w="3280" w:type="dxa"/>
            <w:vAlign w:val="bottom"/>
          </w:tcPr>
          <w:p>
            <w:pPr>
              <w:spacing w:after="0"/>
              <w:rPr>
                <w:sz w:val="20"/>
                <w:szCs w:val="20"/>
                <w:color w:val="auto"/>
              </w:rPr>
            </w:pPr>
            <w:r>
              <w:rPr>
                <w:rFonts w:ascii="Courier New" w:cs="Courier New" w:eastAsia="Courier New" w:hAnsi="Courier New"/>
                <w:sz w:val="15"/>
                <w:szCs w:val="15"/>
                <w:color w:val="auto"/>
              </w:rPr>
              <w:t>in the accounting at December 31:</w:t>
            </w:r>
          </w:p>
        </w:tc>
        <w:tc>
          <w:tcPr>
            <w:tcW w:w="17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1994</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1993</w:t>
            </w:r>
          </w:p>
        </w:tc>
        <w:tc>
          <w:tcPr>
            <w:tcW w:w="142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1992</w:t>
            </w:r>
          </w:p>
        </w:tc>
      </w:tr>
      <w:tr>
        <w:trPr>
          <w:trHeight w:val="341"/>
        </w:trPr>
        <w:tc>
          <w:tcPr>
            <w:tcW w:w="1500" w:type="dxa"/>
            <w:vAlign w:val="bottom"/>
          </w:tcPr>
          <w:p>
            <w:pPr>
              <w:spacing w:after="0"/>
              <w:rPr>
                <w:sz w:val="20"/>
                <w:szCs w:val="20"/>
                <w:color w:val="auto"/>
              </w:rPr>
            </w:pPr>
            <w:r>
              <w:rPr>
                <w:rFonts w:ascii="Courier New" w:cs="Courier New" w:eastAsia="Courier New" w:hAnsi="Courier New"/>
                <w:sz w:val="15"/>
                <w:szCs w:val="15"/>
                <w:color w:val="auto"/>
              </w:rPr>
              <w:t>Discount rate</w:t>
            </w:r>
          </w:p>
        </w:tc>
        <w:tc>
          <w:tcPr>
            <w:tcW w:w="3280" w:type="dxa"/>
            <w:vAlign w:val="bottom"/>
          </w:tcPr>
          <w:p>
            <w:pPr>
              <w:spacing w:after="0"/>
              <w:rPr>
                <w:sz w:val="24"/>
                <w:szCs w:val="24"/>
                <w:color w:val="auto"/>
              </w:rPr>
            </w:pPr>
          </w:p>
        </w:tc>
        <w:tc>
          <w:tcPr>
            <w:tcW w:w="17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8.5%</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7.5%</w:t>
            </w:r>
          </w:p>
        </w:tc>
        <w:tc>
          <w:tcPr>
            <w:tcW w:w="142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8.5%</w:t>
            </w:r>
          </w:p>
        </w:tc>
      </w:tr>
      <w:tr>
        <w:trPr>
          <w:trHeight w:val="171"/>
        </w:trPr>
        <w:tc>
          <w:tcPr>
            <w:tcW w:w="1500" w:type="dxa"/>
            <w:vAlign w:val="bottom"/>
          </w:tcPr>
          <w:p>
            <w:pPr>
              <w:spacing w:after="0"/>
              <w:rPr>
                <w:sz w:val="20"/>
                <w:szCs w:val="20"/>
                <w:color w:val="auto"/>
              </w:rPr>
            </w:pPr>
            <w:r>
              <w:rPr>
                <w:rFonts w:ascii="Courier New" w:cs="Courier New" w:eastAsia="Courier New" w:hAnsi="Courier New"/>
                <w:sz w:val="15"/>
                <w:szCs w:val="15"/>
                <w:color w:val="auto"/>
              </w:rPr>
              <w:t>Rate of increase</w:t>
            </w:r>
          </w:p>
        </w:tc>
        <w:tc>
          <w:tcPr>
            <w:tcW w:w="3280" w:type="dxa"/>
            <w:vAlign w:val="bottom"/>
          </w:tcPr>
          <w:p>
            <w:pPr>
              <w:spacing w:after="0"/>
              <w:rPr>
                <w:sz w:val="20"/>
                <w:szCs w:val="20"/>
                <w:color w:val="auto"/>
              </w:rPr>
            </w:pPr>
            <w:r>
              <w:rPr>
                <w:rFonts w:ascii="Courier New" w:cs="Courier New" w:eastAsia="Courier New" w:hAnsi="Courier New"/>
                <w:sz w:val="15"/>
                <w:szCs w:val="15"/>
                <w:color w:val="auto"/>
              </w:rPr>
              <w:t>in compensation levels</w:t>
            </w:r>
          </w:p>
        </w:tc>
        <w:tc>
          <w:tcPr>
            <w:tcW w:w="17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4.0%</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5.5%</w:t>
            </w:r>
          </w:p>
        </w:tc>
        <w:tc>
          <w:tcPr>
            <w:tcW w:w="142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7.8%</w:t>
            </w:r>
          </w:p>
        </w:tc>
      </w:tr>
      <w:tr>
        <w:trPr>
          <w:trHeight w:val="171"/>
        </w:trPr>
        <w:tc>
          <w:tcPr>
            <w:tcW w:w="1500" w:type="dxa"/>
            <w:vAlign w:val="bottom"/>
          </w:tcPr>
          <w:p>
            <w:pPr>
              <w:spacing w:after="0"/>
              <w:rPr>
                <w:sz w:val="20"/>
                <w:szCs w:val="20"/>
                <w:color w:val="auto"/>
              </w:rPr>
            </w:pPr>
            <w:r>
              <w:rPr>
                <w:rFonts w:ascii="Courier New" w:cs="Courier New" w:eastAsia="Courier New" w:hAnsi="Courier New"/>
                <w:sz w:val="15"/>
                <w:szCs w:val="15"/>
                <w:color w:val="auto"/>
              </w:rPr>
              <w:t>Expected rate of</w:t>
            </w:r>
          </w:p>
        </w:tc>
        <w:tc>
          <w:tcPr>
            <w:tcW w:w="3280" w:type="dxa"/>
            <w:vAlign w:val="bottom"/>
          </w:tcPr>
          <w:p>
            <w:pPr>
              <w:spacing w:after="0"/>
              <w:rPr>
                <w:sz w:val="20"/>
                <w:szCs w:val="20"/>
                <w:color w:val="auto"/>
              </w:rPr>
            </w:pPr>
            <w:r>
              <w:rPr>
                <w:rFonts w:ascii="Courier New" w:cs="Courier New" w:eastAsia="Courier New" w:hAnsi="Courier New"/>
                <w:sz w:val="15"/>
                <w:szCs w:val="15"/>
                <w:color w:val="auto"/>
              </w:rPr>
              <w:t>return on assets</w:t>
            </w:r>
          </w:p>
        </w:tc>
        <w:tc>
          <w:tcPr>
            <w:tcW w:w="17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9.0%</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9.0%</w:t>
            </w:r>
          </w:p>
        </w:tc>
        <w:tc>
          <w:tcPr>
            <w:tcW w:w="142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9.0%</w:t>
            </w:r>
          </w:p>
        </w:tc>
      </w:tr>
    </w:tbl>
    <w:p>
      <w:pPr>
        <w:sectPr>
          <w:pgSz w:w="11900" w:h="16838" w:orient="portrait"/>
          <w:cols w:equalWidth="0" w:num="1">
            <w:col w:w="10219"/>
          </w:cols>
          <w:pgMar w:left="240" w:top="287" w:right="1440" w:bottom="1440" w:gutter="0" w:footer="0" w:header="0"/>
        </w:sectPr>
      </w:pPr>
    </w:p>
    <w:bookmarkStart w:id="44" w:name="page45"/>
    <w:bookmarkEnd w:id="44"/>
    <w:p>
      <w:pPr>
        <w:ind w:left="260"/>
        <w:spacing w:after="0"/>
        <w:rPr>
          <w:sz w:val="20"/>
          <w:szCs w:val="20"/>
          <w:color w:val="auto"/>
        </w:rPr>
      </w:pPr>
      <w:r>
        <w:rPr>
          <w:rFonts w:ascii="Courier New" w:cs="Courier New" w:eastAsia="Courier New" w:hAnsi="Courier New"/>
          <w:sz w:val="15"/>
          <w:szCs w:val="15"/>
          <w:color w:val="auto"/>
        </w:rPr>
        <w:t>30</w:t>
      </w:r>
    </w:p>
    <w:p>
      <w:pPr>
        <w:spacing w:after="0" w:line="3" w:lineRule="exact"/>
        <w:rPr>
          <w:sz w:val="20"/>
          <w:szCs w:val="20"/>
          <w:color w:val="auto"/>
        </w:rPr>
      </w:pPr>
    </w:p>
    <w:p>
      <w:pPr>
        <w:ind w:right="3299" w:firstLine="799"/>
        <w:spacing w:after="0"/>
        <w:rPr>
          <w:sz w:val="20"/>
          <w:szCs w:val="20"/>
          <w:color w:val="auto"/>
        </w:rPr>
      </w:pPr>
      <w:r>
        <w:rPr>
          <w:rFonts w:ascii="Courier New" w:cs="Courier New" w:eastAsia="Courier New" w:hAnsi="Courier New"/>
          <w:sz w:val="15"/>
          <w:szCs w:val="15"/>
          <w:color w:val="auto"/>
        </w:rPr>
        <w:t>The company contributes to multi-employer health, welfare and pension plans for employees covered by collective bargaining agreements. The health and welfare plans provide health care and disability benefits to active employees and retirees. The pension plans provide defined benefits to retired participants. The company charged to expense and contributed the following amounts to these plans (in thousands):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00" w:type="dxa"/>
            <w:vAlign w:val="bottom"/>
          </w:tcPr>
          <w:p>
            <w:pPr>
              <w:spacing w:after="0"/>
              <w:rPr>
                <w:sz w:val="14"/>
                <w:szCs w:val="14"/>
                <w:color w:val="auto"/>
              </w:rPr>
            </w:pPr>
          </w:p>
        </w:tc>
        <w:tc>
          <w:tcPr>
            <w:tcW w:w="22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1994</w:t>
            </w:r>
          </w:p>
        </w:tc>
        <w:tc>
          <w:tcPr>
            <w:tcW w:w="15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1993</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1992</w:t>
            </w:r>
          </w:p>
        </w:tc>
      </w:tr>
      <w:tr>
        <w:trPr>
          <w:trHeight w:val="341"/>
        </w:trPr>
        <w:tc>
          <w:tcPr>
            <w:tcW w:w="2700" w:type="dxa"/>
            <w:vAlign w:val="bottom"/>
          </w:tcPr>
          <w:p>
            <w:pPr>
              <w:spacing w:after="0"/>
              <w:rPr>
                <w:sz w:val="20"/>
                <w:szCs w:val="20"/>
                <w:color w:val="auto"/>
              </w:rPr>
            </w:pPr>
            <w:r>
              <w:rPr>
                <w:rFonts w:ascii="Courier New" w:cs="Courier New" w:eastAsia="Courier New" w:hAnsi="Courier New"/>
                <w:sz w:val="15"/>
                <w:szCs w:val="15"/>
                <w:color w:val="auto"/>
              </w:rPr>
              <w:t>Health and welfare</w:t>
            </w:r>
          </w:p>
        </w:tc>
        <w:tc>
          <w:tcPr>
            <w:tcW w:w="22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$142,695</w:t>
            </w:r>
          </w:p>
        </w:tc>
        <w:tc>
          <w:tcPr>
            <w:tcW w:w="15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$138,448</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$112,370</w:t>
            </w:r>
          </w:p>
        </w:tc>
      </w:tr>
      <w:tr>
        <w:trPr>
          <w:trHeight w:val="171"/>
        </w:trPr>
        <w:tc>
          <w:tcPr>
            <w:tcW w:w="2700" w:type="dxa"/>
            <w:vAlign w:val="bottom"/>
          </w:tcPr>
          <w:p>
            <w:pPr>
              <w:spacing w:after="0"/>
              <w:rPr>
                <w:sz w:val="20"/>
                <w:szCs w:val="20"/>
                <w:color w:val="auto"/>
              </w:rPr>
            </w:pPr>
            <w:r>
              <w:rPr>
                <w:rFonts w:ascii="Courier New" w:cs="Courier New" w:eastAsia="Courier New" w:hAnsi="Courier New"/>
                <w:sz w:val="15"/>
                <w:szCs w:val="15"/>
                <w:color w:val="auto"/>
              </w:rPr>
              <w:t>Pension</w:t>
            </w:r>
          </w:p>
        </w:tc>
        <w:tc>
          <w:tcPr>
            <w:tcW w:w="22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129,321</w:t>
            </w:r>
          </w:p>
        </w:tc>
        <w:tc>
          <w:tcPr>
            <w:tcW w:w="15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126,449</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104,560</w:t>
            </w:r>
          </w:p>
        </w:tc>
      </w:tr>
      <w:tr>
        <w:trPr>
          <w:trHeight w:val="171"/>
        </w:trPr>
        <w:tc>
          <w:tcPr>
            <w:tcW w:w="2700" w:type="dxa"/>
            <w:vAlign w:val="bottom"/>
          </w:tcPr>
          <w:p>
            <w:pPr>
              <w:ind w:left="780"/>
              <w:spacing w:after="0"/>
              <w:rPr>
                <w:sz w:val="20"/>
                <w:szCs w:val="20"/>
                <w:color w:val="auto"/>
              </w:rPr>
            </w:pPr>
            <w:r>
              <w:rPr>
                <w:rFonts w:ascii="Courier New" w:cs="Courier New" w:eastAsia="Courier New" w:hAnsi="Courier New"/>
                <w:sz w:val="15"/>
                <w:szCs w:val="15"/>
                <w:color w:val="auto"/>
              </w:rPr>
              <w:t>Total</w:t>
            </w:r>
          </w:p>
        </w:tc>
        <w:tc>
          <w:tcPr>
            <w:tcW w:w="22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$272,016</w:t>
            </w:r>
          </w:p>
        </w:tc>
        <w:tc>
          <w:tcPr>
            <w:tcW w:w="15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$264,897</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$216,930</w:t>
            </w:r>
          </w:p>
        </w:tc>
      </w:tr>
    </w:tbl>
    <w:p>
      <w:pPr>
        <w:spacing w:after="0" w:line="345" w:lineRule="exact"/>
        <w:rPr>
          <w:sz w:val="20"/>
          <w:szCs w:val="20"/>
          <w:color w:val="auto"/>
        </w:rPr>
      </w:pPr>
    </w:p>
    <w:p>
      <w:pPr>
        <w:ind w:right="3219" w:firstLine="799"/>
        <w:spacing w:after="0" w:line="259" w:lineRule="auto"/>
        <w:rPr>
          <w:sz w:val="20"/>
          <w:szCs w:val="20"/>
          <w:color w:val="auto"/>
        </w:rPr>
      </w:pPr>
      <w:r>
        <w:rPr>
          <w:rFonts w:ascii="Courier New" w:cs="Courier New" w:eastAsia="Courier New" w:hAnsi="Courier New"/>
          <w:sz w:val="14"/>
          <w:szCs w:val="14"/>
          <w:color w:val="auto"/>
        </w:rPr>
        <w:t>The company has a Stock Sharing Plan for employees of participating domestic affiliates not covered by collective bargaining agreements. The Stock Sharing Plan used proceeds of a bank loan to purchase shares of the company's common stock. The loan is guaranteed by the company and the outstanding balance is reflected in the financial statements as long-term debt (see Debt) and as a reduction in shareholders' equity. The company's contribution to the Stock Sharing Plan is determined annually by the Board of Directors. These contributions combined with plan earnings must be sufficient to meet the plan's debt service requirements. Expense is recorded as funds are contributed or committed to be contributed. Shares are allocated in accordance with the principal and interest method as defined by the Internal Revenue Code. Expenses and dividends related to the Stock Sharing Plan were (in thousands):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00" w:type="dxa"/>
            <w:vAlign w:val="bottom"/>
          </w:tcPr>
          <w:p>
            <w:pPr>
              <w:spacing w:after="0"/>
              <w:rPr>
                <w:sz w:val="14"/>
                <w:szCs w:val="14"/>
                <w:color w:val="auto"/>
              </w:rPr>
            </w:pPr>
          </w:p>
        </w:tc>
        <w:tc>
          <w:tcPr>
            <w:tcW w:w="17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1994</w:t>
            </w:r>
          </w:p>
        </w:tc>
        <w:tc>
          <w:tcPr>
            <w:tcW w:w="152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1993</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1992</w:t>
            </w:r>
          </w:p>
        </w:tc>
      </w:tr>
      <w:tr>
        <w:trPr>
          <w:trHeight w:val="341"/>
        </w:trPr>
        <w:tc>
          <w:tcPr>
            <w:tcW w:w="3100" w:type="dxa"/>
            <w:vAlign w:val="bottom"/>
          </w:tcPr>
          <w:p>
            <w:pPr>
              <w:spacing w:after="0"/>
              <w:rPr>
                <w:sz w:val="20"/>
                <w:szCs w:val="20"/>
                <w:color w:val="auto"/>
              </w:rPr>
            </w:pPr>
            <w:r>
              <w:rPr>
                <w:rFonts w:ascii="Courier New" w:cs="Courier New" w:eastAsia="Courier New" w:hAnsi="Courier New"/>
                <w:sz w:val="15"/>
                <w:szCs w:val="15"/>
                <w:color w:val="auto"/>
              </w:rPr>
              <w:t>Employees' benefits expense</w:t>
            </w:r>
          </w:p>
        </w:tc>
        <w:tc>
          <w:tcPr>
            <w:tcW w:w="17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$6,735</w:t>
            </w:r>
          </w:p>
        </w:tc>
        <w:tc>
          <w:tcPr>
            <w:tcW w:w="580" w:type="dxa"/>
            <w:vAlign w:val="bottom"/>
          </w:tcPr>
          <w:p>
            <w:pPr>
              <w:ind w:left="50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$7,185</w:t>
            </w:r>
          </w:p>
        </w:tc>
      </w:tr>
      <w:tr>
        <w:trPr>
          <w:trHeight w:val="171"/>
        </w:trPr>
        <w:tc>
          <w:tcPr>
            <w:tcW w:w="310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7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979</w:t>
            </w:r>
          </w:p>
        </w:tc>
        <w:tc>
          <w:tcPr>
            <w:tcW w:w="580" w:type="dxa"/>
            <w:vAlign w:val="bottom"/>
          </w:tcPr>
          <w:p>
            <w:pPr>
              <w:spacing w:after="0"/>
              <w:rPr>
                <w:sz w:val="14"/>
                <w:szCs w:val="14"/>
                <w:color w:val="auto"/>
              </w:rPr>
            </w:pPr>
          </w:p>
        </w:tc>
        <w:tc>
          <w:tcPr>
            <w:tcW w:w="940" w:type="dxa"/>
            <w:vAlign w:val="bottom"/>
          </w:tcPr>
          <w:p>
            <w:pPr>
              <w:jc w:val="right"/>
              <w:ind w:right="426"/>
              <w:spacing w:after="0"/>
              <w:rPr>
                <w:sz w:val="20"/>
                <w:szCs w:val="20"/>
                <w:color w:val="auto"/>
              </w:rPr>
            </w:pPr>
            <w:r>
              <w:rPr>
                <w:rFonts w:ascii="Courier New" w:cs="Courier New" w:eastAsia="Courier New" w:hAnsi="Courier New"/>
                <w:sz w:val="15"/>
                <w:szCs w:val="15"/>
                <w:color w:val="auto"/>
                <w:w w:val="93"/>
              </w:rPr>
              <w:t>1,746</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2,417</w:t>
            </w:r>
          </w:p>
        </w:tc>
      </w:tr>
      <w:tr>
        <w:trPr>
          <w:trHeight w:val="171"/>
        </w:trPr>
        <w:tc>
          <w:tcPr>
            <w:tcW w:w="3100" w:type="dxa"/>
            <w:vAlign w:val="bottom"/>
          </w:tcPr>
          <w:p>
            <w:pPr>
              <w:ind w:left="780"/>
              <w:spacing w:after="0"/>
              <w:rPr>
                <w:sz w:val="20"/>
                <w:szCs w:val="20"/>
                <w:color w:val="auto"/>
              </w:rPr>
            </w:pPr>
            <w:r>
              <w:rPr>
                <w:rFonts w:ascii="Courier New" w:cs="Courier New" w:eastAsia="Courier New" w:hAnsi="Courier New"/>
                <w:sz w:val="15"/>
                <w:szCs w:val="15"/>
                <w:color w:val="auto"/>
              </w:rPr>
              <w:t>Total expense</w:t>
            </w:r>
          </w:p>
        </w:tc>
        <w:tc>
          <w:tcPr>
            <w:tcW w:w="17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$7,714</w:t>
            </w:r>
          </w:p>
        </w:tc>
        <w:tc>
          <w:tcPr>
            <w:tcW w:w="580" w:type="dxa"/>
            <w:vAlign w:val="bottom"/>
          </w:tcPr>
          <w:p>
            <w:pPr>
              <w:ind w:left="50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426"/>
              <w:spacing w:after="0"/>
              <w:rPr>
                <w:sz w:val="20"/>
                <w:szCs w:val="20"/>
                <w:color w:val="auto"/>
              </w:rPr>
            </w:pPr>
            <w:r>
              <w:rPr>
                <w:rFonts w:ascii="Courier New" w:cs="Courier New" w:eastAsia="Courier New" w:hAnsi="Courier New"/>
                <w:sz w:val="15"/>
                <w:szCs w:val="15"/>
                <w:color w:val="auto"/>
                <w:w w:val="93"/>
              </w:rPr>
              <w:t>1,746</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$9,602</w:t>
            </w:r>
          </w:p>
        </w:tc>
      </w:tr>
      <w:tr>
        <w:trPr>
          <w:trHeight w:val="171"/>
        </w:trPr>
        <w:tc>
          <w:tcPr>
            <w:tcW w:w="3100" w:type="dxa"/>
            <w:vAlign w:val="bottom"/>
          </w:tcPr>
          <w:p>
            <w:pPr>
              <w:spacing w:after="0"/>
              <w:rPr>
                <w:sz w:val="20"/>
                <w:szCs w:val="20"/>
                <w:color w:val="auto"/>
              </w:rPr>
            </w:pPr>
            <w:r>
              <w:rPr>
                <w:rFonts w:ascii="Courier New" w:cs="Courier New" w:eastAsia="Courier New" w:hAnsi="Courier New"/>
                <w:sz w:val="15"/>
                <w:szCs w:val="15"/>
                <w:color w:val="auto"/>
              </w:rPr>
              <w:t>Dividends</w:t>
            </w:r>
          </w:p>
        </w:tc>
        <w:tc>
          <w:tcPr>
            <w:tcW w:w="17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$1,456</w:t>
            </w:r>
          </w:p>
        </w:tc>
        <w:tc>
          <w:tcPr>
            <w:tcW w:w="580" w:type="dxa"/>
            <w:vAlign w:val="bottom"/>
          </w:tcPr>
          <w:p>
            <w:pPr>
              <w:ind w:left="50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426"/>
              <w:spacing w:after="0"/>
              <w:rPr>
                <w:sz w:val="20"/>
                <w:szCs w:val="20"/>
                <w:color w:val="auto"/>
              </w:rPr>
            </w:pPr>
            <w:r>
              <w:rPr>
                <w:rFonts w:ascii="Courier New" w:cs="Courier New" w:eastAsia="Courier New" w:hAnsi="Courier New"/>
                <w:sz w:val="15"/>
                <w:szCs w:val="15"/>
                <w:color w:val="auto"/>
                <w:w w:val="93"/>
              </w:rPr>
              <w:t>1,532</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$1,591</w:t>
            </w:r>
          </w:p>
        </w:tc>
      </w:tr>
    </w:tbl>
    <w:p>
      <w:pPr>
        <w:spacing w:after="0" w:line="345"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Certain subsidiaries also sponsor defined contribution plans, primarily for employees not covered by collective bargaining agreements. The plans principally consist of noncontributory profit sharing plans and contributory 401(k) savings plans. Company contributions to the profit sharing plans are discretionary and are determined annually by the Board of Directors of each participating company. Contributions for each of the three years in the period ended December 31, 1994 were not material to the operations of the company.</w:t>
      </w:r>
    </w:p>
    <w:p>
      <w:pPr>
        <w:spacing w:after="0" w:line="6" w:lineRule="exact"/>
        <w:rPr>
          <w:sz w:val="20"/>
          <w:szCs w:val="20"/>
          <w:color w:val="auto"/>
        </w:rPr>
      </w:pPr>
    </w:p>
    <w:p>
      <w:pPr>
        <w:ind w:right="3299" w:firstLine="799"/>
        <w:spacing w:after="0"/>
        <w:rPr>
          <w:sz w:val="20"/>
          <w:szCs w:val="20"/>
          <w:color w:val="auto"/>
        </w:rPr>
      </w:pPr>
      <w:r>
        <w:rPr>
          <w:rFonts w:ascii="Courier New" w:cs="Courier New" w:eastAsia="Courier New" w:hAnsi="Courier New"/>
          <w:sz w:val="15"/>
          <w:szCs w:val="15"/>
          <w:color w:val="auto"/>
        </w:rPr>
        <w:t>The company has reserved 800,000 shares of its common stock for issuance to key employees under a stock option incentive plan. This plan permits three types of awards: grants of stock options, both qualified and nonqualified, grants of stock options coupled with a grant of stock appreciation rights, and grants of restricted stock awards. At December 31, 1994 there were 791,114 shares available for future grants and no options were outstanding.</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COMMITMENTS AND CONTINGENCIES</w:t>
      </w:r>
    </w:p>
    <w:p>
      <w:pPr>
        <w:spacing w:after="0" w:line="17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The company leases certain terminals and equipment. At December 31,</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1994, the company was committed under noncancellable lease agreements requiring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minimum annual rentals aggregating $90,279,000 payable as follows: 1995 -</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$32,800,000, 1996 - $22,916,000, 1997 - $12,991,000, 1998 - $7,354,000, 1999 -</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$3,126,000 and thereafter, $11,092,000.</w:t>
      </w:r>
    </w:p>
    <w:p>
      <w:pPr>
        <w:spacing w:after="0" w:line="3" w:lineRule="exact"/>
        <w:rPr>
          <w:sz w:val="20"/>
          <w:szCs w:val="20"/>
          <w:color w:val="auto"/>
        </w:rPr>
      </w:pPr>
    </w:p>
    <w:p>
      <w:pPr>
        <w:ind w:right="3219" w:firstLine="799"/>
        <w:spacing w:after="0" w:line="238" w:lineRule="auto"/>
        <w:rPr>
          <w:sz w:val="20"/>
          <w:szCs w:val="20"/>
          <w:color w:val="auto"/>
        </w:rPr>
      </w:pPr>
      <w:r>
        <w:rPr>
          <w:rFonts w:ascii="Courier New" w:cs="Courier New" w:eastAsia="Courier New" w:hAnsi="Courier New"/>
          <w:sz w:val="15"/>
          <w:szCs w:val="15"/>
          <w:color w:val="auto"/>
        </w:rPr>
        <w:t>Projected 1995 net capital expenditures are $175 million, of which $66 million was committed at December 31, 1994.</w:t>
      </w:r>
    </w:p>
    <w:p>
      <w:pPr>
        <w:spacing w:after="0" w:line="4" w:lineRule="exact"/>
        <w:rPr>
          <w:sz w:val="20"/>
          <w:szCs w:val="20"/>
          <w:color w:val="auto"/>
        </w:rPr>
      </w:pPr>
    </w:p>
    <w:p>
      <w:pPr>
        <w:ind w:right="3219" w:firstLine="799"/>
        <w:spacing w:after="0" w:line="239" w:lineRule="auto"/>
        <w:rPr>
          <w:sz w:val="20"/>
          <w:szCs w:val="20"/>
          <w:color w:val="auto"/>
        </w:rPr>
      </w:pPr>
      <w:r>
        <w:rPr>
          <w:rFonts w:ascii="Courier New" w:cs="Courier New" w:eastAsia="Courier New" w:hAnsi="Courier New"/>
          <w:sz w:val="15"/>
          <w:szCs w:val="15"/>
          <w:color w:val="auto"/>
        </w:rPr>
        <w:t>Various claims and legal actions are pending against the company. It is the opinion of management that these matters will have no significant impact upon the financial condition or results of operations of the company.</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SERIES A $10 PREFERRED STOCK AND RIGHTS</w:t>
      </w:r>
    </w:p>
    <w:p>
      <w:pPr>
        <w:spacing w:after="0" w:line="174" w:lineRule="exact"/>
        <w:rPr>
          <w:sz w:val="20"/>
          <w:szCs w:val="20"/>
          <w:color w:val="auto"/>
        </w:rPr>
      </w:pPr>
    </w:p>
    <w:p>
      <w:pPr>
        <w:ind w:right="3219" w:firstLine="799"/>
        <w:spacing w:after="0" w:line="258" w:lineRule="auto"/>
        <w:rPr>
          <w:sz w:val="20"/>
          <w:szCs w:val="20"/>
          <w:color w:val="auto"/>
        </w:rPr>
      </w:pPr>
      <w:r>
        <w:rPr>
          <w:rFonts w:ascii="Courier New" w:cs="Courier New" w:eastAsia="Courier New" w:hAnsi="Courier New"/>
          <w:sz w:val="14"/>
          <w:szCs w:val="14"/>
          <w:color w:val="auto"/>
        </w:rPr>
        <w:t>Each share of the company's common stock carries with it one preferred stock purchase right. Under certain circumstances, each right may be exercised to purchase 1/100th of a share of Series A $10 Preferred stock at an exercise price of $120, subject to adjustment. The rights, which are nonvoting, expire on December 8, 1996 and may be redeemed by the company at a price of $.05 per right at any time prior to ten days after public announcement of the acquisition of 20% or more of the outstanding common stock.</w:t>
      </w:r>
    </w:p>
    <w:p>
      <w:pPr>
        <w:spacing w:after="0" w:line="1"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If a person acquires 20% of the company's voting stock or if certain other transactions occur, each right not owned by a 20% shareholder will entitle the holder to purchase at the exercise price a number of shares of the common stock of the company or, depending on the nature of the transaction, the stock of an acquiring company, having a market value equal to twice the exercise price of such right.</w:t>
      </w:r>
    </w:p>
    <w:p>
      <w:pPr>
        <w:spacing w:after="0" w:line="4" w:lineRule="exact"/>
        <w:rPr>
          <w:sz w:val="20"/>
          <w:szCs w:val="20"/>
          <w:color w:val="auto"/>
        </w:rPr>
      </w:pPr>
    </w:p>
    <w:p>
      <w:pPr>
        <w:ind w:right="3299" w:firstLine="799"/>
        <w:spacing w:after="0" w:line="238" w:lineRule="auto"/>
        <w:rPr>
          <w:sz w:val="20"/>
          <w:szCs w:val="20"/>
          <w:color w:val="auto"/>
        </w:rPr>
      </w:pPr>
      <w:r>
        <w:rPr>
          <w:rFonts w:ascii="Courier New" w:cs="Courier New" w:eastAsia="Courier New" w:hAnsi="Courier New"/>
          <w:sz w:val="15"/>
          <w:szCs w:val="15"/>
          <w:color w:val="auto"/>
        </w:rPr>
        <w:t>Dividends and voting rights on each 1/100th share of the Series A $10 Preferred stock will be equal to that of one share of common stock.</w:t>
      </w:r>
    </w:p>
    <w:p>
      <w:pPr>
        <w:sectPr>
          <w:pgSz w:w="11900" w:h="16838" w:orient="portrait"/>
          <w:cols w:equalWidth="0" w:num="1">
            <w:col w:w="10219"/>
          </w:cols>
          <w:pgMar w:left="240" w:top="287" w:right="1440" w:bottom="1440" w:gutter="0" w:footer="0" w:header="0"/>
        </w:sectPr>
      </w:pPr>
    </w:p>
    <w:bookmarkStart w:id="45" w:name="page46"/>
    <w:bookmarkEnd w:id="45"/>
    <w:p>
      <w:pPr>
        <w:ind w:left="260"/>
        <w:spacing w:after="0"/>
        <w:rPr>
          <w:sz w:val="20"/>
          <w:szCs w:val="20"/>
          <w:color w:val="auto"/>
        </w:rPr>
      </w:pPr>
      <w:r>
        <w:rPr>
          <w:rFonts w:ascii="Courier New" w:cs="Courier New" w:eastAsia="Courier New" w:hAnsi="Courier New"/>
          <w:sz w:val="15"/>
          <w:szCs w:val="15"/>
          <w:color w:val="auto"/>
        </w:rPr>
        <w:t>31</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 OF INDEPENDENT PUBLIC ACCOUNTANTS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Shareholders of Yellow Corporation:</w:t>
      </w:r>
    </w:p>
    <w:p>
      <w:pPr>
        <w:spacing w:after="0" w:line="174"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We have audited the accompanying consolidated balance sheets of Yellow Corporation (a Delaware corporation) and Subsidiaries as of December 31, 1994 and 1993, and the related consolidated statements of income, cash flows and shareholders' equity for each of the three years in the period ended December 31, 1994. These financial statements are the responsibility of the Company's management. Our responsibility is to express an opinion on these financial statements based on our audits.</w:t>
      </w:r>
    </w:p>
    <w:p>
      <w:pPr>
        <w:spacing w:after="0" w:line="5"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7" w:lineRule="exact"/>
        <w:rPr>
          <w:sz w:val="20"/>
          <w:szCs w:val="20"/>
          <w:color w:val="auto"/>
        </w:rPr>
      </w:pPr>
    </w:p>
    <w:p>
      <w:pPr>
        <w:ind w:right="3219" w:firstLine="799"/>
        <w:spacing w:after="0" w:line="261" w:lineRule="auto"/>
        <w:rPr>
          <w:sz w:val="20"/>
          <w:szCs w:val="20"/>
          <w:color w:val="auto"/>
        </w:rPr>
      </w:pPr>
      <w:r>
        <w:rPr>
          <w:rFonts w:ascii="Courier New" w:cs="Courier New" w:eastAsia="Courier New" w:hAnsi="Courier New"/>
          <w:sz w:val="14"/>
          <w:szCs w:val="14"/>
          <w:color w:val="auto"/>
        </w:rPr>
        <w:t>In our opinion, the financial statements referred to above present fairly, in all material respects, the financial position of Yellow Corporation and Subsidiaries as of December 31, 1994 and 1993, and the results of their operations and their cash flows for each of the three years in the period ended December 31, 1994, in conformity with generally accepted accounting principles.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ARTHUR ANDERSEN LLP</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Kansas City, Missouri</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31, 1995</w:t>
      </w:r>
    </w:p>
    <w:p>
      <w:pPr>
        <w:sectPr>
          <w:pgSz w:w="11900" w:h="16838" w:orient="portrait"/>
          <w:cols w:equalWidth="0" w:num="1">
            <w:col w:w="10219"/>
          </w:cols>
          <w:pgMar w:left="240" w:top="287" w:right="1440" w:bottom="1440" w:gutter="0" w:footer="0" w:header="0"/>
        </w:sectPr>
      </w:pPr>
    </w:p>
    <w:bookmarkStart w:id="46" w:name="page47"/>
    <w:bookmarkEnd w:id="46"/>
    <w:p>
      <w:pPr>
        <w:ind w:left="269"/>
        <w:spacing w:after="0"/>
        <w:rPr>
          <w:sz w:val="20"/>
          <w:szCs w:val="20"/>
          <w:color w:val="auto"/>
        </w:rPr>
      </w:pPr>
      <w:r>
        <w:rPr>
          <w:rFonts w:ascii="Courier New" w:cs="Courier New" w:eastAsia="Courier New" w:hAnsi="Courier New"/>
          <w:sz w:val="15"/>
          <w:szCs w:val="15"/>
          <w:color w:val="auto"/>
        </w:rPr>
        <w:t>32</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SUPPLEMENTARY INFORMATION</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QUARTERLY FINANCIAL INFORMATION (UNAUDITED)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440" w:type="dxa"/>
            <w:vAlign w:val="bottom"/>
            <w:gridSpan w:val="2"/>
          </w:tcPr>
          <w:p>
            <w:pPr>
              <w:ind w:left="1240"/>
              <w:spacing w:after="0"/>
              <w:rPr>
                <w:sz w:val="20"/>
                <w:szCs w:val="20"/>
                <w:color w:val="auto"/>
              </w:rPr>
            </w:pPr>
            <w:r>
              <w:rPr>
                <w:rFonts w:ascii="Courier New" w:cs="Courier New" w:eastAsia="Courier New" w:hAnsi="Courier New"/>
                <w:sz w:val="15"/>
                <w:szCs w:val="15"/>
                <w:color w:val="auto"/>
              </w:rPr>
              <w:t>(Amounts in thousands except per share data)</w:t>
            </w:r>
          </w:p>
        </w:tc>
        <w:tc>
          <w:tcPr>
            <w:tcW w:w="16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4260" w:type="dxa"/>
            <w:vAlign w:val="bottom"/>
          </w:tcPr>
          <w:p>
            <w:pPr>
              <w:spacing w:after="0"/>
              <w:rPr>
                <w:sz w:val="14"/>
                <w:szCs w:val="14"/>
                <w:color w:val="auto"/>
              </w:rPr>
            </w:pPr>
          </w:p>
        </w:tc>
        <w:tc>
          <w:tcPr>
            <w:tcW w:w="118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First</w:t>
            </w:r>
          </w:p>
        </w:tc>
        <w:tc>
          <w:tcPr>
            <w:tcW w:w="1600" w:type="dxa"/>
            <w:vAlign w:val="bottom"/>
          </w:tcPr>
          <w:p>
            <w:pPr>
              <w:ind w:left="500"/>
              <w:spacing w:after="0"/>
              <w:rPr>
                <w:sz w:val="20"/>
                <w:szCs w:val="20"/>
                <w:color w:val="auto"/>
              </w:rPr>
            </w:pPr>
            <w:r>
              <w:rPr>
                <w:rFonts w:ascii="Courier New" w:cs="Courier New" w:eastAsia="Courier New" w:hAnsi="Courier New"/>
                <w:sz w:val="15"/>
                <w:szCs w:val="15"/>
                <w:color w:val="auto"/>
              </w:rPr>
              <w:t>Second</w:t>
            </w:r>
          </w:p>
        </w:tc>
        <w:tc>
          <w:tcPr>
            <w:tcW w:w="1480" w:type="dxa"/>
            <w:vAlign w:val="bottom"/>
          </w:tcPr>
          <w:p>
            <w:pPr>
              <w:jc w:val="right"/>
              <w:ind w:right="566"/>
              <w:spacing w:after="0"/>
              <w:rPr>
                <w:sz w:val="20"/>
                <w:szCs w:val="20"/>
                <w:color w:val="auto"/>
              </w:rPr>
            </w:pPr>
            <w:r>
              <w:rPr>
                <w:rFonts w:ascii="Courier New" w:cs="Courier New" w:eastAsia="Courier New" w:hAnsi="Courier New"/>
                <w:sz w:val="15"/>
                <w:szCs w:val="15"/>
                <w:color w:val="auto"/>
              </w:rPr>
              <w:t>Third</w:t>
            </w:r>
          </w:p>
        </w:tc>
        <w:tc>
          <w:tcPr>
            <w:tcW w:w="1060" w:type="dxa"/>
            <w:vAlign w:val="bottom"/>
          </w:tcPr>
          <w:p>
            <w:pPr>
              <w:ind w:left="440"/>
              <w:spacing w:after="0"/>
              <w:rPr>
                <w:sz w:val="20"/>
                <w:szCs w:val="20"/>
                <w:color w:val="auto"/>
              </w:rPr>
            </w:pPr>
            <w:r>
              <w:rPr>
                <w:rFonts w:ascii="Courier New" w:cs="Courier New" w:eastAsia="Courier New" w:hAnsi="Courier New"/>
                <w:sz w:val="15"/>
                <w:szCs w:val="15"/>
                <w:color w:val="auto"/>
              </w:rPr>
              <w:t>Fourth</w:t>
            </w: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1994</w:t>
            </w:r>
          </w:p>
        </w:tc>
        <w:tc>
          <w:tcPr>
            <w:tcW w:w="11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Quarter</w:t>
            </w:r>
          </w:p>
        </w:tc>
        <w:tc>
          <w:tcPr>
            <w:tcW w:w="1600" w:type="dxa"/>
            <w:vAlign w:val="bottom"/>
          </w:tcPr>
          <w:p>
            <w:pPr>
              <w:ind w:left="500"/>
              <w:spacing w:after="0"/>
              <w:rPr>
                <w:sz w:val="20"/>
                <w:szCs w:val="20"/>
                <w:color w:val="auto"/>
              </w:rPr>
            </w:pPr>
            <w:r>
              <w:rPr>
                <w:rFonts w:ascii="Courier New" w:cs="Courier New" w:eastAsia="Courier New" w:hAnsi="Courier New"/>
                <w:sz w:val="15"/>
                <w:szCs w:val="15"/>
                <w:color w:val="auto"/>
              </w:rPr>
              <w:t>Quarter</w:t>
            </w:r>
          </w:p>
        </w:tc>
        <w:tc>
          <w:tcPr>
            <w:tcW w:w="14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Quarter</w:t>
            </w:r>
          </w:p>
        </w:tc>
        <w:tc>
          <w:tcPr>
            <w:tcW w:w="1060" w:type="dxa"/>
            <w:vAlign w:val="bottom"/>
          </w:tcPr>
          <w:p>
            <w:pPr>
              <w:ind w:left="440"/>
              <w:spacing w:after="0"/>
              <w:rPr>
                <w:sz w:val="20"/>
                <w:szCs w:val="20"/>
                <w:color w:val="auto"/>
              </w:rPr>
            </w:pPr>
            <w:r>
              <w:rPr>
                <w:rFonts w:ascii="Courier New" w:cs="Courier New" w:eastAsia="Courier New" w:hAnsi="Courier New"/>
                <w:sz w:val="15"/>
                <w:szCs w:val="15"/>
                <w:color w:val="auto"/>
                <w:w w:val="95"/>
              </w:rPr>
              <w:t>Quarter</w:t>
            </w:r>
          </w:p>
        </w:tc>
      </w:tr>
      <w:tr>
        <w:trPr>
          <w:trHeight w:val="341"/>
        </w:trPr>
        <w:tc>
          <w:tcPr>
            <w:tcW w:w="4260" w:type="dxa"/>
            <w:vAlign w:val="bottom"/>
          </w:tcPr>
          <w:p>
            <w:pPr>
              <w:spacing w:after="0"/>
              <w:rPr>
                <w:sz w:val="20"/>
                <w:szCs w:val="20"/>
                <w:color w:val="auto"/>
              </w:rPr>
            </w:pPr>
            <w:r>
              <w:rPr>
                <w:rFonts w:ascii="Courier New" w:cs="Courier New" w:eastAsia="Courier New" w:hAnsi="Courier New"/>
                <w:sz w:val="15"/>
                <w:szCs w:val="15"/>
                <w:color w:val="auto"/>
              </w:rPr>
              <w:t>Operating revenue</w:t>
            </w:r>
          </w:p>
        </w:tc>
        <w:tc>
          <w:tcPr>
            <w:tcW w:w="1180" w:type="dxa"/>
            <w:vAlign w:val="bottom"/>
          </w:tcPr>
          <w:p>
            <w:pPr>
              <w:jc w:val="right"/>
              <w:ind w:right="406"/>
              <w:spacing w:after="0"/>
              <w:rPr>
                <w:sz w:val="20"/>
                <w:szCs w:val="20"/>
                <w:color w:val="auto"/>
              </w:rPr>
            </w:pPr>
            <w:r>
              <w:rPr>
                <w:rFonts w:ascii="Courier New" w:cs="Courier New" w:eastAsia="Courier New" w:hAnsi="Courier New"/>
                <w:sz w:val="15"/>
                <w:szCs w:val="15"/>
                <w:color w:val="auto"/>
                <w:w w:val="94"/>
              </w:rPr>
              <w:t>$748,159</w:t>
            </w:r>
          </w:p>
        </w:tc>
        <w:tc>
          <w:tcPr>
            <w:tcW w:w="16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$592,211</w:t>
            </w:r>
          </w:p>
        </w:tc>
        <w:tc>
          <w:tcPr>
            <w:tcW w:w="14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$769,259</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$757,863</w:t>
            </w: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Income (loss) from operations</w:t>
            </w:r>
          </w:p>
        </w:tc>
        <w:tc>
          <w:tcPr>
            <w:tcW w:w="11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(4,418)</w:t>
            </w:r>
          </w:p>
        </w:tc>
        <w:tc>
          <w:tcPr>
            <w:tcW w:w="16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(30,049)</w:t>
            </w:r>
          </w:p>
        </w:tc>
        <w:tc>
          <w:tcPr>
            <w:tcW w:w="14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27,176</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18,302</w:t>
            </w: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Income (loss) before extraordinary item</w:t>
            </w:r>
          </w:p>
        </w:tc>
        <w:tc>
          <w:tcPr>
            <w:tcW w:w="11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(6,384)</w:t>
            </w:r>
          </w:p>
        </w:tc>
        <w:tc>
          <w:tcPr>
            <w:tcW w:w="16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(21,876)</w:t>
            </w:r>
          </w:p>
        </w:tc>
        <w:tc>
          <w:tcPr>
            <w:tcW w:w="14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13,204</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11,208</w:t>
            </w: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1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(6,384)</w:t>
            </w:r>
          </w:p>
        </w:tc>
        <w:tc>
          <w:tcPr>
            <w:tcW w:w="16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(21,876)</w:t>
            </w:r>
          </w:p>
        </w:tc>
        <w:tc>
          <w:tcPr>
            <w:tcW w:w="14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9,146(a)</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11,208</w:t>
            </w: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Earnings per share:</w:t>
            </w:r>
          </w:p>
        </w:tc>
        <w:tc>
          <w:tcPr>
            <w:tcW w:w="11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4260" w:type="dxa"/>
            <w:vAlign w:val="bottom"/>
          </w:tcPr>
          <w:p>
            <w:pPr>
              <w:ind w:left="780"/>
              <w:spacing w:after="0"/>
              <w:rPr>
                <w:sz w:val="20"/>
                <w:szCs w:val="20"/>
                <w:color w:val="auto"/>
              </w:rPr>
            </w:pPr>
            <w:r>
              <w:rPr>
                <w:rFonts w:ascii="Courier New" w:cs="Courier New" w:eastAsia="Courier New" w:hAnsi="Courier New"/>
                <w:sz w:val="15"/>
                <w:szCs w:val="15"/>
                <w:color w:val="auto"/>
                <w:w w:val="98"/>
              </w:rPr>
              <w:t>Income (loss) before extraordinary item</w:t>
            </w:r>
          </w:p>
        </w:tc>
        <w:tc>
          <w:tcPr>
            <w:tcW w:w="11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(.23)</w:t>
            </w:r>
          </w:p>
        </w:tc>
        <w:tc>
          <w:tcPr>
            <w:tcW w:w="16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(.78)</w:t>
            </w:r>
          </w:p>
        </w:tc>
        <w:tc>
          <w:tcPr>
            <w:tcW w:w="14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.47</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.40</w:t>
            </w:r>
          </w:p>
        </w:tc>
      </w:tr>
      <w:tr>
        <w:trPr>
          <w:trHeight w:val="171"/>
        </w:trPr>
        <w:tc>
          <w:tcPr>
            <w:tcW w:w="4260" w:type="dxa"/>
            <w:vAlign w:val="bottom"/>
          </w:tcPr>
          <w:p>
            <w:pPr>
              <w:ind w:left="780"/>
              <w:spacing w:after="0"/>
              <w:rPr>
                <w:sz w:val="20"/>
                <w:szCs w:val="20"/>
                <w:color w:val="auto"/>
              </w:rPr>
            </w:pPr>
            <w:r>
              <w:rPr>
                <w:rFonts w:ascii="Courier New" w:cs="Courier New" w:eastAsia="Courier New" w:hAnsi="Courier New"/>
                <w:sz w:val="15"/>
                <w:szCs w:val="15"/>
                <w:color w:val="auto"/>
              </w:rPr>
              <w:t>Net income (loss)</w:t>
            </w:r>
          </w:p>
        </w:tc>
        <w:tc>
          <w:tcPr>
            <w:tcW w:w="11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(.23)</w:t>
            </w:r>
          </w:p>
        </w:tc>
        <w:tc>
          <w:tcPr>
            <w:tcW w:w="16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(.78)</w:t>
            </w:r>
          </w:p>
        </w:tc>
        <w:tc>
          <w:tcPr>
            <w:tcW w:w="14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.33(a)</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.40</w:t>
            </w:r>
          </w:p>
        </w:tc>
      </w:tr>
      <w:tr>
        <w:trPr>
          <w:trHeight w:val="341"/>
        </w:trPr>
        <w:tc>
          <w:tcPr>
            <w:tcW w:w="4260" w:type="dxa"/>
            <w:vAlign w:val="bottom"/>
          </w:tcPr>
          <w:p>
            <w:pPr>
              <w:spacing w:after="0"/>
              <w:rPr>
                <w:sz w:val="20"/>
                <w:szCs w:val="20"/>
                <w:color w:val="auto"/>
              </w:rPr>
            </w:pPr>
            <w:r>
              <w:rPr>
                <w:rFonts w:ascii="Courier New" w:cs="Courier New" w:eastAsia="Courier New" w:hAnsi="Courier New"/>
                <w:sz w:val="15"/>
                <w:szCs w:val="15"/>
                <w:color w:val="auto"/>
              </w:rPr>
              <w:t>1993(b)</w:t>
            </w:r>
          </w:p>
        </w:tc>
        <w:tc>
          <w:tcPr>
            <w:tcW w:w="1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Operating revenue</w:t>
            </w:r>
          </w:p>
        </w:tc>
        <w:tc>
          <w:tcPr>
            <w:tcW w:w="1180" w:type="dxa"/>
            <w:vAlign w:val="bottom"/>
          </w:tcPr>
          <w:p>
            <w:pPr>
              <w:jc w:val="right"/>
              <w:ind w:right="406"/>
              <w:spacing w:after="0"/>
              <w:rPr>
                <w:sz w:val="20"/>
                <w:szCs w:val="20"/>
                <w:color w:val="auto"/>
              </w:rPr>
            </w:pPr>
            <w:r>
              <w:rPr>
                <w:rFonts w:ascii="Courier New" w:cs="Courier New" w:eastAsia="Courier New" w:hAnsi="Courier New"/>
                <w:sz w:val="15"/>
                <w:szCs w:val="15"/>
                <w:color w:val="auto"/>
                <w:w w:val="94"/>
              </w:rPr>
              <w:t>$602,220</w:t>
            </w:r>
          </w:p>
        </w:tc>
        <w:tc>
          <w:tcPr>
            <w:tcW w:w="16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$732,901</w:t>
            </w:r>
          </w:p>
        </w:tc>
        <w:tc>
          <w:tcPr>
            <w:tcW w:w="14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$761,706</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$759,678</w:t>
            </w: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11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1,757</w:t>
            </w:r>
          </w:p>
        </w:tc>
        <w:tc>
          <w:tcPr>
            <w:tcW w:w="16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2,887 (c)</w:t>
            </w:r>
          </w:p>
        </w:tc>
        <w:tc>
          <w:tcPr>
            <w:tcW w:w="14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25,634</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23,615</w:t>
            </w: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1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(1,749)</w:t>
            </w:r>
          </w:p>
        </w:tc>
        <w:tc>
          <w:tcPr>
            <w:tcW w:w="1600" w:type="dxa"/>
            <w:vAlign w:val="bottom"/>
          </w:tcPr>
          <w:p>
            <w:pPr>
              <w:ind w:left="500"/>
              <w:spacing w:after="0"/>
              <w:rPr>
                <w:sz w:val="20"/>
                <w:szCs w:val="20"/>
                <w:color w:val="auto"/>
              </w:rPr>
            </w:pPr>
            <w:r>
              <w:rPr>
                <w:rFonts w:ascii="Courier New" w:cs="Courier New" w:eastAsia="Courier New" w:hAnsi="Courier New"/>
                <w:sz w:val="15"/>
                <w:szCs w:val="15"/>
                <w:color w:val="auto"/>
              </w:rPr>
              <w:t>(1,886)(c)</w:t>
            </w:r>
          </w:p>
        </w:tc>
        <w:tc>
          <w:tcPr>
            <w:tcW w:w="14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10,468(d)</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11,968</w:t>
            </w: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Earnings (loss) per share</w:t>
            </w:r>
          </w:p>
        </w:tc>
        <w:tc>
          <w:tcPr>
            <w:tcW w:w="11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(.06)</w:t>
            </w:r>
          </w:p>
        </w:tc>
        <w:tc>
          <w:tcPr>
            <w:tcW w:w="16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(.07)(c)</w:t>
            </w:r>
          </w:p>
        </w:tc>
        <w:tc>
          <w:tcPr>
            <w:tcW w:w="14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.37(d)</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.43</w:t>
            </w:r>
          </w:p>
        </w:tc>
      </w:tr>
    </w:tbl>
    <w:p>
      <w:pPr>
        <w:spacing w:after="0" w:line="345" w:lineRule="exact"/>
        <w:rPr>
          <w:sz w:val="20"/>
          <w:szCs w:val="20"/>
          <w:color w:val="auto"/>
        </w:rPr>
      </w:pPr>
    </w:p>
    <w:p>
      <w:pPr>
        <w:ind w:left="9" w:right="3659" w:hanging="9"/>
        <w:spacing w:after="0" w:line="238" w:lineRule="auto"/>
        <w:tabs>
          <w:tab w:leader="none" w:pos="364"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Includes an extraordinary item of $4.1 million after taxes ($.14 per share) to write-off intrastate operating rights.</w:t>
      </w:r>
    </w:p>
    <w:p>
      <w:pPr>
        <w:spacing w:after="0" w:line="4" w:lineRule="exact"/>
        <w:rPr>
          <w:rFonts w:ascii="Courier New" w:cs="Courier New" w:eastAsia="Courier New" w:hAnsi="Courier New"/>
          <w:sz w:val="15"/>
          <w:szCs w:val="15"/>
          <w:color w:val="auto"/>
        </w:rPr>
      </w:pPr>
    </w:p>
    <w:p>
      <w:pPr>
        <w:ind w:left="9" w:right="3919" w:hanging="9"/>
        <w:spacing w:after="0" w:line="238" w:lineRule="auto"/>
        <w:tabs>
          <w:tab w:leader="none" w:pos="364"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- 1993 amounts include the operating results of Preston Corporation effective March 1, 1993.</w:t>
      </w:r>
    </w:p>
    <w:p>
      <w:pPr>
        <w:spacing w:after="0" w:line="4" w:lineRule="exact"/>
        <w:rPr>
          <w:rFonts w:ascii="Courier New" w:cs="Courier New" w:eastAsia="Courier New" w:hAnsi="Courier New"/>
          <w:sz w:val="15"/>
          <w:szCs w:val="15"/>
          <w:color w:val="auto"/>
        </w:rPr>
      </w:pPr>
    </w:p>
    <w:p>
      <w:pPr>
        <w:ind w:left="9" w:right="3219" w:hanging="9"/>
        <w:spacing w:after="0" w:line="238" w:lineRule="auto"/>
        <w:tabs>
          <w:tab w:leader="none" w:pos="364"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Includes network development charge of $18.0 million, $11.2 million after taxes ($.40 per share).</w:t>
      </w:r>
    </w:p>
    <w:p>
      <w:pPr>
        <w:spacing w:after="0" w:line="4" w:lineRule="exact"/>
        <w:rPr>
          <w:rFonts w:ascii="Courier New" w:cs="Courier New" w:eastAsia="Courier New" w:hAnsi="Courier New"/>
          <w:sz w:val="15"/>
          <w:szCs w:val="15"/>
          <w:color w:val="auto"/>
        </w:rPr>
      </w:pPr>
    </w:p>
    <w:p>
      <w:pPr>
        <w:ind w:left="9" w:right="3219" w:hanging="9"/>
        <w:spacing w:after="0" w:line="238" w:lineRule="auto"/>
        <w:tabs>
          <w:tab w:leader="none" w:pos="364"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Includes charge for the tax rate change of $1.6 million after taxes ($.06 per share).</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COMMON STOCK</w:t>
      </w:r>
    </w:p>
    <w:p>
      <w:pPr>
        <w:spacing w:after="0" w:line="174" w:lineRule="exact"/>
        <w:rPr>
          <w:sz w:val="20"/>
          <w:szCs w:val="20"/>
          <w:color w:val="auto"/>
        </w:rPr>
      </w:pPr>
    </w:p>
    <w:p>
      <w:pPr>
        <w:ind w:left="9" w:right="3219" w:firstLine="799"/>
        <w:spacing w:after="0" w:line="260" w:lineRule="auto"/>
        <w:rPr>
          <w:sz w:val="20"/>
          <w:szCs w:val="20"/>
          <w:color w:val="auto"/>
        </w:rPr>
      </w:pPr>
      <w:r>
        <w:rPr>
          <w:rFonts w:ascii="Courier New" w:cs="Courier New" w:eastAsia="Courier New" w:hAnsi="Courier New"/>
          <w:sz w:val="14"/>
          <w:szCs w:val="14"/>
          <w:color w:val="auto"/>
        </w:rPr>
        <w:t>Yellow Corporation's stock is held by approximately 3,400 shareholders of record. The company's only class of stock outstanding is common stock, traded in over-the-counter markets. Trading activity averaged about 218,000 shares per day during the year, up from 168,000 shares per day in 1993. Prices are quoted by the National Association of Securities Dealers Automatic Quotation System National Market (NASDAQ-NMS) under the symbol YELL.</w:t>
      </w:r>
    </w:p>
    <w:p>
      <w:pPr>
        <w:spacing w:after="0" w:line="200" w:lineRule="exact"/>
        <w:rPr>
          <w:sz w:val="20"/>
          <w:szCs w:val="20"/>
          <w:color w:val="auto"/>
        </w:rPr>
      </w:pPr>
    </w:p>
    <w:p>
      <w:pPr>
        <w:spacing w:after="0" w:line="302"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1320" w:type="dxa"/>
            <w:vAlign w:val="bottom"/>
          </w:tcPr>
          <w:p>
            <w:pPr>
              <w:spacing w:after="0"/>
              <w:rPr>
                <w:sz w:val="20"/>
                <w:szCs w:val="20"/>
                <w:color w:val="auto"/>
              </w:rPr>
            </w:pPr>
            <w:r>
              <w:rPr>
                <w:rFonts w:ascii="Courier New" w:cs="Courier New" w:eastAsia="Courier New" w:hAnsi="Courier New"/>
                <w:sz w:val="15"/>
                <w:szCs w:val="15"/>
                <w:color w:val="auto"/>
              </w:rPr>
              <w:t>Quarter Ended</w:t>
            </w: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1"/>
        </w:trPr>
        <w:tc>
          <w:tcPr>
            <w:tcW w:w="1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Dividends</w:t>
            </w:r>
          </w:p>
        </w:tc>
        <w:tc>
          <w:tcPr>
            <w:tcW w:w="14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Dividends</w:t>
            </w:r>
          </w:p>
        </w:tc>
      </w:tr>
      <w:tr>
        <w:trPr>
          <w:trHeight w:val="171"/>
        </w:trPr>
        <w:tc>
          <w:tcPr>
            <w:tcW w:w="1320" w:type="dxa"/>
            <w:vAlign w:val="bottom"/>
          </w:tcPr>
          <w:p>
            <w:pPr>
              <w:spacing w:after="0"/>
              <w:rPr>
                <w:sz w:val="20"/>
                <w:szCs w:val="20"/>
                <w:color w:val="auto"/>
              </w:rPr>
            </w:pPr>
            <w:r>
              <w:rPr>
                <w:rFonts w:ascii="Courier New" w:cs="Courier New" w:eastAsia="Courier New" w:hAnsi="Courier New"/>
                <w:sz w:val="15"/>
                <w:szCs w:val="15"/>
                <w:color w:val="auto"/>
              </w:rPr>
              <w:t>1994</w:t>
            </w:r>
          </w:p>
        </w:tc>
        <w:tc>
          <w:tcPr>
            <w:tcW w:w="940" w:type="dxa"/>
            <w:vAlign w:val="bottom"/>
          </w:tcPr>
          <w:p>
            <w:pPr>
              <w:ind w:left="180"/>
              <w:spacing w:after="0"/>
              <w:rPr>
                <w:sz w:val="20"/>
                <w:szCs w:val="20"/>
                <w:color w:val="auto"/>
              </w:rPr>
            </w:pPr>
            <w:r>
              <w:rPr>
                <w:rFonts w:ascii="Courier New" w:cs="Courier New" w:eastAsia="Courier New" w:hAnsi="Courier New"/>
                <w:sz w:val="15"/>
                <w:szCs w:val="15"/>
                <w:color w:val="auto"/>
              </w:rPr>
              <w:t>High</w:t>
            </w:r>
          </w:p>
        </w:tc>
        <w:tc>
          <w:tcPr>
            <w:tcW w:w="880" w:type="dxa"/>
            <w:vAlign w:val="bottom"/>
          </w:tcPr>
          <w:p>
            <w:pPr>
              <w:ind w:left="300"/>
              <w:spacing w:after="0"/>
              <w:rPr>
                <w:sz w:val="20"/>
                <w:szCs w:val="20"/>
                <w:color w:val="auto"/>
              </w:rPr>
            </w:pPr>
            <w:r>
              <w:rPr>
                <w:rFonts w:ascii="Courier New" w:cs="Courier New" w:eastAsia="Courier New" w:hAnsi="Courier New"/>
                <w:sz w:val="15"/>
                <w:szCs w:val="15"/>
                <w:color w:val="auto"/>
              </w:rPr>
              <w:t>Low</w:t>
            </w:r>
          </w:p>
        </w:tc>
        <w:tc>
          <w:tcPr>
            <w:tcW w:w="10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Per Share</w:t>
            </w:r>
          </w:p>
        </w:tc>
        <w:tc>
          <w:tcPr>
            <w:tcW w:w="1480" w:type="dxa"/>
            <w:vAlign w:val="bottom"/>
          </w:tcPr>
          <w:p>
            <w:pPr>
              <w:ind w:left="320"/>
              <w:spacing w:after="0"/>
              <w:rPr>
                <w:sz w:val="20"/>
                <w:szCs w:val="20"/>
                <w:color w:val="auto"/>
              </w:rPr>
            </w:pPr>
            <w:r>
              <w:rPr>
                <w:rFonts w:ascii="Courier New" w:cs="Courier New" w:eastAsia="Courier New" w:hAnsi="Courier New"/>
                <w:sz w:val="15"/>
                <w:szCs w:val="15"/>
                <w:color w:val="auto"/>
              </w:rPr>
              <w:t>1993</w:t>
            </w:r>
          </w:p>
        </w:tc>
        <w:tc>
          <w:tcPr>
            <w:tcW w:w="1280" w:type="dxa"/>
            <w:vAlign w:val="bottom"/>
          </w:tcPr>
          <w:p>
            <w:pPr>
              <w:ind w:left="260"/>
              <w:spacing w:after="0"/>
              <w:rPr>
                <w:sz w:val="20"/>
                <w:szCs w:val="20"/>
                <w:color w:val="auto"/>
              </w:rPr>
            </w:pPr>
            <w:r>
              <w:rPr>
                <w:rFonts w:ascii="Courier New" w:cs="Courier New" w:eastAsia="Courier New" w:hAnsi="Courier New"/>
                <w:sz w:val="15"/>
                <w:szCs w:val="15"/>
                <w:color w:val="auto"/>
              </w:rPr>
              <w:t>High</w:t>
            </w:r>
          </w:p>
        </w:tc>
        <w:tc>
          <w:tcPr>
            <w:tcW w:w="1160" w:type="dxa"/>
            <w:vAlign w:val="bottom"/>
          </w:tcPr>
          <w:p>
            <w:pPr>
              <w:ind w:left="480"/>
              <w:spacing w:after="0"/>
              <w:rPr>
                <w:sz w:val="20"/>
                <w:szCs w:val="20"/>
                <w:color w:val="auto"/>
              </w:rPr>
            </w:pPr>
            <w:r>
              <w:rPr>
                <w:rFonts w:ascii="Courier New" w:cs="Courier New" w:eastAsia="Courier New" w:hAnsi="Courier New"/>
                <w:sz w:val="15"/>
                <w:szCs w:val="15"/>
                <w:color w:val="auto"/>
              </w:rPr>
              <w:t>Low</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Per Share</w:t>
            </w:r>
          </w:p>
        </w:tc>
      </w:tr>
      <w:tr>
        <w:trPr>
          <w:trHeight w:val="341"/>
        </w:trPr>
        <w:tc>
          <w:tcPr>
            <w:tcW w:w="1320" w:type="dxa"/>
            <w:vAlign w:val="bottom"/>
          </w:tcPr>
          <w:p>
            <w:pPr>
              <w:spacing w:after="0"/>
              <w:rPr>
                <w:sz w:val="20"/>
                <w:szCs w:val="20"/>
                <w:color w:val="auto"/>
              </w:rPr>
            </w:pPr>
            <w:r>
              <w:rPr>
                <w:rFonts w:ascii="Courier New" w:cs="Courier New" w:eastAsia="Courier New" w:hAnsi="Courier New"/>
                <w:sz w:val="15"/>
                <w:szCs w:val="15"/>
                <w:color w:val="auto"/>
              </w:rPr>
              <w:t>March 31</w:t>
            </w:r>
          </w:p>
        </w:tc>
        <w:tc>
          <w:tcPr>
            <w:tcW w:w="940" w:type="dxa"/>
            <w:vAlign w:val="bottom"/>
          </w:tcPr>
          <w:p>
            <w:pPr>
              <w:ind w:left="180"/>
              <w:spacing w:after="0"/>
              <w:rPr>
                <w:sz w:val="20"/>
                <w:szCs w:val="20"/>
                <w:color w:val="auto"/>
              </w:rPr>
            </w:pPr>
            <w:r>
              <w:rPr>
                <w:rFonts w:ascii="Courier New" w:cs="Courier New" w:eastAsia="Courier New" w:hAnsi="Courier New"/>
                <w:sz w:val="15"/>
                <w:szCs w:val="15"/>
                <w:color w:val="auto"/>
              </w:rPr>
              <w:t>30-1/4</w:t>
            </w:r>
          </w:p>
        </w:tc>
        <w:tc>
          <w:tcPr>
            <w:tcW w:w="880" w:type="dxa"/>
            <w:vAlign w:val="bottom"/>
          </w:tcPr>
          <w:p>
            <w:pPr>
              <w:ind w:left="220"/>
              <w:spacing w:after="0"/>
              <w:rPr>
                <w:sz w:val="20"/>
                <w:szCs w:val="20"/>
                <w:color w:val="auto"/>
              </w:rPr>
            </w:pPr>
            <w:r>
              <w:rPr>
                <w:rFonts w:ascii="Courier New" w:cs="Courier New" w:eastAsia="Courier New" w:hAnsi="Courier New"/>
                <w:sz w:val="15"/>
                <w:szCs w:val="15"/>
                <w:color w:val="auto"/>
              </w:rPr>
              <w:t>23-1/2</w:t>
            </w:r>
          </w:p>
        </w:tc>
        <w:tc>
          <w:tcPr>
            <w:tcW w:w="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.235</w:t>
            </w:r>
          </w:p>
        </w:tc>
        <w:tc>
          <w:tcPr>
            <w:tcW w:w="1480" w:type="dxa"/>
            <w:vAlign w:val="bottom"/>
          </w:tcPr>
          <w:p>
            <w:pPr>
              <w:ind w:left="140"/>
              <w:spacing w:after="0"/>
              <w:rPr>
                <w:sz w:val="20"/>
                <w:szCs w:val="20"/>
                <w:color w:val="auto"/>
              </w:rPr>
            </w:pPr>
            <w:r>
              <w:rPr>
                <w:rFonts w:ascii="Courier New" w:cs="Courier New" w:eastAsia="Courier New" w:hAnsi="Courier New"/>
                <w:sz w:val="15"/>
                <w:szCs w:val="15"/>
                <w:color w:val="auto"/>
              </w:rPr>
              <w:t>March 31</w:t>
            </w:r>
          </w:p>
        </w:tc>
        <w:tc>
          <w:tcPr>
            <w:tcW w:w="1280" w:type="dxa"/>
            <w:vAlign w:val="bottom"/>
          </w:tcPr>
          <w:p>
            <w:pPr>
              <w:ind w:left="260"/>
              <w:spacing w:after="0"/>
              <w:rPr>
                <w:sz w:val="20"/>
                <w:szCs w:val="20"/>
                <w:color w:val="auto"/>
              </w:rPr>
            </w:pPr>
            <w:r>
              <w:rPr>
                <w:rFonts w:ascii="Courier New" w:cs="Courier New" w:eastAsia="Courier New" w:hAnsi="Courier New"/>
                <w:sz w:val="15"/>
                <w:szCs w:val="15"/>
                <w:color w:val="auto"/>
              </w:rPr>
              <w:t>29-7/8</w:t>
            </w:r>
          </w:p>
        </w:tc>
        <w:tc>
          <w:tcPr>
            <w:tcW w:w="1160" w:type="dxa"/>
            <w:vAlign w:val="bottom"/>
          </w:tcPr>
          <w:p>
            <w:pPr>
              <w:ind w:left="480"/>
              <w:spacing w:after="0"/>
              <w:rPr>
                <w:sz w:val="20"/>
                <w:szCs w:val="20"/>
                <w:color w:val="auto"/>
              </w:rPr>
            </w:pPr>
            <w:r>
              <w:rPr>
                <w:rFonts w:ascii="Courier New" w:cs="Courier New" w:eastAsia="Courier New" w:hAnsi="Courier New"/>
                <w:sz w:val="15"/>
                <w:szCs w:val="15"/>
                <w:color w:val="auto"/>
              </w:rPr>
              <w:t>22-1/4</w:t>
            </w:r>
          </w:p>
        </w:tc>
        <w:tc>
          <w:tcPr>
            <w:tcW w:w="9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$.235</w:t>
            </w:r>
          </w:p>
        </w:tc>
      </w:tr>
      <w:tr>
        <w:trPr>
          <w:trHeight w:val="171"/>
        </w:trPr>
        <w:tc>
          <w:tcPr>
            <w:tcW w:w="1320" w:type="dxa"/>
            <w:vAlign w:val="bottom"/>
          </w:tcPr>
          <w:p>
            <w:pPr>
              <w:spacing w:after="0"/>
              <w:rPr>
                <w:sz w:val="20"/>
                <w:szCs w:val="20"/>
                <w:color w:val="auto"/>
              </w:rPr>
            </w:pPr>
            <w:r>
              <w:rPr>
                <w:rFonts w:ascii="Courier New" w:cs="Courier New" w:eastAsia="Courier New" w:hAnsi="Courier New"/>
                <w:sz w:val="15"/>
                <w:szCs w:val="15"/>
                <w:color w:val="auto"/>
              </w:rPr>
              <w:t>June 30</w:t>
            </w:r>
          </w:p>
        </w:tc>
        <w:tc>
          <w:tcPr>
            <w:tcW w:w="940" w:type="dxa"/>
            <w:vAlign w:val="bottom"/>
          </w:tcPr>
          <w:p>
            <w:pPr>
              <w:ind w:left="180"/>
              <w:spacing w:after="0"/>
              <w:rPr>
                <w:sz w:val="20"/>
                <w:szCs w:val="20"/>
                <w:color w:val="auto"/>
              </w:rPr>
            </w:pPr>
            <w:r>
              <w:rPr>
                <w:rFonts w:ascii="Courier New" w:cs="Courier New" w:eastAsia="Courier New" w:hAnsi="Courier New"/>
                <w:sz w:val="15"/>
                <w:szCs w:val="15"/>
                <w:color w:val="auto"/>
              </w:rPr>
              <w:t>24-1/8</w:t>
            </w:r>
          </w:p>
        </w:tc>
        <w:tc>
          <w:tcPr>
            <w:tcW w:w="880" w:type="dxa"/>
            <w:vAlign w:val="bottom"/>
          </w:tcPr>
          <w:p>
            <w:pPr>
              <w:ind w:left="220"/>
              <w:spacing w:after="0"/>
              <w:rPr>
                <w:sz w:val="20"/>
                <w:szCs w:val="20"/>
                <w:color w:val="auto"/>
              </w:rPr>
            </w:pPr>
            <w:r>
              <w:rPr>
                <w:rFonts w:ascii="Courier New" w:cs="Courier New" w:eastAsia="Courier New" w:hAnsi="Courier New"/>
                <w:sz w:val="15"/>
                <w:szCs w:val="15"/>
                <w:color w:val="auto"/>
              </w:rPr>
              <w:t>16-3/4</w:t>
            </w:r>
          </w:p>
        </w:tc>
        <w:tc>
          <w:tcPr>
            <w:tcW w:w="320" w:type="dxa"/>
            <w:vAlign w:val="bottom"/>
          </w:tcPr>
          <w:p>
            <w:pPr>
              <w:spacing w:after="0"/>
              <w:rPr>
                <w:sz w:val="14"/>
                <w:szCs w:val="14"/>
                <w:color w:val="auto"/>
              </w:rPr>
            </w:pPr>
          </w:p>
        </w:tc>
        <w:tc>
          <w:tcPr>
            <w:tcW w:w="7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.235</w:t>
            </w:r>
          </w:p>
        </w:tc>
        <w:tc>
          <w:tcPr>
            <w:tcW w:w="1480" w:type="dxa"/>
            <w:vAlign w:val="bottom"/>
          </w:tcPr>
          <w:p>
            <w:pPr>
              <w:ind w:left="140"/>
              <w:spacing w:after="0"/>
              <w:rPr>
                <w:sz w:val="20"/>
                <w:szCs w:val="20"/>
                <w:color w:val="auto"/>
              </w:rPr>
            </w:pPr>
            <w:r>
              <w:rPr>
                <w:rFonts w:ascii="Courier New" w:cs="Courier New" w:eastAsia="Courier New" w:hAnsi="Courier New"/>
                <w:sz w:val="15"/>
                <w:szCs w:val="15"/>
                <w:color w:val="auto"/>
              </w:rPr>
              <w:t>June 30</w:t>
            </w:r>
          </w:p>
        </w:tc>
        <w:tc>
          <w:tcPr>
            <w:tcW w:w="1280" w:type="dxa"/>
            <w:vAlign w:val="bottom"/>
          </w:tcPr>
          <w:p>
            <w:pPr>
              <w:ind w:left="260"/>
              <w:spacing w:after="0"/>
              <w:rPr>
                <w:sz w:val="20"/>
                <w:szCs w:val="20"/>
                <w:color w:val="auto"/>
              </w:rPr>
            </w:pPr>
            <w:r>
              <w:rPr>
                <w:rFonts w:ascii="Courier New" w:cs="Courier New" w:eastAsia="Courier New" w:hAnsi="Courier New"/>
                <w:sz w:val="15"/>
                <w:szCs w:val="15"/>
                <w:color w:val="auto"/>
              </w:rPr>
              <w:t>24-1/4</w:t>
            </w:r>
          </w:p>
        </w:tc>
        <w:tc>
          <w:tcPr>
            <w:tcW w:w="1160" w:type="dxa"/>
            <w:vAlign w:val="bottom"/>
          </w:tcPr>
          <w:p>
            <w:pPr>
              <w:ind w:left="480"/>
              <w:spacing w:after="0"/>
              <w:rPr>
                <w:sz w:val="20"/>
                <w:szCs w:val="20"/>
                <w:color w:val="auto"/>
              </w:rPr>
            </w:pPr>
            <w:r>
              <w:rPr>
                <w:rFonts w:ascii="Courier New" w:cs="Courier New" w:eastAsia="Courier New" w:hAnsi="Courier New"/>
                <w:sz w:val="15"/>
                <w:szCs w:val="15"/>
                <w:color w:val="auto"/>
              </w:rPr>
              <w:t>16-7/8</w:t>
            </w:r>
          </w:p>
        </w:tc>
        <w:tc>
          <w:tcPr>
            <w:tcW w:w="9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.235</w:t>
            </w:r>
          </w:p>
        </w:tc>
      </w:tr>
      <w:tr>
        <w:trPr>
          <w:trHeight w:val="171"/>
        </w:trPr>
        <w:tc>
          <w:tcPr>
            <w:tcW w:w="1320" w:type="dxa"/>
            <w:vAlign w:val="bottom"/>
          </w:tcPr>
          <w:p>
            <w:pPr>
              <w:spacing w:after="0"/>
              <w:rPr>
                <w:sz w:val="20"/>
                <w:szCs w:val="20"/>
                <w:color w:val="auto"/>
              </w:rPr>
            </w:pPr>
            <w:r>
              <w:rPr>
                <w:rFonts w:ascii="Courier New" w:cs="Courier New" w:eastAsia="Courier New" w:hAnsi="Courier New"/>
                <w:sz w:val="15"/>
                <w:szCs w:val="15"/>
                <w:color w:val="auto"/>
              </w:rPr>
              <w:t>September 30</w:t>
            </w:r>
          </w:p>
        </w:tc>
        <w:tc>
          <w:tcPr>
            <w:tcW w:w="940" w:type="dxa"/>
            <w:vAlign w:val="bottom"/>
          </w:tcPr>
          <w:p>
            <w:pPr>
              <w:ind w:left="180"/>
              <w:spacing w:after="0"/>
              <w:rPr>
                <w:sz w:val="20"/>
                <w:szCs w:val="20"/>
                <w:color w:val="auto"/>
              </w:rPr>
            </w:pPr>
            <w:r>
              <w:rPr>
                <w:rFonts w:ascii="Courier New" w:cs="Courier New" w:eastAsia="Courier New" w:hAnsi="Courier New"/>
                <w:sz w:val="15"/>
                <w:szCs w:val="15"/>
                <w:color w:val="auto"/>
              </w:rPr>
              <w:t>21-5/8</w:t>
            </w:r>
          </w:p>
        </w:tc>
        <w:tc>
          <w:tcPr>
            <w:tcW w:w="880" w:type="dxa"/>
            <w:vAlign w:val="bottom"/>
          </w:tcPr>
          <w:p>
            <w:pPr>
              <w:ind w:left="220"/>
              <w:spacing w:after="0"/>
              <w:rPr>
                <w:sz w:val="20"/>
                <w:szCs w:val="20"/>
                <w:color w:val="auto"/>
              </w:rPr>
            </w:pPr>
            <w:r>
              <w:rPr>
                <w:rFonts w:ascii="Courier New" w:cs="Courier New" w:eastAsia="Courier New" w:hAnsi="Courier New"/>
                <w:sz w:val="15"/>
                <w:szCs w:val="15"/>
                <w:color w:val="auto"/>
              </w:rPr>
              <w:t>17</w:t>
            </w:r>
          </w:p>
        </w:tc>
        <w:tc>
          <w:tcPr>
            <w:tcW w:w="320" w:type="dxa"/>
            <w:vAlign w:val="bottom"/>
          </w:tcPr>
          <w:p>
            <w:pPr>
              <w:spacing w:after="0"/>
              <w:rPr>
                <w:sz w:val="14"/>
                <w:szCs w:val="14"/>
                <w:color w:val="auto"/>
              </w:rPr>
            </w:pPr>
          </w:p>
        </w:tc>
        <w:tc>
          <w:tcPr>
            <w:tcW w:w="7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.235</w:t>
            </w:r>
          </w:p>
        </w:tc>
        <w:tc>
          <w:tcPr>
            <w:tcW w:w="1480" w:type="dxa"/>
            <w:vAlign w:val="bottom"/>
          </w:tcPr>
          <w:p>
            <w:pPr>
              <w:ind w:left="140"/>
              <w:spacing w:after="0"/>
              <w:rPr>
                <w:sz w:val="20"/>
                <w:szCs w:val="20"/>
                <w:color w:val="auto"/>
              </w:rPr>
            </w:pPr>
            <w:r>
              <w:rPr>
                <w:rFonts w:ascii="Courier New" w:cs="Courier New" w:eastAsia="Courier New" w:hAnsi="Courier New"/>
                <w:sz w:val="15"/>
                <w:szCs w:val="15"/>
                <w:color w:val="auto"/>
              </w:rPr>
              <w:t>September 30</w:t>
            </w:r>
          </w:p>
        </w:tc>
        <w:tc>
          <w:tcPr>
            <w:tcW w:w="1280" w:type="dxa"/>
            <w:vAlign w:val="bottom"/>
          </w:tcPr>
          <w:p>
            <w:pPr>
              <w:ind w:left="260"/>
              <w:spacing w:after="0"/>
              <w:rPr>
                <w:sz w:val="20"/>
                <w:szCs w:val="20"/>
                <w:color w:val="auto"/>
              </w:rPr>
            </w:pPr>
            <w:r>
              <w:rPr>
                <w:rFonts w:ascii="Courier New" w:cs="Courier New" w:eastAsia="Courier New" w:hAnsi="Courier New"/>
                <w:sz w:val="15"/>
                <w:szCs w:val="15"/>
                <w:color w:val="auto"/>
              </w:rPr>
              <w:t>24-7/8</w:t>
            </w:r>
          </w:p>
        </w:tc>
        <w:tc>
          <w:tcPr>
            <w:tcW w:w="1160" w:type="dxa"/>
            <w:vAlign w:val="bottom"/>
          </w:tcPr>
          <w:p>
            <w:pPr>
              <w:ind w:left="480"/>
              <w:spacing w:after="0"/>
              <w:rPr>
                <w:sz w:val="20"/>
                <w:szCs w:val="20"/>
                <w:color w:val="auto"/>
              </w:rPr>
            </w:pPr>
            <w:r>
              <w:rPr>
                <w:rFonts w:ascii="Courier New" w:cs="Courier New" w:eastAsia="Courier New" w:hAnsi="Courier New"/>
                <w:sz w:val="15"/>
                <w:szCs w:val="15"/>
                <w:color w:val="auto"/>
              </w:rPr>
              <w:t>17-1/8</w:t>
            </w:r>
          </w:p>
        </w:tc>
        <w:tc>
          <w:tcPr>
            <w:tcW w:w="9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.235</w:t>
            </w:r>
          </w:p>
        </w:tc>
      </w:tr>
      <w:tr>
        <w:trPr>
          <w:trHeight w:val="171"/>
        </w:trPr>
        <w:tc>
          <w:tcPr>
            <w:tcW w:w="1320" w:type="dxa"/>
            <w:vAlign w:val="bottom"/>
          </w:tcPr>
          <w:p>
            <w:pPr>
              <w:spacing w:after="0"/>
              <w:rPr>
                <w:sz w:val="20"/>
                <w:szCs w:val="20"/>
                <w:color w:val="auto"/>
              </w:rPr>
            </w:pPr>
            <w:r>
              <w:rPr>
                <w:rFonts w:ascii="Courier New" w:cs="Courier New" w:eastAsia="Courier New" w:hAnsi="Courier New"/>
                <w:sz w:val="15"/>
                <w:szCs w:val="15"/>
                <w:color w:val="auto"/>
              </w:rPr>
              <w:t>December 31</w:t>
            </w:r>
          </w:p>
        </w:tc>
        <w:tc>
          <w:tcPr>
            <w:tcW w:w="940" w:type="dxa"/>
            <w:vAlign w:val="bottom"/>
          </w:tcPr>
          <w:p>
            <w:pPr>
              <w:ind w:left="180"/>
              <w:spacing w:after="0"/>
              <w:rPr>
                <w:sz w:val="20"/>
                <w:szCs w:val="20"/>
                <w:color w:val="auto"/>
              </w:rPr>
            </w:pPr>
            <w:r>
              <w:rPr>
                <w:rFonts w:ascii="Courier New" w:cs="Courier New" w:eastAsia="Courier New" w:hAnsi="Courier New"/>
                <w:sz w:val="15"/>
                <w:szCs w:val="15"/>
                <w:color w:val="auto"/>
              </w:rPr>
              <w:t>24-1/4</w:t>
            </w:r>
          </w:p>
        </w:tc>
        <w:tc>
          <w:tcPr>
            <w:tcW w:w="880" w:type="dxa"/>
            <w:vAlign w:val="bottom"/>
          </w:tcPr>
          <w:p>
            <w:pPr>
              <w:ind w:left="220"/>
              <w:spacing w:after="0"/>
              <w:rPr>
                <w:sz w:val="20"/>
                <w:szCs w:val="20"/>
                <w:color w:val="auto"/>
              </w:rPr>
            </w:pPr>
            <w:r>
              <w:rPr>
                <w:rFonts w:ascii="Courier New" w:cs="Courier New" w:eastAsia="Courier New" w:hAnsi="Courier New"/>
                <w:sz w:val="15"/>
                <w:szCs w:val="15"/>
                <w:color w:val="auto"/>
              </w:rPr>
              <w:t>18-1/4</w:t>
            </w:r>
          </w:p>
        </w:tc>
        <w:tc>
          <w:tcPr>
            <w:tcW w:w="320" w:type="dxa"/>
            <w:vAlign w:val="bottom"/>
          </w:tcPr>
          <w:p>
            <w:pPr>
              <w:spacing w:after="0"/>
              <w:rPr>
                <w:sz w:val="14"/>
                <w:szCs w:val="14"/>
                <w:color w:val="auto"/>
              </w:rPr>
            </w:pPr>
          </w:p>
        </w:tc>
        <w:tc>
          <w:tcPr>
            <w:tcW w:w="7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.235</w:t>
            </w:r>
          </w:p>
        </w:tc>
        <w:tc>
          <w:tcPr>
            <w:tcW w:w="1480" w:type="dxa"/>
            <w:vAlign w:val="bottom"/>
          </w:tcPr>
          <w:p>
            <w:pPr>
              <w:ind w:left="140"/>
              <w:spacing w:after="0"/>
              <w:rPr>
                <w:sz w:val="20"/>
                <w:szCs w:val="20"/>
                <w:color w:val="auto"/>
              </w:rPr>
            </w:pPr>
            <w:r>
              <w:rPr>
                <w:rFonts w:ascii="Courier New" w:cs="Courier New" w:eastAsia="Courier New" w:hAnsi="Courier New"/>
                <w:sz w:val="15"/>
                <w:szCs w:val="15"/>
                <w:color w:val="auto"/>
              </w:rPr>
              <w:t>December 31</w:t>
            </w:r>
          </w:p>
        </w:tc>
        <w:tc>
          <w:tcPr>
            <w:tcW w:w="1280" w:type="dxa"/>
            <w:vAlign w:val="bottom"/>
          </w:tcPr>
          <w:p>
            <w:pPr>
              <w:ind w:left="260"/>
              <w:spacing w:after="0"/>
              <w:rPr>
                <w:sz w:val="20"/>
                <w:szCs w:val="20"/>
                <w:color w:val="auto"/>
              </w:rPr>
            </w:pPr>
            <w:r>
              <w:rPr>
                <w:rFonts w:ascii="Courier New" w:cs="Courier New" w:eastAsia="Courier New" w:hAnsi="Courier New"/>
                <w:sz w:val="15"/>
                <w:szCs w:val="15"/>
                <w:color w:val="auto"/>
              </w:rPr>
              <w:t>25-7/8</w:t>
            </w:r>
          </w:p>
        </w:tc>
        <w:tc>
          <w:tcPr>
            <w:tcW w:w="1160" w:type="dxa"/>
            <w:vAlign w:val="bottom"/>
          </w:tcPr>
          <w:p>
            <w:pPr>
              <w:ind w:left="480"/>
              <w:spacing w:after="0"/>
              <w:rPr>
                <w:sz w:val="20"/>
                <w:szCs w:val="20"/>
                <w:color w:val="auto"/>
              </w:rPr>
            </w:pPr>
            <w:r>
              <w:rPr>
                <w:rFonts w:ascii="Courier New" w:cs="Courier New" w:eastAsia="Courier New" w:hAnsi="Courier New"/>
                <w:sz w:val="15"/>
                <w:szCs w:val="15"/>
                <w:color w:val="auto"/>
              </w:rPr>
              <w:t>22-3/8</w:t>
            </w:r>
          </w:p>
        </w:tc>
        <w:tc>
          <w:tcPr>
            <w:tcW w:w="9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.235</w:t>
            </w:r>
          </w:p>
        </w:tc>
      </w:tr>
      <w:tr>
        <w:trPr>
          <w:trHeight w:val="171"/>
        </w:trPr>
        <w:tc>
          <w:tcPr>
            <w:tcW w:w="1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.940</w:t>
            </w:r>
          </w:p>
        </w:tc>
        <w:tc>
          <w:tcPr>
            <w:tcW w:w="14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$.940</w:t>
            </w:r>
          </w:p>
        </w:tc>
      </w:tr>
    </w:tbl>
    <w:p>
      <w:pPr>
        <w:sectPr>
          <w:pgSz w:w="11900" w:h="16838" w:orient="portrait"/>
          <w:cols w:equalWidth="0" w:num="1">
            <w:col w:w="10228"/>
          </w:cols>
          <w:pgMar w:left="231" w:top="287" w:right="1440" w:bottom="1440" w:gutter="0" w:footer="0" w:header="0"/>
        </w:sectPr>
      </w:pPr>
    </w:p>
    <w:bookmarkStart w:id="47" w:name="page48"/>
    <w:bookmarkEnd w:id="47"/>
    <w:p>
      <w:pPr>
        <w:ind w:left="260"/>
        <w:spacing w:after="0"/>
        <w:rPr>
          <w:sz w:val="20"/>
          <w:szCs w:val="20"/>
          <w:color w:val="auto"/>
        </w:rPr>
      </w:pPr>
      <w:r>
        <w:rPr>
          <w:rFonts w:ascii="Courier New" w:cs="Courier New" w:eastAsia="Courier New" w:hAnsi="Courier New"/>
          <w:sz w:val="15"/>
          <w:szCs w:val="15"/>
          <w:color w:val="auto"/>
        </w:rPr>
        <w:t>33</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SENIOR OFFICERS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YELLOW CORPORATION</w:t>
      </w:r>
    </w:p>
    <w:p>
      <w:pPr>
        <w:spacing w:after="0" w:line="17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George E. Powell III</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President and Chief Executive Officer</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Robert W. Burdick</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Senior Vice President - Corporate Development and Public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Affairs</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William F. Martin, Jr.</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Senior Vice President - Legal/Corporate Secretary</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H. A. Trucksess, III</w:t>
      </w:r>
    </w:p>
    <w:p>
      <w:pPr>
        <w:spacing w:after="0" w:line="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Senior Vice President - Finance and Chief Financial Officer</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YELLOW FREIGHT SYSTEM, INC.</w:t>
      </w:r>
    </w:p>
    <w:p>
      <w:pPr>
        <w:spacing w:after="0" w:line="17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M. Reid Armstrong</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President</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Robert L. Bostick</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Senior Vice President - Operations</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J. Kevin Grimsley</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Senior Vice President - Marketing and Sales</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Gail A. Parris</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Senior Vice President - Administration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PRESTON TRUCKING COMPANY, INC.</w:t>
      </w:r>
    </w:p>
    <w:p>
      <w:pPr>
        <w:spacing w:after="0" w:line="17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Leo H. Suggs</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President</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J. Sean Callahan</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Senior Vice President - Finance and Administration</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Gordon S. MacKenzie</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Senior Vice President - Operations and Sales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SAIA MOTOR FREIGHT LINE, INC.</w:t>
      </w:r>
    </w:p>
    <w:p>
      <w:pPr>
        <w:spacing w:after="0" w:line="17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Jimmy D. Crisp</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President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CSI/REEVES, INC.</w:t>
      </w:r>
    </w:p>
    <w:p>
      <w:pPr>
        <w:spacing w:after="0" w:line="17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Thor N. Edman, Jr.</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President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WESTEX, INC.</w:t>
      </w:r>
    </w:p>
    <w:p>
      <w:pPr>
        <w:spacing w:after="0" w:line="17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Frank E. Myers</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President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YELLOW LOGISTICS SERVICES, INC.</w:t>
      </w:r>
    </w:p>
    <w:p>
      <w:pPr>
        <w:spacing w:after="0" w:line="17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Robert G. Olterman</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General Manager</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YELLOW TECHNOLOGY SERVICES, INC.</w:t>
      </w:r>
    </w:p>
    <w:p>
      <w:pPr>
        <w:spacing w:after="0" w:line="17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William F. Martin, Jr.</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President</w:t>
      </w:r>
    </w:p>
    <w:p>
      <w:pPr>
        <w:sectPr>
          <w:pgSz w:w="11900" w:h="16838" w:orient="portrait"/>
          <w:cols w:equalWidth="0" w:num="1">
            <w:col w:w="10219"/>
          </w:cols>
          <w:pgMar w:left="240" w:top="287" w:right="1440" w:bottom="1440" w:gutter="0" w:footer="0" w:header="0"/>
        </w:sectPr>
      </w:pPr>
    </w:p>
    <w:bookmarkStart w:id="48" w:name="page49"/>
    <w:bookmarkEnd w:id="48"/>
    <w:p>
      <w:pPr>
        <w:ind w:left="269"/>
        <w:spacing w:after="0"/>
        <w:rPr>
          <w:sz w:val="20"/>
          <w:szCs w:val="20"/>
          <w:color w:val="auto"/>
        </w:rPr>
      </w:pPr>
      <w:r>
        <w:rPr>
          <w:rFonts w:ascii="Courier New" w:cs="Courier New" w:eastAsia="Courier New" w:hAnsi="Courier New"/>
          <w:sz w:val="15"/>
          <w:szCs w:val="15"/>
          <w:color w:val="auto"/>
        </w:rPr>
        <w:t>34</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BOARD OF DIRECTORS / YELLOW CORPORATION</w:t>
      </w:r>
    </w:p>
    <w:p>
      <w:pPr>
        <w:spacing w:after="0" w:line="171" w:lineRule="exact"/>
        <w:rPr>
          <w:sz w:val="20"/>
          <w:szCs w:val="20"/>
          <w:color w:val="auto"/>
        </w:rPr>
      </w:pPr>
    </w:p>
    <w:p>
      <w:pPr>
        <w:ind w:left="629"/>
        <w:spacing w:after="0"/>
        <w:rPr>
          <w:sz w:val="20"/>
          <w:szCs w:val="20"/>
          <w:color w:val="auto"/>
        </w:rPr>
      </w:pPr>
      <w:r>
        <w:rPr>
          <w:rFonts w:ascii="Courier New" w:cs="Courier New" w:eastAsia="Courier New" w:hAnsi="Courier New"/>
          <w:sz w:val="15"/>
          <w:szCs w:val="15"/>
          <w:color w:val="auto"/>
        </w:rPr>
        <w:t>GEORGE E. POWELL, JR.</w:t>
      </w:r>
    </w:p>
    <w:p>
      <w:pPr>
        <w:spacing w:after="0" w:line="1" w:lineRule="exact"/>
        <w:rPr>
          <w:sz w:val="20"/>
          <w:szCs w:val="20"/>
          <w:color w:val="auto"/>
        </w:rPr>
      </w:pPr>
    </w:p>
    <w:p>
      <w:pPr>
        <w:ind w:left="969"/>
        <w:spacing w:after="0"/>
        <w:rPr>
          <w:sz w:val="20"/>
          <w:szCs w:val="20"/>
          <w:color w:val="auto"/>
        </w:rPr>
      </w:pPr>
      <w:r>
        <w:rPr>
          <w:rFonts w:ascii="Courier New" w:cs="Courier New" w:eastAsia="Courier New" w:hAnsi="Courier New"/>
          <w:sz w:val="15"/>
          <w:szCs w:val="15"/>
          <w:color w:val="auto"/>
        </w:rPr>
        <w:t>Director since 1952</w:t>
      </w:r>
    </w:p>
    <w:p>
      <w:pPr>
        <w:spacing w:after="0" w:line="1" w:lineRule="exact"/>
        <w:rPr>
          <w:sz w:val="20"/>
          <w:szCs w:val="20"/>
          <w:color w:val="auto"/>
        </w:rPr>
      </w:pPr>
    </w:p>
    <w:p>
      <w:pPr>
        <w:ind w:left="969"/>
        <w:spacing w:after="0"/>
        <w:rPr>
          <w:sz w:val="20"/>
          <w:szCs w:val="20"/>
          <w:color w:val="auto"/>
        </w:rPr>
      </w:pPr>
      <w:r>
        <w:rPr>
          <w:rFonts w:ascii="Courier New" w:cs="Courier New" w:eastAsia="Courier New" w:hAnsi="Courier New"/>
          <w:sz w:val="15"/>
          <w:szCs w:val="15"/>
          <w:color w:val="auto"/>
        </w:rPr>
        <w:t>Chairman of the Board of the Company</w:t>
      </w:r>
    </w:p>
    <w:p>
      <w:pPr>
        <w:spacing w:after="0" w:line="171" w:lineRule="exact"/>
        <w:rPr>
          <w:sz w:val="20"/>
          <w:szCs w:val="20"/>
          <w:color w:val="auto"/>
        </w:rPr>
      </w:pPr>
    </w:p>
    <w:p>
      <w:pPr>
        <w:ind w:left="629"/>
        <w:spacing w:after="0"/>
        <w:rPr>
          <w:sz w:val="20"/>
          <w:szCs w:val="20"/>
          <w:color w:val="auto"/>
        </w:rPr>
      </w:pPr>
      <w:r>
        <w:rPr>
          <w:rFonts w:ascii="Courier New" w:cs="Courier New" w:eastAsia="Courier New" w:hAnsi="Courier New"/>
          <w:sz w:val="15"/>
          <w:szCs w:val="15"/>
          <w:color w:val="auto"/>
        </w:rPr>
        <w:t>KLAUS E. AGTHE</w:t>
      </w:r>
    </w:p>
    <w:p>
      <w:pPr>
        <w:spacing w:after="0" w:line="1" w:lineRule="exact"/>
        <w:rPr>
          <w:sz w:val="20"/>
          <w:szCs w:val="20"/>
          <w:color w:val="auto"/>
        </w:rPr>
      </w:pPr>
    </w:p>
    <w:p>
      <w:pPr>
        <w:ind w:left="969"/>
        <w:spacing w:after="0"/>
        <w:rPr>
          <w:sz w:val="20"/>
          <w:szCs w:val="20"/>
          <w:color w:val="auto"/>
        </w:rPr>
      </w:pPr>
      <w:r>
        <w:rPr>
          <w:rFonts w:ascii="Courier New" w:cs="Courier New" w:eastAsia="Courier New" w:hAnsi="Courier New"/>
          <w:sz w:val="15"/>
          <w:szCs w:val="15"/>
          <w:color w:val="auto"/>
        </w:rPr>
        <w:t>Director since 1984</w:t>
      </w:r>
    </w:p>
    <w:p>
      <w:pPr>
        <w:spacing w:after="0" w:line="1" w:lineRule="exact"/>
        <w:rPr>
          <w:sz w:val="20"/>
          <w:szCs w:val="20"/>
          <w:color w:val="auto"/>
        </w:rPr>
      </w:pPr>
    </w:p>
    <w:p>
      <w:pPr>
        <w:ind w:left="969"/>
        <w:spacing w:after="0"/>
        <w:rPr>
          <w:sz w:val="20"/>
          <w:szCs w:val="20"/>
          <w:color w:val="auto"/>
        </w:rPr>
      </w:pPr>
      <w:r>
        <w:rPr>
          <w:rFonts w:ascii="Courier New" w:cs="Courier New" w:eastAsia="Courier New" w:hAnsi="Courier New"/>
          <w:sz w:val="15"/>
          <w:szCs w:val="15"/>
          <w:color w:val="auto"/>
        </w:rPr>
        <w:t>Director, VIAG North America</w:t>
      </w:r>
    </w:p>
    <w:p>
      <w:pPr>
        <w:spacing w:after="0" w:line="171" w:lineRule="exact"/>
        <w:rPr>
          <w:sz w:val="20"/>
          <w:szCs w:val="20"/>
          <w:color w:val="auto"/>
        </w:rPr>
      </w:pPr>
    </w:p>
    <w:p>
      <w:pPr>
        <w:ind w:left="629"/>
        <w:spacing w:after="0"/>
        <w:rPr>
          <w:sz w:val="20"/>
          <w:szCs w:val="20"/>
          <w:color w:val="auto"/>
        </w:rPr>
      </w:pPr>
      <w:r>
        <w:rPr>
          <w:rFonts w:ascii="Courier New" w:cs="Courier New" w:eastAsia="Courier New" w:hAnsi="Courier New"/>
          <w:sz w:val="15"/>
          <w:szCs w:val="15"/>
          <w:color w:val="auto"/>
        </w:rPr>
        <w:t>M. REID ARMSTRONG</w:t>
      </w:r>
    </w:p>
    <w:p>
      <w:pPr>
        <w:spacing w:after="0" w:line="1" w:lineRule="exact"/>
        <w:rPr>
          <w:sz w:val="20"/>
          <w:szCs w:val="20"/>
          <w:color w:val="auto"/>
        </w:rPr>
      </w:pPr>
    </w:p>
    <w:p>
      <w:pPr>
        <w:ind w:left="969"/>
        <w:spacing w:after="0"/>
        <w:rPr>
          <w:sz w:val="20"/>
          <w:szCs w:val="20"/>
          <w:color w:val="auto"/>
        </w:rPr>
      </w:pPr>
      <w:r>
        <w:rPr>
          <w:rFonts w:ascii="Courier New" w:cs="Courier New" w:eastAsia="Courier New" w:hAnsi="Courier New"/>
          <w:sz w:val="15"/>
          <w:szCs w:val="15"/>
          <w:color w:val="auto"/>
        </w:rPr>
        <w:t>Director since 1992</w:t>
      </w:r>
    </w:p>
    <w:p>
      <w:pPr>
        <w:spacing w:after="0" w:line="1" w:lineRule="exact"/>
        <w:rPr>
          <w:sz w:val="20"/>
          <w:szCs w:val="20"/>
          <w:color w:val="auto"/>
        </w:rPr>
      </w:pPr>
    </w:p>
    <w:p>
      <w:pPr>
        <w:ind w:left="969"/>
        <w:spacing w:after="0"/>
        <w:rPr>
          <w:sz w:val="20"/>
          <w:szCs w:val="20"/>
          <w:color w:val="auto"/>
        </w:rPr>
      </w:pPr>
      <w:r>
        <w:rPr>
          <w:rFonts w:ascii="Courier New" w:cs="Courier New" w:eastAsia="Courier New" w:hAnsi="Courier New"/>
          <w:sz w:val="15"/>
          <w:szCs w:val="15"/>
          <w:color w:val="auto"/>
        </w:rPr>
        <w:t>President of Yellow Freight System, Inc.</w:t>
      </w:r>
    </w:p>
    <w:p>
      <w:pPr>
        <w:spacing w:after="0" w:line="171" w:lineRule="exact"/>
        <w:rPr>
          <w:sz w:val="20"/>
          <w:szCs w:val="20"/>
          <w:color w:val="auto"/>
        </w:rPr>
      </w:pPr>
    </w:p>
    <w:p>
      <w:pPr>
        <w:ind w:left="629"/>
        <w:spacing w:after="0"/>
        <w:rPr>
          <w:sz w:val="20"/>
          <w:szCs w:val="20"/>
          <w:color w:val="auto"/>
        </w:rPr>
      </w:pPr>
      <w:r>
        <w:rPr>
          <w:rFonts w:ascii="Courier New" w:cs="Courier New" w:eastAsia="Courier New" w:hAnsi="Courier New"/>
          <w:sz w:val="15"/>
          <w:szCs w:val="15"/>
          <w:color w:val="auto"/>
        </w:rPr>
        <w:t>HOWARD M. DEAN</w:t>
      </w:r>
    </w:p>
    <w:p>
      <w:pPr>
        <w:spacing w:after="0" w:line="1" w:lineRule="exact"/>
        <w:rPr>
          <w:sz w:val="20"/>
          <w:szCs w:val="20"/>
          <w:color w:val="auto"/>
        </w:rPr>
      </w:pPr>
    </w:p>
    <w:p>
      <w:pPr>
        <w:ind w:left="969"/>
        <w:spacing w:after="0"/>
        <w:rPr>
          <w:sz w:val="20"/>
          <w:szCs w:val="20"/>
          <w:color w:val="auto"/>
        </w:rPr>
      </w:pPr>
      <w:r>
        <w:rPr>
          <w:rFonts w:ascii="Courier New" w:cs="Courier New" w:eastAsia="Courier New" w:hAnsi="Courier New"/>
          <w:sz w:val="15"/>
          <w:szCs w:val="15"/>
          <w:color w:val="auto"/>
        </w:rPr>
        <w:t>Director since 1987</w:t>
      </w:r>
    </w:p>
    <w:p>
      <w:pPr>
        <w:spacing w:after="0" w:line="1" w:lineRule="exact"/>
        <w:rPr>
          <w:sz w:val="20"/>
          <w:szCs w:val="20"/>
          <w:color w:val="auto"/>
        </w:rPr>
      </w:pPr>
    </w:p>
    <w:p>
      <w:pPr>
        <w:ind w:left="969"/>
        <w:spacing w:after="0"/>
        <w:rPr>
          <w:sz w:val="20"/>
          <w:szCs w:val="20"/>
          <w:color w:val="auto"/>
        </w:rPr>
      </w:pPr>
      <w:r>
        <w:rPr>
          <w:rFonts w:ascii="Courier New" w:cs="Courier New" w:eastAsia="Courier New" w:hAnsi="Courier New"/>
          <w:sz w:val="15"/>
          <w:szCs w:val="15"/>
          <w:color w:val="auto"/>
        </w:rPr>
        <w:t>Chairman and Chief Executive Officer of Dean Foods Company</w:t>
      </w:r>
    </w:p>
    <w:p>
      <w:pPr>
        <w:spacing w:after="0" w:line="174" w:lineRule="exact"/>
        <w:rPr>
          <w:sz w:val="20"/>
          <w:szCs w:val="20"/>
          <w:color w:val="auto"/>
        </w:rPr>
      </w:pPr>
    </w:p>
    <w:p>
      <w:pPr>
        <w:ind w:left="969" w:right="7559" w:hanging="969"/>
        <w:spacing w:after="0" w:line="258" w:lineRule="auto"/>
        <w:tabs>
          <w:tab w:leader="none" w:pos="614"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DAVID H. HUGHES Director since 1973</w:t>
      </w:r>
    </w:p>
    <w:p>
      <w:pPr>
        <w:ind w:left="96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Retired Vice Chairman of Hallmark Cards, Inc.</w:t>
      </w:r>
    </w:p>
    <w:p>
      <w:pPr>
        <w:spacing w:after="0" w:line="171" w:lineRule="exact"/>
        <w:rPr>
          <w:sz w:val="20"/>
          <w:szCs w:val="20"/>
          <w:color w:val="auto"/>
        </w:rPr>
      </w:pPr>
    </w:p>
    <w:p>
      <w:pPr>
        <w:ind w:left="629"/>
        <w:spacing w:after="0"/>
        <w:rPr>
          <w:sz w:val="20"/>
          <w:szCs w:val="20"/>
          <w:color w:val="auto"/>
        </w:rPr>
      </w:pPr>
      <w:r>
        <w:rPr>
          <w:rFonts w:ascii="Courier New" w:cs="Courier New" w:eastAsia="Courier New" w:hAnsi="Courier New"/>
          <w:sz w:val="15"/>
          <w:szCs w:val="15"/>
          <w:color w:val="auto"/>
        </w:rPr>
        <w:t>RONALD T. LEMAY</w:t>
      </w:r>
    </w:p>
    <w:p>
      <w:pPr>
        <w:spacing w:after="0" w:line="1" w:lineRule="exact"/>
        <w:rPr>
          <w:sz w:val="20"/>
          <w:szCs w:val="20"/>
          <w:color w:val="auto"/>
        </w:rPr>
      </w:pPr>
    </w:p>
    <w:p>
      <w:pPr>
        <w:ind w:left="969"/>
        <w:spacing w:after="0"/>
        <w:rPr>
          <w:sz w:val="20"/>
          <w:szCs w:val="20"/>
          <w:color w:val="auto"/>
        </w:rPr>
      </w:pPr>
      <w:r>
        <w:rPr>
          <w:rFonts w:ascii="Courier New" w:cs="Courier New" w:eastAsia="Courier New" w:hAnsi="Courier New"/>
          <w:sz w:val="15"/>
          <w:szCs w:val="15"/>
          <w:color w:val="auto"/>
        </w:rPr>
        <w:t>Director since 1994</w:t>
      </w:r>
    </w:p>
    <w:p>
      <w:pPr>
        <w:spacing w:after="0" w:line="3" w:lineRule="exact"/>
        <w:rPr>
          <w:sz w:val="20"/>
          <w:szCs w:val="20"/>
          <w:color w:val="auto"/>
        </w:rPr>
      </w:pPr>
    </w:p>
    <w:p>
      <w:pPr>
        <w:ind w:left="969" w:right="4019"/>
        <w:spacing w:after="0" w:line="238" w:lineRule="auto"/>
        <w:rPr>
          <w:sz w:val="20"/>
          <w:szCs w:val="20"/>
          <w:color w:val="auto"/>
        </w:rPr>
      </w:pPr>
      <w:r>
        <w:rPr>
          <w:rFonts w:ascii="Courier New" w:cs="Courier New" w:eastAsia="Courier New" w:hAnsi="Courier New"/>
          <w:sz w:val="15"/>
          <w:szCs w:val="15"/>
          <w:color w:val="auto"/>
        </w:rPr>
        <w:t>President and Chief Operating Officer of Sprint Corporation Long Distance Division</w:t>
      </w:r>
    </w:p>
    <w:p>
      <w:pPr>
        <w:spacing w:after="0" w:line="175" w:lineRule="exact"/>
        <w:rPr>
          <w:sz w:val="20"/>
          <w:szCs w:val="20"/>
          <w:color w:val="auto"/>
        </w:rPr>
      </w:pPr>
    </w:p>
    <w:p>
      <w:pPr>
        <w:ind w:left="969" w:right="7559" w:hanging="969"/>
        <w:spacing w:after="0" w:line="258" w:lineRule="auto"/>
        <w:tabs>
          <w:tab w:leader="none" w:pos="614"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JOHN C. McKELVEY Director since 1977</w:t>
      </w:r>
    </w:p>
    <w:p>
      <w:pPr>
        <w:ind w:left="969" w:right="4199"/>
        <w:spacing w:after="0" w:line="238"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President and Chief Executive Officer of Midwest Research Institute</w:t>
      </w:r>
    </w:p>
    <w:p>
      <w:pPr>
        <w:spacing w:after="0" w:line="172" w:lineRule="exact"/>
        <w:rPr>
          <w:sz w:val="20"/>
          <w:szCs w:val="20"/>
          <w:color w:val="auto"/>
        </w:rPr>
      </w:pPr>
    </w:p>
    <w:p>
      <w:pPr>
        <w:ind w:left="629"/>
        <w:spacing w:after="0"/>
        <w:rPr>
          <w:sz w:val="20"/>
          <w:szCs w:val="20"/>
          <w:color w:val="auto"/>
        </w:rPr>
      </w:pPr>
      <w:r>
        <w:rPr>
          <w:rFonts w:ascii="Courier New" w:cs="Courier New" w:eastAsia="Courier New" w:hAnsi="Courier New"/>
          <w:sz w:val="15"/>
          <w:szCs w:val="15"/>
          <w:color w:val="auto"/>
        </w:rPr>
        <w:t>GEORGE E. POWELL III</w:t>
      </w:r>
    </w:p>
    <w:p>
      <w:pPr>
        <w:spacing w:after="0" w:line="1" w:lineRule="exact"/>
        <w:rPr>
          <w:sz w:val="20"/>
          <w:szCs w:val="20"/>
          <w:color w:val="auto"/>
        </w:rPr>
      </w:pPr>
    </w:p>
    <w:p>
      <w:pPr>
        <w:ind w:left="969"/>
        <w:spacing w:after="0"/>
        <w:rPr>
          <w:sz w:val="20"/>
          <w:szCs w:val="20"/>
          <w:color w:val="auto"/>
        </w:rPr>
      </w:pPr>
      <w:r>
        <w:rPr>
          <w:rFonts w:ascii="Courier New" w:cs="Courier New" w:eastAsia="Courier New" w:hAnsi="Courier New"/>
          <w:sz w:val="15"/>
          <w:szCs w:val="15"/>
          <w:color w:val="auto"/>
        </w:rPr>
        <w:t>Director since 1984</w:t>
      </w:r>
    </w:p>
    <w:p>
      <w:pPr>
        <w:spacing w:after="0" w:line="1" w:lineRule="exact"/>
        <w:rPr>
          <w:sz w:val="20"/>
          <w:szCs w:val="20"/>
          <w:color w:val="auto"/>
        </w:rPr>
      </w:pPr>
    </w:p>
    <w:p>
      <w:pPr>
        <w:ind w:left="969"/>
        <w:spacing w:after="0"/>
        <w:rPr>
          <w:sz w:val="20"/>
          <w:szCs w:val="20"/>
          <w:color w:val="auto"/>
        </w:rPr>
      </w:pPr>
      <w:r>
        <w:rPr>
          <w:rFonts w:ascii="Courier New" w:cs="Courier New" w:eastAsia="Courier New" w:hAnsi="Courier New"/>
          <w:sz w:val="15"/>
          <w:szCs w:val="15"/>
          <w:color w:val="auto"/>
        </w:rPr>
        <w:t>President and Chief Executive Officer of the Company</w:t>
      </w:r>
    </w:p>
    <w:p>
      <w:pPr>
        <w:spacing w:after="0" w:line="174" w:lineRule="exact"/>
        <w:rPr>
          <w:sz w:val="20"/>
          <w:szCs w:val="20"/>
          <w:color w:val="auto"/>
        </w:rPr>
      </w:pPr>
    </w:p>
    <w:p>
      <w:pPr>
        <w:ind w:left="969" w:right="7559" w:hanging="969"/>
        <w:spacing w:after="0" w:line="258" w:lineRule="auto"/>
        <w:tabs>
          <w:tab w:leader="none" w:pos="614"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WILLIAM L. TRUBECK Director since 1994</w:t>
      </w:r>
    </w:p>
    <w:p>
      <w:pPr>
        <w:ind w:left="1149" w:right="4279" w:hanging="178"/>
        <w:spacing w:after="0" w:line="238"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Senior Vice President and Chief Financial Officer of SPX Corporation</w:t>
      </w:r>
    </w:p>
    <w:p>
      <w:pPr>
        <w:spacing w:after="0" w:line="172" w:lineRule="exact"/>
        <w:rPr>
          <w:sz w:val="20"/>
          <w:szCs w:val="20"/>
          <w:color w:val="auto"/>
        </w:rPr>
      </w:pPr>
    </w:p>
    <w:p>
      <w:pPr>
        <w:ind w:left="629"/>
        <w:spacing w:after="0"/>
        <w:rPr>
          <w:sz w:val="20"/>
          <w:szCs w:val="20"/>
          <w:color w:val="auto"/>
        </w:rPr>
      </w:pPr>
      <w:r>
        <w:rPr>
          <w:rFonts w:ascii="Courier New" w:cs="Courier New" w:eastAsia="Courier New" w:hAnsi="Courier New"/>
          <w:sz w:val="15"/>
          <w:szCs w:val="15"/>
          <w:color w:val="auto"/>
        </w:rPr>
        <w:t>WILLIAM F. MARTIN, JR.</w:t>
      </w:r>
    </w:p>
    <w:p>
      <w:pPr>
        <w:spacing w:after="0" w:line="1" w:lineRule="exact"/>
        <w:rPr>
          <w:sz w:val="20"/>
          <w:szCs w:val="20"/>
          <w:color w:val="auto"/>
        </w:rPr>
      </w:pPr>
    </w:p>
    <w:p>
      <w:pPr>
        <w:ind w:left="969"/>
        <w:spacing w:after="0"/>
        <w:rPr>
          <w:sz w:val="20"/>
          <w:szCs w:val="20"/>
          <w:color w:val="auto"/>
        </w:rPr>
      </w:pPr>
      <w:r>
        <w:rPr>
          <w:rFonts w:ascii="Courier New" w:cs="Courier New" w:eastAsia="Courier New" w:hAnsi="Courier New"/>
          <w:sz w:val="15"/>
          <w:szCs w:val="15"/>
          <w:color w:val="auto"/>
        </w:rPr>
        <w:t>Secretary to the Board</w:t>
      </w:r>
    </w:p>
    <w:p>
      <w:pPr>
        <w:spacing w:after="0" w:line="342" w:lineRule="exact"/>
        <w:rPr>
          <w:sz w:val="20"/>
          <w:szCs w:val="20"/>
          <w:color w:val="auto"/>
        </w:rPr>
      </w:pPr>
    </w:p>
    <w:p>
      <w:pPr>
        <w:ind w:left="9"/>
        <w:spacing w:after="0"/>
        <w:tabs>
          <w:tab w:leader="none" w:pos="609"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Member, Audit Committee</w:t>
      </w:r>
    </w:p>
    <w:p>
      <w:pPr>
        <w:sectPr>
          <w:pgSz w:w="11900" w:h="16838" w:orient="portrait"/>
          <w:cols w:equalWidth="0" w:num="1">
            <w:col w:w="10228"/>
          </w:cols>
          <w:pgMar w:left="231" w:top="287" w:right="1440" w:bottom="1440" w:gutter="0" w:footer="0" w:header="0"/>
        </w:sectPr>
      </w:pPr>
    </w:p>
    <w:bookmarkStart w:id="49" w:name="page50"/>
    <w:bookmarkEnd w:id="49"/>
    <w:p>
      <w:pPr>
        <w:ind w:left="260"/>
        <w:spacing w:after="0"/>
        <w:rPr>
          <w:sz w:val="20"/>
          <w:szCs w:val="20"/>
          <w:color w:val="auto"/>
        </w:rPr>
      </w:pPr>
      <w:r>
        <w:rPr>
          <w:rFonts w:ascii="Courier New" w:cs="Courier New" w:eastAsia="Courier New" w:hAnsi="Courier New"/>
          <w:sz w:val="15"/>
          <w:szCs w:val="15"/>
          <w:color w:val="auto"/>
        </w:rPr>
        <w:t>35</w:t>
      </w:r>
    </w:p>
    <w:p>
      <w:pPr>
        <w:spacing w:after="0" w:line="17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5"/>
          <w:szCs w:val="15"/>
          <w:color w:val="auto"/>
        </w:rPr>
        <w:t>CORPORATE</w:t>
      </w:r>
      <w:r>
        <w:rPr>
          <w:sz w:val="20"/>
          <w:szCs w:val="20"/>
          <w:color w:val="auto"/>
        </w:rPr>
        <w:tab/>
      </w:r>
      <w:r>
        <w:rPr>
          <w:rFonts w:ascii="Courier New" w:cs="Courier New" w:eastAsia="Courier New" w:hAnsi="Courier New"/>
          <w:sz w:val="14"/>
          <w:szCs w:val="14"/>
          <w:color w:val="auto"/>
        </w:rPr>
        <w:t>INFORMATION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YELLOW CORPORATION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10777 Barkley, P.O. Box 7563</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Overland Park, Kansas 66207</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(913) 967-4300</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INDEPENDENT PUBLIC ACCOUNTANTS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Arthur Andersen LLP</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Kansas City, Missouri</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TRANSFER AGENT AND REGISTRAR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Mellon Securities Trust Company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Shareholder Relations Department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 Box 305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Pittsburgh, Pennsylvania 15230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(800) 526-0801</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ANNUAL MEETING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19, 1995, at 9:30 a.m.</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Overland Park Marriott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10800 Metcalf Avenue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Overland Park, Kansas 66210</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10-K REPORT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Please write to: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Treasurer</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Yellow Corporation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 Box 7563</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Overland Park, Kansas 66207</w:t>
      </w:r>
    </w:p>
    <w:p>
      <w:pPr>
        <w:sectPr>
          <w:pgSz w:w="11900" w:h="16838" w:orient="portrait"/>
          <w:cols w:equalWidth="0" w:num="1">
            <w:col w:w="10219"/>
          </w:cols>
          <w:pgMar w:left="240" w:top="287" w:right="1440" w:bottom="1440" w:gutter="0" w:footer="0" w:header="0"/>
        </w:sectPr>
      </w:pPr>
    </w:p>
    <w:bookmarkStart w:id="50" w:name="page51"/>
    <w:bookmarkEnd w:id="50"/>
    <w:p>
      <w:pPr>
        <w:ind w:left="260"/>
        <w:spacing w:after="0"/>
        <w:rPr>
          <w:sz w:val="20"/>
          <w:szCs w:val="20"/>
          <w:color w:val="auto"/>
        </w:rPr>
      </w:pPr>
      <w:r>
        <w:rPr>
          <w:rFonts w:ascii="Courier New" w:cs="Courier New" w:eastAsia="Courier New" w:hAnsi="Courier New"/>
          <w:sz w:val="15"/>
          <w:szCs w:val="15"/>
          <w:color w:val="auto"/>
        </w:rPr>
        <w:t>1</w:t>
      </w:r>
    </w:p>
    <w:p>
      <w:pPr>
        <w:spacing w:after="0" w:line="17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Exhibit (24)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Consent of Independent Public Accountants</w:t>
      </w:r>
    </w:p>
    <w:p>
      <w:pPr>
        <w:spacing w:after="0" w:line="200" w:lineRule="exact"/>
        <w:rPr>
          <w:sz w:val="20"/>
          <w:szCs w:val="20"/>
          <w:color w:val="auto"/>
        </w:rPr>
      </w:pPr>
    </w:p>
    <w:p>
      <w:pPr>
        <w:spacing w:after="0" w:line="315" w:lineRule="exact"/>
        <w:rPr>
          <w:sz w:val="20"/>
          <w:szCs w:val="20"/>
          <w:color w:val="auto"/>
        </w:rPr>
      </w:pPr>
    </w:p>
    <w:p>
      <w:pPr>
        <w:ind w:right="3299" w:firstLine="710"/>
        <w:spacing w:after="0" w:line="239" w:lineRule="auto"/>
        <w:rPr>
          <w:sz w:val="20"/>
          <w:szCs w:val="20"/>
          <w:color w:val="auto"/>
        </w:rPr>
      </w:pPr>
      <w:r>
        <w:rPr>
          <w:rFonts w:ascii="Courier New" w:cs="Courier New" w:eastAsia="Courier New" w:hAnsi="Courier New"/>
          <w:sz w:val="15"/>
          <w:szCs w:val="15"/>
          <w:color w:val="auto"/>
        </w:rPr>
        <w:t>As independent public accountants, we hereby consent to the incorporation of our reports included and incorporated by reference in this Form 10-K, into the company's previously filed Form S-8 Registration Statement File No. 33-47946.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ARTHUR ANDERSEN LLP</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Kansas City, Missouri,</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24, 1995</w:t>
      </w:r>
    </w:p>
    <w:p>
      <w:pPr>
        <w:sectPr>
          <w:pgSz w:w="11900" w:h="16838" w:orient="portrait"/>
          <w:cols w:equalWidth="0" w:num="1">
            <w:col w:w="10219"/>
          </w:cols>
          <w:pgMar w:left="240" w:top="139" w:right="1440" w:bottom="1440" w:gutter="0" w:footer="0" w:header="0"/>
        </w:sectPr>
      </w:pPr>
    </w:p>
    <w:bookmarkStart w:id="51" w:name="page52"/>
    <w:bookmarkEnd w:id="51"/>
    <w:p>
      <w:pPr>
        <w:spacing w:after="0"/>
        <w:rPr>
          <w:sz w:val="20"/>
          <w:szCs w:val="20"/>
          <w:color w:val="auto"/>
        </w:rPr>
      </w:pPr>
      <w:r>
        <w:rPr>
          <w:rFonts w:ascii="Courier New" w:cs="Courier New" w:eastAsia="Courier New" w:hAnsi="Courier New"/>
          <w:sz w:val="15"/>
          <w:szCs w:val="15"/>
          <w:color w:val="auto"/>
        </w:rPr>
        <w:t>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1,000</w:t>
      </w:r>
    </w:p>
    <w:p>
      <w:pPr>
        <w:spacing w:after="0" w:line="342"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YEAR</w:t>
      </w:r>
    </w:p>
    <w:p>
      <w:pPr>
        <w:spacing w:after="0" w:line="1"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DEC-31-1994</w:t>
      </w:r>
    </w:p>
    <w:p>
      <w:pPr>
        <w:spacing w:after="0" w:line="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JAN-01-1994</w:t>
      </w:r>
    </w:p>
    <w:p>
      <w:pPr>
        <w:spacing w:after="0" w:line="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DEC-31-1994</w:t>
      </w:r>
    </w:p>
    <w:p>
      <w:pPr>
        <w:spacing w:after="0" w:line="1" w:lineRule="exact"/>
        <w:rPr>
          <w:sz w:val="20"/>
          <w:szCs w:val="20"/>
          <w:color w:val="auto"/>
        </w:rPr>
      </w:pPr>
    </w:p>
    <w:p>
      <w:pPr>
        <w:ind w:left="3640"/>
        <w:spacing w:after="0"/>
        <w:rPr>
          <w:sz w:val="20"/>
          <w:szCs w:val="20"/>
          <w:color w:val="auto"/>
        </w:rPr>
      </w:pPr>
      <w:r>
        <w:rPr>
          <w:rFonts w:ascii="Courier New" w:cs="Courier New" w:eastAsia="Courier New" w:hAnsi="Courier New"/>
          <w:sz w:val="15"/>
          <w:szCs w:val="15"/>
          <w:color w:val="auto"/>
        </w:rPr>
        <w:t>17,613</w:t>
      </w:r>
    </w:p>
    <w:p>
      <w:pPr>
        <w:spacing w:after="0" w:line="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295,332</w:t>
      </w:r>
    </w:p>
    <w:p>
      <w:pPr>
        <w:spacing w:after="0" w:line="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13,082</w:t>
      </w:r>
    </w:p>
    <w:p>
      <w:pPr>
        <w:spacing w:after="0" w:line="1" w:lineRule="exact"/>
        <w:rPr>
          <w:sz w:val="20"/>
          <w:szCs w:val="20"/>
          <w:color w:val="auto"/>
        </w:rPr>
      </w:pPr>
    </w:p>
    <w:p>
      <w:pPr>
        <w:ind w:left="364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403,357</w:t>
      </w:r>
    </w:p>
    <w:p>
      <w:pPr>
        <w:spacing w:after="0" w:line="1"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1,866,565</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989,281</w:t>
      </w:r>
    </w:p>
    <w:p>
      <w:pPr>
        <w:spacing w:after="0" w:line="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1,307,221</w:t>
      </w:r>
    </w:p>
    <w:p>
      <w:pPr>
        <w:spacing w:after="0" w:line="1"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375,991</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240,019</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28,858</w:t>
      </w:r>
    </w:p>
    <w:p>
      <w:pPr>
        <w:spacing w:after="0" w:line="1"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364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431,985</w:t>
      </w:r>
    </w:p>
    <w:p>
      <w:pPr>
        <w:spacing w:after="0" w:line="1"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1,307,221</w:t>
      </w:r>
    </w:p>
    <w:p>
      <w:pPr>
        <w:spacing w:after="0" w:line="1"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2,867,492</w:t>
      </w:r>
    </w:p>
    <w:p>
      <w:pPr>
        <w:spacing w:after="0" w:line="1" w:lineRule="exact"/>
        <w:rPr>
          <w:sz w:val="20"/>
          <w:szCs w:val="20"/>
          <w:color w:val="auto"/>
        </w:rPr>
      </w:pPr>
    </w:p>
    <w:p>
      <w:pPr>
        <w:jc w:val="right"/>
        <w:ind w:right="5879"/>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2,856,481</w:t>
      </w:r>
    </w:p>
    <w:p>
      <w:pPr>
        <w:spacing w:after="0" w:line="1"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18,433</w:t>
      </w:r>
    </w:p>
    <w:p>
      <w:pPr>
        <w:spacing w:after="0" w:line="1"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(3,375)</w:t>
      </w:r>
    </w:p>
    <w:p>
      <w:pPr>
        <w:spacing w:after="0" w:line="1"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473</w:t>
      </w:r>
    </w:p>
    <w:p>
      <w:pPr>
        <w:spacing w:after="0" w:line="1"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(3,848)</w:t>
      </w:r>
    </w:p>
    <w:p>
      <w:pPr>
        <w:spacing w:after="0" w:line="1"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(4,058)</w:t>
      </w:r>
    </w:p>
    <w:p>
      <w:pPr>
        <w:spacing w:after="0" w:line="1"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5"/>
          <w:szCs w:val="15"/>
          <w:color w:val="auto"/>
        </w:rPr>
        <w:t>(7,906)</w:t>
      </w:r>
    </w:p>
    <w:p>
      <w:pPr>
        <w:spacing w:after="0" w:line="1"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5"/>
          <w:szCs w:val="15"/>
          <w:color w:val="auto"/>
        </w:rPr>
        <w:t>(.28)</w:t>
      </w:r>
    </w:p>
    <w:p>
      <w:pPr>
        <w:spacing w:after="0" w:line="1"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5"/>
          <w:szCs w:val="15"/>
          <w:color w:val="auto"/>
        </w:rPr>
        <w:t>(.28)</w:t>
      </w:r>
    </w:p>
    <w:sectPr>
      <w:pgSz w:w="11900" w:h="16838" w:orient="portrait"/>
      <w:cols w:equalWidth="0" w:num="1">
        <w:col w:w="10139"/>
      </w:cols>
      <w:pgMar w:left="320" w:top="48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1]"/>
      <w:numFmt w:val="upperLetter"/>
      <w:start w:val="24"/>
    </w:lvl>
  </w:abstractNum>
  <w:abstractNum w:abstractNumId="1">
    <w:nsid w:val="109CF92E"/>
    <w:multiLevelType w:val="hybridMultilevel"/>
    <w:lvl w:ilvl="0">
      <w:lvlJc w:val="left"/>
      <w:lvlText w:val="%1)"/>
      <w:numFmt w:val="decimal"/>
      <w:start w:val="1"/>
    </w:lvl>
  </w:abstractNum>
  <w:abstractNum w:abstractNumId="2">
    <w:nsid w:val="DED7263"/>
    <w:multiLevelType w:val="hybridMultilevel"/>
    <w:lvl w:ilvl="0">
      <w:lvlJc w:val="left"/>
      <w:lvlText w:val="%1."/>
      <w:numFmt w:val="decimal"/>
      <w:start w:val="5"/>
    </w:lvl>
  </w:abstractNum>
  <w:abstractNum w:abstractNumId="3">
    <w:nsid w:val="7FDCC233"/>
    <w:multiLevelType w:val="hybridMultilevel"/>
    <w:lvl w:ilvl="0">
      <w:lvlJc w:val="left"/>
      <w:lvlText w:val="%1."/>
      <w:numFmt w:val="decimal"/>
      <w:start w:val="7"/>
    </w:lvl>
  </w:abstractNum>
  <w:abstractNum w:abstractNumId="4">
    <w:nsid w:val="1BEFD79F"/>
    <w:multiLevelType w:val="hybridMultilevel"/>
    <w:lvl w:ilvl="0">
      <w:lvlJc w:val="left"/>
      <w:lvlText w:val="%1."/>
      <w:numFmt w:val="decimal"/>
      <w:start w:val="12"/>
    </w:lvl>
  </w:abstractNum>
  <w:abstractNum w:abstractNumId="5">
    <w:nsid w:val="41A7C4C9"/>
    <w:multiLevelType w:val="hybridMultilevel"/>
    <w:lvl w:ilvl="0">
      <w:lvlJc w:val="left"/>
      <w:lvlText w:val="%1."/>
      <w:numFmt w:val="decimal"/>
      <w:start w:val="14"/>
    </w:lvl>
  </w:abstractNum>
  <w:abstractNum w:abstractNumId="6">
    <w:nsid w:val="6B68079A"/>
    <w:multiLevelType w:val="hybridMultilevel"/>
    <w:lvl w:ilvl="0">
      <w:lvlJc w:val="left"/>
      <w:lvlText w:val="(%1)"/>
      <w:numFmt w:val="lowerLetter"/>
      <w:start w:val="1"/>
    </w:lvl>
  </w:abstractNum>
  <w:abstractNum w:abstractNumId="7">
    <w:nsid w:val="4E6AFB66"/>
    <w:multiLevelType w:val="hybridMultilevel"/>
    <w:lvl w:ilvl="0">
      <w:lvlJc w:val="left"/>
      <w:lvlText w:val="(%1)"/>
      <w:numFmt w:val="lowerLetter"/>
      <w:start w:val="1"/>
    </w:lvl>
  </w:abstractNum>
  <w:abstractNum w:abstractNumId="8">
    <w:nsid w:val="25E45D32"/>
    <w:multiLevelType w:val="hybridMultilevel"/>
    <w:lvl w:ilvl="0">
      <w:lvlJc w:val="left"/>
      <w:lvlText w:val="(%1)"/>
      <w:numFmt w:val="lowerLetter"/>
      <w:start w:val="1"/>
    </w:lvl>
  </w:abstractNum>
  <w:abstractNum w:abstractNumId="9">
    <w:nsid w:val="519B500D"/>
    <w:multiLevelType w:val="hybridMultilevel"/>
    <w:lvl w:ilvl="0">
      <w:lvlJc w:val="left"/>
      <w:lvlText w:val="(%1)"/>
      <w:numFmt w:val="decimal"/>
      <w:start w:val="24"/>
    </w:lvl>
  </w:abstractNum>
  <w:abstractNum w:abstractNumId="10">
    <w:nsid w:val="431BD7B7"/>
    <w:multiLevelType w:val="hybridMultilevel"/>
    <w:lvl w:ilvl="0">
      <w:lvlJc w:val="left"/>
      <w:lvlText w:val="(%1)"/>
      <w:numFmt w:val="decimal"/>
      <w:start w:val="27"/>
    </w:lvl>
  </w:abstractNum>
  <w:abstractNum w:abstractNumId="11">
    <w:nsid w:val="3F2DBA31"/>
    <w:multiLevelType w:val="hybridMultilevel"/>
    <w:lvl w:ilvl="0">
      <w:lvlJc w:val="left"/>
      <w:lvlText w:val="(%1)"/>
      <w:numFmt w:val="lowerLetter"/>
      <w:start w:val="2"/>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1)"/>
      <w:numFmt w:val="decimal"/>
      <w:start w:val="1"/>
    </w:lvl>
  </w:abstractNum>
  <w:abstractNum w:abstractNumId="17">
    <w:nsid w:val="333AB105"/>
    <w:multiLevelType w:val="hybridMultilevel"/>
    <w:lvl w:ilvl="0">
      <w:lvlJc w:val="left"/>
      <w:lvlText w:val="(%1)"/>
      <w:numFmt w:val="lowerLetter"/>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1)"/>
      <w:numFmt w:val="lowerLetter"/>
      <w:start w:val="1"/>
    </w:lvl>
  </w:abstractNum>
  <w:abstractNum w:abstractNumId="20">
    <w:nsid w:val="2D1D5AE9"/>
    <w:multiLevelType w:val="hybridMultilevel"/>
    <w:lvl w:ilvl="0">
      <w:lvlJc w:val="left"/>
      <w:lvlText w:val="(%1)"/>
      <w:numFmt w:val="lowerLetter"/>
      <w:start w:val="2"/>
    </w:lvl>
  </w:abstractNum>
  <w:abstractNum w:abstractNumId="21">
    <w:nsid w:val="6763845E"/>
    <w:multiLevelType w:val="hybridMultilevel"/>
    <w:lvl w:ilvl="0">
      <w:lvlJc w:val="left"/>
      <w:lvlText w:val="(%1)"/>
      <w:numFmt w:val="lowerLetter"/>
      <w:start w:val="1"/>
    </w:lvl>
  </w:abstractNum>
  <w:abstractNum w:abstractNumId="22">
    <w:nsid w:val="75A2A8D4"/>
    <w:multiLevelType w:val="hybridMultilevel"/>
    <w:lvl w:ilvl="0">
      <w:lvlJc w:val="left"/>
      <w:lvlText w:val="+"/>
      <w:numFmt w:val="bullet"/>
      <w:start w:val="1"/>
    </w:lvl>
  </w:abstractNum>
  <w:abstractNum w:abstractNumId="23">
    <w:nsid w:val="8EDBDAB"/>
    <w:multiLevelType w:val="hybridMultilevel"/>
    <w:lvl w:ilvl="0">
      <w:lvlJc w:val="left"/>
      <w:lvlText w:val="+"/>
      <w:numFmt w:val="bullet"/>
      <w:start w:val="1"/>
    </w:lvl>
  </w:abstractNum>
  <w:abstractNum w:abstractNumId="24">
    <w:nsid w:val="79838CB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2019-12-13T12:22:25Z</dcterms:created>
  <dcterms:modified xsi:type="dcterms:W3CDTF">2019-12-13T12:22:25Z</dcterms:modified>
</cp:coreProperties>
</file>