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4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June 01,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222885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Yellow Corporation</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247650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tbl>
      <w:tblPr>
        <w:tblLayout w:type="fixed"/>
        <w:tblInd w:w="1060" w:type="dxa"/>
        <w:tblCellMar>
          <w:top w:w="0" w:type="dxa"/>
          <w:left w:w="0" w:type="dxa"/>
          <w:bottom w:w="0" w:type="dxa"/>
          <w:right w:w="0" w:type="dxa"/>
        </w:tblCellMar>
      </w:tblPr>
      <w:tr>
        <w:trPr>
          <w:trHeight w:val="234"/>
        </w:trPr>
        <w:tc>
          <w:tcPr>
            <w:tcW w:w="3160" w:type="dxa"/>
            <w:vAlign w:val="bottom"/>
          </w:tcPr>
          <w:p>
            <w:pPr>
              <w:jc w:val="center"/>
              <w:ind w:right="561"/>
              <w:spacing w:after="0"/>
              <w:rPr>
                <w:sz w:val="20"/>
                <w:szCs w:val="20"/>
                <w:color w:val="auto"/>
              </w:rPr>
            </w:pPr>
            <w:r>
              <w:rPr>
                <w:rFonts w:ascii="Arial" w:cs="Arial" w:eastAsia="Arial" w:hAnsi="Arial"/>
                <w:sz w:val="18"/>
                <w:szCs w:val="18"/>
                <w:b w:val="1"/>
                <w:bCs w:val="1"/>
                <w:color w:val="auto"/>
                <w:w w:val="91"/>
              </w:rPr>
              <w:t>Delaware</w:t>
            </w:r>
          </w:p>
        </w:tc>
        <w:tc>
          <w:tcPr>
            <w:tcW w:w="3200" w:type="dxa"/>
            <w:vAlign w:val="bottom"/>
          </w:tcPr>
          <w:p>
            <w:pPr>
              <w:jc w:val="right"/>
              <w:ind w:right="1381"/>
              <w:spacing w:after="0"/>
              <w:rPr>
                <w:sz w:val="20"/>
                <w:szCs w:val="20"/>
                <w:color w:val="auto"/>
              </w:rPr>
            </w:pPr>
            <w:r>
              <w:rPr>
                <w:rFonts w:ascii="Arial" w:cs="Arial" w:eastAsia="Arial" w:hAnsi="Arial"/>
                <w:sz w:val="18"/>
                <w:szCs w:val="18"/>
                <w:b w:val="1"/>
                <w:bCs w:val="1"/>
                <w:color w:val="auto"/>
              </w:rPr>
              <w:t>0-12255</w:t>
            </w:r>
          </w:p>
        </w:tc>
        <w:tc>
          <w:tcPr>
            <w:tcW w:w="2060" w:type="dxa"/>
            <w:vAlign w:val="bottom"/>
          </w:tcPr>
          <w:p>
            <w:pPr>
              <w:jc w:val="right"/>
              <w:ind w:right="24"/>
              <w:spacing w:after="0"/>
              <w:rPr>
                <w:sz w:val="20"/>
                <w:szCs w:val="20"/>
                <w:color w:val="auto"/>
              </w:rPr>
            </w:pPr>
            <w:r>
              <w:rPr>
                <w:rFonts w:ascii="Arial" w:cs="Arial" w:eastAsia="Arial" w:hAnsi="Arial"/>
                <w:sz w:val="18"/>
                <w:szCs w:val="18"/>
                <w:b w:val="1"/>
                <w:bCs w:val="1"/>
                <w:color w:val="auto"/>
              </w:rPr>
              <w:t>48-0948788</w:t>
            </w:r>
          </w:p>
        </w:tc>
      </w:tr>
      <w:tr>
        <w:trPr>
          <w:trHeight w:val="163"/>
        </w:trPr>
        <w:tc>
          <w:tcPr>
            <w:tcW w:w="3160" w:type="dxa"/>
            <w:vAlign w:val="bottom"/>
          </w:tcPr>
          <w:p>
            <w:pPr>
              <w:jc w:val="center"/>
              <w:ind w:right="561"/>
              <w:spacing w:after="0"/>
              <w:rPr>
                <w:sz w:val="20"/>
                <w:szCs w:val="20"/>
                <w:color w:val="auto"/>
              </w:rPr>
            </w:pPr>
            <w:r>
              <w:rPr>
                <w:rFonts w:ascii="Arial" w:cs="Arial" w:eastAsia="Arial" w:hAnsi="Arial"/>
                <w:sz w:val="13"/>
                <w:szCs w:val="13"/>
                <w:b w:val="1"/>
                <w:bCs w:val="1"/>
                <w:color w:val="auto"/>
                <w:w w:val="95"/>
              </w:rPr>
              <w:t>(State or Other Jurisdiction</w:t>
            </w:r>
          </w:p>
        </w:tc>
        <w:tc>
          <w:tcPr>
            <w:tcW w:w="3200" w:type="dxa"/>
            <w:vAlign w:val="bottom"/>
          </w:tcPr>
          <w:p>
            <w:pPr>
              <w:jc w:val="center"/>
              <w:ind w:right="261"/>
              <w:spacing w:after="0"/>
              <w:rPr>
                <w:sz w:val="20"/>
                <w:szCs w:val="20"/>
                <w:color w:val="auto"/>
              </w:rPr>
            </w:pPr>
            <w:r>
              <w:rPr>
                <w:rFonts w:ascii="Arial" w:cs="Arial" w:eastAsia="Arial" w:hAnsi="Arial"/>
                <w:sz w:val="13"/>
                <w:szCs w:val="13"/>
                <w:b w:val="1"/>
                <w:bCs w:val="1"/>
                <w:color w:val="auto"/>
                <w:w w:val="95"/>
              </w:rPr>
              <w:t>(Commission File Number)</w:t>
            </w:r>
          </w:p>
        </w:tc>
        <w:tc>
          <w:tcPr>
            <w:tcW w:w="2060" w:type="dxa"/>
            <w:vAlign w:val="bottom"/>
          </w:tcPr>
          <w:p>
            <w:pPr>
              <w:jc w:val="center"/>
              <w:ind w:left="924"/>
              <w:spacing w:after="0"/>
              <w:rPr>
                <w:sz w:val="20"/>
                <w:szCs w:val="20"/>
                <w:color w:val="auto"/>
              </w:rPr>
            </w:pPr>
            <w:r>
              <w:rPr>
                <w:rFonts w:ascii="Arial" w:cs="Arial" w:eastAsia="Arial" w:hAnsi="Arial"/>
                <w:sz w:val="13"/>
                <w:szCs w:val="13"/>
                <w:b w:val="1"/>
                <w:bCs w:val="1"/>
                <w:color w:val="auto"/>
                <w:w w:val="96"/>
              </w:rPr>
              <w:t>(IRS Employer</w:t>
            </w:r>
          </w:p>
        </w:tc>
      </w:tr>
      <w:tr>
        <w:trPr>
          <w:trHeight w:val="174"/>
        </w:trPr>
        <w:tc>
          <w:tcPr>
            <w:tcW w:w="3160" w:type="dxa"/>
            <w:vAlign w:val="bottom"/>
          </w:tcPr>
          <w:p>
            <w:pPr>
              <w:jc w:val="center"/>
              <w:ind w:right="561"/>
              <w:spacing w:after="0"/>
              <w:rPr>
                <w:sz w:val="20"/>
                <w:szCs w:val="20"/>
                <w:color w:val="auto"/>
              </w:rPr>
            </w:pPr>
            <w:r>
              <w:rPr>
                <w:rFonts w:ascii="Arial" w:cs="Arial" w:eastAsia="Arial" w:hAnsi="Arial"/>
                <w:sz w:val="13"/>
                <w:szCs w:val="13"/>
                <w:b w:val="1"/>
                <w:bCs w:val="1"/>
                <w:color w:val="auto"/>
                <w:w w:val="96"/>
              </w:rPr>
              <w:t>of Incorporation)</w:t>
            </w:r>
          </w:p>
        </w:tc>
        <w:tc>
          <w:tcPr>
            <w:tcW w:w="3200" w:type="dxa"/>
            <w:vAlign w:val="bottom"/>
          </w:tcPr>
          <w:p>
            <w:pPr>
              <w:spacing w:after="0"/>
              <w:rPr>
                <w:sz w:val="15"/>
                <w:szCs w:val="15"/>
                <w:color w:val="auto"/>
              </w:rPr>
            </w:pPr>
          </w:p>
        </w:tc>
        <w:tc>
          <w:tcPr>
            <w:tcW w:w="2060" w:type="dxa"/>
            <w:vAlign w:val="bottom"/>
          </w:tcPr>
          <w:p>
            <w:pPr>
              <w:jc w:val="center"/>
              <w:ind w:left="924"/>
              <w:spacing w:after="0"/>
              <w:rPr>
                <w:sz w:val="20"/>
                <w:szCs w:val="20"/>
                <w:color w:val="auto"/>
              </w:rPr>
            </w:pPr>
            <w:r>
              <w:rPr>
                <w:rFonts w:ascii="Arial" w:cs="Arial" w:eastAsia="Arial" w:hAnsi="Arial"/>
                <w:sz w:val="13"/>
                <w:szCs w:val="13"/>
                <w:b w:val="1"/>
                <w:bCs w:val="1"/>
                <w:color w:val="auto"/>
                <w:w w:val="96"/>
              </w:rPr>
              <w:t>Identification No.)</w:t>
            </w:r>
          </w:p>
        </w:tc>
      </w:tr>
      <w:tr>
        <w:trPr>
          <w:trHeight w:val="473"/>
        </w:trPr>
        <w:tc>
          <w:tcPr>
            <w:tcW w:w="3160" w:type="dxa"/>
            <w:vAlign w:val="bottom"/>
          </w:tcPr>
          <w:p>
            <w:pPr>
              <w:jc w:val="center"/>
              <w:ind w:right="561"/>
              <w:spacing w:after="0"/>
              <w:rPr>
                <w:sz w:val="20"/>
                <w:szCs w:val="20"/>
                <w:color w:val="auto"/>
              </w:rPr>
            </w:pPr>
            <w:r>
              <w:rPr>
                <w:rFonts w:ascii="Arial" w:cs="Arial" w:eastAsia="Arial" w:hAnsi="Arial"/>
                <w:sz w:val="18"/>
                <w:szCs w:val="18"/>
                <w:b w:val="1"/>
                <w:bCs w:val="1"/>
                <w:color w:val="auto"/>
                <w:w w:val="88"/>
              </w:rPr>
              <w:t>501 Commerce Street, Suite 1120</w:t>
            </w:r>
          </w:p>
        </w:tc>
        <w:tc>
          <w:tcPr>
            <w:tcW w:w="32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43"/>
        </w:trPr>
        <w:tc>
          <w:tcPr>
            <w:tcW w:w="3160" w:type="dxa"/>
            <w:vAlign w:val="bottom"/>
          </w:tcPr>
          <w:p>
            <w:pPr>
              <w:jc w:val="center"/>
              <w:ind w:right="561"/>
              <w:spacing w:after="0"/>
              <w:rPr>
                <w:sz w:val="20"/>
                <w:szCs w:val="20"/>
                <w:color w:val="auto"/>
              </w:rPr>
            </w:pPr>
            <w:r>
              <w:rPr>
                <w:rFonts w:ascii="Arial" w:cs="Arial" w:eastAsia="Arial" w:hAnsi="Arial"/>
                <w:sz w:val="18"/>
                <w:szCs w:val="18"/>
                <w:b w:val="1"/>
                <w:bCs w:val="1"/>
                <w:color w:val="auto"/>
                <w:w w:val="85"/>
              </w:rPr>
              <w:t>Nashville, Tennessee</w:t>
            </w:r>
          </w:p>
        </w:tc>
        <w:tc>
          <w:tcPr>
            <w:tcW w:w="3200" w:type="dxa"/>
            <w:vAlign w:val="bottom"/>
          </w:tcPr>
          <w:p>
            <w:pPr>
              <w:spacing w:after="0"/>
              <w:rPr>
                <w:sz w:val="21"/>
                <w:szCs w:val="21"/>
                <w:color w:val="auto"/>
              </w:rPr>
            </w:pPr>
          </w:p>
        </w:tc>
        <w:tc>
          <w:tcPr>
            <w:tcW w:w="2060" w:type="dxa"/>
            <w:vAlign w:val="bottom"/>
          </w:tcPr>
          <w:p>
            <w:pPr>
              <w:jc w:val="right"/>
              <w:ind w:right="224"/>
              <w:spacing w:after="0"/>
              <w:rPr>
                <w:sz w:val="20"/>
                <w:szCs w:val="20"/>
                <w:color w:val="auto"/>
              </w:rPr>
            </w:pPr>
            <w:r>
              <w:rPr>
                <w:rFonts w:ascii="Arial" w:cs="Arial" w:eastAsia="Arial" w:hAnsi="Arial"/>
                <w:sz w:val="18"/>
                <w:szCs w:val="18"/>
                <w:b w:val="1"/>
                <w:bCs w:val="1"/>
                <w:color w:val="auto"/>
              </w:rPr>
              <w:t>37203</w:t>
            </w:r>
          </w:p>
        </w:tc>
      </w:tr>
      <w:tr>
        <w:trPr>
          <w:trHeight w:val="188"/>
        </w:trPr>
        <w:tc>
          <w:tcPr>
            <w:tcW w:w="3160" w:type="dxa"/>
            <w:vAlign w:val="bottom"/>
          </w:tcPr>
          <w:p>
            <w:pPr>
              <w:jc w:val="center"/>
              <w:ind w:right="56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200" w:type="dxa"/>
            <w:vAlign w:val="bottom"/>
          </w:tcPr>
          <w:p>
            <w:pPr>
              <w:spacing w:after="0"/>
              <w:rPr>
                <w:sz w:val="16"/>
                <w:szCs w:val="16"/>
                <w:color w:val="auto"/>
              </w:rPr>
            </w:pPr>
          </w:p>
        </w:tc>
        <w:tc>
          <w:tcPr>
            <w:tcW w:w="2060" w:type="dxa"/>
            <w:vAlign w:val="bottom"/>
          </w:tcPr>
          <w:p>
            <w:pPr>
              <w:jc w:val="center"/>
              <w:ind w:left="924"/>
              <w:spacing w:after="0"/>
              <w:rPr>
                <w:sz w:val="20"/>
                <w:szCs w:val="20"/>
                <w:color w:val="auto"/>
              </w:rPr>
            </w:pPr>
            <w:r>
              <w:rPr>
                <w:rFonts w:ascii="Arial" w:cs="Arial" w:eastAsia="Arial" w:hAnsi="Arial"/>
                <w:sz w:val="13"/>
                <w:szCs w:val="13"/>
                <w:b w:val="1"/>
                <w:bCs w:val="1"/>
                <w:color w:val="auto"/>
                <w:w w:val="96"/>
              </w:rPr>
              <w:t>(Zip Code)</w:t>
            </w:r>
          </w:p>
        </w:tc>
      </w:tr>
    </w:tbl>
    <w:p>
      <w:pPr>
        <w:spacing w:after="0" w:line="200" w:lineRule="exact"/>
        <w:rPr>
          <w:sz w:val="24"/>
          <w:szCs w:val="24"/>
          <w:color w:val="auto"/>
        </w:rPr>
      </w:pPr>
    </w:p>
    <w:p>
      <w:pPr>
        <w:spacing w:after="0" w:line="25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w:t>
      </w:r>
      <w:r>
        <w:rPr>
          <w:rFonts w:ascii="Arial" w:cs="Arial" w:eastAsia="Arial" w:hAnsi="Arial"/>
          <w:sz w:val="18"/>
          <w:szCs w:val="18"/>
          <w:b w:val="1"/>
          <w:bCs w:val="1"/>
          <w:color w:val="auto"/>
        </w:rPr>
        <w:t>913) 696-6100</w:t>
      </w: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247650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11" w:lineRule="exact"/>
        <w:rPr>
          <w:sz w:val="24"/>
          <w:szCs w:val="24"/>
          <w:color w:val="auto"/>
        </w:rPr>
      </w:pPr>
    </w:p>
    <w:p>
      <w:pPr>
        <w:ind w:left="500" w:hanging="479"/>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500" w:hanging="479"/>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500" w:hanging="479"/>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500" w:hanging="479"/>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40" w:type="dxa"/>
            <w:vAlign w:val="bottom"/>
          </w:tcPr>
          <w:p>
            <w:pPr>
              <w:spacing w:after="0"/>
              <w:rPr>
                <w:sz w:val="18"/>
                <w:szCs w:val="18"/>
                <w:color w:val="auto"/>
              </w:rPr>
            </w:pPr>
          </w:p>
        </w:tc>
        <w:tc>
          <w:tcPr>
            <w:tcW w:w="5020" w:type="dxa"/>
            <w:vAlign w:val="bottom"/>
          </w:tcPr>
          <w:p>
            <w:pPr>
              <w:spacing w:after="0"/>
              <w:rPr>
                <w:sz w:val="18"/>
                <w:szCs w:val="18"/>
                <w:color w:val="auto"/>
              </w:rPr>
            </w:pPr>
          </w:p>
        </w:tc>
      </w:tr>
      <w:tr>
        <w:trPr>
          <w:trHeight w:val="241"/>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6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Symbol(s)</w:t>
            </w:r>
          </w:p>
        </w:tc>
        <w:tc>
          <w:tcPr>
            <w:tcW w:w="140" w:type="dxa"/>
            <w:vAlign w:val="bottom"/>
          </w:tcPr>
          <w:p>
            <w:pPr>
              <w:spacing w:after="0"/>
              <w:rPr>
                <w:sz w:val="20"/>
                <w:szCs w:val="20"/>
                <w:color w:val="auto"/>
              </w:rPr>
            </w:pP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240" w:type="dxa"/>
            <w:vAlign w:val="bottom"/>
          </w:tcPr>
          <w:p>
            <w:pPr>
              <w:jc w:val="center"/>
              <w:spacing w:after="0"/>
              <w:rPr>
                <w:sz w:val="20"/>
                <w:szCs w:val="20"/>
                <w:color w:val="auto"/>
              </w:rPr>
            </w:pPr>
            <w:r>
              <w:rPr>
                <w:rFonts w:ascii="Arial" w:cs="Arial" w:eastAsia="Arial" w:hAnsi="Arial"/>
                <w:sz w:val="18"/>
                <w:szCs w:val="18"/>
                <w:color w:val="auto"/>
                <w:w w:val="89"/>
              </w:rPr>
              <w:t>Common Stock, $0.01 par value per share</w:t>
            </w:r>
          </w:p>
        </w:tc>
        <w:tc>
          <w:tcPr>
            <w:tcW w:w="1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YELL</w:t>
            </w:r>
          </w:p>
        </w:tc>
        <w:tc>
          <w:tcPr>
            <w:tcW w:w="140" w:type="dxa"/>
            <w:vAlign w:val="bottom"/>
          </w:tcPr>
          <w:p>
            <w:pPr>
              <w:spacing w:after="0"/>
              <w:rPr>
                <w:sz w:val="20"/>
                <w:szCs w:val="20"/>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01"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338455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June 1, 2023, the board of directors (the “Board”) of Yellow Corporation (the “Company”) approved and adopted an amendment (the “Amendment”) to the Company’s Second Amended and Restated Bylaws of the Company, adopted as of February 4, 2021 (the “Bylaws”), to remove reference to the Chief Executive Officer of the Company as an ex-officio member of each committee of the Board on which he did not otherwise serve, which ex-officio service was subject to the conditions previously included in the Bylaws, and to amend and restate Section 5.3(b) of the Bylaws to delete such reference.</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summary is qualified in its entirety by reference to the complete text of the Amendment, a copy of which is filed herewith as Exhibit 3.1 and incorporated herein by reference.</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Exhibit Number</w:t>
            </w:r>
          </w:p>
        </w:tc>
        <w:tc>
          <w:tcPr>
            <w:tcW w:w="8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Description</w:t>
            </w:r>
          </w:p>
        </w:tc>
      </w:tr>
      <w:tr>
        <w:trPr>
          <w:trHeight w:val="189"/>
        </w:trPr>
        <w:tc>
          <w:tcPr>
            <w:tcW w:w="2300" w:type="dxa"/>
            <w:vAlign w:val="bottom"/>
          </w:tcPr>
          <w:p>
            <w:pPr>
              <w:ind w:left="20"/>
              <w:spacing w:after="0" w:line="189" w:lineRule="exact"/>
              <w:rPr>
                <w:sz w:val="20"/>
                <w:szCs w:val="20"/>
                <w:color w:val="auto"/>
              </w:rPr>
            </w:pPr>
            <w:r>
              <w:rPr>
                <w:rFonts w:ascii="Arial" w:cs="Arial" w:eastAsia="Arial" w:hAnsi="Arial"/>
                <w:sz w:val="18"/>
                <w:szCs w:val="18"/>
                <w:color w:val="auto"/>
              </w:rPr>
              <w:t>3.1</w:t>
            </w:r>
          </w:p>
        </w:tc>
        <w:tc>
          <w:tcPr>
            <w:tcW w:w="8940" w:type="dxa"/>
            <w:vAlign w:val="bottom"/>
            <w:gridSpan w:val="2"/>
          </w:tcPr>
          <w:p>
            <w:pPr>
              <w:spacing w:after="0" w:line="189" w:lineRule="exact"/>
              <w:rPr>
                <w:sz w:val="20"/>
                <w:szCs w:val="20"/>
                <w:color w:val="auto"/>
              </w:rPr>
            </w:pPr>
            <w:r>
              <w:rPr>
                <w:rFonts w:ascii="Arial" w:cs="Arial" w:eastAsia="Arial" w:hAnsi="Arial"/>
                <w:sz w:val="18"/>
                <w:szCs w:val="18"/>
                <w:color w:val="0000FF"/>
              </w:rPr>
              <w:t>First Amendment to the Second Amended and Restated Bylaws, as adopted and effective on June 1, 2023</w:t>
            </w:r>
          </w:p>
        </w:tc>
      </w:tr>
      <w:tr>
        <w:trPr>
          <w:trHeight w:val="20"/>
        </w:trPr>
        <w:tc>
          <w:tcPr>
            <w:tcW w:w="2300" w:type="dxa"/>
            <w:vAlign w:val="bottom"/>
            <w:tcBorders>
              <w:right w:val="single" w:sz="8" w:color="0000EE"/>
            </w:tcBorders>
          </w:tcPr>
          <w:p>
            <w:pPr>
              <w:spacing w:after="0" w:line="20" w:lineRule="exact"/>
              <w:rPr>
                <w:sz w:val="1"/>
                <w:szCs w:val="1"/>
                <w:color w:val="auto"/>
              </w:rPr>
            </w:pPr>
          </w:p>
        </w:tc>
        <w:tc>
          <w:tcPr>
            <w:tcW w:w="756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63"/>
        </w:trPr>
        <w:tc>
          <w:tcPr>
            <w:tcW w:w="2300" w:type="dxa"/>
            <w:vAlign w:val="bottom"/>
          </w:tcPr>
          <w:p>
            <w:pPr>
              <w:ind w:left="20"/>
              <w:spacing w:after="0"/>
              <w:rPr>
                <w:sz w:val="20"/>
                <w:szCs w:val="20"/>
                <w:color w:val="auto"/>
              </w:rPr>
            </w:pPr>
            <w:r>
              <w:rPr>
                <w:rFonts w:ascii="Arial" w:cs="Arial" w:eastAsia="Arial" w:hAnsi="Arial"/>
                <w:sz w:val="18"/>
                <w:szCs w:val="18"/>
                <w:color w:val="auto"/>
              </w:rPr>
              <w:t>104</w:t>
            </w:r>
          </w:p>
        </w:tc>
        <w:tc>
          <w:tcPr>
            <w:tcW w:w="894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561"/>
        </w:trPr>
        <w:tc>
          <w:tcPr>
            <w:tcW w:w="2300" w:type="dxa"/>
            <w:vAlign w:val="bottom"/>
            <w:tcBorders>
              <w:bottom w:val="single" w:sz="8" w:color="9A9A9A"/>
            </w:tcBorders>
          </w:tcPr>
          <w:p>
            <w:pPr>
              <w:spacing w:after="0"/>
              <w:rPr>
                <w:sz w:val="24"/>
                <w:szCs w:val="24"/>
                <w:color w:val="auto"/>
              </w:rPr>
            </w:pPr>
          </w:p>
        </w:tc>
        <w:tc>
          <w:tcPr>
            <w:tcW w:w="75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5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YELLOW CORPORATION</w:t>
      </w:r>
    </w:p>
    <w:p>
      <w:pPr>
        <w:spacing w:after="0" w:line="200" w:lineRule="exact"/>
        <w:rPr>
          <w:sz w:val="20"/>
          <w:szCs w:val="20"/>
          <w:color w:val="auto"/>
        </w:rPr>
      </w:pPr>
    </w:p>
    <w:p>
      <w:pPr>
        <w:spacing w:after="0" w:line="228" w:lineRule="exact"/>
        <w:rPr>
          <w:sz w:val="20"/>
          <w:szCs w:val="20"/>
          <w:color w:val="auto"/>
        </w:rPr>
      </w:pPr>
    </w:p>
    <w:p>
      <w:pPr>
        <w:ind w:left="20"/>
        <w:spacing w:after="0"/>
        <w:tabs>
          <w:tab w:leader="none" w:pos="700" w:val="left"/>
          <w:tab w:leader="none" w:pos="5620" w:val="left"/>
          <w:tab w:leader="none" w:pos="6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June 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Leah K. Dawson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23495</wp:posOffset>
            </wp:positionV>
            <wp:extent cx="32664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66440" cy="8255"/>
                    </a:xfrm>
                    <a:prstGeom prst="rect">
                      <a:avLst/>
                    </a:prstGeom>
                    <a:noFill/>
                  </pic:spPr>
                </pic:pic>
              </a:graphicData>
            </a:graphic>
          </wp:anchor>
        </w:drawing>
      </w:r>
    </w:p>
    <w:p>
      <w:pPr>
        <w:spacing w:after="0" w:line="4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Leah K. Dawson</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Executive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51" w:right="37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ind w:left="10400"/>
        <w:spacing w:after="0"/>
        <w:rPr>
          <w:sz w:val="20"/>
          <w:szCs w:val="20"/>
          <w:color w:val="auto"/>
        </w:rPr>
      </w:pPr>
      <w:r>
        <w:rPr>
          <w:rFonts w:ascii="Arial" w:cs="Arial" w:eastAsia="Arial" w:hAnsi="Arial"/>
          <w:sz w:val="16"/>
          <w:szCs w:val="16"/>
          <w:b w:val="1"/>
          <w:bCs w:val="1"/>
          <w:color w:val="auto"/>
        </w:rPr>
        <w:t>Exhibit 3.1</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AMENDMENT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THE</w:t>
      </w:r>
    </w:p>
    <w:p>
      <w:pPr>
        <w:jc w:val="center"/>
        <w:spacing w:after="0" w:line="230" w:lineRule="auto"/>
        <w:rPr>
          <w:sz w:val="20"/>
          <w:szCs w:val="20"/>
          <w:color w:val="auto"/>
        </w:rPr>
      </w:pPr>
      <w:r>
        <w:rPr>
          <w:rFonts w:ascii="Arial" w:cs="Arial" w:eastAsia="Arial" w:hAnsi="Arial"/>
          <w:sz w:val="22"/>
          <w:szCs w:val="22"/>
          <w:b w:val="1"/>
          <w:bCs w:val="1"/>
          <w:color w:val="auto"/>
        </w:rPr>
        <w:t>SECOND AMENDED AND RESTATED BYLAWS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YELLOW CORPORATION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 Delaware corporation)</w:t>
      </w:r>
    </w:p>
    <w:p>
      <w:pPr>
        <w:spacing w:after="0" w:line="212"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The Board of Directors of Yellow Corporation, a Delaware corporation (the “</w:t>
      </w:r>
      <w:r>
        <w:rPr>
          <w:rFonts w:ascii="Arial" w:cs="Arial" w:eastAsia="Arial" w:hAnsi="Arial"/>
          <w:sz w:val="22"/>
          <w:szCs w:val="22"/>
          <w:b w:val="1"/>
          <w:bCs w:val="1"/>
          <w:i w:val="1"/>
          <w:iCs w:val="1"/>
          <w:color w:val="auto"/>
        </w:rPr>
        <w:t>Corporation</w:t>
      </w:r>
      <w:r>
        <w:rPr>
          <w:rFonts w:ascii="Arial" w:cs="Arial" w:eastAsia="Arial" w:hAnsi="Arial"/>
          <w:sz w:val="22"/>
          <w:szCs w:val="22"/>
          <w:color w:val="auto"/>
        </w:rPr>
        <w:t>”), by unanimous consent given in writing or by electronic transmission in lieu of holding a special meeting and in accordance with the General Corporation Law of the State of Delaware and the Second Amended and Restated Bylaws of the Corporation, adopted as of February 4, 2021 (the “</w:t>
      </w:r>
      <w:r>
        <w:rPr>
          <w:rFonts w:ascii="Arial" w:cs="Arial" w:eastAsia="Arial" w:hAnsi="Arial"/>
          <w:sz w:val="22"/>
          <w:szCs w:val="22"/>
          <w:b w:val="1"/>
          <w:bCs w:val="1"/>
          <w:i w:val="1"/>
          <w:iCs w:val="1"/>
          <w:color w:val="auto"/>
        </w:rPr>
        <w:t>Bylaws</w:t>
      </w:r>
      <w:r>
        <w:rPr>
          <w:rFonts w:ascii="Arial" w:cs="Arial" w:eastAsia="Arial" w:hAnsi="Arial"/>
          <w:sz w:val="22"/>
          <w:szCs w:val="22"/>
          <w:color w:val="auto"/>
        </w:rPr>
        <w:t>”), approved and adopted as of June 1, 2023 the following amendments to the Bylaws to be effective as of June 1, 2023:</w:t>
      </w:r>
    </w:p>
    <w:p>
      <w:pPr>
        <w:spacing w:after="0" w:line="187" w:lineRule="exact"/>
        <w:rPr>
          <w:sz w:val="20"/>
          <w:szCs w:val="20"/>
          <w:color w:val="auto"/>
        </w:rPr>
      </w:pPr>
    </w:p>
    <w:p>
      <w:pPr>
        <w:ind w:left="820"/>
        <w:spacing w:after="0"/>
        <w:rPr>
          <w:sz w:val="20"/>
          <w:szCs w:val="20"/>
          <w:color w:val="auto"/>
        </w:rPr>
      </w:pPr>
      <w:r>
        <w:rPr>
          <w:rFonts w:ascii="Arial" w:cs="Arial" w:eastAsia="Arial" w:hAnsi="Arial"/>
          <w:sz w:val="22"/>
          <w:szCs w:val="22"/>
          <w:color w:val="auto"/>
        </w:rPr>
        <w:t>Article V, Section 5.3(b) of the Bylaws is hereby amended and restated by in its entirety with the following:</w:t>
      </w:r>
    </w:p>
    <w:p>
      <w:pPr>
        <w:spacing w:after="0" w:line="206" w:lineRule="exact"/>
        <w:rPr>
          <w:sz w:val="20"/>
          <w:szCs w:val="20"/>
          <w:color w:val="auto"/>
        </w:rPr>
      </w:pPr>
    </w:p>
    <w:p>
      <w:pPr>
        <w:jc w:val="both"/>
        <w:ind w:left="2260" w:hanging="754"/>
        <w:spacing w:after="0" w:line="245" w:lineRule="auto"/>
        <w:tabs>
          <w:tab w:leader="none" w:pos="2289" w:val="left"/>
        </w:tabs>
        <w:numPr>
          <w:ilvl w:val="0"/>
          <w:numId w:val="2"/>
        </w:numPr>
        <w:rPr>
          <w:rFonts w:ascii="Arial" w:cs="Arial" w:eastAsia="Arial" w:hAnsi="Arial"/>
          <w:sz w:val="21"/>
          <w:szCs w:val="21"/>
          <w:color w:val="auto"/>
        </w:rPr>
      </w:pPr>
      <w:r>
        <w:rPr>
          <w:rFonts w:ascii="Arial" w:cs="Arial" w:eastAsia="Arial" w:hAnsi="Arial"/>
          <w:sz w:val="21"/>
          <w:szCs w:val="21"/>
          <w:color w:val="auto"/>
        </w:rPr>
        <w:t xml:space="preserve">The Chairman of the Board shall serve as an ex-officio member of all committees of the Board on which he or she does not otherwise serve as a member, to the extent permitted by applicable law, regulation or stock exchange requirements, and shall be entitled to be present in person, to present matters for consideration and to take part in consideration of any business by the committee at any meeting of the committee. The Chairman of the Board, as an ex-officio member, shall not be counted for purposes of a quorum nor for purposes of voting or otherwise in any way for purposes of authorizing any act or other transaction of business by such committee; however, he or she may notice and call any meeting of a committee in accordance with the procedures set for by the committee in accordance with </w:t>
      </w:r>
      <w:r>
        <w:rPr>
          <w:rFonts w:ascii="Arial" w:cs="Arial" w:eastAsia="Arial" w:hAnsi="Arial"/>
          <w:sz w:val="21"/>
          <w:szCs w:val="21"/>
          <w:u w:val="single" w:color="auto"/>
          <w:color w:val="auto"/>
        </w:rPr>
        <w:t>Section 5.4</w:t>
      </w:r>
      <w:r>
        <w:rPr>
          <w:rFonts w:ascii="Arial" w:cs="Arial" w:eastAsia="Arial" w:hAnsi="Arial"/>
          <w:sz w:val="21"/>
          <w:szCs w:val="21"/>
          <w:color w:val="auto"/>
        </w:rPr>
        <w:t xml:space="preserve"> below.</w:t>
      </w:r>
    </w:p>
    <w:p>
      <w:pPr>
        <w:spacing w:after="0" w:line="184" w:lineRule="exact"/>
        <w:rPr>
          <w:sz w:val="20"/>
          <w:szCs w:val="20"/>
          <w:color w:val="auto"/>
        </w:rPr>
      </w:pPr>
    </w:p>
    <w:p>
      <w:pPr>
        <w:ind w:left="820"/>
        <w:spacing w:after="0"/>
        <w:rPr>
          <w:sz w:val="20"/>
          <w:szCs w:val="20"/>
          <w:color w:val="auto"/>
        </w:rPr>
      </w:pPr>
      <w:r>
        <w:rPr>
          <w:rFonts w:ascii="Arial" w:cs="Arial" w:eastAsia="Arial" w:hAnsi="Arial"/>
          <w:sz w:val="22"/>
          <w:szCs w:val="22"/>
          <w:color w:val="auto"/>
        </w:rPr>
        <w:t>Except as hereby amended, the Existing Bylaws shall in all other respects remain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2023-06-02T15:14:25Z</dcterms:created>
  <dcterms:modified xsi:type="dcterms:W3CDTF">2023-06-02T15:14:25Z</dcterms:modified>
</cp:coreProperties>
</file>