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July 07,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Yellow Corporation</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3160" w:type="dxa"/>
            <w:vAlign w:val="bottom"/>
          </w:tcPr>
          <w:p>
            <w:pPr>
              <w:jc w:val="center"/>
              <w:ind w:right="561"/>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right"/>
              <w:ind w:right="1381"/>
              <w:spacing w:after="0"/>
              <w:rPr>
                <w:sz w:val="20"/>
                <w:szCs w:val="20"/>
                <w:color w:val="auto"/>
              </w:rPr>
            </w:pPr>
            <w:r>
              <w:rPr>
                <w:rFonts w:ascii="Arial" w:cs="Arial" w:eastAsia="Arial" w:hAnsi="Arial"/>
                <w:sz w:val="18"/>
                <w:szCs w:val="18"/>
                <w:b w:val="1"/>
                <w:bCs w:val="1"/>
                <w:color w:val="auto"/>
              </w:rPr>
              <w:t>0-12255</w:t>
            </w:r>
          </w:p>
        </w:tc>
        <w:tc>
          <w:tcPr>
            <w:tcW w:w="2060" w:type="dxa"/>
            <w:vAlign w:val="bottom"/>
          </w:tcPr>
          <w:p>
            <w:pPr>
              <w:jc w:val="right"/>
              <w:ind w:right="24"/>
              <w:spacing w:after="0"/>
              <w:rPr>
                <w:sz w:val="20"/>
                <w:szCs w:val="20"/>
                <w:color w:val="auto"/>
              </w:rPr>
            </w:pPr>
            <w:r>
              <w:rPr>
                <w:rFonts w:ascii="Arial" w:cs="Arial" w:eastAsia="Arial" w:hAnsi="Arial"/>
                <w:sz w:val="18"/>
                <w:szCs w:val="18"/>
                <w:b w:val="1"/>
                <w:bCs w:val="1"/>
                <w:color w:val="auto"/>
              </w:rPr>
              <w:t>48-0948788</w:t>
            </w:r>
          </w:p>
        </w:tc>
      </w:tr>
      <w:tr>
        <w:trPr>
          <w:trHeight w:val="163"/>
        </w:trPr>
        <w:tc>
          <w:tcPr>
            <w:tcW w:w="3160" w:type="dxa"/>
            <w:vAlign w:val="bottom"/>
          </w:tcPr>
          <w:p>
            <w:pPr>
              <w:jc w:val="center"/>
              <w:ind w:right="561"/>
              <w:spacing w:after="0"/>
              <w:rPr>
                <w:sz w:val="20"/>
                <w:szCs w:val="20"/>
                <w:color w:val="auto"/>
              </w:rPr>
            </w:pPr>
            <w:r>
              <w:rPr>
                <w:rFonts w:ascii="Arial" w:cs="Arial" w:eastAsia="Arial" w:hAnsi="Arial"/>
                <w:sz w:val="13"/>
                <w:szCs w:val="13"/>
                <w:b w:val="1"/>
                <w:bCs w:val="1"/>
                <w:color w:val="auto"/>
                <w:w w:val="95"/>
              </w:rPr>
              <w:t>(State or Other Jurisdiction</w:t>
            </w:r>
          </w:p>
        </w:tc>
        <w:tc>
          <w:tcPr>
            <w:tcW w:w="3200" w:type="dxa"/>
            <w:vAlign w:val="bottom"/>
          </w:tcPr>
          <w:p>
            <w:pPr>
              <w:jc w:val="center"/>
              <w:ind w:right="261"/>
              <w:spacing w:after="0"/>
              <w:rPr>
                <w:sz w:val="20"/>
                <w:szCs w:val="20"/>
                <w:color w:val="auto"/>
              </w:rPr>
            </w:pPr>
            <w:r>
              <w:rPr>
                <w:rFonts w:ascii="Arial" w:cs="Arial" w:eastAsia="Arial" w:hAnsi="Arial"/>
                <w:sz w:val="13"/>
                <w:szCs w:val="13"/>
                <w:b w:val="1"/>
                <w:bCs w:val="1"/>
                <w:color w:val="auto"/>
                <w:w w:val="95"/>
              </w:rPr>
              <w:t>(Commission File Number)</w:t>
            </w: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160" w:type="dxa"/>
            <w:vAlign w:val="bottom"/>
          </w:tcPr>
          <w:p>
            <w:pPr>
              <w:jc w:val="center"/>
              <w:ind w:right="561"/>
              <w:spacing w:after="0"/>
              <w:rPr>
                <w:sz w:val="20"/>
                <w:szCs w:val="20"/>
                <w:color w:val="auto"/>
              </w:rPr>
            </w:pPr>
            <w:r>
              <w:rPr>
                <w:rFonts w:ascii="Arial" w:cs="Arial" w:eastAsia="Arial" w:hAnsi="Arial"/>
                <w:sz w:val="13"/>
                <w:szCs w:val="13"/>
                <w:b w:val="1"/>
                <w:bCs w:val="1"/>
                <w:color w:val="auto"/>
                <w:w w:val="96"/>
              </w:rPr>
              <w:t>of Incorporation)</w:t>
            </w:r>
          </w:p>
        </w:tc>
        <w:tc>
          <w:tcPr>
            <w:tcW w:w="320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Identification No.)</w:t>
            </w:r>
          </w:p>
        </w:tc>
      </w:tr>
      <w:tr>
        <w:trPr>
          <w:trHeight w:val="473"/>
        </w:trPr>
        <w:tc>
          <w:tcPr>
            <w:tcW w:w="3160" w:type="dxa"/>
            <w:vAlign w:val="bottom"/>
          </w:tcPr>
          <w:p>
            <w:pPr>
              <w:jc w:val="center"/>
              <w:ind w:right="561"/>
              <w:spacing w:after="0"/>
              <w:rPr>
                <w:sz w:val="20"/>
                <w:szCs w:val="20"/>
                <w:color w:val="auto"/>
              </w:rPr>
            </w:pPr>
            <w:r>
              <w:rPr>
                <w:rFonts w:ascii="Arial" w:cs="Arial" w:eastAsia="Arial" w:hAnsi="Arial"/>
                <w:sz w:val="18"/>
                <w:szCs w:val="18"/>
                <w:b w:val="1"/>
                <w:bCs w:val="1"/>
                <w:color w:val="auto"/>
                <w:w w:val="88"/>
              </w:rPr>
              <w:t>501 Commerce Street, Suite 1120</w:t>
            </w:r>
          </w:p>
        </w:tc>
        <w:tc>
          <w:tcPr>
            <w:tcW w:w="32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3"/>
        </w:trPr>
        <w:tc>
          <w:tcPr>
            <w:tcW w:w="3160" w:type="dxa"/>
            <w:vAlign w:val="bottom"/>
          </w:tcPr>
          <w:p>
            <w:pPr>
              <w:jc w:val="center"/>
              <w:ind w:right="561"/>
              <w:spacing w:after="0"/>
              <w:rPr>
                <w:sz w:val="20"/>
                <w:szCs w:val="20"/>
                <w:color w:val="auto"/>
              </w:rPr>
            </w:pPr>
            <w:r>
              <w:rPr>
                <w:rFonts w:ascii="Arial" w:cs="Arial" w:eastAsia="Arial" w:hAnsi="Arial"/>
                <w:sz w:val="18"/>
                <w:szCs w:val="18"/>
                <w:b w:val="1"/>
                <w:bCs w:val="1"/>
                <w:color w:val="auto"/>
                <w:w w:val="85"/>
              </w:rPr>
              <w:t>Nashville, Tennessee</w:t>
            </w:r>
          </w:p>
        </w:tc>
        <w:tc>
          <w:tcPr>
            <w:tcW w:w="3200" w:type="dxa"/>
            <w:vAlign w:val="bottom"/>
          </w:tcPr>
          <w:p>
            <w:pPr>
              <w:spacing w:after="0"/>
              <w:rPr>
                <w:sz w:val="21"/>
                <w:szCs w:val="21"/>
                <w:color w:val="auto"/>
              </w:rPr>
            </w:pPr>
          </w:p>
        </w:tc>
        <w:tc>
          <w:tcPr>
            <w:tcW w:w="2060" w:type="dxa"/>
            <w:vAlign w:val="bottom"/>
          </w:tcPr>
          <w:p>
            <w:pPr>
              <w:jc w:val="right"/>
              <w:ind w:right="224"/>
              <w:spacing w:after="0"/>
              <w:rPr>
                <w:sz w:val="20"/>
                <w:szCs w:val="20"/>
                <w:color w:val="auto"/>
              </w:rPr>
            </w:pPr>
            <w:r>
              <w:rPr>
                <w:rFonts w:ascii="Arial" w:cs="Arial" w:eastAsia="Arial" w:hAnsi="Arial"/>
                <w:sz w:val="18"/>
                <w:szCs w:val="18"/>
                <w:b w:val="1"/>
                <w:bCs w:val="1"/>
                <w:color w:val="auto"/>
              </w:rPr>
              <w:t>37203</w:t>
            </w:r>
          </w:p>
        </w:tc>
      </w:tr>
      <w:tr>
        <w:trPr>
          <w:trHeight w:val="188"/>
        </w:trPr>
        <w:tc>
          <w:tcPr>
            <w:tcW w:w="3160" w:type="dxa"/>
            <w:vAlign w:val="bottom"/>
          </w:tcPr>
          <w:p>
            <w:pPr>
              <w:jc w:val="center"/>
              <w:ind w:right="56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00" w:type="dxa"/>
            <w:vAlign w:val="bottom"/>
          </w:tcPr>
          <w:p>
            <w:pPr>
              <w:spacing w:after="0"/>
              <w:rPr>
                <w:sz w:val="16"/>
                <w:szCs w:val="16"/>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(913) 696-6100</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YELL</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No. 3 and Limited Waiver to Amended and Restated Credit Agreement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7, 2023, but effective as of June 30, 2023, Yellow Corporation (the “Company”) and certain of its subsidiaries entered into Amendment No. 3 and Limited Waiver to the Amended and Restated Credit Agreement (“Amendment No. 3”), which further amended its Amended and Restated Credit Agreement (as previously amended by that certain Amendment No. 1 to the Amended and Restated Credit Agreement, dated as of April 7, 2020 and that certain Amendment No. 2 to the Amended and Restated Credit Agreement, dated as of July 7, 2020, and as amended by Amendment No. 3, the “A&amp;R Credit Agreement”), dated as of September 11, 2019, by and among the Company, certain of the Company’s subsidiaries party thereto, the lenders party thereto and Alter Domus Products Corp., as administrative agent and collateral agent.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Amendment No. 3, among other things:</w:t>
      </w:r>
    </w:p>
    <w:p>
      <w:pPr>
        <w:spacing w:after="0" w:line="333" w:lineRule="exact"/>
        <w:rPr>
          <w:sz w:val="20"/>
          <w:szCs w:val="20"/>
          <w:color w:val="auto"/>
        </w:rPr>
      </w:pPr>
    </w:p>
    <w:p>
      <w:pPr>
        <w:ind w:left="1020" w:hanging="503"/>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provides for a waiver of the minimum Consolidated EBITDA financial covenant set forth in the A&amp;R Credit Agreement for the covenant testing periods ending on June 30, 2023 and September 30, 2023;</w:t>
      </w:r>
    </w:p>
    <w:p>
      <w:pPr>
        <w:spacing w:after="0" w:line="62" w:lineRule="exact"/>
        <w:rPr>
          <w:rFonts w:ascii="Arial" w:cs="Arial" w:eastAsia="Arial" w:hAnsi="Arial"/>
          <w:sz w:val="18"/>
          <w:szCs w:val="18"/>
          <w:color w:val="auto"/>
        </w:rPr>
      </w:pPr>
    </w:p>
    <w:p>
      <w:pPr>
        <w:jc w:val="both"/>
        <w:ind w:left="1020" w:hanging="503"/>
        <w:spacing w:after="0" w:line="296"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color w:val="auto"/>
        </w:rPr>
        <w:t>beginning July 12, 2023, requires weekly delivery of a liquidity report setting forth, among other things, the aggregate amount of “Liquidity,” with such amount being calculated as the sum of (i) unrestricted cash on hand subject to control agreements; (ii) cash in deposit accounts held exclusively for payroll and cash applied as cash deposits in connection with trade contracts (in an aggregate amount for this subclause (ii) not to exceed $7.50 million); and (iii) the amount of “Availability” (as defined in the loan agreement for Company’s asset-based loan facility) of the Company and each of its guarantors under the A&amp;R Credit Agreement (collectively, the “Loan Parties”);</w:t>
      </w:r>
    </w:p>
    <w:p>
      <w:pPr>
        <w:spacing w:after="0" w:line="53" w:lineRule="exact"/>
        <w:rPr>
          <w:rFonts w:ascii="Arial" w:cs="Arial" w:eastAsia="Arial" w:hAnsi="Arial"/>
          <w:sz w:val="16"/>
          <w:szCs w:val="16"/>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requires that the Company not permit Liquidity to fall below $35.00 million;</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beginning July 12, 2023, requires weekly delivery of a 13-week consolidated operating budget and a budget variance report comparing the actual results against the forecasted results under the related budget on a line-by-line basis and aggregate basis, and, commencing July 26, 2023, requires a monthly supplement to such budget;</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prohibits aggregate cash receipts and aggregate operating disbursements (excluding certain disbursements and carry-forward), in each case, to be less than 20% of the respective forecasted aggregate cash receipts and forecasted aggregate operating disbursements under the aforementioned budget reports;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beginning July 17, 2023, requires monthly delivery of a report of key performance indicators as described in the A&amp;R Credit Agreement with respect to the Company and its subsidiaries;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replaced LIBOR interest rate options with term SOFR-based interest rate options;</w:t>
      </w:r>
    </w:p>
    <w:p>
      <w:pPr>
        <w:spacing w:after="0" w:line="117"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provides for an exit fee in an aggregate amount equal to 2.00% of the outstanding Term Loans, payable upon the earliest to occur of the maturity date of the applicable Term Loan, termination, conversion, and/or payment in full of the A&amp;R Credit Agreement and any acceleration of the A&amp;R Credit Agreement, with a step-down to 1.00% if the A&amp;R Credit Agreement is paid in full with a new financing by September 30, 2023;</w:t>
      </w:r>
    </w:p>
    <w:p>
      <w:pPr>
        <w:spacing w:after="0" w:line="78"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requires appointment of an Operational Advisor by July 12, 2023, who will, among other things, provide financial planning and analysis services and assistance creating the aforementioned budgets;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provides the Company’s lenders the right to designate one representative to participate solely as a non-voting observer in all meetings of the Company’s board of directors or its committees thereof; and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requires weekly lender calls with the Operational Advisor and monthly lender calls with senior management, in each case, to discuss, among other things, the reporting described above.</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 respect to clause (c) above, the Company’s preliminary cash and cash equivalents balance as of June 30, 2023 was greater than $100.00 million. The final cash and cash equivalents balance will be included in the Company’s Form 10-Q for the quarter ended June 30, 2023, to be filed in August 2023.</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capitalized terms used above but not defined herein shall have the meaning ascribed to such terms in the A&amp;R Credit Agreement. The foregoing description is qualified in its entirety by the full text of Amendment No. 3, which is filed as Exhibit 1.1 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 Under UST Credit Agreements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7, 2023, the Company entered into a Waiver Agreement (the “Waiver”) under (i) that certain UST Tranche A Term Loan Credit Agreement (the “Tranche A UST Credit Agreement”) with The Bank of New York Mellon, as administrative agent and collateral agent, and (ii) that certain UST Tranche B Term Loan Credit Agreement (the “Tranche B UST Credit Agreement” and together with the Tranche A UST Credit Agreement, the “UST Credit Agreements”) with The Bank of New York Mellon, as administrative agent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77" w:lineRule="auto"/>
        <w:rPr>
          <w:sz w:val="20"/>
          <w:szCs w:val="20"/>
          <w:color w:val="auto"/>
        </w:rPr>
      </w:pPr>
      <w:r>
        <w:rPr>
          <w:rFonts w:ascii="Arial" w:cs="Arial" w:eastAsia="Arial" w:hAnsi="Arial"/>
          <w:sz w:val="18"/>
          <w:szCs w:val="18"/>
          <w:color w:val="auto"/>
        </w:rPr>
        <w:t>collateral agent. The Waiver provides for a waiver of the minimum Consolidated EBITDA financial covenant set forth in the UST Credit Agreements for the covenant testing period ending on June 30, 2023.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capitalized terms used above but not defined herein shall have the meaning ascribed to such terms in the UST Credit Agreements. The foregoing description is qualified in its entirety by the full text of the Waiver, which is filed as Exhibit 1.2 hereto.</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above in Item 1.01 is incorporated by reference herein.</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Regarding Sale of Property and Loan Paydown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closed on the sale of an obsolete terminal property in Compton, CA with a third-party purchaser for a sale price of $80.00 million. In accordance with the terms and conditions of Amendment No. 3, the net proceeds of such sale, in an amount of $79.49 million, were applied to the outstanding principal balance of the Company’s credit facility under the A&amp;R Credit Agreement. The remaining amount of proceeds were used to pay the fees incurred by the Company in connection with such sale.</w:t>
      </w:r>
    </w:p>
    <w:p>
      <w:pPr>
        <w:spacing w:after="0" w:line="18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(d)  Exhibits</w:t>
            </w:r>
          </w:p>
        </w:tc>
        <w:tc>
          <w:tcPr>
            <w:tcW w:w="29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79"/>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Number</w:t>
            </w:r>
          </w:p>
        </w:tc>
        <w:tc>
          <w:tcPr>
            <w:tcW w:w="926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980" w:type="dxa"/>
            <w:vAlign w:val="bottom"/>
          </w:tcPr>
          <w:p>
            <w:pPr>
              <w:ind w:left="20"/>
              <w:spacing w:after="0" w:line="189" w:lineRule="exact"/>
              <w:rPr>
                <w:sz w:val="20"/>
                <w:szCs w:val="20"/>
                <w:color w:val="auto"/>
              </w:rPr>
            </w:pPr>
            <w:r>
              <w:rPr>
                <w:rFonts w:ascii="Arial" w:cs="Arial" w:eastAsia="Arial" w:hAnsi="Arial"/>
                <w:sz w:val="18"/>
                <w:szCs w:val="18"/>
                <w:color w:val="auto"/>
              </w:rPr>
              <w:t>1.1</w:t>
            </w:r>
          </w:p>
        </w:tc>
        <w:tc>
          <w:tcPr>
            <w:tcW w:w="9220" w:type="dxa"/>
            <w:vAlign w:val="bottom"/>
            <w:tcBorders>
              <w:bottom w:val="single" w:sz="8" w:color="0000FF"/>
            </w:tcBorders>
            <w:gridSpan w:val="6"/>
          </w:tcPr>
          <w:p>
            <w:pPr>
              <w:spacing w:after="0" w:line="189" w:lineRule="exact"/>
              <w:rPr>
                <w:sz w:val="20"/>
                <w:szCs w:val="20"/>
                <w:color w:val="auto"/>
              </w:rPr>
            </w:pPr>
            <w:r>
              <w:rPr>
                <w:rFonts w:ascii="Arial" w:cs="Arial" w:eastAsia="Arial" w:hAnsi="Arial"/>
                <w:sz w:val="18"/>
                <w:szCs w:val="18"/>
                <w:color w:val="0000FF"/>
                <w:w w:val="90"/>
              </w:rPr>
              <w:t>Amendment No. 3 and Limited Waiver, dated as of July 7, 2023, to that certain Amended and Restated Credit Agreement, dated</w:t>
            </w:r>
          </w:p>
        </w:tc>
        <w:tc>
          <w:tcPr>
            <w:tcW w:w="40" w:type="dxa"/>
            <w:vAlign w:val="bottom"/>
          </w:tcPr>
          <w:p>
            <w:pPr>
              <w:spacing w:after="0"/>
              <w:rPr>
                <w:sz w:val="16"/>
                <w:szCs w:val="16"/>
                <w:color w:val="auto"/>
              </w:rPr>
            </w:pPr>
          </w:p>
        </w:tc>
      </w:tr>
      <w:tr>
        <w:trPr>
          <w:trHeight w:val="196"/>
        </w:trPr>
        <w:tc>
          <w:tcPr>
            <w:tcW w:w="1980" w:type="dxa"/>
            <w:vAlign w:val="bottom"/>
          </w:tcPr>
          <w:p>
            <w:pPr>
              <w:spacing w:after="0"/>
              <w:rPr>
                <w:sz w:val="17"/>
                <w:szCs w:val="17"/>
                <w:color w:val="auto"/>
              </w:rPr>
            </w:pPr>
          </w:p>
        </w:tc>
        <w:tc>
          <w:tcPr>
            <w:tcW w:w="902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89"/>
              </w:rPr>
              <w:t>as of September 11, 2019, by and among the Company, certain of the Company’s subsidiaries party thereto, the lenders party</w:t>
            </w:r>
          </w:p>
        </w:tc>
        <w:tc>
          <w:tcPr>
            <w:tcW w:w="240" w:type="dxa"/>
            <w:vAlign w:val="bottom"/>
            <w:gridSpan w:val="3"/>
          </w:tcPr>
          <w:p>
            <w:pPr>
              <w:spacing w:after="0"/>
              <w:rPr>
                <w:sz w:val="17"/>
                <w:szCs w:val="17"/>
                <w:color w:val="auto"/>
              </w:rPr>
            </w:pPr>
          </w:p>
        </w:tc>
      </w:tr>
      <w:tr>
        <w:trPr>
          <w:trHeight w:val="196"/>
        </w:trPr>
        <w:tc>
          <w:tcPr>
            <w:tcW w:w="1980" w:type="dxa"/>
            <w:vAlign w:val="bottom"/>
          </w:tcPr>
          <w:p>
            <w:pPr>
              <w:spacing w:after="0"/>
              <w:rPr>
                <w:sz w:val="17"/>
                <w:szCs w:val="17"/>
                <w:color w:val="auto"/>
              </w:rPr>
            </w:pPr>
          </w:p>
        </w:tc>
        <w:tc>
          <w:tcPr>
            <w:tcW w:w="610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9"/>
              </w:rPr>
              <w:t>thereto and Alter Domus Products Corp., as administrative agent and collateral agent</w:t>
            </w:r>
          </w:p>
        </w:tc>
        <w:tc>
          <w:tcPr>
            <w:tcW w:w="20" w:type="dxa"/>
            <w:vAlign w:val="bottom"/>
            <w:tcBorders>
              <w:bottom w:val="single" w:sz="8" w:color="0000EE"/>
            </w:tcBorders>
          </w:tcPr>
          <w:p>
            <w:pPr>
              <w:spacing w:after="0"/>
              <w:rPr>
                <w:sz w:val="17"/>
                <w:szCs w:val="17"/>
                <w:color w:val="auto"/>
              </w:rPr>
            </w:pPr>
          </w:p>
        </w:tc>
        <w:tc>
          <w:tcPr>
            <w:tcW w:w="3140" w:type="dxa"/>
            <w:vAlign w:val="bottom"/>
            <w:gridSpan w:val="4"/>
          </w:tcPr>
          <w:p>
            <w:pPr>
              <w:spacing w:after="0"/>
              <w:rPr>
                <w:sz w:val="17"/>
                <w:szCs w:val="17"/>
                <w:color w:val="auto"/>
              </w:rPr>
            </w:pPr>
          </w:p>
        </w:tc>
      </w:tr>
      <w:tr>
        <w:trPr>
          <w:trHeight w:val="223"/>
        </w:trPr>
        <w:tc>
          <w:tcPr>
            <w:tcW w:w="1980" w:type="dxa"/>
            <w:vAlign w:val="bottom"/>
          </w:tcPr>
          <w:p>
            <w:pPr>
              <w:ind w:left="20"/>
              <w:spacing w:after="0"/>
              <w:rPr>
                <w:sz w:val="20"/>
                <w:szCs w:val="20"/>
                <w:color w:val="auto"/>
              </w:rPr>
            </w:pPr>
            <w:r>
              <w:rPr>
                <w:rFonts w:ascii="Arial" w:cs="Arial" w:eastAsia="Arial" w:hAnsi="Arial"/>
                <w:sz w:val="18"/>
                <w:szCs w:val="18"/>
                <w:color w:val="auto"/>
              </w:rPr>
              <w:t>1.2</w:t>
            </w:r>
          </w:p>
        </w:tc>
        <w:tc>
          <w:tcPr>
            <w:tcW w:w="90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Waiver Agreement, dated as of July 7, 2023, to those certain UST Credit Agreements with The Bank of New York Mellon, as</w:t>
            </w:r>
          </w:p>
        </w:tc>
        <w:tc>
          <w:tcPr>
            <w:tcW w:w="220" w:type="dxa"/>
            <w:vAlign w:val="bottom"/>
            <w:gridSpan w:val="2"/>
          </w:tcPr>
          <w:p>
            <w:pPr>
              <w:spacing w:after="0"/>
              <w:rPr>
                <w:sz w:val="19"/>
                <w:szCs w:val="19"/>
                <w:color w:val="auto"/>
              </w:rPr>
            </w:pPr>
          </w:p>
        </w:tc>
      </w:tr>
      <w:tr>
        <w:trPr>
          <w:trHeight w:val="196"/>
        </w:trPr>
        <w:tc>
          <w:tcPr>
            <w:tcW w:w="1980" w:type="dxa"/>
            <w:vAlign w:val="bottom"/>
          </w:tcPr>
          <w:p>
            <w:pPr>
              <w:spacing w:after="0"/>
              <w:rPr>
                <w:sz w:val="17"/>
                <w:szCs w:val="17"/>
                <w:color w:val="auto"/>
              </w:rPr>
            </w:pPr>
          </w:p>
        </w:tc>
        <w:tc>
          <w:tcPr>
            <w:tcW w:w="9260" w:type="dxa"/>
            <w:vAlign w:val="bottom"/>
            <w:gridSpan w:val="7"/>
          </w:tcPr>
          <w:p>
            <w:pPr>
              <w:spacing w:after="0" w:line="196" w:lineRule="exact"/>
              <w:rPr>
                <w:sz w:val="20"/>
                <w:szCs w:val="20"/>
                <w:color w:val="auto"/>
              </w:rPr>
            </w:pPr>
            <w:r>
              <w:rPr>
                <w:rFonts w:ascii="Arial" w:cs="Arial" w:eastAsia="Arial" w:hAnsi="Arial"/>
                <w:sz w:val="18"/>
                <w:szCs w:val="18"/>
                <w:color w:val="0000FF"/>
              </w:rPr>
              <w:t>administrative agent and collateral agent</w:t>
            </w:r>
          </w:p>
        </w:tc>
      </w:tr>
      <w:tr>
        <w:trPr>
          <w:trHeight w:val="20"/>
        </w:trPr>
        <w:tc>
          <w:tcPr>
            <w:tcW w:w="198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6360" w:type="dxa"/>
            <w:vAlign w:val="bottom"/>
            <w:gridSpan w:val="6"/>
          </w:tcPr>
          <w:p>
            <w:pPr>
              <w:spacing w:after="0" w:line="20" w:lineRule="exact"/>
              <w:rPr>
                <w:sz w:val="1"/>
                <w:szCs w:val="1"/>
                <w:color w:val="auto"/>
              </w:rPr>
            </w:pPr>
          </w:p>
        </w:tc>
      </w:tr>
      <w:tr>
        <w:trPr>
          <w:trHeight w:val="264"/>
        </w:trPr>
        <w:tc>
          <w:tcPr>
            <w:tcW w:w="1980" w:type="dxa"/>
            <w:vAlign w:val="bottom"/>
          </w:tcPr>
          <w:p>
            <w:pPr>
              <w:ind w:left="20"/>
              <w:spacing w:after="0"/>
              <w:rPr>
                <w:sz w:val="20"/>
                <w:szCs w:val="20"/>
                <w:color w:val="auto"/>
              </w:rPr>
            </w:pPr>
            <w:r>
              <w:rPr>
                <w:rFonts w:ascii="Arial" w:cs="Arial" w:eastAsia="Arial" w:hAnsi="Arial"/>
                <w:sz w:val="18"/>
                <w:szCs w:val="18"/>
                <w:color w:val="auto"/>
              </w:rPr>
              <w:t>104</w:t>
            </w:r>
          </w:p>
        </w:tc>
        <w:tc>
          <w:tcPr>
            <w:tcW w:w="926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92"/>
        </w:trPr>
        <w:tc>
          <w:tcPr>
            <w:tcW w:w="19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YELLOW CORPORATION</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700" w:val="left"/>
          <w:tab w:leader="none" w:pos="562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Leah K.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6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66440"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Leah K. Dawson</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10240"/>
        <w:spacing w:after="0"/>
        <w:rPr>
          <w:sz w:val="20"/>
          <w:szCs w:val="20"/>
          <w:color w:val="auto"/>
        </w:rPr>
      </w:pPr>
      <w:r>
        <w:rPr>
          <w:rFonts w:ascii="Arial" w:cs="Arial" w:eastAsia="Arial" w:hAnsi="Arial"/>
          <w:sz w:val="19"/>
          <w:szCs w:val="19"/>
          <w:b w:val="1"/>
          <w:bCs w:val="1"/>
          <w:color w:val="auto"/>
        </w:rPr>
        <w:t>Exhibit 1.1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NO. 3 AND LIMITED WAIVER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AMENDED AND RESTATED CREDIT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September 11, 2019</w:t>
      </w:r>
    </w:p>
    <w:p>
      <w:pPr>
        <w:spacing w:after="0" w:line="216"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8"/>
          <w:szCs w:val="18"/>
          <w:color w:val="auto"/>
        </w:rPr>
        <w:t>THIS AMENDMENT NO. 3 AND LIMITED WAIVER (this “</w:t>
      </w:r>
      <w:r>
        <w:rPr>
          <w:rFonts w:ascii="Arial" w:cs="Arial" w:eastAsia="Arial" w:hAnsi="Arial"/>
          <w:sz w:val="18"/>
          <w:szCs w:val="18"/>
          <w:u w:val="single" w:color="auto"/>
          <w:color w:val="auto"/>
        </w:rPr>
        <w:t>Amendment</w:t>
      </w:r>
      <w:r>
        <w:rPr>
          <w:rFonts w:ascii="Arial" w:cs="Arial" w:eastAsia="Arial" w:hAnsi="Arial"/>
          <w:sz w:val="18"/>
          <w:szCs w:val="18"/>
          <w:color w:val="auto"/>
        </w:rPr>
        <w:t>”) is dated as of July 7, 2023, with an effective date of June 30, 2023 (the “</w:t>
      </w:r>
      <w:r>
        <w:rPr>
          <w:rFonts w:ascii="Arial" w:cs="Arial" w:eastAsia="Arial" w:hAnsi="Arial"/>
          <w:sz w:val="18"/>
          <w:szCs w:val="18"/>
          <w:u w:val="single" w:color="auto"/>
          <w:color w:val="auto"/>
        </w:rPr>
        <w:t>Amendment No. 3 Effective Date</w:t>
      </w:r>
      <w:r>
        <w:rPr>
          <w:rFonts w:ascii="Arial" w:cs="Arial" w:eastAsia="Arial" w:hAnsi="Arial"/>
          <w:sz w:val="18"/>
          <w:szCs w:val="18"/>
          <w:color w:val="auto"/>
        </w:rPr>
        <w:t>”), by and among Yellow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other Guarantors party to the Credit Agreement, the financial institutions listed on the signature pages hereof and Alter Domus Products Corp. (formerly known as Cortland Products Corp.), as administrative agent and collateral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under that certain Amended and Restated Credit Agreement dated as of September 11, 2019 by and among the Borrower, the Guarantors party thereto from time to time, the Lenders and the Administrative Agent (as amended by Amendment No. 1 to Amended and Restated Credit Agreement dated as of April 7, 2020 and Amendment No. 2 to Amended and Restated Credit Agreement dated as of July 7, 2020 and as further amended, amended and restated, restated, supplemented or otherwise modified from time to time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Credit Agreement, as amended by this Amendment, is hereinafter referred to as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 Capitalized terms used herein and not otherwise defined herein shall have the respective meanings given to them in the Amended Credit Agreement.</w:t>
      </w:r>
    </w:p>
    <w:p>
      <w:pPr>
        <w:spacing w:after="0" w:line="174"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WHEREAS, the Borrower and the Guarantors have requested that the Lenders waive compliance with Section 7.10 of the Credit Agreement with respect to the Test Periods ending June 30, 2023 and September 30, 2023; and</w:t>
      </w:r>
    </w:p>
    <w:p>
      <w:pPr>
        <w:spacing w:after="0" w:line="17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WHEREAS, the Lenders party hereto constituting the Required Lenders party to the Credit Agreement as of the date hereof (the “</w:t>
      </w:r>
      <w:r>
        <w:rPr>
          <w:rFonts w:ascii="Arial" w:cs="Arial" w:eastAsia="Arial" w:hAnsi="Arial"/>
          <w:sz w:val="20"/>
          <w:szCs w:val="20"/>
          <w:u w:val="single" w:color="auto"/>
          <w:color w:val="auto"/>
        </w:rPr>
        <w:t>Consenting Lenders</w:t>
      </w:r>
      <w:r>
        <w:rPr>
          <w:rFonts w:ascii="Arial" w:cs="Arial" w:eastAsia="Arial" w:hAnsi="Arial"/>
          <w:sz w:val="20"/>
          <w:szCs w:val="20"/>
          <w:color w:val="auto"/>
        </w:rPr>
        <w:t>”) and the Administrative Agent have agreed to make the amendments described herein pursuant to this Amendment on the terms and conditions set forth herein.</w:t>
      </w:r>
    </w:p>
    <w:p>
      <w:pPr>
        <w:spacing w:after="0" w:line="186"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NOW, THEREFORE, in consideration of the premises set forth above, the terms and conditions contained herein, and other good and valuable consideration, the receipt and sufficiency of which are hereby acknowledged, the Borrower, the Guarantors party hereto, the Consenting Lenders and the Administrative Agent have agreed to enter into this Amendment.</w:t>
      </w:r>
    </w:p>
    <w:p>
      <w:pPr>
        <w:spacing w:after="0" w:line="170" w:lineRule="exact"/>
        <w:rPr>
          <w:sz w:val="20"/>
          <w:szCs w:val="20"/>
          <w:color w:val="auto"/>
        </w:rPr>
      </w:pPr>
    </w:p>
    <w:p>
      <w:pPr>
        <w:ind w:left="1980" w:hanging="475"/>
        <w:spacing w:after="0"/>
        <w:tabs>
          <w:tab w:leader="none" w:pos="198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Amendments to Credit Agreement</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57" w:lineRule="auto"/>
        <w:tabs>
          <w:tab w:leader="none" w:pos="2023"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Subject to the satisfaction or waiver of the conditions precedent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below (the date such conditions are met or so waived, the “</w:t>
      </w:r>
      <w:r>
        <w:rPr>
          <w:rFonts w:ascii="Arial" w:cs="Arial" w:eastAsia="Arial" w:hAnsi="Arial"/>
          <w:sz w:val="19"/>
          <w:szCs w:val="19"/>
          <w:u w:val="single" w:color="auto"/>
          <w:color w:val="auto"/>
        </w:rPr>
        <w:t>Amendment No. 3 Closing Date</w:t>
      </w:r>
      <w:r>
        <w:rPr>
          <w:rFonts w:ascii="Arial" w:cs="Arial" w:eastAsia="Arial" w:hAnsi="Arial"/>
          <w:sz w:val="19"/>
          <w:szCs w:val="19"/>
          <w:color w:val="auto"/>
        </w:rPr>
        <w:t xml:space="preserve">”), and effective as of the Amendment No. 3 Effective Date, the Credit Agreement is hereby amended to (a) delete the bold, stricken text (indicated textually in the same manner as the following example: </w:t>
      </w:r>
      <w:r>
        <w:rPr>
          <w:rFonts w:ascii="Arial" w:cs="Arial" w:eastAsia="Arial" w:hAnsi="Arial"/>
          <w:sz w:val="19"/>
          <w:szCs w:val="19"/>
          <w:color w:val="FF0000"/>
          <w:strike w:val="1"/>
        </w:rPr>
        <w:t>stricken</w:t>
      </w:r>
      <w:r>
        <w:rPr>
          <w:rFonts w:ascii="Arial" w:cs="Arial" w:eastAsia="Arial" w:hAnsi="Arial"/>
          <w:sz w:val="19"/>
          <w:szCs w:val="19"/>
          <w:color w:val="auto"/>
        </w:rPr>
        <w:t xml:space="preserve"> </w:t>
      </w:r>
      <w:r>
        <w:rPr>
          <w:rFonts w:ascii="Arial" w:cs="Arial" w:eastAsia="Arial" w:hAnsi="Arial"/>
          <w:sz w:val="19"/>
          <w:szCs w:val="19"/>
          <w:color w:val="FF0000"/>
          <w:strike w:val="1"/>
        </w:rPr>
        <w:t>text</w:t>
      </w:r>
      <w:r>
        <w:rPr>
          <w:rFonts w:ascii="Arial" w:cs="Arial" w:eastAsia="Arial" w:hAnsi="Arial"/>
          <w:sz w:val="19"/>
          <w:szCs w:val="19"/>
          <w:color w:val="000000"/>
        </w:rPr>
        <w:t>) and to add the bold, double-underlined text (indicated textually in the same manner as the following example:</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double-underlined text</w:t>
      </w:r>
      <w:r>
        <w:rPr>
          <w:rFonts w:ascii="Arial" w:cs="Arial" w:eastAsia="Arial" w:hAnsi="Arial"/>
          <w:sz w:val="19"/>
          <w:szCs w:val="19"/>
          <w:color w:val="000000"/>
        </w:rPr>
        <w:t>) as</w:t>
      </w:r>
      <w:r>
        <w:rPr>
          <w:rFonts w:ascii="Arial" w:cs="Arial" w:eastAsia="Arial" w:hAnsi="Arial"/>
          <w:sz w:val="19"/>
          <w:szCs w:val="19"/>
          <w:color w:val="FF0000"/>
        </w:rPr>
        <w:t xml:space="preserve"> </w:t>
      </w:r>
      <w:r>
        <w:rPr>
          <w:rFonts w:ascii="Arial" w:cs="Arial" w:eastAsia="Arial" w:hAnsi="Arial"/>
          <w:sz w:val="19"/>
          <w:szCs w:val="19"/>
          <w:color w:val="000000"/>
        </w:rPr>
        <w:t xml:space="preserve">set forth in </w:t>
      </w:r>
      <w:r>
        <w:rPr>
          <w:rFonts w:ascii="Arial" w:cs="Arial" w:eastAsia="Arial" w:hAnsi="Arial"/>
          <w:sz w:val="19"/>
          <w:szCs w:val="19"/>
          <w:u w:val="single" w:color="auto"/>
          <w:color w:val="000000"/>
        </w:rPr>
        <w:t>Exhibit A</w:t>
      </w:r>
      <w:r>
        <w:rPr>
          <w:rFonts w:ascii="Arial" w:cs="Arial" w:eastAsia="Arial" w:hAnsi="Arial"/>
          <w:sz w:val="19"/>
          <w:szCs w:val="19"/>
          <w:color w:val="000000"/>
        </w:rPr>
        <w:t xml:space="preserve"> hereto, (b) add as Schedule 7.05(a) (</w:t>
      </w:r>
      <w:r>
        <w:rPr>
          <w:rFonts w:ascii="Arial" w:cs="Arial" w:eastAsia="Arial" w:hAnsi="Arial"/>
          <w:sz w:val="19"/>
          <w:szCs w:val="19"/>
          <w:i w:val="1"/>
          <w:iCs w:val="1"/>
          <w:color w:val="000000"/>
        </w:rPr>
        <w:t>Amendment No. 3 Real Properties Under Contract</w:t>
      </w:r>
      <w:r>
        <w:rPr>
          <w:rFonts w:ascii="Arial" w:cs="Arial" w:eastAsia="Arial" w:hAnsi="Arial"/>
          <w:sz w:val="19"/>
          <w:szCs w:val="19"/>
          <w:color w:val="000000"/>
        </w:rPr>
        <w:t>) to the Credit Agreement, the schedule attached hereto as Schedule 1 and (c) add as a new Schedule 7.05(a) (</w:t>
      </w:r>
      <w:r>
        <w:rPr>
          <w:rFonts w:ascii="Arial" w:cs="Arial" w:eastAsia="Arial" w:hAnsi="Arial"/>
          <w:sz w:val="19"/>
          <w:szCs w:val="19"/>
          <w:i w:val="1"/>
          <w:iCs w:val="1"/>
          <w:color w:val="000000"/>
        </w:rPr>
        <w:t>Amendment No. 3 Additional Real Properties</w:t>
      </w:r>
      <w:r>
        <w:rPr>
          <w:rFonts w:ascii="Arial" w:cs="Arial" w:eastAsia="Arial" w:hAnsi="Arial"/>
          <w:sz w:val="19"/>
          <w:szCs w:val="19"/>
          <w:color w:val="000000"/>
        </w:rPr>
        <w:t>) to the Credit Agreement, the schedule attached hereto as 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ind w:left="1192" w:hanging="399"/>
        <w:spacing w:after="0"/>
        <w:tabs>
          <w:tab w:leader="none" w:pos="1192" w:val="left"/>
        </w:tabs>
        <w:numPr>
          <w:ilvl w:val="2"/>
          <w:numId w:val="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Amendment, the Credit Agreement or in any other Loan Document,</w:t>
      </w:r>
    </w:p>
    <w:p>
      <w:pPr>
        <w:spacing w:after="0" w:line="38" w:lineRule="exact"/>
        <w:rPr>
          <w:rFonts w:ascii="Arial" w:cs="Arial" w:eastAsia="Arial" w:hAnsi="Arial"/>
          <w:sz w:val="18"/>
          <w:szCs w:val="18"/>
          <w:color w:val="auto"/>
        </w:rPr>
      </w:pPr>
    </w:p>
    <w:p>
      <w:pPr>
        <w:jc w:val="both"/>
        <w:ind w:left="-8" w:firstLine="8"/>
        <w:spacing w:after="0" w:line="253" w:lineRule="auto"/>
        <w:tabs>
          <w:tab w:leader="none" w:pos="340" w:val="left"/>
        </w:tabs>
        <w:numPr>
          <w:ilvl w:val="0"/>
          <w:numId w:val="6"/>
        </w:numPr>
        <w:rPr>
          <w:rFonts w:ascii="Arial" w:cs="Arial" w:eastAsia="Arial" w:hAnsi="Arial"/>
          <w:sz w:val="19"/>
          <w:szCs w:val="19"/>
          <w:color w:val="auto"/>
        </w:rPr>
      </w:pPr>
      <w:r>
        <w:rPr>
          <w:rFonts w:ascii="Arial" w:cs="Arial" w:eastAsia="Arial" w:hAnsi="Arial"/>
          <w:sz w:val="19"/>
          <w:szCs w:val="19"/>
          <w:color w:val="auto"/>
        </w:rPr>
        <w:t>all Term Loans outstanding as of the date hereof that are Eurodollar Term Loans (as defined in the Credit Agreement, the “</w:t>
      </w:r>
      <w:r>
        <w:rPr>
          <w:rFonts w:ascii="Arial" w:cs="Arial" w:eastAsia="Arial" w:hAnsi="Arial"/>
          <w:sz w:val="19"/>
          <w:szCs w:val="19"/>
          <w:b w:val="1"/>
          <w:bCs w:val="1"/>
          <w:color w:val="auto"/>
        </w:rPr>
        <w:t>Existing</w:t>
      </w:r>
      <w:r>
        <w:rPr>
          <w:rFonts w:ascii="Arial" w:cs="Arial" w:eastAsia="Arial" w:hAnsi="Arial"/>
          <w:sz w:val="19"/>
          <w:szCs w:val="19"/>
          <w:color w:val="auto"/>
        </w:rPr>
        <w:t xml:space="preserve"> </w:t>
      </w:r>
      <w:r>
        <w:rPr>
          <w:rFonts w:ascii="Arial" w:cs="Arial" w:eastAsia="Arial" w:hAnsi="Arial"/>
          <w:sz w:val="19"/>
          <w:szCs w:val="19"/>
          <w:b w:val="1"/>
          <w:bCs w:val="1"/>
          <w:color w:val="auto"/>
        </w:rPr>
        <w:t>Eurodollar Term Loans</w:t>
      </w:r>
      <w:r>
        <w:rPr>
          <w:rFonts w:ascii="Arial" w:cs="Arial" w:eastAsia="Arial" w:hAnsi="Arial"/>
          <w:sz w:val="19"/>
          <w:szCs w:val="19"/>
          <w:color w:val="auto"/>
        </w:rPr>
        <w:t>”), shall continue to accrue interest based on the Adjusted LIBO Rate plus the Applicable Margin to such Existing</w:t>
      </w:r>
      <w:r>
        <w:rPr>
          <w:rFonts w:ascii="Arial" w:cs="Arial" w:eastAsia="Arial" w:hAnsi="Arial"/>
          <w:sz w:val="19"/>
          <w:szCs w:val="19"/>
          <w:b w:val="1"/>
          <w:bCs w:val="1"/>
          <w:color w:val="auto"/>
        </w:rPr>
        <w:t xml:space="preserve"> </w:t>
      </w:r>
      <w:r>
        <w:rPr>
          <w:rFonts w:ascii="Arial" w:cs="Arial" w:eastAsia="Arial" w:hAnsi="Arial"/>
          <w:sz w:val="19"/>
          <w:szCs w:val="19"/>
          <w:color w:val="auto"/>
        </w:rPr>
        <w:t>Eurodollar Term Loans pursuant to the Credit Agreement during their applicable existing Interest Periods as in effect on the date hereof until the last day of the Interest Period applicable to each such Existing Eurodollar Term Loan as in effect on the date hereof (provided, that in no event shall an Existing Eurodollar Term Loan be permitted to be continued as a Eurodollar Term Loan after the termination or expiration of its applicable Interest Period as in effect on the date hereof ), and thereafter, all Existing Eurodollar Term Loans shall bear interest based on Adjusted Term SOFR or the Base Rate in accordance with the Amended Credit Agreement, and (B) subject to any express limitations set forth in the immediately preceding clause (A), the terms of the Credit Agreement in respect of the administration of Eurodollar Term Loans (solely with respect to the Existing Eurodollar Term Loans) shall remain in effect after the date hereof until the last day of the Interest Period applicable to each such Existing Eurodollar Term Loan, in each case, solely for purposes of administering the Existing Eurodollar Term Loans.</w:t>
      </w:r>
    </w:p>
    <w:p>
      <w:pPr>
        <w:spacing w:after="0" w:line="190" w:lineRule="exact"/>
        <w:rPr>
          <w:rFonts w:ascii="Arial" w:cs="Arial" w:eastAsia="Arial" w:hAnsi="Arial"/>
          <w:sz w:val="19"/>
          <w:szCs w:val="19"/>
          <w:color w:val="auto"/>
        </w:rPr>
      </w:pPr>
    </w:p>
    <w:p>
      <w:pPr>
        <w:ind w:left="1972" w:hanging="475"/>
        <w:spacing w:after="0"/>
        <w:tabs>
          <w:tab w:leader="none" w:pos="1972" w:val="left"/>
        </w:tabs>
        <w:numPr>
          <w:ilvl w:val="3"/>
          <w:numId w:val="6"/>
        </w:numPr>
        <w:rPr>
          <w:rFonts w:ascii="Arial" w:cs="Arial" w:eastAsia="Arial" w:hAnsi="Arial"/>
          <w:sz w:val="20"/>
          <w:szCs w:val="20"/>
          <w:color w:val="auto"/>
        </w:rPr>
      </w:pPr>
      <w:r>
        <w:rPr>
          <w:rFonts w:ascii="Arial" w:cs="Arial" w:eastAsia="Arial" w:hAnsi="Arial"/>
          <w:sz w:val="20"/>
          <w:szCs w:val="20"/>
          <w:u w:val="single" w:color="auto"/>
          <w:color w:val="auto"/>
        </w:rPr>
        <w:t>Limited Waiver</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 w:firstLine="757"/>
        <w:spacing w:after="0" w:line="263" w:lineRule="auto"/>
        <w:tabs>
          <w:tab w:leader="none" w:pos="1219" w:val="left"/>
        </w:tabs>
        <w:numPr>
          <w:ilvl w:val="1"/>
          <w:numId w:val="6"/>
        </w:numPr>
        <w:rPr>
          <w:rFonts w:ascii="Arial" w:cs="Arial" w:eastAsia="Arial" w:hAnsi="Arial"/>
          <w:sz w:val="19"/>
          <w:szCs w:val="19"/>
          <w:color w:val="auto"/>
        </w:rPr>
      </w:pPr>
      <w:r>
        <w:rPr>
          <w:rFonts w:ascii="Arial" w:cs="Arial" w:eastAsia="Arial" w:hAnsi="Arial"/>
          <w:sz w:val="19"/>
          <w:szCs w:val="19"/>
          <w:color w:val="auto"/>
        </w:rPr>
        <w:t>Subject to the satisfaction (or waiver) of the conditions precedent specified in Section 3 below, but effective as of the Amendment No. 3 Effective Date, the Consenting Lenders hereby waive compliance by the Borrower with Section 7.10 of the Credit Agreement solely for the Test Periods ending June 30, 2023 and September 30, 2023 (it being understood that the financial covenant contained in Section 7.10 of the Credit Agreement shall next be tested with respect to the Test Period ending December 31, 2023).</w:t>
      </w:r>
    </w:p>
    <w:p>
      <w:pPr>
        <w:spacing w:after="0" w:line="183" w:lineRule="exact"/>
        <w:rPr>
          <w:rFonts w:ascii="Arial" w:cs="Arial" w:eastAsia="Arial" w:hAnsi="Arial"/>
          <w:sz w:val="19"/>
          <w:szCs w:val="19"/>
          <w:color w:val="auto"/>
        </w:rPr>
      </w:pPr>
    </w:p>
    <w:p>
      <w:pPr>
        <w:jc w:val="both"/>
        <w:ind w:left="-8" w:firstLine="757"/>
        <w:spacing w:after="0" w:line="280" w:lineRule="auto"/>
        <w:tabs>
          <w:tab w:leader="none" w:pos="1185"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waiver in this Section 2 (the “</w:t>
      </w:r>
      <w:r>
        <w:rPr>
          <w:rFonts w:ascii="Arial" w:cs="Arial" w:eastAsia="Arial" w:hAnsi="Arial"/>
          <w:sz w:val="18"/>
          <w:szCs w:val="18"/>
          <w:b w:val="1"/>
          <w:bCs w:val="1"/>
          <w:color w:val="auto"/>
        </w:rPr>
        <w:t>Limited Waiver</w:t>
      </w:r>
      <w:r>
        <w:rPr>
          <w:rFonts w:ascii="Arial" w:cs="Arial" w:eastAsia="Arial" w:hAnsi="Arial"/>
          <w:sz w:val="18"/>
          <w:szCs w:val="18"/>
          <w:color w:val="auto"/>
        </w:rPr>
        <w:t>”) is limited in nature, shall only apply to compliance with Section 7.10 of the Credit Agreement for the Test Periods ending June 30, 2023 and September 30, 2023 and, notwithstanding anything to the contrary contained herein, shall terminate automatically at 5:00 p.m. New York time on July 13, 2023 (or such later date as may be agreed in writing by the Required Lenders (which writing may be via e-mail), the “</w:t>
      </w:r>
      <w:r>
        <w:rPr>
          <w:rFonts w:ascii="Arial" w:cs="Arial" w:eastAsia="Arial" w:hAnsi="Arial"/>
          <w:sz w:val="18"/>
          <w:szCs w:val="18"/>
          <w:b w:val="1"/>
          <w:bCs w:val="1"/>
          <w:color w:val="auto"/>
        </w:rPr>
        <w:t>Limited Waiver Termination Time</w:t>
      </w:r>
      <w:r>
        <w:rPr>
          <w:rFonts w:ascii="Arial" w:cs="Arial" w:eastAsia="Arial" w:hAnsi="Arial"/>
          <w:sz w:val="18"/>
          <w:szCs w:val="18"/>
          <w:color w:val="auto"/>
        </w:rPr>
        <w:t>”) if the Compton Sale has not been, and all Net Proceeds therefrom applied to prepay the Term Loans, on or prior to the Limited Waiver Termination Time.</w:t>
      </w:r>
    </w:p>
    <w:p>
      <w:pPr>
        <w:spacing w:after="0" w:line="162" w:lineRule="exact"/>
        <w:rPr>
          <w:rFonts w:ascii="Arial" w:cs="Arial" w:eastAsia="Arial" w:hAnsi="Arial"/>
          <w:sz w:val="18"/>
          <w:szCs w:val="18"/>
          <w:color w:val="auto"/>
        </w:rPr>
      </w:pPr>
    </w:p>
    <w:p>
      <w:pPr>
        <w:jc w:val="both"/>
        <w:ind w:left="-8" w:firstLine="757"/>
        <w:spacing w:after="0" w:line="259" w:lineRule="auto"/>
        <w:tabs>
          <w:tab w:leader="none" w:pos="1189" w:val="left"/>
        </w:tabs>
        <w:numPr>
          <w:ilvl w:val="1"/>
          <w:numId w:val="6"/>
        </w:numPr>
        <w:rPr>
          <w:rFonts w:ascii="Arial" w:cs="Arial" w:eastAsia="Arial" w:hAnsi="Arial"/>
          <w:sz w:val="19"/>
          <w:szCs w:val="19"/>
          <w:color w:val="auto"/>
        </w:rPr>
      </w:pPr>
      <w:r>
        <w:rPr>
          <w:rFonts w:ascii="Arial" w:cs="Arial" w:eastAsia="Arial" w:hAnsi="Arial"/>
          <w:sz w:val="19"/>
          <w:szCs w:val="19"/>
          <w:color w:val="auto"/>
        </w:rPr>
        <w:t>Nothing contained herein is intended to or shall be deemed or construed to (i) constitute a waiver of any Default or Event of Default whether arising prior to, on or after the Amendment No. 3 Effective Date (other than, subject to the occurrence of the Limited Waiver Termination Time, as specifically set forth in clause (a) above), (ii) constitute a waiver of compliance with any term or provision of the Credit Agreement or any other Loan Document or applicable law (other than, subject to the occurrence of the Limited Waiver Termination Time, as specifically set forth in clause (a) above) or (iii) establish a custom or course of dealing between the Loan Parties, on the one hand, and the Administrative Agent and/or any Lender, on the other hand.</w:t>
      </w:r>
    </w:p>
    <w:p>
      <w:pPr>
        <w:spacing w:after="0" w:line="191" w:lineRule="exact"/>
        <w:rPr>
          <w:rFonts w:ascii="Arial" w:cs="Arial" w:eastAsia="Arial" w:hAnsi="Arial"/>
          <w:sz w:val="19"/>
          <w:szCs w:val="19"/>
          <w:color w:val="auto"/>
        </w:rPr>
      </w:pPr>
    </w:p>
    <w:p>
      <w:pPr>
        <w:jc w:val="both"/>
        <w:ind w:left="-8" w:firstLine="1505"/>
        <w:spacing w:after="0" w:line="250" w:lineRule="auto"/>
        <w:tabs>
          <w:tab w:leader="none" w:pos="1982" w:val="left"/>
        </w:tabs>
        <w:numPr>
          <w:ilvl w:val="3"/>
          <w:numId w:val="7"/>
        </w:numPr>
        <w:rPr>
          <w:rFonts w:ascii="Arial" w:cs="Arial" w:eastAsia="Arial" w:hAnsi="Arial"/>
          <w:sz w:val="20"/>
          <w:szCs w:val="20"/>
          <w:color w:val="auto"/>
        </w:rPr>
      </w:pPr>
      <w:r>
        <w:rPr>
          <w:rFonts w:ascii="Arial" w:cs="Arial" w:eastAsia="Arial" w:hAnsi="Arial"/>
          <w:sz w:val="20"/>
          <w:szCs w:val="20"/>
          <w:u w:val="single" w:color="auto"/>
          <w:color w:val="auto"/>
        </w:rPr>
        <w:t>Conditions of Effectiveness</w:t>
      </w:r>
      <w:r>
        <w:rPr>
          <w:rFonts w:ascii="Arial" w:cs="Arial" w:eastAsia="Arial" w:hAnsi="Arial"/>
          <w:sz w:val="20"/>
          <w:szCs w:val="20"/>
          <w:color w:val="auto"/>
        </w:rPr>
        <w:t>. The effectiveness of this Amendment on each of the Amendment No. 3 Closing Date and the Amendment No. 3 Effective Date, as applicable, is subject to the satisfaction (or waiver by each of the Consenting Lenders) of the following conditions precedent:</w:t>
      </w:r>
    </w:p>
    <w:p>
      <w:pPr>
        <w:spacing w:after="0" w:line="186" w:lineRule="exact"/>
        <w:rPr>
          <w:sz w:val="20"/>
          <w:szCs w:val="20"/>
          <w:color w:val="auto"/>
        </w:rPr>
      </w:pPr>
    </w:p>
    <w:p>
      <w:pPr>
        <w:ind w:left="-8" w:firstLine="1505"/>
        <w:spacing w:after="0" w:line="260" w:lineRule="auto"/>
        <w:tabs>
          <w:tab w:leader="none" w:pos="2003"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Administrative Agent shall have received counterparts of this Amendment duly executed by the Borrower, the Guarantors party hereto and each of the Consenting Lenders and acknowledged by the Administrative Agent;</w:t>
      </w:r>
    </w:p>
    <w:p>
      <w:pPr>
        <w:spacing w:after="0" w:line="176" w:lineRule="exact"/>
        <w:rPr>
          <w:rFonts w:ascii="Arial" w:cs="Arial" w:eastAsia="Arial" w:hAnsi="Arial"/>
          <w:sz w:val="20"/>
          <w:szCs w:val="20"/>
          <w:color w:val="auto"/>
        </w:rPr>
      </w:pPr>
    </w:p>
    <w:p>
      <w:pPr>
        <w:ind w:left="-8" w:firstLine="1505"/>
        <w:spacing w:after="0" w:line="260" w:lineRule="auto"/>
        <w:tabs>
          <w:tab w:leader="none" w:pos="2008" w:val="left"/>
        </w:tabs>
        <w:numPr>
          <w:ilvl w:val="0"/>
          <w:numId w:val="8"/>
        </w:numPr>
        <w:rPr>
          <w:rFonts w:ascii="Arial" w:cs="Arial" w:eastAsia="Arial" w:hAnsi="Arial"/>
          <w:sz w:val="20"/>
          <w:szCs w:val="20"/>
          <w:color w:val="auto"/>
        </w:rPr>
      </w:pPr>
      <w:r>
        <w:rPr>
          <w:rFonts w:ascii="Arial" w:cs="Arial" w:eastAsia="Arial" w:hAnsi="Arial"/>
          <w:sz w:val="20"/>
          <w:szCs w:val="20"/>
          <w:color w:val="auto"/>
        </w:rPr>
        <w:t>(i) the Administrative Agent and the Required Lenders shall have received executed copies of amendments or waivers, as applicable, to the UST Tranche A Credit Agreement and the UST</w:t>
      </w:r>
    </w:p>
    <w:p>
      <w:pPr>
        <w:spacing w:after="0" w:line="200" w:lineRule="exact"/>
        <w:rPr>
          <w:sz w:val="20"/>
          <w:szCs w:val="20"/>
          <w:color w:val="auto"/>
        </w:rPr>
      </w:pPr>
    </w:p>
    <w:p>
      <w:pPr>
        <w:spacing w:after="0" w:line="215" w:lineRule="exact"/>
        <w:rPr>
          <w:sz w:val="20"/>
          <w:szCs w:val="20"/>
          <w:color w:val="auto"/>
        </w:rPr>
      </w:pPr>
    </w:p>
    <w:p>
      <w:pPr>
        <w:ind w:left="432"/>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157480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9" w:right="339" w:bottom="1440" w:gutter="0" w:footer="0" w:header="0"/>
        </w:sectPr>
      </w:pPr>
    </w:p>
    <w:bookmarkStart w:id="7" w:name="page8"/>
    <w:bookmarkEnd w:id="7"/>
    <w:p>
      <w:pPr>
        <w:spacing w:after="0" w:line="260" w:lineRule="auto"/>
        <w:rPr>
          <w:sz w:val="20"/>
          <w:szCs w:val="20"/>
          <w:color w:val="auto"/>
        </w:rPr>
      </w:pPr>
      <w:r>
        <w:rPr>
          <w:rFonts w:ascii="Arial" w:cs="Arial" w:eastAsia="Arial" w:hAnsi="Arial"/>
          <w:sz w:val="20"/>
          <w:szCs w:val="20"/>
          <w:color w:val="auto"/>
        </w:rPr>
        <w:t>Tranche B Credit Agreement, each in form and substance reasonably satisfactory to the Consenting Lenders and (ii) the conditions precedent set forth in each such amendment or waiver, as applicable, shall have been satisfied;</w:t>
      </w:r>
    </w:p>
    <w:p>
      <w:pPr>
        <w:spacing w:after="0" w:line="177" w:lineRule="exact"/>
        <w:rPr>
          <w:sz w:val="20"/>
          <w:szCs w:val="20"/>
          <w:color w:val="auto"/>
        </w:rPr>
      </w:pPr>
    </w:p>
    <w:p>
      <w:pPr>
        <w:ind w:left="1200" w:hanging="401"/>
        <w:spacing w:after="0"/>
        <w:tabs>
          <w:tab w:leader="none" w:pos="120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Required Lenders shall have received the Initial Budget;</w:t>
      </w:r>
    </w:p>
    <w:p>
      <w:pPr>
        <w:spacing w:after="0" w:line="215" w:lineRule="exact"/>
        <w:rPr>
          <w:rFonts w:ascii="Arial" w:cs="Arial" w:eastAsia="Arial" w:hAnsi="Arial"/>
          <w:sz w:val="20"/>
          <w:szCs w:val="20"/>
          <w:color w:val="auto"/>
        </w:rPr>
      </w:pPr>
    </w:p>
    <w:p>
      <w:pPr>
        <w:jc w:val="both"/>
        <w:ind w:firstLine="1505"/>
        <w:spacing w:after="0" w:line="269" w:lineRule="auto"/>
        <w:tabs>
          <w:tab w:leader="none" w:pos="2004"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executed by the Secretary (or other equivalent officer, partner or manager) of each Loan Party dated as of the Amendment No. 3 Closing Date certifying: (i) as true and correct a copy of resolutions in form and substance reasonably satisfactory to the Administrative Agent, of the board of directors (or other equivalent governing body, member or partner) of each Loan Party approving and authorizing the execution, delivery and performance by such Loan Party of this Amendment and all documents, instruments and agreements executed and/or delivered in connection herewith (if any) and of the transactions contemplated herein and therein, (ii) as true and correct and in full force and effect, without any amendment except as shown, a copy of the Organization Documents of each Loan Party, or that there have been no amendments, supplements, or other modifications to such Loan Party’s Organizational Documents since the Restatement Effective Date and that the copies of such Loan Party’s Organizational Documents delivered to Administrative Agent on such date as a part of the “secretary’s certificate” delivered by such Loan Party are true, correct and complete copies of such Organizational Documents as currently in full force and effect, (iii) if available, a true and correct a copy of a good standing certificate/certificate of status for each Loan Party certified by the applicable Governmental Authority of such Loan Party’s jurisdiction of incorporation, organization or formation dated a recent date prior to the date hereof, and (iv) the names and signatures of the officers of such Loan Party authorized to execute and deliver this Amendment and all documents, instruments and agreements executed and/or delivered in connection herewith (if any) on behalf of such Loan Party pursuant to the resolutions referenced in clause (i) above (and such certificate shall be countersigned by another officer of such Loan Party certifying the name, office and signature of the Secretary (or other equivalent officer, partner or manager) of such Loan Party giving such certificate);</w:t>
      </w:r>
    </w:p>
    <w:p>
      <w:pPr>
        <w:spacing w:after="0" w:line="176" w:lineRule="exact"/>
        <w:rPr>
          <w:rFonts w:ascii="Arial" w:cs="Arial" w:eastAsia="Arial" w:hAnsi="Arial"/>
          <w:sz w:val="18"/>
          <w:szCs w:val="18"/>
          <w:color w:val="auto"/>
        </w:rPr>
      </w:pPr>
    </w:p>
    <w:p>
      <w:pPr>
        <w:jc w:val="both"/>
        <w:ind w:firstLine="1505"/>
        <w:spacing w:after="0" w:line="246" w:lineRule="auto"/>
        <w:tabs>
          <w:tab w:leader="none" w:pos="2023" w:val="left"/>
        </w:tabs>
        <w:numPr>
          <w:ilvl w:val="1"/>
          <w:numId w:val="9"/>
        </w:numPr>
        <w:rPr>
          <w:rFonts w:ascii="Arial" w:cs="Arial" w:eastAsia="Arial" w:hAnsi="Arial"/>
          <w:sz w:val="20"/>
          <w:szCs w:val="20"/>
          <w:color w:val="auto"/>
        </w:rPr>
      </w:pPr>
      <w:r>
        <w:rPr>
          <w:rFonts w:ascii="Arial" w:cs="Arial" w:eastAsia="Arial" w:hAnsi="Arial"/>
          <w:sz w:val="20"/>
          <w:szCs w:val="20"/>
          <w:color w:val="auto"/>
        </w:rPr>
        <w:t>the Borrower shall have paid all invoiced expenses of the Administrative Agent and the Consenting Lenders (including, without limitation, all previously invoiced, reasonable, out-of-pocket expenses of the Administrative Agent (including, to the extent invoiced, reasonable attorneys’ fees and expenses of Holland &amp; Knight LLP, Milbank LLP and White &amp; Case LLP, in each case to the extent reimbursable under the terms of the Credit Agreement); and</w:t>
      </w:r>
    </w:p>
    <w:p>
      <w:pPr>
        <w:spacing w:after="0" w:line="191" w:lineRule="exact"/>
        <w:rPr>
          <w:rFonts w:ascii="Arial" w:cs="Arial" w:eastAsia="Arial" w:hAnsi="Arial"/>
          <w:sz w:val="20"/>
          <w:szCs w:val="20"/>
          <w:color w:val="auto"/>
        </w:rPr>
      </w:pPr>
    </w:p>
    <w:p>
      <w:pPr>
        <w:ind w:firstLine="1505"/>
        <w:spacing w:after="0" w:line="287" w:lineRule="auto"/>
        <w:tabs>
          <w:tab w:leader="none" w:pos="1991" w:val="left"/>
        </w:tabs>
        <w:numPr>
          <w:ilvl w:val="1"/>
          <w:numId w:val="9"/>
        </w:numPr>
        <w:rPr>
          <w:rFonts w:ascii="Arial" w:cs="Arial" w:eastAsia="Arial" w:hAnsi="Arial"/>
          <w:sz w:val="19"/>
          <w:szCs w:val="19"/>
          <w:color w:val="auto"/>
        </w:rPr>
      </w:pPr>
      <w:r>
        <w:rPr>
          <w:rFonts w:ascii="Arial" w:cs="Arial" w:eastAsia="Arial" w:hAnsi="Arial"/>
          <w:sz w:val="19"/>
          <w:szCs w:val="19"/>
          <w:color w:val="auto"/>
        </w:rPr>
        <w:t>after giving effect to the Limited Waiver set forth in Section 2, no Default or Event of Default has occurred and is continuing or would result from the execution of this Amendment or consummation of the transactions contemplated hereunder.</w:t>
      </w:r>
    </w:p>
    <w:p>
      <w:pPr>
        <w:spacing w:after="0" w:line="152" w:lineRule="exact"/>
        <w:rPr>
          <w:sz w:val="20"/>
          <w:szCs w:val="20"/>
          <w:color w:val="auto"/>
        </w:rPr>
      </w:pPr>
    </w:p>
    <w:p>
      <w:pPr>
        <w:ind w:firstLine="1505"/>
        <w:spacing w:after="0" w:line="316" w:lineRule="auto"/>
        <w:tabs>
          <w:tab w:leader="none" w:pos="200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Each of the Borrower and each of the Guarantors party hereto hereby represents and warrants as follows as of each of the Amendment No. 3 Closing Date and the Amendment No. 3 Effective Date:</w:t>
      </w:r>
    </w:p>
    <w:p>
      <w:pPr>
        <w:spacing w:after="0" w:line="130" w:lineRule="exact"/>
        <w:rPr>
          <w:sz w:val="20"/>
          <w:szCs w:val="20"/>
          <w:color w:val="auto"/>
        </w:rPr>
      </w:pPr>
    </w:p>
    <w:p>
      <w:pPr>
        <w:jc w:val="both"/>
        <w:ind w:firstLine="1505"/>
        <w:spacing w:after="0" w:line="244" w:lineRule="auto"/>
        <w:tabs>
          <w:tab w:leader="none" w:pos="2036"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This Amendment has been duly authorized, executed and delivered by the Borrower and each Guarantor and this Amendment and the Credit Agreement, as modified hereby, constitute legal, valid and binding obligations of the Borrower and the Guarantors and are enforceable against the Borrower and the Guarantors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4" w:lineRule="exact"/>
        <w:rPr>
          <w:rFonts w:ascii="Arial" w:cs="Arial" w:eastAsia="Arial" w:hAnsi="Arial"/>
          <w:sz w:val="20"/>
          <w:szCs w:val="20"/>
          <w:color w:val="auto"/>
        </w:rPr>
      </w:pPr>
    </w:p>
    <w:p>
      <w:pPr>
        <w:ind w:firstLine="1505"/>
        <w:spacing w:after="0" w:line="260" w:lineRule="auto"/>
        <w:tabs>
          <w:tab w:leader="none" w:pos="2036" w:val="left"/>
        </w:tabs>
        <w:numPr>
          <w:ilvl w:val="0"/>
          <w:numId w:val="11"/>
        </w:numPr>
        <w:rPr>
          <w:rFonts w:ascii="Arial" w:cs="Arial" w:eastAsia="Arial" w:hAnsi="Arial"/>
          <w:sz w:val="20"/>
          <w:szCs w:val="20"/>
          <w:color w:val="auto"/>
        </w:rPr>
      </w:pPr>
      <w:r>
        <w:rPr>
          <w:rFonts w:ascii="Arial" w:cs="Arial" w:eastAsia="Arial" w:hAnsi="Arial"/>
          <w:sz w:val="20"/>
          <w:szCs w:val="20"/>
          <w:color w:val="auto"/>
        </w:rPr>
        <w:t>After giving effect to the Limited Waiver set forth in Section 2, the representations and warranties of the Borrower and the Guarantors set forth in the Credit Agreement, as modified hereby,</w:t>
      </w: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 w:name="page9"/>
    <w:bookmarkEnd w:id="8"/>
    <w:p>
      <w:pPr>
        <w:jc w:val="both"/>
        <w:spacing w:after="0" w:line="244" w:lineRule="auto"/>
        <w:rPr>
          <w:sz w:val="20"/>
          <w:szCs w:val="20"/>
          <w:color w:val="auto"/>
        </w:rPr>
      </w:pPr>
      <w:r>
        <w:rPr>
          <w:rFonts w:ascii="Arial" w:cs="Arial" w:eastAsia="Arial" w:hAnsi="Arial"/>
          <w:sz w:val="20"/>
          <w:szCs w:val="20"/>
          <w:color w:val="auto"/>
        </w:rPr>
        <w:t xml:space="preserve">and the Loan Documents, are true and correct in all material respects on and as of the date hereof, except to the extent such representations and warranties expressly relate to an earlier date, in which case they shall be true and correct in all material respects as of such earlier date; </w:t>
      </w:r>
      <w:r>
        <w:rPr>
          <w:rFonts w:ascii="Arial" w:cs="Arial" w:eastAsia="Arial" w:hAnsi="Arial"/>
          <w:sz w:val="20"/>
          <w:szCs w:val="20"/>
          <w:i w:val="1"/>
          <w:iCs w:val="1"/>
          <w:color w:val="auto"/>
        </w:rPr>
        <w:t>provided</w:t>
      </w:r>
      <w:r>
        <w:rPr>
          <w:rFonts w:ascii="Arial" w:cs="Arial" w:eastAsia="Arial" w:hAnsi="Arial"/>
          <w:sz w:val="20"/>
          <w:szCs w:val="20"/>
          <w:color w:val="auto"/>
        </w:rPr>
        <w:t>, that any such representation and warranty that is qualified by “materiality”, “material adverse effect” or similar language shall be</w:t>
      </w:r>
      <w:r>
        <w:rPr>
          <w:rFonts w:ascii="Arial" w:cs="Arial" w:eastAsia="Arial" w:hAnsi="Arial"/>
          <w:sz w:val="20"/>
          <w:szCs w:val="20"/>
          <w:i w:val="1"/>
          <w:iCs w:val="1"/>
          <w:color w:val="auto"/>
        </w:rPr>
        <w:t xml:space="preserve"> </w:t>
      </w:r>
      <w:r>
        <w:rPr>
          <w:rFonts w:ascii="Arial" w:cs="Arial" w:eastAsia="Arial" w:hAnsi="Arial"/>
          <w:sz w:val="20"/>
          <w:szCs w:val="20"/>
          <w:color w:val="auto"/>
        </w:rPr>
        <w:t>true and correct in all respects (after giving effect to such qualification therein) on and as of the date hereof with the same effect as though made on and as of such date or such earlier date, as applicable.</w:t>
      </w:r>
    </w:p>
    <w:p>
      <w:pPr>
        <w:spacing w:after="0" w:line="194" w:lineRule="exact"/>
        <w:rPr>
          <w:sz w:val="20"/>
          <w:szCs w:val="20"/>
          <w:color w:val="auto"/>
        </w:rPr>
      </w:pPr>
    </w:p>
    <w:p>
      <w:pPr>
        <w:jc w:val="both"/>
        <w:ind w:firstLine="1505"/>
        <w:spacing w:after="0" w:line="246" w:lineRule="auto"/>
        <w:tabs>
          <w:tab w:leader="none" w:pos="1979" w:val="left"/>
        </w:tabs>
        <w:numPr>
          <w:ilvl w:val="0"/>
          <w:numId w:val="12"/>
        </w:numPr>
        <w:rPr>
          <w:rFonts w:ascii="Arial" w:cs="Arial" w:eastAsia="Arial" w:hAnsi="Arial"/>
          <w:sz w:val="20"/>
          <w:szCs w:val="20"/>
          <w:color w:val="auto"/>
        </w:rPr>
      </w:pPr>
      <w:r>
        <w:rPr>
          <w:rFonts w:ascii="Arial" w:cs="Arial" w:eastAsia="Arial" w:hAnsi="Arial"/>
          <w:sz w:val="20"/>
          <w:szCs w:val="20"/>
          <w:color w:val="auto"/>
        </w:rPr>
        <w:t>(i) Schedule 1 hereto contains a full and accurate list of each Real Property of the Loan Parties and their Subsidiaries subject to a sale agreement as of the Amendment No. 3 Effective Date; (ii) the Borrower has separately delivered to the Consenting Lenders a full and accurate list of the anticipated gross consideration from the sale of such Real Property; and (iii) each buyer under each aforementioned sale agreement is a bona-fide third party.</w:t>
      </w:r>
    </w:p>
    <w:p>
      <w:pPr>
        <w:spacing w:after="0" w:line="191" w:lineRule="exact"/>
        <w:rPr>
          <w:sz w:val="20"/>
          <w:szCs w:val="20"/>
          <w:color w:val="auto"/>
        </w:rPr>
      </w:pPr>
    </w:p>
    <w:p>
      <w:pPr>
        <w:ind w:left="1980" w:hanging="475"/>
        <w:spacing w:after="0"/>
        <w:tabs>
          <w:tab w:leader="none" w:pos="198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Reference to and Effect on the Credit Agreement</w:t>
      </w:r>
      <w:r>
        <w:rPr>
          <w:rFonts w:ascii="Arial" w:cs="Arial" w:eastAsia="Arial" w:hAnsi="Arial"/>
          <w:sz w:val="20"/>
          <w:szCs w:val="20"/>
          <w:color w:val="auto"/>
        </w:rPr>
        <w:t>.</w:t>
      </w:r>
    </w:p>
    <w:p>
      <w:pPr>
        <w:spacing w:after="0" w:line="216" w:lineRule="exact"/>
        <w:rPr>
          <w:sz w:val="20"/>
          <w:szCs w:val="20"/>
          <w:color w:val="auto"/>
        </w:rPr>
      </w:pPr>
    </w:p>
    <w:p>
      <w:pPr>
        <w:ind w:firstLine="1505"/>
        <w:spacing w:after="0" w:line="316" w:lineRule="auto"/>
        <w:tabs>
          <w:tab w:leader="none" w:pos="19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the effectiveness hereof, each reference to the Credit Agreement in the Credit Agreement or any other Loan Document shall mean and be a reference to the Amended Credit Agreement. This Amendment shall constitute a Loan Document.</w:t>
      </w:r>
    </w:p>
    <w:p>
      <w:pPr>
        <w:spacing w:after="0" w:line="130" w:lineRule="exact"/>
        <w:rPr>
          <w:sz w:val="20"/>
          <w:szCs w:val="20"/>
          <w:color w:val="auto"/>
        </w:rPr>
      </w:pPr>
    </w:p>
    <w:p>
      <w:pPr>
        <w:ind w:right="200" w:firstLine="1505"/>
        <w:spacing w:after="0" w:line="316" w:lineRule="auto"/>
        <w:tabs>
          <w:tab w:leader="none" w:pos="20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specifically set forth above, the Credit Agreement and all other documents, instruments and agreements executed and/or delivered in connection therewith shall remain in full force and effect and are hereby ratified and confirmed.</w:t>
      </w:r>
    </w:p>
    <w:p>
      <w:pPr>
        <w:spacing w:after="0" w:line="129" w:lineRule="exact"/>
        <w:rPr>
          <w:rFonts w:ascii="Arial" w:cs="Arial" w:eastAsia="Arial" w:hAnsi="Arial"/>
          <w:sz w:val="18"/>
          <w:szCs w:val="18"/>
          <w:color w:val="auto"/>
        </w:rPr>
      </w:pPr>
    </w:p>
    <w:p>
      <w:pPr>
        <w:jc w:val="both"/>
        <w:ind w:firstLine="1505"/>
        <w:spacing w:after="0" w:line="291" w:lineRule="auto"/>
        <w:tabs>
          <w:tab w:leader="none" w:pos="20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than as set forth above, the execution, delivery and effectiveness of this Amendment shall not operate as a waiver of any right, power or remedy of any Agent or the Lenders, nor constitute a waiver of any provision of the Credit Agreement, the Loan Documents or any other documents, instruments and agreements executed and/or delivered in connection therewith.</w:t>
      </w:r>
    </w:p>
    <w:p>
      <w:pPr>
        <w:spacing w:after="0" w:line="152" w:lineRule="exact"/>
        <w:rPr>
          <w:sz w:val="20"/>
          <w:szCs w:val="20"/>
          <w:color w:val="auto"/>
        </w:rPr>
      </w:pPr>
    </w:p>
    <w:p>
      <w:pPr>
        <w:jc w:val="both"/>
        <w:ind w:firstLine="1505"/>
        <w:spacing w:after="0" w:line="270" w:lineRule="auto"/>
        <w:tabs>
          <w:tab w:leader="none" w:pos="199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Acknowledgements</w:t>
      </w:r>
      <w:r>
        <w:rPr>
          <w:rFonts w:ascii="Arial" w:cs="Arial" w:eastAsia="Arial" w:hAnsi="Arial"/>
          <w:sz w:val="18"/>
          <w:szCs w:val="18"/>
          <w:color w:val="auto"/>
        </w:rPr>
        <w:t>. By executing this Amendment, each of the Loan Parties (a) consents to this Amendment and the performance by the Borrower and each of the other Loan Parties of their obligations hereunder, (b) acknowledges that notwithstanding the execution and delivery of this Amendment, the obligations of each of the Loan Parties under each of the Collateral Documents and each of the other Loan Documents to which such Loan Party is a party, are not impaired or affected and each such Collateral Document and each such other Loan Document continues in full force and effect, (c) affirms and ratifies, its Obligations under the Credit Agreement as expanded or amended hereby and confirms the benefits of the pledges set forth in each Collateral Document to the extent it is a party thereto, (d) confirms that its Obligations under the Credit Agreement as expanded or amended hereby constitute “Secured Obligations” (as defined in the Collateral Documents) and (e) confirms that the Secured Obligations shall remain in full force and effect, and such Secured Obligations shall continue to be entitled to the benefits of the grant set forth in the Collateral Documents. Each Guarantor (a) confirms its Guaranteed Obligations under the Credit Agreement, (b) confirms that the Guaranteed Obligations under the Credit Agreement as expanded or amended hereby are entitled to the benefits of the guarantee set forth in Article 11 of the Credit Agreement and (c) confirms that the Obligations under the Credit Agreement as expanded or amended hereby constitute “Guaranteed Obligations”. Each Loan Party, by its execution of this Amendment, hereby confirms that the Guaranteed Obligations shall remain in full force and effect.</w:t>
      </w:r>
    </w:p>
    <w:p>
      <w:pPr>
        <w:spacing w:after="0" w:line="158" w:lineRule="exact"/>
        <w:rPr>
          <w:rFonts w:ascii="Arial" w:cs="Arial" w:eastAsia="Arial" w:hAnsi="Arial"/>
          <w:sz w:val="18"/>
          <w:szCs w:val="18"/>
          <w:color w:val="auto"/>
        </w:rPr>
      </w:pPr>
    </w:p>
    <w:p>
      <w:pPr>
        <w:jc w:val="both"/>
        <w:ind w:firstLine="1505"/>
        <w:spacing w:after="0" w:line="246" w:lineRule="auto"/>
        <w:tabs>
          <w:tab w:leader="none" w:pos="1991"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No Novation or Mutual Departure</w:t>
      </w:r>
      <w:r>
        <w:rPr>
          <w:rFonts w:ascii="Arial" w:cs="Arial" w:eastAsia="Arial" w:hAnsi="Arial"/>
          <w:sz w:val="20"/>
          <w:szCs w:val="20"/>
          <w:color w:val="auto"/>
        </w:rPr>
        <w:t>. The Borrower expressly acknowledges and agrees that there has not been, and this Amendment does not constitute or establish, a novation with respect to the Credit Agreement or any other Loan Document, or a mutual departure from the strict terms, provisions, and conditions thereof, other than with respect to the amendments contained in Section 1 hereof and the waiver set forth in Section 2 hereof.</w:t>
      </w:r>
    </w:p>
    <w:p>
      <w:pPr>
        <w:spacing w:after="0" w:line="200" w:lineRule="exact"/>
        <w:rPr>
          <w:sz w:val="20"/>
          <w:szCs w:val="20"/>
          <w:color w:val="auto"/>
        </w:rPr>
      </w:pPr>
    </w:p>
    <w:p>
      <w:pPr>
        <w:spacing w:after="0" w:line="20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 w:name="page10"/>
    <w:bookmarkEnd w:id="9"/>
    <w:p>
      <w:pPr>
        <w:jc w:val="both"/>
        <w:ind w:firstLine="1505"/>
        <w:spacing w:after="0" w:line="303" w:lineRule="auto"/>
        <w:tabs>
          <w:tab w:leader="none" w:pos="198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Each Loan Party, on behalf of itself, its Subsidiaries and controlled Affiliates, and each of their successors, representatives, assignees and, whether or not claimed by right of, through or under any Loan Party, past, present and future employees, agents, representatives, officers, directors, members, managers, principals, affiliates, shareholders, trustees, consultants, experts, advisors, attorneys and other professionals (each, a “</w:t>
      </w:r>
      <w:r>
        <w:rPr>
          <w:rFonts w:ascii="Arial" w:cs="Arial" w:eastAsia="Arial" w:hAnsi="Arial"/>
          <w:sz w:val="16"/>
          <w:szCs w:val="16"/>
          <w:u w:val="single" w:color="auto"/>
          <w:color w:val="auto"/>
        </w:rPr>
        <w:t>Releasing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Releasing Parties</w:t>
      </w:r>
      <w:r>
        <w:rPr>
          <w:rFonts w:ascii="Arial" w:cs="Arial" w:eastAsia="Arial" w:hAnsi="Arial"/>
          <w:sz w:val="16"/>
          <w:szCs w:val="16"/>
          <w:color w:val="auto"/>
        </w:rPr>
        <w:t>”), does hereby fully, finally, and forever remise, release and discharge, and shall be deemed to have forever remised, released and discharged, the Agents and the Lenders, and the Agents’ and each Lender’s respective successors, representatives, assignees and past, present and future employees, agents, representatives, officers, directors, members, managers, principals, affiliates, shareholders, trustees, consultants, experts, advisors, attorneys and other professionals and all other persons and entities to whom any of the foregoing would be liable if such persons or entities were found to be liable to any Releasing Party, or any of them (collectively hereinafter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manner of action and actions, cause and causes of action, claims, defenses, rights of setoff, charges, demands, counterclaims, suits, debts, obligations, liabilities, dues, sums of money, accounts, reckonings, bonds, bills, specialties, covenants, contracts, controversies, damages, judgments, expenses, executions, liens, claims of liens, claims of costs, penalties, attorneys’ fees, or any other compensation, recovery or relief on account of any liability, obligation, demand or cause of action of whatever nature, whether in law, equity or otherwise (including without limitation those arising under the Bankruptcy Code and interest or other carrying costs, penalties, legal, accounting and other professional fees and expenses, and incidental, consequential and punitive damages payable to third parties), whether known or unknown,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Released Parties, whether held in a personal or representative capacity, and which are based on any act, circumstance, fact, event or omission or other matter, cause or thing occurring at or from any time prior to and including the date hereof in any way, directly or indirectly arising out of, connected with, in respect of or relating to the Borrower and its Subsidiaries, this Amendment or any other Loan Document and the transactions contemplated hereby or thereby, and all other agreements, certificates, instruments and other documents and statements (whether written or oral) related to any of the foregoing (each, a “</w:t>
      </w:r>
      <w:r>
        <w:rPr>
          <w:rFonts w:ascii="Arial" w:cs="Arial" w:eastAsia="Arial" w:hAnsi="Arial"/>
          <w:sz w:val="16"/>
          <w:szCs w:val="16"/>
          <w:u w:val="single" w:color="auto"/>
          <w:color w:val="auto"/>
        </w:rPr>
        <w:t>Claim</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Claims</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ind w:left="2020" w:hanging="515"/>
        <w:spacing w:after="0"/>
        <w:tabs>
          <w:tab w:leader="none" w:pos="20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 of the State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New York.</w:t>
      </w:r>
    </w:p>
    <w:p>
      <w:pPr>
        <w:spacing w:after="0" w:line="199" w:lineRule="exact"/>
        <w:rPr>
          <w:rFonts w:ascii="Arial" w:cs="Arial" w:eastAsia="Arial" w:hAnsi="Arial"/>
          <w:sz w:val="18"/>
          <w:szCs w:val="18"/>
          <w:color w:val="auto"/>
        </w:rPr>
      </w:pPr>
    </w:p>
    <w:p>
      <w:pPr>
        <w:ind w:firstLine="1505"/>
        <w:spacing w:after="0" w:line="260" w:lineRule="auto"/>
        <w:tabs>
          <w:tab w:leader="none" w:pos="1985"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Amendment are included herein for convenience of reference only and shall not constitute a part of this Amendment for any other purpose.</w:t>
      </w:r>
    </w:p>
    <w:p>
      <w:pPr>
        <w:spacing w:after="0" w:line="176" w:lineRule="exact"/>
        <w:rPr>
          <w:rFonts w:ascii="Arial" w:cs="Arial" w:eastAsia="Arial" w:hAnsi="Arial"/>
          <w:sz w:val="20"/>
          <w:szCs w:val="20"/>
          <w:color w:val="auto"/>
        </w:rPr>
      </w:pPr>
    </w:p>
    <w:p>
      <w:pPr>
        <w:jc w:val="both"/>
        <w:ind w:firstLine="1505"/>
        <w:spacing w:after="0" w:line="250" w:lineRule="auto"/>
        <w:tabs>
          <w:tab w:leader="none" w:pos="2008"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 w:name="page11"/>
    <w:bookmarkEnd w:id="10"/>
    <w:p>
      <w:pPr>
        <w:ind w:left="380"/>
        <w:spacing w:after="0"/>
        <w:rPr>
          <w:sz w:val="20"/>
          <w:szCs w:val="20"/>
          <w:color w:val="auto"/>
        </w:rPr>
      </w:pPr>
      <w:r>
        <w:rPr>
          <w:rFonts w:ascii="Arial" w:cs="Arial" w:eastAsia="Arial" w:hAnsi="Arial"/>
          <w:sz w:val="18"/>
          <w:szCs w:val="18"/>
          <w:color w:val="auto"/>
        </w:rPr>
        <w:t>IN WITNESS WHEREOF, this Amendment has been duly executed as of the day and year first above written.</w:t>
      </w:r>
    </w:p>
    <w:p>
      <w:pPr>
        <w:sectPr>
          <w:pgSz w:w="11900" w:h="16838" w:orient="portrait"/>
          <w:cols w:equalWidth="0" w:num="1">
            <w:col w:w="9100"/>
          </w:cols>
          <w:pgMar w:left="1440" w:top="568" w:right="1359" w:bottom="1440" w:gutter="0" w:footer="0" w:header="0"/>
        </w:sectPr>
      </w:pPr>
    </w:p>
    <w:p>
      <w:pPr>
        <w:spacing w:after="0" w:line="239"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YELLOW CORPORATION</w:t>
      </w:r>
    </w:p>
    <w:p>
      <w:pPr>
        <w:spacing w:after="0" w:line="200" w:lineRule="exact"/>
        <w:rPr>
          <w:sz w:val="20"/>
          <w:szCs w:val="20"/>
          <w:color w:val="auto"/>
        </w:rPr>
      </w:pPr>
    </w:p>
    <w:p>
      <w:pPr>
        <w:spacing w:after="0" w:line="270"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Anthony P. Carreno</w:t>
      </w:r>
      <w:r>
        <w:rPr>
          <w:rFonts w:ascii="Arial" w:cs="Arial" w:eastAsia="Arial" w:hAnsi="Arial"/>
          <w:sz w:val="20"/>
          <w:szCs w:val="20"/>
          <w:color w:val="auto"/>
        </w:rPr>
        <w:t>____________</w:t>
      </w:r>
    </w:p>
    <w:p>
      <w:pPr>
        <w:spacing w:after="0" w:line="15"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Name: Anthony P. Carreno</w:t>
      </w:r>
    </w:p>
    <w:p>
      <w:pPr>
        <w:ind w:left="3380"/>
        <w:spacing w:after="0"/>
        <w:rPr>
          <w:sz w:val="20"/>
          <w:szCs w:val="20"/>
          <w:color w:val="auto"/>
        </w:rPr>
      </w:pPr>
      <w:r>
        <w:rPr>
          <w:rFonts w:ascii="Arial" w:cs="Arial" w:eastAsia="Arial" w:hAnsi="Arial"/>
          <w:sz w:val="19"/>
          <w:szCs w:val="19"/>
          <w:color w:val="auto"/>
        </w:rPr>
        <w:t>Title: Senior Vice President, Treasury and Investor Relations</w:t>
      </w:r>
    </w:p>
    <w:p>
      <w:pPr>
        <w:spacing w:after="0" w:line="265"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EXPRESS LANE SERVICE, INC.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NEW PENN MOTOR EXPRESS LLC</w:t>
      </w:r>
    </w:p>
    <w:p>
      <w:pPr>
        <w:spacing w:after="0" w:line="16"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(F/K/A NEW PENN MOTOR EXPRESS INC.)</w:t>
      </w:r>
    </w:p>
    <w:p>
      <w:pPr>
        <w:spacing w:after="0" w:line="11"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ROADWAY EXPRESS INTERNATIONAL, INC.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ROADWAY LLC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ROADWAY NEXT DAY CORPORATION</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YELLOW LOGISTICS, INC.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USF BESTWAY INC.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USF DUGAN INC.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USF GLEN MOORE INC.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USF HOLLAND LLC</w:t>
      </w:r>
    </w:p>
    <w:p>
      <w:pPr>
        <w:spacing w:after="0" w:line="16"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(F/K/A USF HOLLAND INC.)</w:t>
      </w:r>
    </w:p>
    <w:p>
      <w:pPr>
        <w:spacing w:after="0" w:line="11"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USF REDSTAR LLC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USF REDDAWAY INC.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YRC ASSOCIATION SOLUTIONS, INC.</w:t>
      </w:r>
    </w:p>
    <w:p>
      <w:pPr>
        <w:spacing w:after="0" w:line="16"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YRC FREIGHT CANADA COMPANY</w:t>
      </w:r>
    </w:p>
    <w:p>
      <w:pPr>
        <w:spacing w:after="0" w:line="11"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YRC INC.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YRC INTERNATIONAL INVESTMENTS, INC.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YRC LOGISTICS SERVICES, INC.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YRC MORTGAGES, LLC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YRC ENTERPRISE SERVICES, INC.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YRC REGIONAL TRANSPORTATION, INC.</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1105481 ONTARIO INC.</w:t>
      </w:r>
    </w:p>
    <w:p>
      <w:pPr>
        <w:spacing w:after="0" w:line="229"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Anthony P. Carreno</w:t>
      </w:r>
      <w:r>
        <w:rPr>
          <w:rFonts w:ascii="Arial" w:cs="Arial" w:eastAsia="Arial" w:hAnsi="Arial"/>
          <w:sz w:val="20"/>
          <w:szCs w:val="20"/>
          <w:color w:val="auto"/>
        </w:rPr>
        <w:t>____________</w:t>
      </w:r>
    </w:p>
    <w:p>
      <w:pPr>
        <w:spacing w:after="0" w:line="15"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Name: Anthony P. Carreno</w:t>
      </w:r>
    </w:p>
    <w:p>
      <w:pPr>
        <w:ind w:left="3400"/>
        <w:spacing w:after="0"/>
        <w:rPr>
          <w:sz w:val="20"/>
          <w:szCs w:val="20"/>
          <w:color w:val="auto"/>
        </w:rPr>
      </w:pPr>
      <w:r>
        <w:rPr>
          <w:rFonts w:ascii="Arial" w:cs="Arial" w:eastAsia="Arial" w:hAnsi="Arial"/>
          <w:sz w:val="20"/>
          <w:szCs w:val="20"/>
          <w:color w:val="auto"/>
        </w:rPr>
        <w:t>Title: Senior Vice President, Treasury</w:t>
      </w:r>
    </w:p>
    <w:p>
      <w:pPr>
        <w:spacing w:after="0" w:line="213" w:lineRule="exact"/>
        <w:rPr>
          <w:sz w:val="20"/>
          <w:szCs w:val="20"/>
          <w:color w:val="auto"/>
        </w:rPr>
      </w:pPr>
    </w:p>
    <w:p>
      <w:pPr>
        <w:ind w:left="3400" w:right="620"/>
        <w:spacing w:after="0" w:line="253" w:lineRule="auto"/>
        <w:rPr>
          <w:sz w:val="20"/>
          <w:szCs w:val="20"/>
          <w:color w:val="auto"/>
        </w:rPr>
      </w:pPr>
      <w:r>
        <w:rPr>
          <w:rFonts w:ascii="Arial" w:cs="Arial" w:eastAsia="Arial" w:hAnsi="Arial"/>
          <w:sz w:val="20"/>
          <w:szCs w:val="20"/>
          <w:color w:val="auto"/>
        </w:rPr>
        <w:t>USF HOLLAND INTERNATIONAL SALES CORPORATION USF HOLLAND LLC</w:t>
      </w:r>
    </w:p>
    <w:p>
      <w:pPr>
        <w:spacing w:after="0" w:line="1"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YRC LOGISTICS INC.</w:t>
      </w:r>
    </w:p>
    <w:p>
      <w:pPr>
        <w:spacing w:after="0" w:line="16"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YELLOW LOGISTICS, INC. (f/k/a HNRY Logistics, Inc.)</w:t>
      </w:r>
    </w:p>
    <w:p>
      <w:pPr>
        <w:spacing w:after="0" w:line="213"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Steven Frontczak</w:t>
      </w:r>
      <w:r>
        <w:rPr>
          <w:rFonts w:ascii="Arial" w:cs="Arial" w:eastAsia="Arial" w:hAnsi="Arial"/>
          <w:sz w:val="20"/>
          <w:szCs w:val="20"/>
          <w:color w:val="auto"/>
        </w:rPr>
        <w:t>___________</w:t>
      </w:r>
    </w:p>
    <w:p>
      <w:pPr>
        <w:spacing w:after="0" w:line="15"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Name: Steven Frontczak</w:t>
      </w:r>
    </w:p>
    <w:p>
      <w:pPr>
        <w:ind w:left="3400"/>
        <w:spacing w:after="0"/>
        <w:rPr>
          <w:sz w:val="20"/>
          <w:szCs w:val="20"/>
          <w:color w:val="auto"/>
        </w:rPr>
      </w:pPr>
      <w:r>
        <w:rPr>
          <w:rFonts w:ascii="Arial" w:cs="Arial" w:eastAsia="Arial" w:hAnsi="Arial"/>
          <w:sz w:val="20"/>
          <w:szCs w:val="20"/>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441960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00"/>
          </w:cols>
          <w:pgMar w:left="1440" w:top="568" w:right="1359" w:bottom="1440" w:gutter="0" w:footer="0" w:header="0"/>
          <w:type w:val="continuous"/>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659130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ind w:left="4500"/>
        <w:spacing w:after="0"/>
        <w:rPr>
          <w:sz w:val="20"/>
          <w:szCs w:val="20"/>
          <w:color w:val="auto"/>
        </w:rPr>
      </w:pPr>
      <w:r>
        <w:rPr>
          <w:rFonts w:ascii="Arial" w:cs="Arial" w:eastAsia="Arial" w:hAnsi="Arial"/>
          <w:sz w:val="20"/>
          <w:szCs w:val="20"/>
          <w:b w:val="1"/>
          <w:bCs w:val="1"/>
          <w:color w:val="auto"/>
        </w:rPr>
        <w:t>APOLLO CREDIT FUNDING III LTD.</w:t>
      </w:r>
      <w:r>
        <w:rPr>
          <w:rFonts w:ascii="Arial" w:cs="Arial" w:eastAsia="Arial" w:hAnsi="Arial"/>
          <w:sz w:val="20"/>
          <w:szCs w:val="20"/>
          <w:color w:val="auto"/>
        </w:rPr>
        <w:t>, as a Lender</w:t>
      </w:r>
    </w:p>
    <w:p>
      <w:pPr>
        <w:spacing w:after="0" w:line="23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Apollo ST Fund Management LLC, its investment manager</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r>
        <w:rPr>
          <w:rFonts w:ascii="Arial" w:cs="Arial" w:eastAsia="Arial" w:hAnsi="Arial"/>
          <w:sz w:val="20"/>
          <w:szCs w:val="20"/>
          <w:color w:val="auto"/>
        </w:rPr>
        <w:t>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372"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ML FUNDING LLC</w:t>
      </w:r>
      <w:r>
        <w:rPr>
          <w:rFonts w:ascii="Arial" w:cs="Arial" w:eastAsia="Arial" w:hAnsi="Arial"/>
          <w:sz w:val="20"/>
          <w:szCs w:val="20"/>
          <w:color w:val="auto"/>
        </w:rPr>
        <w:t>, as a Lender</w:t>
      </w:r>
    </w:p>
    <w:p>
      <w:pPr>
        <w:spacing w:after="0" w:line="222"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By: Apollo Moultrie Credit Fund Management, LLC, its investment manager</w:t>
      </w:r>
    </w:p>
    <w:p>
      <w:pPr>
        <w:spacing w:after="0" w:line="200" w:lineRule="exact"/>
        <w:rPr>
          <w:sz w:val="20"/>
          <w:szCs w:val="20"/>
          <w:color w:val="auto"/>
        </w:rPr>
      </w:pPr>
    </w:p>
    <w:p>
      <w:pPr>
        <w:spacing w:after="0" w:line="257"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r>
        <w:rPr>
          <w:rFonts w:ascii="Arial" w:cs="Arial" w:eastAsia="Arial" w:hAnsi="Arial"/>
          <w:sz w:val="20"/>
          <w:szCs w:val="20"/>
          <w:color w:val="auto"/>
        </w:rPr>
        <w:t>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CL FUNDING LLC</w:t>
      </w:r>
      <w:r>
        <w:rPr>
          <w:rFonts w:ascii="Arial" w:cs="Arial" w:eastAsia="Arial" w:hAnsi="Arial"/>
          <w:sz w:val="20"/>
          <w:szCs w:val="20"/>
          <w:color w:val="auto"/>
        </w:rPr>
        <w:t>, as a Lender</w:t>
      </w:r>
    </w:p>
    <w:p>
      <w:pPr>
        <w:spacing w:after="0" w:line="22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Apollo Centre Street Partnership, L.P., its sole member</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Apollo Centre Street Management, LLC, its investment manager</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r>
        <w:rPr>
          <w:rFonts w:ascii="Arial" w:cs="Arial" w:eastAsia="Arial" w:hAnsi="Arial"/>
          <w:sz w:val="20"/>
          <w:szCs w:val="20"/>
          <w:color w:val="auto"/>
        </w:rPr>
        <w:t>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LL FUNDING LLC</w:t>
      </w:r>
      <w:r>
        <w:rPr>
          <w:rFonts w:ascii="Arial" w:cs="Arial" w:eastAsia="Arial" w:hAnsi="Arial"/>
          <w:sz w:val="20"/>
          <w:szCs w:val="20"/>
          <w:color w:val="auto"/>
        </w:rPr>
        <w:t>, as a Lender</w:t>
      </w:r>
    </w:p>
    <w:p>
      <w:pPr>
        <w:spacing w:after="0" w:line="22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Apollo Lincoln Fixed Income Fund, L.P., its sole member</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Apollo Lincoln Fixed Income Fund Management, LLC, its investment manager</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r>
        <w:rPr>
          <w:rFonts w:ascii="Arial" w:cs="Arial" w:eastAsia="Arial" w:hAnsi="Arial"/>
          <w:sz w:val="20"/>
          <w:szCs w:val="20"/>
          <w:color w:val="auto"/>
        </w:rPr>
        <w:t>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to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13" w:name="page14"/>
    <w:bookmarkEnd w:id="13"/>
    <w:p>
      <w:pPr>
        <w:ind w:left="4500"/>
        <w:spacing w:after="0"/>
        <w:rPr>
          <w:sz w:val="20"/>
          <w:szCs w:val="20"/>
          <w:color w:val="auto"/>
        </w:rPr>
      </w:pPr>
      <w:r>
        <w:rPr>
          <w:rFonts w:ascii="Arial" w:cs="Arial" w:eastAsia="Arial" w:hAnsi="Arial"/>
          <w:sz w:val="20"/>
          <w:szCs w:val="20"/>
          <w:b w:val="1"/>
          <w:bCs w:val="1"/>
          <w:color w:val="auto"/>
        </w:rPr>
        <w:t>CSTR LOAN FUNDING LLC</w:t>
      </w:r>
      <w:r>
        <w:rPr>
          <w:rFonts w:ascii="Arial" w:cs="Arial" w:eastAsia="Arial" w:hAnsi="Arial"/>
          <w:sz w:val="20"/>
          <w:szCs w:val="20"/>
          <w:color w:val="auto"/>
        </w:rPr>
        <w:t>, as a Lender</w:t>
      </w:r>
    </w:p>
    <w:p>
      <w:pPr>
        <w:spacing w:after="0" w:line="2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Apollo Credit Strategies Master Fund Ltd., its sole member</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Apollo ST Fund Management LLC, its investment manager</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r>
        <w:rPr>
          <w:rFonts w:ascii="Arial" w:cs="Arial" w:eastAsia="Arial" w:hAnsi="Arial"/>
          <w:sz w:val="20"/>
          <w:szCs w:val="20"/>
          <w:color w:val="auto"/>
        </w:rPr>
        <w:t>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APOLLO CREDIT STRATEGIES MASTER FUND,</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LTD.</w:t>
      </w:r>
      <w:r>
        <w:rPr>
          <w:rFonts w:ascii="Arial" w:cs="Arial" w:eastAsia="Arial" w:hAnsi="Arial"/>
          <w:sz w:val="20"/>
          <w:szCs w:val="20"/>
          <w:color w:val="auto"/>
        </w:rPr>
        <w:t>, as a Lender</w:t>
      </w:r>
    </w:p>
    <w:p>
      <w:pPr>
        <w:spacing w:after="0" w:line="20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Apollo ST Fund Management LLC, its investment manager</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r>
        <w:rPr>
          <w:rFonts w:ascii="Arial" w:cs="Arial" w:eastAsia="Arial" w:hAnsi="Arial"/>
          <w:sz w:val="20"/>
          <w:szCs w:val="20"/>
          <w:color w:val="auto"/>
        </w:rPr>
        <w:t>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APOLLO ATLAS MASTER FUND, LLC</w:t>
      </w:r>
      <w:r>
        <w:rPr>
          <w:rFonts w:ascii="Arial" w:cs="Arial" w:eastAsia="Arial" w:hAnsi="Arial"/>
          <w:sz w:val="20"/>
          <w:szCs w:val="20"/>
          <w:color w:val="auto"/>
        </w:rPr>
        <w:t>, as a Lender</w:t>
      </w:r>
    </w:p>
    <w:p>
      <w:pPr>
        <w:spacing w:after="0" w:line="222"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By: Apollo Atlas Management, LLC, its investment manager</w:t>
      </w:r>
    </w:p>
    <w:p>
      <w:pPr>
        <w:spacing w:after="0" w:line="227"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r>
        <w:rPr>
          <w:rFonts w:ascii="Arial" w:cs="Arial" w:eastAsia="Arial" w:hAnsi="Arial"/>
          <w:sz w:val="20"/>
          <w:szCs w:val="20"/>
          <w:color w:val="auto"/>
        </w:rPr>
        <w:t>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AP KENT CREDIT MASTER FUND, L.P.</w:t>
      </w:r>
      <w:r>
        <w:rPr>
          <w:rFonts w:ascii="Arial" w:cs="Arial" w:eastAsia="Arial" w:hAnsi="Arial"/>
          <w:sz w:val="20"/>
          <w:szCs w:val="20"/>
          <w:color w:val="auto"/>
        </w:rPr>
        <w:t>, as a Lender</w:t>
      </w:r>
    </w:p>
    <w:p>
      <w:pPr>
        <w:spacing w:after="0" w:line="22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AP Kent Management, LLC, the investment manager</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r>
        <w:rPr>
          <w:rFonts w:ascii="Arial" w:cs="Arial" w:eastAsia="Arial" w:hAnsi="Arial"/>
          <w:sz w:val="20"/>
          <w:szCs w:val="20"/>
          <w:color w:val="auto"/>
        </w:rPr>
        <w:t>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to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4" w:name="page15"/>
    <w:bookmarkEnd w:id="14"/>
    <w:p>
      <w:pPr>
        <w:ind w:left="4500"/>
        <w:spacing w:after="0"/>
        <w:rPr>
          <w:sz w:val="20"/>
          <w:szCs w:val="20"/>
          <w:color w:val="auto"/>
        </w:rPr>
      </w:pPr>
      <w:r>
        <w:rPr>
          <w:rFonts w:ascii="Arial" w:cs="Arial" w:eastAsia="Arial" w:hAnsi="Arial"/>
          <w:sz w:val="20"/>
          <w:szCs w:val="20"/>
          <w:b w:val="1"/>
          <w:bCs w:val="1"/>
          <w:color w:val="auto"/>
        </w:rPr>
        <w:t>MPI (LONDON) LIMITED</w:t>
      </w:r>
      <w:r>
        <w:rPr>
          <w:rFonts w:ascii="Arial" w:cs="Arial" w:eastAsia="Arial" w:hAnsi="Arial"/>
          <w:sz w:val="20"/>
          <w:szCs w:val="20"/>
          <w:color w:val="auto"/>
        </w:rPr>
        <w:t>, as a Lender</w:t>
      </w:r>
    </w:p>
    <w:p>
      <w:pPr>
        <w:spacing w:after="0" w:line="22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Apollo TRF MP Management, LLC, its investment manager</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Apollo Capital Management, L.P., its sole member</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Apollo Capital Management GP, LLC, its general partner</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r>
        <w:rPr>
          <w:rFonts w:ascii="Arial" w:cs="Arial" w:eastAsia="Arial" w:hAnsi="Arial"/>
          <w:sz w:val="20"/>
          <w:szCs w:val="20"/>
          <w:color w:val="auto"/>
        </w:rPr>
        <w:t>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APOLLO TR OPPORTUNISTIC LTD.</w:t>
      </w:r>
      <w:r>
        <w:rPr>
          <w:rFonts w:ascii="Arial" w:cs="Arial" w:eastAsia="Arial" w:hAnsi="Arial"/>
          <w:sz w:val="20"/>
          <w:szCs w:val="20"/>
          <w:color w:val="auto"/>
        </w:rPr>
        <w:t>, as a Lender</w:t>
      </w:r>
    </w:p>
    <w:p>
      <w:pPr>
        <w:spacing w:after="0" w:line="2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Apollo Total Return Enhanced Management LLC, its investment manager</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r>
        <w:rPr>
          <w:rFonts w:ascii="Arial" w:cs="Arial" w:eastAsia="Arial" w:hAnsi="Arial"/>
          <w:sz w:val="20"/>
          <w:szCs w:val="20"/>
          <w:color w:val="auto"/>
        </w:rPr>
        <w:t>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2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Apollo Total Return Management LLC, its investment manager</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r>
        <w:rPr>
          <w:rFonts w:ascii="Arial" w:cs="Arial" w:eastAsia="Arial" w:hAnsi="Arial"/>
          <w:sz w:val="20"/>
          <w:szCs w:val="20"/>
          <w:color w:val="auto"/>
        </w:rPr>
        <w:t>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CADBURY MONDELEZ PENSION TRUST LIMITED</w:t>
      </w:r>
      <w:r>
        <w:rPr>
          <w:rFonts w:ascii="Arial" w:cs="Arial" w:eastAsia="Arial" w:hAnsi="Arial"/>
          <w:sz w:val="20"/>
          <w:szCs w:val="20"/>
          <w:color w:val="auto"/>
        </w:rPr>
        <w:t>, as a Lender</w:t>
      </w:r>
    </w:p>
    <w:p>
      <w:pPr>
        <w:spacing w:after="0" w:line="22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Apollo TRF CM Management, LLC, its investment manager</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Apollo Capital Management, L.P., its member</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Apollo Capital Management GP, LLC, its general partner</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r>
        <w:rPr>
          <w:rFonts w:ascii="Arial" w:cs="Arial" w:eastAsia="Arial" w:hAnsi="Arial"/>
          <w:sz w:val="20"/>
          <w:szCs w:val="20"/>
          <w:color w:val="auto"/>
        </w:rPr>
        <w:t>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to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33" w:right="899" w:bottom="1440" w:gutter="0" w:footer="0" w:header="0"/>
        </w:sectPr>
      </w:pPr>
    </w:p>
    <w:bookmarkStart w:id="15" w:name="page16"/>
    <w:bookmarkEnd w:id="15"/>
    <w:p>
      <w:pPr>
        <w:ind w:left="4500"/>
        <w:spacing w:after="0"/>
        <w:rPr>
          <w:sz w:val="20"/>
          <w:szCs w:val="20"/>
          <w:color w:val="auto"/>
        </w:rPr>
      </w:pPr>
      <w:r>
        <w:rPr>
          <w:rFonts w:ascii="Arial" w:cs="Arial" w:eastAsia="Arial" w:hAnsi="Arial"/>
          <w:sz w:val="20"/>
          <w:szCs w:val="20"/>
          <w:b w:val="1"/>
          <w:bCs w:val="1"/>
          <w:color w:val="auto"/>
        </w:rPr>
        <w:t>APOLLO CREDIT FUNDS ICAV</w:t>
      </w:r>
      <w:r>
        <w:rPr>
          <w:rFonts w:ascii="Arial" w:cs="Arial" w:eastAsia="Arial" w:hAnsi="Arial"/>
          <w:sz w:val="20"/>
          <w:szCs w:val="20"/>
          <w:color w:val="auto"/>
        </w:rPr>
        <w:t>, as a Lender</w:t>
      </w:r>
    </w:p>
    <w:p>
      <w:pPr>
        <w:spacing w:after="0" w:line="235" w:lineRule="exact"/>
        <w:rPr>
          <w:sz w:val="20"/>
          <w:szCs w:val="20"/>
          <w:color w:val="auto"/>
        </w:rPr>
      </w:pPr>
    </w:p>
    <w:p>
      <w:pPr>
        <w:ind w:left="4500" w:right="200"/>
        <w:spacing w:after="0" w:line="316" w:lineRule="auto"/>
        <w:rPr>
          <w:sz w:val="20"/>
          <w:szCs w:val="20"/>
          <w:color w:val="auto"/>
        </w:rPr>
      </w:pPr>
      <w:r>
        <w:rPr>
          <w:rFonts w:ascii="Arial" w:cs="Arial" w:eastAsia="Arial" w:hAnsi="Arial"/>
          <w:sz w:val="18"/>
          <w:szCs w:val="18"/>
          <w:color w:val="auto"/>
        </w:rPr>
        <w:t>an Umbrella Irish Collective Asset Management Vehicle with Segregated Liability between its Sub-Funds, acting in respect of its Sub-Fund Apollo Helius Loan Fund</w:t>
      </w:r>
    </w:p>
    <w:p>
      <w:pPr>
        <w:spacing w:after="0" w:line="143"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ACF Europe Management, LLC, its portfolio manager</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Apollo Capital Management, L.P., its sole member</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Apollo Capital Management GP, LLC, its general partner</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r>
        <w:rPr>
          <w:rFonts w:ascii="Arial" w:cs="Arial" w:eastAsia="Arial" w:hAnsi="Arial"/>
          <w:sz w:val="20"/>
          <w:szCs w:val="20"/>
          <w:color w:val="auto"/>
        </w:rPr>
        <w:t>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AMISSIMA DIVERSIFIED INCOME ICAV</w:t>
      </w:r>
      <w:r>
        <w:rPr>
          <w:rFonts w:ascii="Arial" w:cs="Arial" w:eastAsia="Arial" w:hAnsi="Arial"/>
          <w:sz w:val="20"/>
          <w:szCs w:val="20"/>
          <w:color w:val="auto"/>
        </w:rPr>
        <w:t>, as a Lender</w:t>
      </w:r>
    </w:p>
    <w:p>
      <w:pPr>
        <w:spacing w:after="0" w:line="235" w:lineRule="exact"/>
        <w:rPr>
          <w:sz w:val="20"/>
          <w:szCs w:val="20"/>
          <w:color w:val="auto"/>
        </w:rPr>
      </w:pPr>
    </w:p>
    <w:p>
      <w:pPr>
        <w:jc w:val="both"/>
        <w:ind w:left="4500"/>
        <w:spacing w:after="0" w:line="250" w:lineRule="auto"/>
        <w:rPr>
          <w:sz w:val="20"/>
          <w:szCs w:val="20"/>
          <w:color w:val="auto"/>
        </w:rPr>
      </w:pPr>
      <w:r>
        <w:rPr>
          <w:rFonts w:ascii="Arial" w:cs="Arial" w:eastAsia="Arial" w:hAnsi="Arial"/>
          <w:sz w:val="20"/>
          <w:szCs w:val="20"/>
          <w:color w:val="auto"/>
        </w:rPr>
        <w:t>an Umbrella Irish Collective Asset-Management Vehicle with Segregated Liability between its Sub-Funds, acting in respect of its Sub-Fund, Amissima Loan Origination Fund</w:t>
      </w:r>
    </w:p>
    <w:p>
      <w:pPr>
        <w:spacing w:after="0" w:line="199" w:lineRule="exact"/>
        <w:rPr>
          <w:sz w:val="20"/>
          <w:szCs w:val="20"/>
          <w:color w:val="auto"/>
        </w:rPr>
      </w:pPr>
    </w:p>
    <w:p>
      <w:pPr>
        <w:ind w:left="4500" w:right="660"/>
        <w:spacing w:after="0" w:line="260" w:lineRule="auto"/>
        <w:rPr>
          <w:sz w:val="20"/>
          <w:szCs w:val="20"/>
          <w:color w:val="auto"/>
        </w:rPr>
      </w:pPr>
      <w:r>
        <w:rPr>
          <w:rFonts w:ascii="Arial" w:cs="Arial" w:eastAsia="Arial" w:hAnsi="Arial"/>
          <w:sz w:val="20"/>
          <w:szCs w:val="20"/>
          <w:color w:val="auto"/>
        </w:rPr>
        <w:t>By: Apollo Management International LLP, solely in its capacity as Portfolio Manager and not in its individual corporate capacity</w:t>
      </w:r>
    </w:p>
    <w:p>
      <w:pPr>
        <w:spacing w:after="0" w:line="19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AMI (Holdings), LLC, its member</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r>
        <w:rPr>
          <w:rFonts w:ascii="Arial" w:cs="Arial" w:eastAsia="Arial" w:hAnsi="Arial"/>
          <w:sz w:val="20"/>
          <w:szCs w:val="20"/>
          <w:color w:val="auto"/>
        </w:rPr>
        <w:t>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ATHORA LUX INVEST</w:t>
      </w:r>
      <w:r>
        <w:rPr>
          <w:rFonts w:ascii="Arial" w:cs="Arial" w:eastAsia="Arial" w:hAnsi="Arial"/>
          <w:sz w:val="20"/>
          <w:szCs w:val="20"/>
          <w:color w:val="auto"/>
        </w:rPr>
        <w:t>, as a Lender</w:t>
      </w:r>
    </w:p>
    <w:p>
      <w:pPr>
        <w:spacing w:after="0" w:line="235" w:lineRule="exact"/>
        <w:rPr>
          <w:sz w:val="20"/>
          <w:szCs w:val="20"/>
          <w:color w:val="auto"/>
        </w:rPr>
      </w:pPr>
    </w:p>
    <w:p>
      <w:pPr>
        <w:jc w:val="both"/>
        <w:ind w:left="4500" w:right="160"/>
        <w:spacing w:after="0" w:line="260" w:lineRule="auto"/>
        <w:rPr>
          <w:sz w:val="20"/>
          <w:szCs w:val="20"/>
          <w:color w:val="auto"/>
        </w:rPr>
      </w:pPr>
      <w:r>
        <w:rPr>
          <w:rFonts w:ascii="Arial" w:cs="Arial" w:eastAsia="Arial" w:hAnsi="Arial"/>
          <w:sz w:val="19"/>
          <w:szCs w:val="19"/>
          <w:color w:val="auto"/>
        </w:rPr>
        <w:t>a reserved alternative investment fund in the form of a Luxembourg special limited partnership (societe en commandite speciale), acting in respect of its compartment, Athora Lux Invest - Loan Origination, acting through its managing general partner Athora Lux Invest Management and represented by its delegate portfolio manager, Apollo Management International LLP</w:t>
      </w:r>
    </w:p>
    <w:p>
      <w:pPr>
        <w:spacing w:after="0" w:line="19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Apollo Management International LLP, its portfolio manager</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AMI (Holdings), LLC, its member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to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ind w:left="4500"/>
        <w:spacing w:after="0"/>
        <w:rPr>
          <w:sz w:val="20"/>
          <w:szCs w:val="20"/>
          <w:color w:val="auto"/>
        </w:rPr>
      </w:pPr>
      <w:r>
        <w:rPr>
          <w:rFonts w:ascii="Arial" w:cs="Arial" w:eastAsia="Arial" w:hAnsi="Arial"/>
          <w:sz w:val="18"/>
          <w:szCs w:val="18"/>
          <w:color w:val="auto"/>
        </w:rPr>
        <w:t>By: __</w:t>
      </w:r>
      <w:r>
        <w:rPr>
          <w:rFonts w:ascii="Arial" w:cs="Arial" w:eastAsia="Arial" w:hAnsi="Arial"/>
          <w:sz w:val="18"/>
          <w:szCs w:val="18"/>
          <w:u w:val="single" w:color="auto"/>
          <w:color w:val="auto"/>
        </w:rPr>
        <w:t>/s/ William Kuesel</w:t>
      </w:r>
      <w:r>
        <w:rPr>
          <w:rFonts w:ascii="Arial" w:cs="Arial" w:eastAsia="Arial" w:hAnsi="Arial"/>
          <w:sz w:val="18"/>
          <w:szCs w:val="18"/>
          <w:color w:val="auto"/>
        </w:rPr>
        <w:t>_____________</w:t>
      </w:r>
    </w:p>
    <w:p>
      <w:pPr>
        <w:spacing w:after="0" w:line="38"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to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9" w:right="1440" w:bottom="1440" w:gutter="0" w:footer="0" w:header="0"/>
        </w:sectPr>
      </w:pPr>
    </w:p>
    <w:bookmarkStart w:id="17" w:name="page18"/>
    <w:bookmarkEnd w:id="17"/>
    <w:p>
      <w:pPr>
        <w:ind w:left="4500"/>
        <w:spacing w:after="0"/>
        <w:rPr>
          <w:sz w:val="20"/>
          <w:szCs w:val="20"/>
          <w:color w:val="auto"/>
        </w:rPr>
      </w:pPr>
      <w:r>
        <w:rPr>
          <w:rFonts w:ascii="Arial" w:cs="Arial" w:eastAsia="Arial" w:hAnsi="Arial"/>
          <w:sz w:val="20"/>
          <w:szCs w:val="20"/>
          <w:b w:val="1"/>
          <w:bCs w:val="1"/>
          <w:color w:val="auto"/>
        </w:rPr>
        <w:t>ACE GLOBAL MULTI-CREDIT LLC</w:t>
      </w:r>
      <w:r>
        <w:rPr>
          <w:rFonts w:ascii="Arial" w:cs="Arial" w:eastAsia="Arial" w:hAnsi="Arial"/>
          <w:sz w:val="20"/>
          <w:szCs w:val="20"/>
          <w:color w:val="auto"/>
        </w:rPr>
        <w:t>, as a Lender</w:t>
      </w:r>
    </w:p>
    <w:p>
      <w:pPr>
        <w:spacing w:after="0" w:line="19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ACE Credit Fund, LP, its sole member</w:t>
      </w:r>
    </w:p>
    <w:p>
      <w:pPr>
        <w:spacing w:after="0" w:line="20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ACE Credit Advisors, LP, its general partner</w:t>
      </w:r>
    </w:p>
    <w:p>
      <w:pPr>
        <w:spacing w:after="0" w:line="20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ACE Credit Advisors GP, LLC, its general partner</w:t>
      </w:r>
    </w:p>
    <w:p>
      <w:pPr>
        <w:spacing w:after="0" w:line="18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r>
        <w:rPr>
          <w:rFonts w:ascii="Arial" w:cs="Arial" w:eastAsia="Arial" w:hAnsi="Arial"/>
          <w:sz w:val="20"/>
          <w:szCs w:val="20"/>
          <w:color w:val="auto"/>
        </w:rPr>
        <w:t>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10"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APOLLO CREDIT MASTER FUND LTD.</w:t>
      </w:r>
      <w:r>
        <w:rPr>
          <w:rFonts w:ascii="Arial" w:cs="Arial" w:eastAsia="Arial" w:hAnsi="Arial"/>
          <w:sz w:val="20"/>
          <w:szCs w:val="20"/>
          <w:color w:val="auto"/>
        </w:rPr>
        <w:t>, as a Lender</w:t>
      </w:r>
    </w:p>
    <w:p>
      <w:pPr>
        <w:spacing w:after="0" w:line="208"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Apollo ST Fund Management LLC, as its investment manager</w:t>
      </w:r>
    </w:p>
    <w:p>
      <w:pPr>
        <w:spacing w:after="0" w:line="18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r>
        <w:rPr>
          <w:rFonts w:ascii="Arial" w:cs="Arial" w:eastAsia="Arial" w:hAnsi="Arial"/>
          <w:sz w:val="20"/>
          <w:szCs w:val="20"/>
          <w:color w:val="auto"/>
        </w:rPr>
        <w:t>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10" w:lineRule="exact"/>
        <w:rPr>
          <w:sz w:val="20"/>
          <w:szCs w:val="20"/>
          <w:color w:val="auto"/>
        </w:rPr>
      </w:pPr>
    </w:p>
    <w:p>
      <w:pPr>
        <w:ind w:left="4500"/>
        <w:spacing w:after="0" w:line="267" w:lineRule="auto"/>
        <w:rPr>
          <w:sz w:val="20"/>
          <w:szCs w:val="20"/>
          <w:color w:val="auto"/>
        </w:rPr>
      </w:pPr>
      <w:r>
        <w:rPr>
          <w:rFonts w:ascii="Arial" w:cs="Arial" w:eastAsia="Arial" w:hAnsi="Arial"/>
          <w:sz w:val="20"/>
          <w:szCs w:val="20"/>
          <w:b w:val="1"/>
          <w:bCs w:val="1"/>
          <w:color w:val="auto"/>
        </w:rPr>
        <w:t>MERCER MULTI-ASSET CREDIT FUND</w:t>
      </w:r>
      <w:r>
        <w:rPr>
          <w:rFonts w:ascii="Arial" w:cs="Arial" w:eastAsia="Arial" w:hAnsi="Arial"/>
          <w:sz w:val="20"/>
          <w:szCs w:val="20"/>
          <w:color w:val="auto"/>
        </w:rPr>
        <w:t>, a sub-fund of Mercer QIF Fund Plc.,</w:t>
      </w:r>
      <w:r>
        <w:rPr>
          <w:rFonts w:ascii="Arial" w:cs="Arial" w:eastAsia="Arial" w:hAnsi="Arial"/>
          <w:sz w:val="20"/>
          <w:szCs w:val="20"/>
          <w:b w:val="1"/>
          <w:bCs w:val="1"/>
          <w:color w:val="auto"/>
        </w:rPr>
        <w:t xml:space="preserve"> </w:t>
      </w:r>
      <w:r>
        <w:rPr>
          <w:rFonts w:ascii="Arial" w:cs="Arial" w:eastAsia="Arial" w:hAnsi="Arial"/>
          <w:sz w:val="20"/>
          <w:szCs w:val="20"/>
          <w:color w:val="auto"/>
        </w:rPr>
        <w:t>as Lender</w:t>
      </w:r>
    </w:p>
    <w:p>
      <w:pPr>
        <w:spacing w:after="0" w:line="15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Apollo Management International LLP, its investment manager</w:t>
      </w:r>
    </w:p>
    <w:p>
      <w:pPr>
        <w:spacing w:after="0" w:line="18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AMI (Holdings), LLC, its member</w:t>
      </w:r>
    </w:p>
    <w:p>
      <w:pPr>
        <w:spacing w:after="0" w:line="200" w:lineRule="exact"/>
        <w:rPr>
          <w:sz w:val="20"/>
          <w:szCs w:val="20"/>
          <w:color w:val="auto"/>
        </w:rPr>
      </w:pPr>
    </w:p>
    <w:p>
      <w:pPr>
        <w:spacing w:after="0" w:line="28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r>
        <w:rPr>
          <w:rFonts w:ascii="Arial" w:cs="Arial" w:eastAsia="Arial" w:hAnsi="Arial"/>
          <w:sz w:val="20"/>
          <w:szCs w:val="20"/>
          <w:color w:val="auto"/>
        </w:rPr>
        <w:t>_____________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APOLLO TACTICAL VALUE SPN INVESTMENTS,</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L.P.</w:t>
      </w:r>
      <w:r>
        <w:rPr>
          <w:rFonts w:ascii="Arial" w:cs="Arial" w:eastAsia="Arial" w:hAnsi="Arial"/>
          <w:sz w:val="20"/>
          <w:szCs w:val="20"/>
          <w:color w:val="auto"/>
        </w:rPr>
        <w:t>, as a Lender</w:t>
      </w:r>
    </w:p>
    <w:p>
      <w:pPr>
        <w:spacing w:after="0" w:line="18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Apollo Tactical Value SPN Management, LLC, its investment manager</w:t>
      </w:r>
    </w:p>
    <w:p>
      <w:pPr>
        <w:spacing w:after="0" w:line="20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-14605</wp:posOffset>
            </wp:positionV>
            <wp:extent cx="317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0"/>
          <w:szCs w:val="20"/>
          <w:color w:val="auto"/>
        </w:rPr>
        <w:t>Name: William Kuesel</w:t>
      </w:r>
    </w:p>
    <w:p>
      <w:pPr>
        <w:ind w:left="45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to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8" w:name="page19"/>
    <w:bookmarkEnd w:id="18"/>
    <w:p>
      <w:pPr>
        <w:ind w:left="4600"/>
        <w:spacing w:after="0"/>
        <w:rPr>
          <w:sz w:val="20"/>
          <w:szCs w:val="20"/>
          <w:color w:val="auto"/>
        </w:rPr>
      </w:pPr>
      <w:r>
        <w:rPr>
          <w:rFonts w:ascii="Arial" w:cs="Arial" w:eastAsia="Arial" w:hAnsi="Arial"/>
          <w:sz w:val="20"/>
          <w:szCs w:val="20"/>
          <w:b w:val="1"/>
          <w:bCs w:val="1"/>
          <w:color w:val="auto"/>
        </w:rPr>
        <w:t>APOLLO PPF CREDIT STRATEGIES, LLC</w:t>
      </w:r>
      <w:r>
        <w:rPr>
          <w:rFonts w:ascii="Arial" w:cs="Arial" w:eastAsia="Arial" w:hAnsi="Arial"/>
          <w:sz w:val="20"/>
          <w:szCs w:val="20"/>
          <w:color w:val="auto"/>
        </w:rPr>
        <w:t>, as a</w:t>
      </w:r>
    </w:p>
    <w:p>
      <w:pPr>
        <w:spacing w:after="0" w:line="22"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Lender</w:t>
      </w:r>
    </w:p>
    <w:p>
      <w:pPr>
        <w:spacing w:after="0" w:line="25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Apollo ST Fund Management LLC, its investment manager</w:t>
      </w:r>
    </w:p>
    <w:p>
      <w:pPr>
        <w:spacing w:after="0" w:line="293"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William Kuesel</w:t>
      </w:r>
      <w:r>
        <w:rPr>
          <w:rFonts w:ascii="Arial" w:cs="Arial" w:eastAsia="Arial" w:hAnsi="Arial"/>
          <w:sz w:val="20"/>
          <w:szCs w:val="20"/>
          <w:color w:val="auto"/>
        </w:rPr>
        <w:t>_____________</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Name: William Kuesel</w:t>
      </w:r>
    </w:p>
    <w:p>
      <w:pPr>
        <w:ind w:left="46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to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ASPEN AMERICAN INSURANCE COMPANY</w:t>
      </w:r>
      <w:r>
        <w:rPr>
          <w:rFonts w:ascii="Arial" w:cs="Arial" w:eastAsia="Arial" w:hAnsi="Arial"/>
          <w:sz w:val="20"/>
          <w:szCs w:val="20"/>
          <w:color w:val="auto"/>
        </w:rPr>
        <w:t>, as 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Lender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By: By: Apollo Asset Management Europe PC LLP, solely in its capacity as investment manager and not in its individual corporate capacity</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Sundip Kalley</w:t>
      </w:r>
      <w:r>
        <w:rPr>
          <w:rFonts w:ascii="Arial" w:cs="Arial" w:eastAsia="Arial" w:hAnsi="Arial"/>
          <w:sz w:val="20"/>
          <w:szCs w:val="20"/>
          <w:color w:val="auto"/>
        </w:rPr>
        <w:t>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Sundip Kalley</w:t>
      </w:r>
    </w:p>
    <w:p>
      <w:pPr>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to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33" w:right="499" w:bottom="1440" w:gutter="0" w:footer="0" w:header="0"/>
        </w:sectPr>
      </w:pPr>
    </w:p>
    <w:bookmarkStart w:id="20" w:name="page21"/>
    <w:bookmarkEnd w:id="20"/>
    <w:p>
      <w:pPr>
        <w:ind w:left="4500"/>
        <w:spacing w:after="0"/>
        <w:rPr>
          <w:sz w:val="20"/>
          <w:szCs w:val="20"/>
          <w:color w:val="auto"/>
        </w:rPr>
      </w:pPr>
      <w:r>
        <w:rPr>
          <w:rFonts w:ascii="Arial" w:cs="Arial" w:eastAsia="Arial" w:hAnsi="Arial"/>
          <w:sz w:val="20"/>
          <w:szCs w:val="20"/>
          <w:b w:val="1"/>
          <w:bCs w:val="1"/>
          <w:color w:val="auto"/>
        </w:rPr>
        <w:t>BTC HOLDINGS FUND I, LLC</w:t>
      </w:r>
      <w:r>
        <w:rPr>
          <w:rFonts w:ascii="Arial" w:cs="Arial" w:eastAsia="Arial" w:hAnsi="Arial"/>
          <w:sz w:val="20"/>
          <w:szCs w:val="20"/>
          <w:color w:val="auto"/>
        </w:rPr>
        <w:t>, as a Lender</w:t>
      </w:r>
    </w:p>
    <w:p>
      <w:pPr>
        <w:spacing w:after="0" w:line="23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Blue Torch Credit Opportunities Fund I LP, its sole Member</w:t>
      </w:r>
    </w:p>
    <w:p>
      <w:pPr>
        <w:spacing w:after="0" w:line="243"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Blue Torch Credit Opportunities GP LLC, its general partner</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KPG BTC Management LLC, its sole member</w:t>
      </w:r>
    </w:p>
    <w:p>
      <w:pPr>
        <w:spacing w:after="0" w:line="378"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Kevin Grenda</w:t>
      </w:r>
      <w:r>
        <w:rPr>
          <w:rFonts w:ascii="Arial" w:cs="Arial" w:eastAsia="Arial" w:hAnsi="Arial"/>
          <w:sz w:val="20"/>
          <w:szCs w:val="20"/>
          <w:color w:val="auto"/>
        </w:rPr>
        <w:t>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Kevin Grenda</w:t>
      </w:r>
    </w:p>
    <w:p>
      <w:pPr>
        <w:ind w:left="450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BTC HOLDINGS SC FUND LLC</w:t>
      </w:r>
      <w:r>
        <w:rPr>
          <w:rFonts w:ascii="Arial" w:cs="Arial" w:eastAsia="Arial" w:hAnsi="Arial"/>
          <w:sz w:val="20"/>
          <w:szCs w:val="20"/>
          <w:color w:val="auto"/>
        </w:rPr>
        <w:t>, as a Lender</w:t>
      </w:r>
    </w:p>
    <w:p>
      <w:pPr>
        <w:spacing w:after="0" w:line="2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Blue Torch Credit Opportunities SC Master Fund LP, its sole member</w:t>
      </w:r>
    </w:p>
    <w:p>
      <w:pPr>
        <w:spacing w:after="0" w:line="266"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By: Blue Torch Credit Opportunities SC GP LLC, its General Partner</w:t>
      </w:r>
    </w:p>
    <w:p>
      <w:pPr>
        <w:spacing w:after="0" w:line="241"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Kevin Grenda</w:t>
      </w:r>
      <w:r>
        <w:rPr>
          <w:rFonts w:ascii="Arial" w:cs="Arial" w:eastAsia="Arial" w:hAnsi="Arial"/>
          <w:sz w:val="20"/>
          <w:szCs w:val="20"/>
          <w:color w:val="auto"/>
        </w:rPr>
        <w:t>_________</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Kevin Grenda</w:t>
      </w:r>
    </w:p>
    <w:p>
      <w:pPr>
        <w:ind w:left="450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to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333" w:right="1219" w:bottom="1440" w:gutter="0" w:footer="0" w:header="0"/>
        </w:sectPr>
      </w:pPr>
    </w:p>
    <w:bookmarkStart w:id="21" w:name="page22"/>
    <w:bookmarkEnd w:id="21"/>
    <w:p>
      <w:pPr>
        <w:ind w:left="4500"/>
        <w:spacing w:after="0"/>
        <w:rPr>
          <w:sz w:val="20"/>
          <w:szCs w:val="20"/>
          <w:color w:val="auto"/>
        </w:rPr>
      </w:pPr>
      <w:r>
        <w:rPr>
          <w:rFonts w:ascii="Arial" w:cs="Arial" w:eastAsia="Arial" w:hAnsi="Arial"/>
          <w:sz w:val="20"/>
          <w:szCs w:val="20"/>
          <w:b w:val="1"/>
          <w:bCs w:val="1"/>
          <w:color w:val="auto"/>
        </w:rPr>
        <w:t xml:space="preserve">BEAL BANK USA, </w:t>
      </w:r>
      <w:r>
        <w:rPr>
          <w:rFonts w:ascii="Arial" w:cs="Arial" w:eastAsia="Arial" w:hAnsi="Arial"/>
          <w:sz w:val="20"/>
          <w:szCs w:val="20"/>
          <w:color w:val="auto"/>
        </w:rPr>
        <w:t>as a Lender</w:t>
      </w:r>
    </w:p>
    <w:p>
      <w:pPr>
        <w:spacing w:after="0" w:line="235"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By: _</w:t>
      </w:r>
      <w:r>
        <w:rPr>
          <w:rFonts w:ascii="Arial" w:cs="Arial" w:eastAsia="Arial" w:hAnsi="Arial"/>
          <w:sz w:val="16"/>
          <w:szCs w:val="16"/>
          <w:u w:val="single" w:color="auto"/>
          <w:color w:val="auto"/>
        </w:rPr>
        <w:t>/s/ Jacob Chemej</w:t>
      </w:r>
      <w:r>
        <w:rPr>
          <w:rFonts w:ascii="Arial" w:cs="Arial" w:eastAsia="Arial" w:hAnsi="Arial"/>
          <w:sz w:val="16"/>
          <w:szCs w:val="16"/>
          <w:color w:val="auto"/>
        </w:rPr>
        <w:t>____________</w:t>
      </w:r>
    </w:p>
    <w:p>
      <w:pPr>
        <w:spacing w:after="0" w:line="61"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Jacob Chemej</w:t>
      </w:r>
    </w:p>
    <w:p>
      <w:pPr>
        <w:ind w:left="45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to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22" w:name="page23"/>
    <w:bookmarkEnd w:id="22"/>
    <w:p>
      <w:pPr>
        <w:ind w:left="4500"/>
        <w:spacing w:after="0"/>
        <w:rPr>
          <w:sz w:val="20"/>
          <w:szCs w:val="20"/>
          <w:color w:val="auto"/>
        </w:rPr>
      </w:pPr>
      <w:r>
        <w:rPr>
          <w:rFonts w:ascii="Arial" w:cs="Arial" w:eastAsia="Arial" w:hAnsi="Arial"/>
          <w:sz w:val="20"/>
          <w:szCs w:val="20"/>
          <w:color w:val="auto"/>
        </w:rPr>
        <w:t>Acknowledged by:</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ALTER DOMUS PRODUCTS CORP., as Administrative Agent</w:t>
      </w:r>
    </w:p>
    <w:p>
      <w:pPr>
        <w:spacing w:after="0" w:line="200" w:lineRule="exact"/>
        <w:rPr>
          <w:sz w:val="20"/>
          <w:szCs w:val="20"/>
          <w:color w:val="auto"/>
        </w:rPr>
      </w:pPr>
    </w:p>
    <w:p>
      <w:pPr>
        <w:spacing w:after="0" w:line="25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By:__</w:t>
      </w:r>
      <w:r>
        <w:rPr>
          <w:rFonts w:ascii="Arial" w:cs="Arial" w:eastAsia="Arial" w:hAnsi="Arial"/>
          <w:sz w:val="20"/>
          <w:szCs w:val="20"/>
          <w:u w:val="single" w:color="auto"/>
          <w:color w:val="auto"/>
        </w:rPr>
        <w:t>/s/ Winnalynn N. Kantaris</w:t>
      </w:r>
      <w:r>
        <w:rPr>
          <w:rFonts w:ascii="Arial" w:cs="Arial" w:eastAsia="Arial" w:hAnsi="Arial"/>
          <w:sz w:val="20"/>
          <w:szCs w:val="20"/>
          <w:color w:val="auto"/>
        </w:rPr>
        <w:t xml:space="preserve"> ___________</w:t>
      </w:r>
    </w:p>
    <w:tbl>
      <w:tblPr>
        <w:tblLayout w:type="fixed"/>
        <w:tblInd w:w="0" w:type="dxa"/>
        <w:tblCellMar>
          <w:top w:w="0" w:type="dxa"/>
          <w:left w:w="0" w:type="dxa"/>
          <w:bottom w:w="0" w:type="dxa"/>
          <w:right w:w="0" w:type="dxa"/>
        </w:tblCellMar>
      </w:tblPr>
      <w:tr>
        <w:trPr>
          <w:trHeight w:val="229"/>
        </w:trPr>
        <w:tc>
          <w:tcPr>
            <w:tcW w:w="5160" w:type="dxa"/>
            <w:vAlign w:val="bottom"/>
          </w:tcPr>
          <w:p>
            <w:pPr>
              <w:ind w:left="4500"/>
              <w:spacing w:after="0"/>
              <w:rPr>
                <w:sz w:val="20"/>
                <w:szCs w:val="20"/>
                <w:color w:val="auto"/>
              </w:rPr>
            </w:pPr>
            <w:r>
              <w:rPr>
                <w:rFonts w:ascii="Arial" w:cs="Arial" w:eastAsia="Arial" w:hAnsi="Arial"/>
                <w:sz w:val="20"/>
                <w:szCs w:val="20"/>
                <w:color w:val="auto"/>
              </w:rPr>
              <w:t>Name:</w:t>
            </w:r>
          </w:p>
        </w:tc>
        <w:tc>
          <w:tcPr>
            <w:tcW w:w="6080" w:type="dxa"/>
            <w:vAlign w:val="bottom"/>
          </w:tcPr>
          <w:p>
            <w:pPr>
              <w:ind w:left="140"/>
              <w:spacing w:after="0"/>
              <w:rPr>
                <w:sz w:val="20"/>
                <w:szCs w:val="20"/>
                <w:color w:val="auto"/>
              </w:rPr>
            </w:pPr>
            <w:r>
              <w:rPr>
                <w:rFonts w:ascii="Arial" w:cs="Arial" w:eastAsia="Arial" w:hAnsi="Arial"/>
                <w:sz w:val="20"/>
                <w:szCs w:val="20"/>
                <w:color w:val="auto"/>
              </w:rPr>
              <w:t>Winnalynn N. Kantaris</w:t>
            </w:r>
          </w:p>
        </w:tc>
      </w:tr>
      <w:tr>
        <w:trPr>
          <w:trHeight w:val="250"/>
        </w:trPr>
        <w:tc>
          <w:tcPr>
            <w:tcW w:w="5160" w:type="dxa"/>
            <w:vAlign w:val="bottom"/>
          </w:tcPr>
          <w:p>
            <w:pPr>
              <w:ind w:left="4500"/>
              <w:spacing w:after="0"/>
              <w:rPr>
                <w:sz w:val="20"/>
                <w:szCs w:val="20"/>
                <w:color w:val="auto"/>
              </w:rPr>
            </w:pPr>
            <w:r>
              <w:rPr>
                <w:rFonts w:ascii="Arial" w:cs="Arial" w:eastAsia="Arial" w:hAnsi="Arial"/>
                <w:sz w:val="20"/>
                <w:szCs w:val="20"/>
                <w:color w:val="auto"/>
              </w:rPr>
              <w:t>Title:</w:t>
            </w:r>
          </w:p>
        </w:tc>
        <w:tc>
          <w:tcPr>
            <w:tcW w:w="6080" w:type="dxa"/>
            <w:vAlign w:val="bottom"/>
          </w:tcPr>
          <w:p>
            <w:pPr>
              <w:ind w:left="140"/>
              <w:spacing w:after="0"/>
              <w:rPr>
                <w:sz w:val="20"/>
                <w:szCs w:val="20"/>
                <w:color w:val="auto"/>
              </w:rPr>
            </w:pPr>
            <w:r>
              <w:rPr>
                <w:rFonts w:ascii="Arial" w:cs="Arial" w:eastAsia="Arial" w:hAnsi="Arial"/>
                <w:sz w:val="20"/>
                <w:szCs w:val="20"/>
                <w:color w:val="auto"/>
              </w:rPr>
              <w:t>Associate General Counsel</w:t>
            </w:r>
          </w:p>
        </w:tc>
      </w:tr>
      <w:tr>
        <w:trPr>
          <w:trHeight w:val="1164"/>
        </w:trPr>
        <w:tc>
          <w:tcPr>
            <w:tcW w:w="516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74"/>
        </w:trPr>
        <w:tc>
          <w:tcPr>
            <w:tcW w:w="19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20" w:type="dxa"/>
            <w:vAlign w:val="bottom"/>
            <w:gridSpan w:val="3"/>
          </w:tcPr>
          <w:p>
            <w:pPr>
              <w:ind w:left="580"/>
              <w:spacing w:after="0"/>
              <w:rPr>
                <w:sz w:val="20"/>
                <w:szCs w:val="20"/>
                <w:color w:val="auto"/>
              </w:rPr>
            </w:pPr>
            <w:r>
              <w:rPr>
                <w:rFonts w:ascii="Arial" w:cs="Arial" w:eastAsia="Arial" w:hAnsi="Arial"/>
                <w:sz w:val="22"/>
                <w:szCs w:val="22"/>
                <w:color w:val="auto"/>
                <w:w w:val="88"/>
              </w:rPr>
              <w:t>Schedule 1 to Amendment No. 3</w:t>
            </w:r>
          </w:p>
        </w:tc>
      </w:tr>
      <w:tr>
        <w:trPr>
          <w:trHeight w:val="408"/>
        </w:trPr>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w w:val="87"/>
              </w:rPr>
              <w:t>Schedule 7.05(a)</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1960" w:type="dxa"/>
            <w:vAlign w:val="bottom"/>
          </w:tcPr>
          <w:p>
            <w:pPr>
              <w:spacing w:after="0"/>
              <w:rPr>
                <w:sz w:val="24"/>
                <w:szCs w:val="24"/>
                <w:color w:val="auto"/>
              </w:rPr>
            </w:pPr>
          </w:p>
        </w:tc>
        <w:tc>
          <w:tcPr>
            <w:tcW w:w="5880" w:type="dxa"/>
            <w:vAlign w:val="bottom"/>
            <w:gridSpan w:val="8"/>
          </w:tcPr>
          <w:p>
            <w:pPr>
              <w:jc w:val="center"/>
              <w:ind w:left="1360"/>
              <w:spacing w:after="0"/>
              <w:rPr>
                <w:sz w:val="20"/>
                <w:szCs w:val="20"/>
                <w:color w:val="auto"/>
              </w:rPr>
            </w:pPr>
            <w:r>
              <w:rPr>
                <w:rFonts w:ascii="Arial" w:cs="Arial" w:eastAsia="Arial" w:hAnsi="Arial"/>
                <w:sz w:val="22"/>
                <w:szCs w:val="22"/>
                <w:color w:val="auto"/>
                <w:w w:val="89"/>
              </w:rPr>
              <w:t>Amendment No. 3 Real Properties Under Contract</w:t>
            </w:r>
          </w:p>
        </w:tc>
        <w:tc>
          <w:tcPr>
            <w:tcW w:w="1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19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1960" w:type="dxa"/>
            <w:vAlign w:val="bottom"/>
            <w:tcBorders>
              <w:top w:val="single" w:sz="8" w:color="auto"/>
              <w:left w:val="single" w:sz="8" w:color="auto"/>
              <w:right w:val="single" w:sz="8" w:color="auto"/>
            </w:tcBorders>
            <w:shd w:val="clear" w:color="auto" w:fill="BFBFBF"/>
          </w:tcPr>
          <w:p>
            <w:pPr>
              <w:ind w:left="120"/>
              <w:spacing w:after="0" w:line="206" w:lineRule="exact"/>
              <w:rPr>
                <w:sz w:val="20"/>
                <w:szCs w:val="20"/>
                <w:color w:val="auto"/>
              </w:rPr>
            </w:pPr>
            <w:r>
              <w:rPr>
                <w:rFonts w:ascii="Arial" w:cs="Arial" w:eastAsia="Arial" w:hAnsi="Arial"/>
                <w:sz w:val="22"/>
                <w:szCs w:val="22"/>
                <w:b w:val="1"/>
                <w:bCs w:val="1"/>
                <w:color w:val="auto"/>
              </w:rPr>
              <w:t>Location</w:t>
            </w:r>
          </w:p>
        </w:tc>
        <w:tc>
          <w:tcPr>
            <w:tcW w:w="2240" w:type="dxa"/>
            <w:vAlign w:val="bottom"/>
            <w:tcBorders>
              <w:top w:val="single" w:sz="8" w:color="BFBFBF"/>
            </w:tcBorders>
            <w:gridSpan w:val="2"/>
            <w:shd w:val="clear" w:color="auto" w:fill="BFBFBF"/>
          </w:tcPr>
          <w:p>
            <w:pPr>
              <w:ind w:left="100"/>
              <w:spacing w:after="0" w:line="206" w:lineRule="exact"/>
              <w:rPr>
                <w:sz w:val="20"/>
                <w:szCs w:val="20"/>
                <w:color w:val="auto"/>
              </w:rPr>
            </w:pPr>
            <w:r>
              <w:rPr>
                <w:rFonts w:ascii="Arial" w:cs="Arial" w:eastAsia="Arial" w:hAnsi="Arial"/>
                <w:sz w:val="22"/>
                <w:szCs w:val="22"/>
                <w:b w:val="1"/>
                <w:bCs w:val="1"/>
                <w:color w:val="auto"/>
              </w:rPr>
              <w:t>Street Address</w:t>
            </w:r>
          </w:p>
        </w:tc>
        <w:tc>
          <w:tcPr>
            <w:tcW w:w="1620" w:type="dxa"/>
            <w:vAlign w:val="bottom"/>
            <w:tcBorders>
              <w:top w:val="single" w:sz="8" w:color="BFBFBF"/>
            </w:tcBorders>
            <w:gridSpan w:val="2"/>
            <w:shd w:val="clear" w:color="auto" w:fill="BFBFBF"/>
          </w:tcPr>
          <w:p>
            <w:pPr>
              <w:ind w:left="180"/>
              <w:spacing w:after="0" w:line="206" w:lineRule="exact"/>
              <w:rPr>
                <w:sz w:val="20"/>
                <w:szCs w:val="20"/>
                <w:color w:val="auto"/>
              </w:rPr>
            </w:pPr>
            <w:r>
              <w:rPr>
                <w:rFonts w:ascii="Arial" w:cs="Arial" w:eastAsia="Arial" w:hAnsi="Arial"/>
                <w:sz w:val="22"/>
                <w:szCs w:val="22"/>
                <w:b w:val="1"/>
                <w:bCs w:val="1"/>
                <w:color w:val="auto"/>
              </w:rPr>
              <w:t>City</w:t>
            </w:r>
          </w:p>
        </w:tc>
        <w:tc>
          <w:tcPr>
            <w:tcW w:w="940" w:type="dxa"/>
            <w:vAlign w:val="bottom"/>
            <w:tcBorders>
              <w:top w:val="single" w:sz="8" w:color="BFBFBF"/>
            </w:tcBorders>
            <w:gridSpan w:val="2"/>
            <w:shd w:val="clear" w:color="auto" w:fill="BFBFBF"/>
          </w:tcPr>
          <w:p>
            <w:pPr>
              <w:ind w:left="280"/>
              <w:spacing w:after="0" w:line="206" w:lineRule="exact"/>
              <w:rPr>
                <w:sz w:val="20"/>
                <w:szCs w:val="20"/>
                <w:color w:val="auto"/>
              </w:rPr>
            </w:pPr>
            <w:r>
              <w:rPr>
                <w:rFonts w:ascii="Arial" w:cs="Arial" w:eastAsia="Arial" w:hAnsi="Arial"/>
                <w:sz w:val="22"/>
                <w:szCs w:val="22"/>
                <w:b w:val="1"/>
                <w:bCs w:val="1"/>
                <w:color w:val="auto"/>
              </w:rPr>
              <w:t>State</w:t>
            </w:r>
          </w:p>
        </w:tc>
        <w:tc>
          <w:tcPr>
            <w:tcW w:w="1080" w:type="dxa"/>
            <w:vAlign w:val="bottom"/>
            <w:tcBorders>
              <w:top w:val="single" w:sz="8" w:color="BFBFBF"/>
            </w:tcBorders>
            <w:gridSpan w:val="2"/>
            <w:shd w:val="clear" w:color="auto" w:fill="BFBFBF"/>
          </w:tcPr>
          <w:p>
            <w:pPr>
              <w:ind w:left="180"/>
              <w:spacing w:after="0" w:line="206" w:lineRule="exact"/>
              <w:rPr>
                <w:sz w:val="20"/>
                <w:szCs w:val="20"/>
                <w:color w:val="auto"/>
              </w:rPr>
            </w:pPr>
            <w:r>
              <w:rPr>
                <w:rFonts w:ascii="Arial" w:cs="Arial" w:eastAsia="Arial" w:hAnsi="Arial"/>
                <w:sz w:val="22"/>
                <w:szCs w:val="22"/>
                <w:b w:val="1"/>
                <w:bCs w:val="1"/>
                <w:color w:val="auto"/>
              </w:rPr>
              <w:t>Zip</w:t>
            </w:r>
          </w:p>
        </w:tc>
        <w:tc>
          <w:tcPr>
            <w:tcW w:w="1400" w:type="dxa"/>
            <w:vAlign w:val="bottom"/>
            <w:tcBorders>
              <w:top w:val="single" w:sz="8" w:color="BFBFBF"/>
            </w:tcBorders>
            <w:shd w:val="clear" w:color="auto" w:fill="BFBFBF"/>
          </w:tcPr>
          <w:p>
            <w:pPr>
              <w:ind w:left="20"/>
              <w:spacing w:after="0" w:line="206" w:lineRule="exact"/>
              <w:rPr>
                <w:sz w:val="20"/>
                <w:szCs w:val="20"/>
                <w:color w:val="auto"/>
              </w:rPr>
            </w:pPr>
            <w:r>
              <w:rPr>
                <w:rFonts w:ascii="Arial" w:cs="Arial" w:eastAsia="Arial" w:hAnsi="Arial"/>
                <w:sz w:val="22"/>
                <w:szCs w:val="22"/>
                <w:b w:val="1"/>
                <w:bCs w:val="1"/>
                <w:color w:val="auto"/>
              </w:rPr>
              <w:t>Grantor</w:t>
            </w:r>
          </w:p>
        </w:tc>
        <w:tc>
          <w:tcPr>
            <w:tcW w:w="2000" w:type="dxa"/>
            <w:vAlign w:val="bottom"/>
            <w:tcBorders>
              <w:top w:val="single" w:sz="8" w:color="BFBFBF"/>
            </w:tcBorders>
            <w:shd w:val="clear" w:color="auto" w:fill="BFBFBF"/>
          </w:tcPr>
          <w:p>
            <w:pPr>
              <w:ind w:left="140"/>
              <w:spacing w:after="0" w:line="206" w:lineRule="exact"/>
              <w:rPr>
                <w:sz w:val="20"/>
                <w:szCs w:val="20"/>
                <w:color w:val="auto"/>
              </w:rPr>
            </w:pPr>
            <w:r>
              <w:rPr>
                <w:rFonts w:ascii="Arial" w:cs="Arial" w:eastAsia="Arial" w:hAnsi="Arial"/>
                <w:sz w:val="22"/>
                <w:szCs w:val="22"/>
                <w:b w:val="1"/>
                <w:bCs w:val="1"/>
                <w:color w:val="auto"/>
              </w:rPr>
              <w:t>Buyer</w:t>
            </w:r>
          </w:p>
        </w:tc>
        <w:tc>
          <w:tcPr>
            <w:tcW w:w="20" w:type="dxa"/>
            <w:vAlign w:val="bottom"/>
          </w:tcPr>
          <w:p>
            <w:pPr>
              <w:spacing w:after="0"/>
              <w:rPr>
                <w:sz w:val="17"/>
                <w:szCs w:val="17"/>
                <w:color w:val="auto"/>
              </w:rPr>
            </w:pPr>
          </w:p>
        </w:tc>
      </w:tr>
      <w:tr>
        <w:trPr>
          <w:trHeight w:val="280"/>
        </w:trPr>
        <w:tc>
          <w:tcPr>
            <w:tcW w:w="1960" w:type="dxa"/>
            <w:vAlign w:val="bottom"/>
            <w:tcBorders>
              <w:left w:val="single" w:sz="8" w:color="auto"/>
              <w:right w:val="single" w:sz="8" w:color="auto"/>
            </w:tcBorders>
            <w:shd w:val="clear" w:color="auto" w:fill="BFBFBF"/>
          </w:tcPr>
          <w:p>
            <w:pPr>
              <w:spacing w:after="0"/>
              <w:rPr>
                <w:sz w:val="24"/>
                <w:szCs w:val="24"/>
                <w:color w:val="auto"/>
              </w:rPr>
            </w:pPr>
          </w:p>
        </w:tc>
        <w:tc>
          <w:tcPr>
            <w:tcW w:w="1480" w:type="dxa"/>
            <w:vAlign w:val="bottom"/>
            <w:shd w:val="clear" w:color="auto" w:fill="BFBFBF"/>
          </w:tcPr>
          <w:p>
            <w:pPr>
              <w:spacing w:after="0"/>
              <w:rPr>
                <w:sz w:val="24"/>
                <w:szCs w:val="24"/>
                <w:color w:val="auto"/>
              </w:rPr>
            </w:pPr>
          </w:p>
        </w:tc>
        <w:tc>
          <w:tcPr>
            <w:tcW w:w="760" w:type="dxa"/>
            <w:vAlign w:val="bottom"/>
            <w:shd w:val="clear" w:color="auto" w:fill="BFBFBF"/>
          </w:tcPr>
          <w:p>
            <w:pPr>
              <w:spacing w:after="0"/>
              <w:rPr>
                <w:sz w:val="24"/>
                <w:szCs w:val="24"/>
                <w:color w:val="auto"/>
              </w:rPr>
            </w:pPr>
          </w:p>
        </w:tc>
        <w:tc>
          <w:tcPr>
            <w:tcW w:w="660" w:type="dxa"/>
            <w:vAlign w:val="bottom"/>
            <w:shd w:val="clear" w:color="auto" w:fill="BFBFBF"/>
          </w:tcPr>
          <w:p>
            <w:pPr>
              <w:spacing w:after="0"/>
              <w:rPr>
                <w:sz w:val="24"/>
                <w:szCs w:val="24"/>
                <w:color w:val="auto"/>
              </w:rPr>
            </w:pPr>
          </w:p>
        </w:tc>
        <w:tc>
          <w:tcPr>
            <w:tcW w:w="960" w:type="dxa"/>
            <w:vAlign w:val="bottom"/>
            <w:shd w:val="clear" w:color="auto" w:fill="BFBFBF"/>
          </w:tcPr>
          <w:p>
            <w:pPr>
              <w:spacing w:after="0"/>
              <w:rPr>
                <w:sz w:val="24"/>
                <w:szCs w:val="24"/>
                <w:color w:val="auto"/>
              </w:rPr>
            </w:pPr>
          </w:p>
        </w:tc>
        <w:tc>
          <w:tcPr>
            <w:tcW w:w="560" w:type="dxa"/>
            <w:vAlign w:val="bottom"/>
            <w:shd w:val="clear" w:color="auto" w:fill="BFBFBF"/>
          </w:tcPr>
          <w:p>
            <w:pPr>
              <w:spacing w:after="0"/>
              <w:rPr>
                <w:sz w:val="24"/>
                <w:szCs w:val="24"/>
                <w:color w:val="auto"/>
              </w:rPr>
            </w:pPr>
          </w:p>
        </w:tc>
        <w:tc>
          <w:tcPr>
            <w:tcW w:w="380" w:type="dxa"/>
            <w:vAlign w:val="bottom"/>
            <w:shd w:val="clear" w:color="auto" w:fill="BFBFBF"/>
          </w:tcPr>
          <w:p>
            <w:pPr>
              <w:spacing w:after="0"/>
              <w:rPr>
                <w:sz w:val="24"/>
                <w:szCs w:val="24"/>
                <w:color w:val="auto"/>
              </w:rPr>
            </w:pPr>
          </w:p>
        </w:tc>
        <w:tc>
          <w:tcPr>
            <w:tcW w:w="1080" w:type="dxa"/>
            <w:vAlign w:val="bottom"/>
            <w:gridSpan w:val="2"/>
            <w:shd w:val="clear" w:color="auto" w:fill="BFBFBF"/>
          </w:tcPr>
          <w:p>
            <w:pPr>
              <w:ind w:left="180"/>
              <w:spacing w:after="0"/>
              <w:rPr>
                <w:sz w:val="20"/>
                <w:szCs w:val="20"/>
                <w:color w:val="auto"/>
              </w:rPr>
            </w:pPr>
            <w:r>
              <w:rPr>
                <w:rFonts w:ascii="Arial" w:cs="Arial" w:eastAsia="Arial" w:hAnsi="Arial"/>
                <w:sz w:val="22"/>
                <w:szCs w:val="22"/>
                <w:b w:val="1"/>
                <w:bCs w:val="1"/>
                <w:color w:val="auto"/>
              </w:rPr>
              <w:t>Code</w:t>
            </w:r>
          </w:p>
        </w:tc>
        <w:tc>
          <w:tcPr>
            <w:tcW w:w="1400" w:type="dxa"/>
            <w:vAlign w:val="bottom"/>
            <w:shd w:val="clear" w:color="auto" w:fill="BFBFBF"/>
          </w:tcPr>
          <w:p>
            <w:pPr>
              <w:ind w:left="20"/>
              <w:spacing w:after="0"/>
              <w:rPr>
                <w:sz w:val="20"/>
                <w:szCs w:val="20"/>
                <w:color w:val="auto"/>
              </w:rPr>
            </w:pPr>
            <w:r>
              <w:rPr>
                <w:rFonts w:ascii="Arial" w:cs="Arial" w:eastAsia="Arial" w:hAnsi="Arial"/>
                <w:sz w:val="22"/>
                <w:szCs w:val="22"/>
                <w:b w:val="1"/>
                <w:bCs w:val="1"/>
                <w:color w:val="auto"/>
              </w:rPr>
              <w:t>(Seller)</w:t>
            </w:r>
          </w:p>
        </w:tc>
        <w:tc>
          <w:tcPr>
            <w:tcW w:w="20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196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1480" w:type="dxa"/>
            <w:vAlign w:val="bottom"/>
            <w:tcBorders>
              <w:bottom w:val="single" w:sz="8" w:color="auto"/>
            </w:tcBorders>
            <w:shd w:val="clear" w:color="auto" w:fill="BFBFBF"/>
          </w:tcPr>
          <w:p>
            <w:pPr>
              <w:spacing w:after="0"/>
              <w:rPr>
                <w:sz w:val="20"/>
                <w:szCs w:val="20"/>
                <w:color w:val="auto"/>
              </w:rPr>
            </w:pPr>
          </w:p>
        </w:tc>
        <w:tc>
          <w:tcPr>
            <w:tcW w:w="760" w:type="dxa"/>
            <w:vAlign w:val="bottom"/>
            <w:tcBorders>
              <w:bottom w:val="single" w:sz="8" w:color="auto"/>
            </w:tcBorders>
            <w:shd w:val="clear" w:color="auto" w:fill="BFBFBF"/>
          </w:tcPr>
          <w:p>
            <w:pPr>
              <w:spacing w:after="0"/>
              <w:rPr>
                <w:sz w:val="20"/>
                <w:szCs w:val="20"/>
                <w:color w:val="auto"/>
              </w:rPr>
            </w:pPr>
          </w:p>
        </w:tc>
        <w:tc>
          <w:tcPr>
            <w:tcW w:w="660" w:type="dxa"/>
            <w:vAlign w:val="bottom"/>
            <w:tcBorders>
              <w:bottom w:val="single" w:sz="8" w:color="auto"/>
            </w:tcBorders>
            <w:shd w:val="clear" w:color="auto" w:fill="BFBFBF"/>
          </w:tcPr>
          <w:p>
            <w:pPr>
              <w:spacing w:after="0"/>
              <w:rPr>
                <w:sz w:val="20"/>
                <w:szCs w:val="20"/>
                <w:color w:val="auto"/>
              </w:rPr>
            </w:pPr>
          </w:p>
        </w:tc>
        <w:tc>
          <w:tcPr>
            <w:tcW w:w="960" w:type="dxa"/>
            <w:vAlign w:val="bottom"/>
            <w:tcBorders>
              <w:bottom w:val="single" w:sz="8" w:color="auto"/>
            </w:tcBorders>
            <w:shd w:val="clear" w:color="auto" w:fill="BFBFBF"/>
          </w:tcPr>
          <w:p>
            <w:pPr>
              <w:spacing w:after="0"/>
              <w:rPr>
                <w:sz w:val="20"/>
                <w:szCs w:val="20"/>
                <w:color w:val="auto"/>
              </w:rPr>
            </w:pPr>
          </w:p>
        </w:tc>
        <w:tc>
          <w:tcPr>
            <w:tcW w:w="560" w:type="dxa"/>
            <w:vAlign w:val="bottom"/>
            <w:tcBorders>
              <w:bottom w:val="single" w:sz="8" w:color="auto"/>
            </w:tcBorders>
            <w:shd w:val="clear" w:color="auto" w:fill="BFBFBF"/>
          </w:tcPr>
          <w:p>
            <w:pPr>
              <w:spacing w:after="0"/>
              <w:rPr>
                <w:sz w:val="20"/>
                <w:szCs w:val="20"/>
                <w:color w:val="auto"/>
              </w:rPr>
            </w:pPr>
          </w:p>
        </w:tc>
        <w:tc>
          <w:tcPr>
            <w:tcW w:w="380" w:type="dxa"/>
            <w:vAlign w:val="bottom"/>
            <w:tcBorders>
              <w:bottom w:val="single" w:sz="8" w:color="auto"/>
            </w:tcBorders>
            <w:shd w:val="clear" w:color="auto" w:fill="BFBFBF"/>
          </w:tcPr>
          <w:p>
            <w:pPr>
              <w:spacing w:after="0"/>
              <w:rPr>
                <w:sz w:val="20"/>
                <w:szCs w:val="20"/>
                <w:color w:val="auto"/>
              </w:rPr>
            </w:pPr>
          </w:p>
        </w:tc>
        <w:tc>
          <w:tcPr>
            <w:tcW w:w="1060" w:type="dxa"/>
            <w:vAlign w:val="bottom"/>
            <w:tcBorders>
              <w:bottom w:val="single" w:sz="8" w:color="auto"/>
            </w:tcBorders>
            <w:shd w:val="clear" w:color="auto" w:fill="BFBFBF"/>
          </w:tcPr>
          <w:p>
            <w:pPr>
              <w:spacing w:after="0"/>
              <w:rPr>
                <w:sz w:val="20"/>
                <w:szCs w:val="20"/>
                <w:color w:val="auto"/>
              </w:rPr>
            </w:pPr>
          </w:p>
        </w:tc>
        <w:tc>
          <w:tcPr>
            <w:tcW w:w="20" w:type="dxa"/>
            <w:vAlign w:val="bottom"/>
            <w:tcBorders>
              <w:bottom w:val="single" w:sz="8" w:color="auto"/>
            </w:tcBorders>
            <w:shd w:val="clear" w:color="auto" w:fill="BFBFBF"/>
          </w:tcPr>
          <w:p>
            <w:pPr>
              <w:spacing w:after="0"/>
              <w:rPr>
                <w:sz w:val="20"/>
                <w:szCs w:val="20"/>
                <w:color w:val="auto"/>
              </w:rPr>
            </w:pPr>
          </w:p>
        </w:tc>
        <w:tc>
          <w:tcPr>
            <w:tcW w:w="1400" w:type="dxa"/>
            <w:vAlign w:val="bottom"/>
            <w:tcBorders>
              <w:bottom w:val="single" w:sz="8" w:color="auto"/>
            </w:tcBorders>
            <w:shd w:val="clear" w:color="auto" w:fill="BFBFBF"/>
          </w:tcPr>
          <w:p>
            <w:pPr>
              <w:spacing w:after="0"/>
              <w:rPr>
                <w:sz w:val="20"/>
                <w:szCs w:val="20"/>
                <w:color w:val="auto"/>
              </w:rPr>
            </w:pPr>
          </w:p>
        </w:tc>
        <w:tc>
          <w:tcPr>
            <w:tcW w:w="2000" w:type="dxa"/>
            <w:vAlign w:val="bottom"/>
            <w:tcBorders>
              <w:bottom w:val="single" w:sz="8" w:color="auto"/>
            </w:tcBorders>
            <w:shd w:val="clear" w:color="auto" w:fill="BFBFBF"/>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1960" w:type="dxa"/>
            <w:vAlign w:val="bottom"/>
          </w:tcPr>
          <w:p>
            <w:pPr>
              <w:ind w:left="120"/>
              <w:spacing w:after="0" w:line="203" w:lineRule="exact"/>
              <w:rPr>
                <w:sz w:val="20"/>
                <w:szCs w:val="20"/>
                <w:color w:val="auto"/>
              </w:rPr>
            </w:pPr>
            <w:r>
              <w:rPr>
                <w:rFonts w:ascii="Arial" w:cs="Arial" w:eastAsia="Arial" w:hAnsi="Arial"/>
                <w:sz w:val="20"/>
                <w:szCs w:val="20"/>
                <w:color w:val="auto"/>
              </w:rPr>
              <w:t>Akron, OH</w:t>
            </w:r>
          </w:p>
        </w:tc>
        <w:tc>
          <w:tcPr>
            <w:tcW w:w="2240" w:type="dxa"/>
            <w:vAlign w:val="bottom"/>
            <w:gridSpan w:val="2"/>
          </w:tcPr>
          <w:p>
            <w:pPr>
              <w:ind w:left="100"/>
              <w:spacing w:after="0" w:line="203" w:lineRule="exact"/>
              <w:rPr>
                <w:sz w:val="20"/>
                <w:szCs w:val="20"/>
                <w:color w:val="auto"/>
              </w:rPr>
            </w:pPr>
            <w:r>
              <w:rPr>
                <w:rFonts w:ascii="Arial" w:cs="Arial" w:eastAsia="Arial" w:hAnsi="Arial"/>
                <w:sz w:val="20"/>
                <w:szCs w:val="20"/>
                <w:color w:val="auto"/>
              </w:rPr>
              <w:t>3140 Massillon Road</w:t>
            </w:r>
          </w:p>
        </w:tc>
        <w:tc>
          <w:tcPr>
            <w:tcW w:w="1620" w:type="dxa"/>
            <w:vAlign w:val="bottom"/>
            <w:gridSpan w:val="2"/>
          </w:tcPr>
          <w:p>
            <w:pPr>
              <w:ind w:left="180"/>
              <w:spacing w:after="0" w:line="203" w:lineRule="exact"/>
              <w:rPr>
                <w:sz w:val="20"/>
                <w:szCs w:val="20"/>
                <w:color w:val="auto"/>
              </w:rPr>
            </w:pPr>
            <w:r>
              <w:rPr>
                <w:rFonts w:ascii="Arial" w:cs="Arial" w:eastAsia="Arial" w:hAnsi="Arial"/>
                <w:sz w:val="20"/>
                <w:szCs w:val="20"/>
                <w:color w:val="auto"/>
              </w:rPr>
              <w:t>Akron</w:t>
            </w:r>
          </w:p>
        </w:tc>
        <w:tc>
          <w:tcPr>
            <w:tcW w:w="940" w:type="dxa"/>
            <w:vAlign w:val="bottom"/>
            <w:gridSpan w:val="2"/>
          </w:tcPr>
          <w:p>
            <w:pPr>
              <w:ind w:left="280"/>
              <w:spacing w:after="0" w:line="203" w:lineRule="exact"/>
              <w:rPr>
                <w:sz w:val="20"/>
                <w:szCs w:val="20"/>
                <w:color w:val="auto"/>
              </w:rPr>
            </w:pPr>
            <w:r>
              <w:rPr>
                <w:rFonts w:ascii="Arial" w:cs="Arial" w:eastAsia="Arial" w:hAnsi="Arial"/>
                <w:sz w:val="20"/>
                <w:szCs w:val="20"/>
                <w:color w:val="auto"/>
              </w:rPr>
              <w:t>OH</w:t>
            </w:r>
          </w:p>
        </w:tc>
        <w:tc>
          <w:tcPr>
            <w:tcW w:w="1060" w:type="dxa"/>
            <w:vAlign w:val="bottom"/>
          </w:tcPr>
          <w:p>
            <w:pPr>
              <w:ind w:left="180"/>
              <w:spacing w:after="0" w:line="203" w:lineRule="exact"/>
              <w:rPr>
                <w:sz w:val="20"/>
                <w:szCs w:val="20"/>
                <w:color w:val="auto"/>
              </w:rPr>
            </w:pPr>
            <w:r>
              <w:rPr>
                <w:rFonts w:ascii="Arial" w:cs="Arial" w:eastAsia="Arial" w:hAnsi="Arial"/>
                <w:sz w:val="20"/>
                <w:szCs w:val="20"/>
                <w:color w:val="auto"/>
              </w:rPr>
              <w:t>44312</w:t>
            </w:r>
          </w:p>
        </w:tc>
        <w:tc>
          <w:tcPr>
            <w:tcW w:w="20" w:type="dxa"/>
            <w:vAlign w:val="bottom"/>
          </w:tcPr>
          <w:p>
            <w:pPr>
              <w:spacing w:after="0"/>
              <w:rPr>
                <w:sz w:val="17"/>
                <w:szCs w:val="17"/>
                <w:color w:val="auto"/>
              </w:rPr>
            </w:pPr>
          </w:p>
        </w:tc>
        <w:tc>
          <w:tcPr>
            <w:tcW w:w="1400" w:type="dxa"/>
            <w:vAlign w:val="bottom"/>
          </w:tcPr>
          <w:p>
            <w:pPr>
              <w:ind w:left="20"/>
              <w:spacing w:after="0" w:line="203" w:lineRule="exact"/>
              <w:rPr>
                <w:sz w:val="20"/>
                <w:szCs w:val="20"/>
                <w:color w:val="auto"/>
              </w:rPr>
            </w:pPr>
            <w:r>
              <w:rPr>
                <w:rFonts w:ascii="Arial" w:cs="Arial" w:eastAsia="Arial" w:hAnsi="Arial"/>
                <w:sz w:val="20"/>
                <w:szCs w:val="20"/>
                <w:color w:val="auto"/>
              </w:rPr>
              <w:t>USF Holland</w:t>
            </w:r>
          </w:p>
        </w:tc>
        <w:tc>
          <w:tcPr>
            <w:tcW w:w="2000" w:type="dxa"/>
            <w:vAlign w:val="bottom"/>
          </w:tcPr>
          <w:p>
            <w:pPr>
              <w:ind w:left="140"/>
              <w:spacing w:after="0" w:line="203" w:lineRule="exact"/>
              <w:rPr>
                <w:sz w:val="20"/>
                <w:szCs w:val="20"/>
                <w:color w:val="auto"/>
              </w:rPr>
            </w:pPr>
            <w:r>
              <w:rPr>
                <w:rFonts w:ascii="Arial" w:cs="Arial" w:eastAsia="Arial" w:hAnsi="Arial"/>
                <w:sz w:val="20"/>
                <w:szCs w:val="20"/>
                <w:color w:val="auto"/>
              </w:rPr>
              <w:t>Saia Motor Freight</w:t>
            </w:r>
          </w:p>
        </w:tc>
        <w:tc>
          <w:tcPr>
            <w:tcW w:w="20" w:type="dxa"/>
            <w:vAlign w:val="bottom"/>
          </w:tcPr>
          <w:p>
            <w:pPr>
              <w:spacing w:after="0"/>
              <w:rPr>
                <w:sz w:val="17"/>
                <w:szCs w:val="17"/>
                <w:color w:val="auto"/>
              </w:rPr>
            </w:pPr>
          </w:p>
        </w:tc>
      </w:tr>
      <w:tr>
        <w:trPr>
          <w:trHeight w:val="250"/>
        </w:trPr>
        <w:tc>
          <w:tcPr>
            <w:tcW w:w="1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ind w:left="20"/>
              <w:spacing w:after="0"/>
              <w:rPr>
                <w:sz w:val="20"/>
                <w:szCs w:val="20"/>
                <w:color w:val="auto"/>
              </w:rPr>
            </w:pPr>
            <w:r>
              <w:rPr>
                <w:rFonts w:ascii="Arial" w:cs="Arial" w:eastAsia="Arial" w:hAnsi="Arial"/>
                <w:sz w:val="20"/>
                <w:szCs w:val="20"/>
                <w:color w:val="auto"/>
              </w:rPr>
              <w:t>LLC</w:t>
            </w:r>
          </w:p>
        </w:tc>
        <w:tc>
          <w:tcPr>
            <w:tcW w:w="2020" w:type="dxa"/>
            <w:vAlign w:val="bottom"/>
            <w:gridSpan w:val="2"/>
          </w:tcPr>
          <w:p>
            <w:pPr>
              <w:ind w:left="140"/>
              <w:spacing w:after="0"/>
              <w:rPr>
                <w:sz w:val="20"/>
                <w:szCs w:val="20"/>
                <w:color w:val="auto"/>
              </w:rPr>
            </w:pPr>
            <w:r>
              <w:rPr>
                <w:rFonts w:ascii="Arial" w:cs="Arial" w:eastAsia="Arial" w:hAnsi="Arial"/>
                <w:sz w:val="20"/>
                <w:szCs w:val="20"/>
                <w:color w:val="auto"/>
              </w:rPr>
              <w:t>Line, LLC</w:t>
            </w:r>
          </w:p>
        </w:tc>
      </w:tr>
      <w:tr>
        <w:trPr>
          <w:trHeight w:val="225"/>
        </w:trPr>
        <w:tc>
          <w:tcPr>
            <w:tcW w:w="1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gridSpan w:val="2"/>
          </w:tcPr>
          <w:p>
            <w:pPr>
              <w:spacing w:after="0"/>
              <w:rPr>
                <w:sz w:val="19"/>
                <w:szCs w:val="19"/>
                <w:color w:val="auto"/>
              </w:rPr>
            </w:pPr>
          </w:p>
        </w:tc>
      </w:tr>
      <w:tr>
        <w:trPr>
          <w:trHeight w:val="220"/>
        </w:trPr>
        <w:tc>
          <w:tcPr>
            <w:tcW w:w="1960" w:type="dxa"/>
            <w:vAlign w:val="bottom"/>
            <w:tcBorders>
              <w:top w:val="single" w:sz="8" w:color="auto"/>
            </w:tcBorders>
          </w:tcPr>
          <w:p>
            <w:pPr>
              <w:ind w:left="120"/>
              <w:spacing w:after="0" w:line="220" w:lineRule="exact"/>
              <w:rPr>
                <w:sz w:val="20"/>
                <w:szCs w:val="20"/>
                <w:color w:val="auto"/>
              </w:rPr>
            </w:pPr>
            <w:r>
              <w:rPr>
                <w:rFonts w:ascii="Arial" w:cs="Arial" w:eastAsia="Arial" w:hAnsi="Arial"/>
                <w:sz w:val="20"/>
                <w:szCs w:val="20"/>
                <w:color w:val="auto"/>
              </w:rPr>
              <w:t>Buffalo, NY</w:t>
            </w:r>
          </w:p>
        </w:tc>
        <w:tc>
          <w:tcPr>
            <w:tcW w:w="2240" w:type="dxa"/>
            <w:vAlign w:val="bottom"/>
            <w:tcBorders>
              <w:top w:val="single" w:sz="8" w:color="auto"/>
            </w:tcBorders>
            <w:gridSpan w:val="2"/>
          </w:tcPr>
          <w:p>
            <w:pPr>
              <w:ind w:left="100"/>
              <w:spacing w:after="0" w:line="220" w:lineRule="exact"/>
              <w:rPr>
                <w:sz w:val="20"/>
                <w:szCs w:val="20"/>
                <w:color w:val="auto"/>
              </w:rPr>
            </w:pPr>
            <w:r>
              <w:rPr>
                <w:rFonts w:ascii="Arial" w:cs="Arial" w:eastAsia="Arial" w:hAnsi="Arial"/>
                <w:sz w:val="20"/>
                <w:szCs w:val="20"/>
                <w:color w:val="auto"/>
              </w:rPr>
              <w:t>6640 Transit Road</w:t>
            </w:r>
          </w:p>
        </w:tc>
        <w:tc>
          <w:tcPr>
            <w:tcW w:w="1620" w:type="dxa"/>
            <w:vAlign w:val="bottom"/>
            <w:tcBorders>
              <w:top w:val="single" w:sz="8" w:color="auto"/>
            </w:tcBorders>
            <w:gridSpan w:val="2"/>
          </w:tcPr>
          <w:p>
            <w:pPr>
              <w:ind w:left="180"/>
              <w:spacing w:after="0" w:line="220" w:lineRule="exact"/>
              <w:rPr>
                <w:sz w:val="20"/>
                <w:szCs w:val="20"/>
                <w:color w:val="auto"/>
              </w:rPr>
            </w:pPr>
            <w:r>
              <w:rPr>
                <w:rFonts w:ascii="Arial" w:cs="Arial" w:eastAsia="Arial" w:hAnsi="Arial"/>
                <w:sz w:val="20"/>
                <w:szCs w:val="20"/>
                <w:color w:val="auto"/>
              </w:rPr>
              <w:t>Williamsville</w:t>
            </w:r>
          </w:p>
        </w:tc>
        <w:tc>
          <w:tcPr>
            <w:tcW w:w="940" w:type="dxa"/>
            <w:vAlign w:val="bottom"/>
            <w:tcBorders>
              <w:top w:val="single" w:sz="8" w:color="auto"/>
            </w:tcBorders>
            <w:gridSpan w:val="2"/>
          </w:tcPr>
          <w:p>
            <w:pPr>
              <w:ind w:left="280"/>
              <w:spacing w:after="0" w:line="220" w:lineRule="exact"/>
              <w:rPr>
                <w:sz w:val="20"/>
                <w:szCs w:val="20"/>
                <w:color w:val="auto"/>
              </w:rPr>
            </w:pPr>
            <w:r>
              <w:rPr>
                <w:rFonts w:ascii="Arial" w:cs="Arial" w:eastAsia="Arial" w:hAnsi="Arial"/>
                <w:sz w:val="20"/>
                <w:szCs w:val="20"/>
                <w:color w:val="auto"/>
              </w:rPr>
              <w:t>NY</w:t>
            </w:r>
          </w:p>
        </w:tc>
        <w:tc>
          <w:tcPr>
            <w:tcW w:w="1060" w:type="dxa"/>
            <w:vAlign w:val="bottom"/>
            <w:tcBorders>
              <w:top w:val="single" w:sz="8" w:color="auto"/>
            </w:tcBorders>
          </w:tcPr>
          <w:p>
            <w:pPr>
              <w:ind w:left="180"/>
              <w:spacing w:after="0" w:line="220" w:lineRule="exact"/>
              <w:rPr>
                <w:sz w:val="20"/>
                <w:szCs w:val="20"/>
                <w:color w:val="auto"/>
              </w:rPr>
            </w:pPr>
            <w:r>
              <w:rPr>
                <w:rFonts w:ascii="Arial" w:cs="Arial" w:eastAsia="Arial" w:hAnsi="Arial"/>
                <w:sz w:val="20"/>
                <w:szCs w:val="20"/>
                <w:color w:val="auto"/>
              </w:rPr>
              <w:t>14221</w:t>
            </w:r>
          </w:p>
        </w:tc>
        <w:tc>
          <w:tcPr>
            <w:tcW w:w="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ind w:left="20"/>
              <w:spacing w:after="0" w:line="220" w:lineRule="exact"/>
              <w:rPr>
                <w:sz w:val="20"/>
                <w:szCs w:val="20"/>
                <w:color w:val="auto"/>
              </w:rPr>
            </w:pPr>
            <w:r>
              <w:rPr>
                <w:rFonts w:ascii="Arial" w:cs="Arial" w:eastAsia="Arial" w:hAnsi="Arial"/>
                <w:sz w:val="20"/>
                <w:szCs w:val="20"/>
                <w:color w:val="auto"/>
              </w:rPr>
              <w:t>New Penn</w:t>
            </w:r>
          </w:p>
        </w:tc>
        <w:tc>
          <w:tcPr>
            <w:tcW w:w="2000" w:type="dxa"/>
            <w:vAlign w:val="bottom"/>
            <w:tcBorders>
              <w:top w:val="single" w:sz="8" w:color="auto"/>
            </w:tcBorders>
          </w:tcPr>
          <w:p>
            <w:pPr>
              <w:ind w:left="140"/>
              <w:spacing w:after="0" w:line="220" w:lineRule="exact"/>
              <w:rPr>
                <w:sz w:val="20"/>
                <w:szCs w:val="20"/>
                <w:color w:val="auto"/>
              </w:rPr>
            </w:pPr>
            <w:r>
              <w:rPr>
                <w:rFonts w:ascii="Arial" w:cs="Arial" w:eastAsia="Arial" w:hAnsi="Arial"/>
                <w:sz w:val="20"/>
                <w:szCs w:val="20"/>
                <w:color w:val="auto"/>
              </w:rPr>
              <w:t>Terminal Properties</w:t>
            </w:r>
          </w:p>
        </w:tc>
        <w:tc>
          <w:tcPr>
            <w:tcW w:w="20" w:type="dxa"/>
            <w:vAlign w:val="bottom"/>
          </w:tcPr>
          <w:p>
            <w:pPr>
              <w:spacing w:after="0"/>
              <w:rPr>
                <w:sz w:val="19"/>
                <w:szCs w:val="19"/>
                <w:color w:val="auto"/>
              </w:rPr>
            </w:pPr>
          </w:p>
        </w:tc>
      </w:tr>
      <w:tr>
        <w:trPr>
          <w:trHeight w:val="229"/>
        </w:trPr>
        <w:tc>
          <w:tcPr>
            <w:tcW w:w="1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Arial" w:cs="Arial" w:eastAsia="Arial" w:hAnsi="Arial"/>
                <w:sz w:val="20"/>
                <w:szCs w:val="20"/>
                <w:color w:val="auto"/>
              </w:rPr>
              <w:t>Motor Express</w:t>
            </w:r>
          </w:p>
        </w:tc>
        <w:tc>
          <w:tcPr>
            <w:tcW w:w="2020" w:type="dxa"/>
            <w:vAlign w:val="bottom"/>
            <w:gridSpan w:val="2"/>
          </w:tcPr>
          <w:p>
            <w:pPr>
              <w:ind w:left="140"/>
              <w:spacing w:after="0"/>
              <w:rPr>
                <w:sz w:val="20"/>
                <w:szCs w:val="20"/>
                <w:color w:val="auto"/>
              </w:rPr>
            </w:pPr>
            <w:r>
              <w:rPr>
                <w:rFonts w:ascii="Arial" w:cs="Arial" w:eastAsia="Arial" w:hAnsi="Arial"/>
                <w:sz w:val="20"/>
                <w:szCs w:val="20"/>
                <w:color w:val="auto"/>
              </w:rPr>
              <w:t>of NY LLC</w:t>
            </w:r>
          </w:p>
        </w:tc>
      </w:tr>
      <w:tr>
        <w:trPr>
          <w:trHeight w:val="250"/>
        </w:trPr>
        <w:tc>
          <w:tcPr>
            <w:tcW w:w="1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ind w:left="20"/>
              <w:spacing w:after="0"/>
              <w:rPr>
                <w:sz w:val="20"/>
                <w:szCs w:val="20"/>
                <w:color w:val="auto"/>
              </w:rPr>
            </w:pPr>
            <w:r>
              <w:rPr>
                <w:rFonts w:ascii="Arial" w:cs="Arial" w:eastAsia="Arial" w:hAnsi="Arial"/>
                <w:sz w:val="20"/>
                <w:szCs w:val="20"/>
                <w:color w:val="auto"/>
              </w:rPr>
              <w:t>LLC</w:t>
            </w:r>
          </w:p>
        </w:tc>
        <w:tc>
          <w:tcPr>
            <w:tcW w:w="2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5"/>
        </w:trPr>
        <w:tc>
          <w:tcPr>
            <w:tcW w:w="1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gridSpan w:val="2"/>
          </w:tcPr>
          <w:p>
            <w:pPr>
              <w:spacing w:after="0"/>
              <w:rPr>
                <w:sz w:val="19"/>
                <w:szCs w:val="19"/>
                <w:color w:val="auto"/>
              </w:rPr>
            </w:pPr>
          </w:p>
        </w:tc>
      </w:tr>
      <w:tr>
        <w:trPr>
          <w:trHeight w:val="220"/>
        </w:trPr>
        <w:tc>
          <w:tcPr>
            <w:tcW w:w="1960" w:type="dxa"/>
            <w:vAlign w:val="bottom"/>
            <w:tcBorders>
              <w:top w:val="single" w:sz="8" w:color="auto"/>
            </w:tcBorders>
          </w:tcPr>
          <w:p>
            <w:pPr>
              <w:ind w:left="120"/>
              <w:spacing w:after="0" w:line="220" w:lineRule="exact"/>
              <w:rPr>
                <w:sz w:val="20"/>
                <w:szCs w:val="20"/>
                <w:color w:val="auto"/>
              </w:rPr>
            </w:pPr>
            <w:r>
              <w:rPr>
                <w:rFonts w:ascii="Arial" w:cs="Arial" w:eastAsia="Arial" w:hAnsi="Arial"/>
                <w:sz w:val="20"/>
                <w:szCs w:val="20"/>
                <w:color w:val="auto"/>
              </w:rPr>
              <w:t>Chattanooga, TN</w:t>
            </w:r>
          </w:p>
        </w:tc>
        <w:tc>
          <w:tcPr>
            <w:tcW w:w="2240" w:type="dxa"/>
            <w:vAlign w:val="bottom"/>
            <w:tcBorders>
              <w:top w:val="single" w:sz="8" w:color="auto"/>
            </w:tcBorders>
            <w:gridSpan w:val="2"/>
          </w:tcPr>
          <w:p>
            <w:pPr>
              <w:ind w:left="100"/>
              <w:spacing w:after="0" w:line="220" w:lineRule="exact"/>
              <w:rPr>
                <w:sz w:val="20"/>
                <w:szCs w:val="20"/>
                <w:color w:val="auto"/>
              </w:rPr>
            </w:pPr>
            <w:r>
              <w:rPr>
                <w:rFonts w:ascii="Arial" w:cs="Arial" w:eastAsia="Arial" w:hAnsi="Arial"/>
                <w:sz w:val="20"/>
                <w:szCs w:val="20"/>
                <w:color w:val="auto"/>
              </w:rPr>
              <w:t>345 Roadway Drive</w:t>
            </w:r>
          </w:p>
        </w:tc>
        <w:tc>
          <w:tcPr>
            <w:tcW w:w="1620" w:type="dxa"/>
            <w:vAlign w:val="bottom"/>
            <w:tcBorders>
              <w:top w:val="single" w:sz="8" w:color="auto"/>
            </w:tcBorders>
            <w:gridSpan w:val="2"/>
          </w:tcPr>
          <w:p>
            <w:pPr>
              <w:ind w:left="180"/>
              <w:spacing w:after="0" w:line="220" w:lineRule="exact"/>
              <w:rPr>
                <w:sz w:val="20"/>
                <w:szCs w:val="20"/>
                <w:color w:val="auto"/>
              </w:rPr>
            </w:pPr>
            <w:r>
              <w:rPr>
                <w:rFonts w:ascii="Arial" w:cs="Arial" w:eastAsia="Arial" w:hAnsi="Arial"/>
                <w:sz w:val="20"/>
                <w:szCs w:val="20"/>
                <w:color w:val="auto"/>
              </w:rPr>
              <w:t>Ringgold</w:t>
            </w:r>
          </w:p>
        </w:tc>
        <w:tc>
          <w:tcPr>
            <w:tcW w:w="940" w:type="dxa"/>
            <w:vAlign w:val="bottom"/>
            <w:tcBorders>
              <w:top w:val="single" w:sz="8" w:color="auto"/>
            </w:tcBorders>
            <w:gridSpan w:val="2"/>
          </w:tcPr>
          <w:p>
            <w:pPr>
              <w:ind w:left="280"/>
              <w:spacing w:after="0" w:line="220" w:lineRule="exact"/>
              <w:rPr>
                <w:sz w:val="20"/>
                <w:szCs w:val="20"/>
                <w:color w:val="auto"/>
              </w:rPr>
            </w:pPr>
            <w:r>
              <w:rPr>
                <w:rFonts w:ascii="Arial" w:cs="Arial" w:eastAsia="Arial" w:hAnsi="Arial"/>
                <w:sz w:val="20"/>
                <w:szCs w:val="20"/>
                <w:color w:val="auto"/>
              </w:rPr>
              <w:t>GA</w:t>
            </w:r>
          </w:p>
        </w:tc>
        <w:tc>
          <w:tcPr>
            <w:tcW w:w="1060" w:type="dxa"/>
            <w:vAlign w:val="bottom"/>
            <w:tcBorders>
              <w:top w:val="single" w:sz="8" w:color="auto"/>
            </w:tcBorders>
          </w:tcPr>
          <w:p>
            <w:pPr>
              <w:ind w:left="180"/>
              <w:spacing w:after="0" w:line="220" w:lineRule="exact"/>
              <w:rPr>
                <w:sz w:val="20"/>
                <w:szCs w:val="20"/>
                <w:color w:val="auto"/>
              </w:rPr>
            </w:pPr>
            <w:r>
              <w:rPr>
                <w:rFonts w:ascii="Arial" w:cs="Arial" w:eastAsia="Arial" w:hAnsi="Arial"/>
                <w:sz w:val="20"/>
                <w:szCs w:val="20"/>
                <w:color w:val="auto"/>
              </w:rPr>
              <w:t>30736</w:t>
            </w:r>
          </w:p>
        </w:tc>
        <w:tc>
          <w:tcPr>
            <w:tcW w:w="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ind w:left="20"/>
              <w:spacing w:after="0" w:line="220" w:lineRule="exact"/>
              <w:rPr>
                <w:sz w:val="20"/>
                <w:szCs w:val="20"/>
                <w:color w:val="auto"/>
              </w:rPr>
            </w:pPr>
            <w:r>
              <w:rPr>
                <w:rFonts w:ascii="Arial" w:cs="Arial" w:eastAsia="Arial" w:hAnsi="Arial"/>
                <w:sz w:val="20"/>
                <w:szCs w:val="20"/>
                <w:color w:val="auto"/>
              </w:rPr>
              <w:t>YRC Inc.</w:t>
            </w:r>
          </w:p>
        </w:tc>
        <w:tc>
          <w:tcPr>
            <w:tcW w:w="2000" w:type="dxa"/>
            <w:vAlign w:val="bottom"/>
            <w:tcBorders>
              <w:top w:val="single" w:sz="8" w:color="auto"/>
            </w:tcBorders>
          </w:tcPr>
          <w:p>
            <w:pPr>
              <w:ind w:left="140"/>
              <w:spacing w:after="0" w:line="220" w:lineRule="exact"/>
              <w:rPr>
                <w:sz w:val="20"/>
                <w:szCs w:val="20"/>
                <w:color w:val="auto"/>
              </w:rPr>
            </w:pPr>
            <w:r>
              <w:rPr>
                <w:rFonts w:ascii="Arial" w:cs="Arial" w:eastAsia="Arial" w:hAnsi="Arial"/>
                <w:sz w:val="20"/>
                <w:szCs w:val="20"/>
                <w:color w:val="auto"/>
              </w:rPr>
              <w:t>Chattanooga</w:t>
            </w:r>
          </w:p>
        </w:tc>
        <w:tc>
          <w:tcPr>
            <w:tcW w:w="20" w:type="dxa"/>
            <w:vAlign w:val="bottom"/>
          </w:tcPr>
          <w:p>
            <w:pPr>
              <w:spacing w:after="0"/>
              <w:rPr>
                <w:sz w:val="19"/>
                <w:szCs w:val="19"/>
                <w:color w:val="auto"/>
              </w:rPr>
            </w:pPr>
          </w:p>
        </w:tc>
      </w:tr>
      <w:tr>
        <w:trPr>
          <w:trHeight w:val="250"/>
        </w:trPr>
        <w:tc>
          <w:tcPr>
            <w:tcW w:w="1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20" w:type="dxa"/>
            <w:vAlign w:val="bottom"/>
            <w:gridSpan w:val="2"/>
          </w:tcPr>
          <w:p>
            <w:pPr>
              <w:ind w:left="140"/>
              <w:spacing w:after="0"/>
              <w:rPr>
                <w:sz w:val="20"/>
                <w:szCs w:val="20"/>
                <w:color w:val="auto"/>
              </w:rPr>
            </w:pPr>
            <w:r>
              <w:rPr>
                <w:rFonts w:ascii="Arial" w:cs="Arial" w:eastAsia="Arial" w:hAnsi="Arial"/>
                <w:sz w:val="20"/>
                <w:szCs w:val="20"/>
                <w:color w:val="auto"/>
              </w:rPr>
              <w:t>Industrial LLC</w:t>
            </w:r>
          </w:p>
        </w:tc>
      </w:tr>
      <w:tr>
        <w:trPr>
          <w:trHeight w:val="225"/>
        </w:trPr>
        <w:tc>
          <w:tcPr>
            <w:tcW w:w="1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gridSpan w:val="2"/>
          </w:tcPr>
          <w:p>
            <w:pPr>
              <w:spacing w:after="0"/>
              <w:rPr>
                <w:sz w:val="19"/>
                <w:szCs w:val="19"/>
                <w:color w:val="auto"/>
              </w:rPr>
            </w:pPr>
          </w:p>
        </w:tc>
      </w:tr>
      <w:tr>
        <w:trPr>
          <w:trHeight w:val="220"/>
        </w:trPr>
        <w:tc>
          <w:tcPr>
            <w:tcW w:w="1960" w:type="dxa"/>
            <w:vAlign w:val="bottom"/>
            <w:tcBorders>
              <w:top w:val="single" w:sz="8" w:color="auto"/>
            </w:tcBorders>
          </w:tcPr>
          <w:p>
            <w:pPr>
              <w:ind w:left="120"/>
              <w:spacing w:after="0" w:line="220" w:lineRule="exact"/>
              <w:rPr>
                <w:sz w:val="20"/>
                <w:szCs w:val="20"/>
                <w:color w:val="auto"/>
              </w:rPr>
            </w:pPr>
            <w:r>
              <w:rPr>
                <w:rFonts w:ascii="Arial" w:cs="Arial" w:eastAsia="Arial" w:hAnsi="Arial"/>
                <w:sz w:val="20"/>
                <w:szCs w:val="20"/>
                <w:color w:val="auto"/>
              </w:rPr>
              <w:t>Compton, CA</w:t>
            </w:r>
          </w:p>
        </w:tc>
        <w:tc>
          <w:tcPr>
            <w:tcW w:w="2240" w:type="dxa"/>
            <w:vAlign w:val="bottom"/>
            <w:tcBorders>
              <w:top w:val="single" w:sz="8" w:color="auto"/>
            </w:tcBorders>
            <w:gridSpan w:val="2"/>
          </w:tcPr>
          <w:p>
            <w:pPr>
              <w:ind w:left="100"/>
              <w:spacing w:after="0" w:line="220" w:lineRule="exact"/>
              <w:rPr>
                <w:sz w:val="20"/>
                <w:szCs w:val="20"/>
                <w:color w:val="auto"/>
              </w:rPr>
            </w:pPr>
            <w:r>
              <w:rPr>
                <w:rFonts w:ascii="Arial" w:cs="Arial" w:eastAsia="Arial" w:hAnsi="Arial"/>
                <w:sz w:val="20"/>
                <w:szCs w:val="20"/>
                <w:color w:val="auto"/>
              </w:rPr>
              <w:t>575 E Weber Avenue</w:t>
            </w:r>
          </w:p>
        </w:tc>
        <w:tc>
          <w:tcPr>
            <w:tcW w:w="1620" w:type="dxa"/>
            <w:vAlign w:val="bottom"/>
            <w:tcBorders>
              <w:top w:val="single" w:sz="8" w:color="auto"/>
            </w:tcBorders>
            <w:gridSpan w:val="2"/>
          </w:tcPr>
          <w:p>
            <w:pPr>
              <w:ind w:left="180"/>
              <w:spacing w:after="0" w:line="220" w:lineRule="exact"/>
              <w:rPr>
                <w:sz w:val="20"/>
                <w:szCs w:val="20"/>
                <w:color w:val="auto"/>
              </w:rPr>
            </w:pPr>
            <w:r>
              <w:rPr>
                <w:rFonts w:ascii="Arial" w:cs="Arial" w:eastAsia="Arial" w:hAnsi="Arial"/>
                <w:sz w:val="20"/>
                <w:szCs w:val="20"/>
                <w:color w:val="auto"/>
              </w:rPr>
              <w:t>Compton</w:t>
            </w:r>
          </w:p>
        </w:tc>
        <w:tc>
          <w:tcPr>
            <w:tcW w:w="940" w:type="dxa"/>
            <w:vAlign w:val="bottom"/>
            <w:tcBorders>
              <w:top w:val="single" w:sz="8" w:color="auto"/>
            </w:tcBorders>
            <w:gridSpan w:val="2"/>
          </w:tcPr>
          <w:p>
            <w:pPr>
              <w:ind w:left="280"/>
              <w:spacing w:after="0" w:line="220" w:lineRule="exact"/>
              <w:rPr>
                <w:sz w:val="20"/>
                <w:szCs w:val="20"/>
                <w:color w:val="auto"/>
              </w:rPr>
            </w:pPr>
            <w:r>
              <w:rPr>
                <w:rFonts w:ascii="Arial" w:cs="Arial" w:eastAsia="Arial" w:hAnsi="Arial"/>
                <w:sz w:val="20"/>
                <w:szCs w:val="20"/>
                <w:color w:val="auto"/>
              </w:rPr>
              <w:t>CA</w:t>
            </w:r>
          </w:p>
        </w:tc>
        <w:tc>
          <w:tcPr>
            <w:tcW w:w="1060" w:type="dxa"/>
            <w:vAlign w:val="bottom"/>
            <w:tcBorders>
              <w:top w:val="single" w:sz="8" w:color="auto"/>
            </w:tcBorders>
          </w:tcPr>
          <w:p>
            <w:pPr>
              <w:ind w:left="180"/>
              <w:spacing w:after="0" w:line="220" w:lineRule="exact"/>
              <w:rPr>
                <w:sz w:val="20"/>
                <w:szCs w:val="20"/>
                <w:color w:val="auto"/>
              </w:rPr>
            </w:pPr>
            <w:r>
              <w:rPr>
                <w:rFonts w:ascii="Arial" w:cs="Arial" w:eastAsia="Arial" w:hAnsi="Arial"/>
                <w:sz w:val="20"/>
                <w:szCs w:val="20"/>
                <w:color w:val="auto"/>
              </w:rPr>
              <w:t>90222</w:t>
            </w:r>
          </w:p>
        </w:tc>
        <w:tc>
          <w:tcPr>
            <w:tcW w:w="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ind w:left="20"/>
              <w:spacing w:after="0" w:line="220" w:lineRule="exact"/>
              <w:rPr>
                <w:sz w:val="20"/>
                <w:szCs w:val="20"/>
                <w:color w:val="auto"/>
              </w:rPr>
            </w:pPr>
            <w:r>
              <w:rPr>
                <w:rFonts w:ascii="Arial" w:cs="Arial" w:eastAsia="Arial" w:hAnsi="Arial"/>
                <w:sz w:val="20"/>
                <w:szCs w:val="20"/>
                <w:color w:val="auto"/>
                <w:w w:val="97"/>
              </w:rPr>
              <w:t>USF Reddaway</w:t>
            </w:r>
          </w:p>
        </w:tc>
        <w:tc>
          <w:tcPr>
            <w:tcW w:w="2000" w:type="dxa"/>
            <w:vAlign w:val="bottom"/>
            <w:tcBorders>
              <w:top w:val="single" w:sz="8" w:color="auto"/>
            </w:tcBorders>
          </w:tcPr>
          <w:p>
            <w:pPr>
              <w:ind w:left="140"/>
              <w:spacing w:after="0" w:line="220" w:lineRule="exact"/>
              <w:rPr>
                <w:sz w:val="20"/>
                <w:szCs w:val="20"/>
                <w:color w:val="auto"/>
              </w:rPr>
            </w:pPr>
            <w:r>
              <w:rPr>
                <w:rFonts w:ascii="Arial" w:cs="Arial" w:eastAsia="Arial" w:hAnsi="Arial"/>
                <w:sz w:val="20"/>
                <w:szCs w:val="20"/>
                <w:color w:val="auto"/>
              </w:rPr>
              <w:t>ULH Properties of</w:t>
            </w:r>
          </w:p>
        </w:tc>
        <w:tc>
          <w:tcPr>
            <w:tcW w:w="20" w:type="dxa"/>
            <w:vAlign w:val="bottom"/>
          </w:tcPr>
          <w:p>
            <w:pPr>
              <w:spacing w:after="0"/>
              <w:rPr>
                <w:sz w:val="19"/>
                <w:szCs w:val="19"/>
                <w:color w:val="auto"/>
              </w:rPr>
            </w:pPr>
          </w:p>
        </w:tc>
      </w:tr>
      <w:tr>
        <w:trPr>
          <w:trHeight w:val="250"/>
        </w:trPr>
        <w:tc>
          <w:tcPr>
            <w:tcW w:w="1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ind w:left="20"/>
              <w:spacing w:after="0"/>
              <w:rPr>
                <w:sz w:val="20"/>
                <w:szCs w:val="20"/>
                <w:color w:val="auto"/>
              </w:rPr>
            </w:pPr>
            <w:r>
              <w:rPr>
                <w:rFonts w:ascii="Arial" w:cs="Arial" w:eastAsia="Arial" w:hAnsi="Arial"/>
                <w:sz w:val="20"/>
                <w:szCs w:val="20"/>
                <w:color w:val="auto"/>
              </w:rPr>
              <w:t>Inc.</w:t>
            </w:r>
          </w:p>
        </w:tc>
        <w:tc>
          <w:tcPr>
            <w:tcW w:w="2020" w:type="dxa"/>
            <w:vAlign w:val="bottom"/>
            <w:gridSpan w:val="2"/>
          </w:tcPr>
          <w:p>
            <w:pPr>
              <w:ind w:left="140"/>
              <w:spacing w:after="0"/>
              <w:rPr>
                <w:sz w:val="20"/>
                <w:szCs w:val="20"/>
                <w:color w:val="auto"/>
              </w:rPr>
            </w:pPr>
            <w:r>
              <w:rPr>
                <w:rFonts w:ascii="Arial" w:cs="Arial" w:eastAsia="Arial" w:hAnsi="Arial"/>
                <w:sz w:val="20"/>
                <w:szCs w:val="20"/>
                <w:color w:val="auto"/>
              </w:rPr>
              <w:t>California, LLC</w:t>
            </w:r>
          </w:p>
        </w:tc>
      </w:tr>
      <w:tr>
        <w:trPr>
          <w:trHeight w:val="428"/>
        </w:trPr>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20" w:type="dxa"/>
            <w:vAlign w:val="bottom"/>
            <w:gridSpan w:val="2"/>
          </w:tcPr>
          <w:p>
            <w:pPr>
              <w:spacing w:after="0"/>
              <w:rPr>
                <w:sz w:val="24"/>
                <w:szCs w:val="24"/>
                <w:color w:val="auto"/>
              </w:rPr>
            </w:pPr>
          </w:p>
        </w:tc>
      </w:tr>
      <w:tr>
        <w:trPr>
          <w:trHeight w:val="220"/>
        </w:trPr>
        <w:tc>
          <w:tcPr>
            <w:tcW w:w="1960" w:type="dxa"/>
            <w:vAlign w:val="bottom"/>
            <w:tcBorders>
              <w:top w:val="single" w:sz="8" w:color="auto"/>
            </w:tcBorders>
          </w:tcPr>
          <w:p>
            <w:pPr>
              <w:ind w:left="120"/>
              <w:spacing w:after="0" w:line="220" w:lineRule="exact"/>
              <w:rPr>
                <w:sz w:val="20"/>
                <w:szCs w:val="20"/>
                <w:color w:val="auto"/>
              </w:rPr>
            </w:pPr>
            <w:r>
              <w:rPr>
                <w:rFonts w:ascii="Arial" w:cs="Arial" w:eastAsia="Arial" w:hAnsi="Arial"/>
                <w:sz w:val="20"/>
                <w:szCs w:val="20"/>
                <w:color w:val="auto"/>
              </w:rPr>
              <w:t>Dayton, OH</w:t>
            </w:r>
          </w:p>
        </w:tc>
        <w:tc>
          <w:tcPr>
            <w:tcW w:w="2240" w:type="dxa"/>
            <w:vAlign w:val="bottom"/>
            <w:tcBorders>
              <w:top w:val="single" w:sz="8" w:color="auto"/>
            </w:tcBorders>
            <w:gridSpan w:val="2"/>
          </w:tcPr>
          <w:p>
            <w:pPr>
              <w:ind w:left="100"/>
              <w:spacing w:after="0" w:line="220" w:lineRule="exact"/>
              <w:rPr>
                <w:sz w:val="20"/>
                <w:szCs w:val="20"/>
                <w:color w:val="auto"/>
              </w:rPr>
            </w:pPr>
            <w:r>
              <w:rPr>
                <w:rFonts w:ascii="Arial" w:cs="Arial" w:eastAsia="Arial" w:hAnsi="Arial"/>
                <w:sz w:val="20"/>
                <w:szCs w:val="20"/>
                <w:color w:val="auto"/>
              </w:rPr>
              <w:t>2801 Valley Pike</w:t>
            </w:r>
          </w:p>
        </w:tc>
        <w:tc>
          <w:tcPr>
            <w:tcW w:w="1620" w:type="dxa"/>
            <w:vAlign w:val="bottom"/>
            <w:tcBorders>
              <w:top w:val="single" w:sz="8" w:color="auto"/>
            </w:tcBorders>
            <w:gridSpan w:val="2"/>
          </w:tcPr>
          <w:p>
            <w:pPr>
              <w:ind w:left="180"/>
              <w:spacing w:after="0" w:line="220" w:lineRule="exact"/>
              <w:rPr>
                <w:sz w:val="20"/>
                <w:szCs w:val="20"/>
                <w:color w:val="auto"/>
              </w:rPr>
            </w:pPr>
            <w:r>
              <w:rPr>
                <w:rFonts w:ascii="Arial" w:cs="Arial" w:eastAsia="Arial" w:hAnsi="Arial"/>
                <w:sz w:val="20"/>
                <w:szCs w:val="20"/>
                <w:color w:val="auto"/>
              </w:rPr>
              <w:t>Dayton</w:t>
            </w:r>
          </w:p>
        </w:tc>
        <w:tc>
          <w:tcPr>
            <w:tcW w:w="940" w:type="dxa"/>
            <w:vAlign w:val="bottom"/>
            <w:tcBorders>
              <w:top w:val="single" w:sz="8" w:color="auto"/>
            </w:tcBorders>
            <w:gridSpan w:val="2"/>
          </w:tcPr>
          <w:p>
            <w:pPr>
              <w:ind w:left="280"/>
              <w:spacing w:after="0" w:line="220" w:lineRule="exact"/>
              <w:rPr>
                <w:sz w:val="20"/>
                <w:szCs w:val="20"/>
                <w:color w:val="auto"/>
              </w:rPr>
            </w:pPr>
            <w:r>
              <w:rPr>
                <w:rFonts w:ascii="Arial" w:cs="Arial" w:eastAsia="Arial" w:hAnsi="Arial"/>
                <w:sz w:val="20"/>
                <w:szCs w:val="20"/>
                <w:color w:val="auto"/>
              </w:rPr>
              <w:t>OH</w:t>
            </w:r>
          </w:p>
        </w:tc>
        <w:tc>
          <w:tcPr>
            <w:tcW w:w="1060" w:type="dxa"/>
            <w:vAlign w:val="bottom"/>
            <w:tcBorders>
              <w:top w:val="single" w:sz="8" w:color="auto"/>
            </w:tcBorders>
          </w:tcPr>
          <w:p>
            <w:pPr>
              <w:ind w:left="180"/>
              <w:spacing w:after="0" w:line="220" w:lineRule="exact"/>
              <w:rPr>
                <w:sz w:val="20"/>
                <w:szCs w:val="20"/>
                <w:color w:val="auto"/>
              </w:rPr>
            </w:pPr>
            <w:r>
              <w:rPr>
                <w:rFonts w:ascii="Arial" w:cs="Arial" w:eastAsia="Arial" w:hAnsi="Arial"/>
                <w:sz w:val="20"/>
                <w:szCs w:val="20"/>
                <w:color w:val="auto"/>
              </w:rPr>
              <w:t>45404</w:t>
            </w:r>
          </w:p>
        </w:tc>
        <w:tc>
          <w:tcPr>
            <w:tcW w:w="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ind w:left="20"/>
              <w:spacing w:after="0" w:line="220" w:lineRule="exact"/>
              <w:rPr>
                <w:sz w:val="20"/>
                <w:szCs w:val="20"/>
                <w:color w:val="auto"/>
              </w:rPr>
            </w:pPr>
            <w:r>
              <w:rPr>
                <w:rFonts w:ascii="Arial" w:cs="Arial" w:eastAsia="Arial" w:hAnsi="Arial"/>
                <w:sz w:val="20"/>
                <w:szCs w:val="20"/>
                <w:color w:val="auto"/>
              </w:rPr>
              <w:t>YRC Inc.</w:t>
            </w:r>
          </w:p>
        </w:tc>
        <w:tc>
          <w:tcPr>
            <w:tcW w:w="2000" w:type="dxa"/>
            <w:vAlign w:val="bottom"/>
            <w:tcBorders>
              <w:top w:val="single" w:sz="8" w:color="auto"/>
            </w:tcBorders>
          </w:tcPr>
          <w:p>
            <w:pPr>
              <w:ind w:left="140"/>
              <w:spacing w:after="0" w:line="220" w:lineRule="exact"/>
              <w:rPr>
                <w:sz w:val="20"/>
                <w:szCs w:val="20"/>
                <w:color w:val="auto"/>
              </w:rPr>
            </w:pPr>
            <w:r>
              <w:rPr>
                <w:rFonts w:ascii="Arial" w:cs="Arial" w:eastAsia="Arial" w:hAnsi="Arial"/>
                <w:sz w:val="20"/>
                <w:szCs w:val="20"/>
                <w:color w:val="auto"/>
              </w:rPr>
              <w:t>Saia Motor Freight</w:t>
            </w:r>
          </w:p>
        </w:tc>
        <w:tc>
          <w:tcPr>
            <w:tcW w:w="20" w:type="dxa"/>
            <w:vAlign w:val="bottom"/>
          </w:tcPr>
          <w:p>
            <w:pPr>
              <w:spacing w:after="0"/>
              <w:rPr>
                <w:sz w:val="19"/>
                <w:szCs w:val="19"/>
                <w:color w:val="auto"/>
              </w:rPr>
            </w:pPr>
          </w:p>
        </w:tc>
      </w:tr>
      <w:tr>
        <w:trPr>
          <w:trHeight w:val="250"/>
        </w:trPr>
        <w:tc>
          <w:tcPr>
            <w:tcW w:w="1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20" w:type="dxa"/>
            <w:vAlign w:val="bottom"/>
            <w:gridSpan w:val="2"/>
          </w:tcPr>
          <w:p>
            <w:pPr>
              <w:ind w:left="140"/>
              <w:spacing w:after="0"/>
              <w:rPr>
                <w:sz w:val="20"/>
                <w:szCs w:val="20"/>
                <w:color w:val="auto"/>
              </w:rPr>
            </w:pPr>
            <w:r>
              <w:rPr>
                <w:rFonts w:ascii="Arial" w:cs="Arial" w:eastAsia="Arial" w:hAnsi="Arial"/>
                <w:sz w:val="20"/>
                <w:szCs w:val="20"/>
                <w:color w:val="auto"/>
              </w:rPr>
              <w:t>Line, LLC</w:t>
            </w:r>
          </w:p>
        </w:tc>
      </w:tr>
      <w:tr>
        <w:trPr>
          <w:trHeight w:val="225"/>
        </w:trPr>
        <w:tc>
          <w:tcPr>
            <w:tcW w:w="1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gridSpan w:val="2"/>
          </w:tcPr>
          <w:p>
            <w:pPr>
              <w:spacing w:after="0"/>
              <w:rPr>
                <w:sz w:val="19"/>
                <w:szCs w:val="19"/>
                <w:color w:val="auto"/>
              </w:rPr>
            </w:pPr>
          </w:p>
        </w:tc>
      </w:tr>
      <w:tr>
        <w:trPr>
          <w:trHeight w:val="220"/>
        </w:trPr>
        <w:tc>
          <w:tcPr>
            <w:tcW w:w="1960" w:type="dxa"/>
            <w:vAlign w:val="bottom"/>
            <w:tcBorders>
              <w:top w:val="single" w:sz="8" w:color="auto"/>
            </w:tcBorders>
          </w:tcPr>
          <w:p>
            <w:pPr>
              <w:ind w:left="120"/>
              <w:spacing w:after="0" w:line="220" w:lineRule="exact"/>
              <w:rPr>
                <w:sz w:val="20"/>
                <w:szCs w:val="20"/>
                <w:color w:val="auto"/>
              </w:rPr>
            </w:pPr>
            <w:r>
              <w:rPr>
                <w:rFonts w:ascii="Arial" w:cs="Arial" w:eastAsia="Arial" w:hAnsi="Arial"/>
                <w:sz w:val="20"/>
                <w:szCs w:val="20"/>
                <w:color w:val="auto"/>
              </w:rPr>
              <w:t>Detroit, MI</w:t>
            </w:r>
          </w:p>
        </w:tc>
        <w:tc>
          <w:tcPr>
            <w:tcW w:w="2240" w:type="dxa"/>
            <w:vAlign w:val="bottom"/>
            <w:tcBorders>
              <w:top w:val="single" w:sz="8" w:color="auto"/>
            </w:tcBorders>
            <w:gridSpan w:val="2"/>
          </w:tcPr>
          <w:p>
            <w:pPr>
              <w:ind w:left="100"/>
              <w:spacing w:after="0" w:line="220" w:lineRule="exact"/>
              <w:rPr>
                <w:sz w:val="20"/>
                <w:szCs w:val="20"/>
                <w:color w:val="auto"/>
              </w:rPr>
            </w:pPr>
            <w:r>
              <w:rPr>
                <w:rFonts w:ascii="Arial" w:cs="Arial" w:eastAsia="Arial" w:hAnsi="Arial"/>
                <w:sz w:val="20"/>
                <w:szCs w:val="20"/>
                <w:color w:val="auto"/>
              </w:rPr>
              <w:t>22701 Van Born Road</w:t>
            </w:r>
          </w:p>
        </w:tc>
        <w:tc>
          <w:tcPr>
            <w:tcW w:w="1620" w:type="dxa"/>
            <w:vAlign w:val="bottom"/>
            <w:tcBorders>
              <w:top w:val="single" w:sz="8" w:color="auto"/>
            </w:tcBorders>
            <w:gridSpan w:val="2"/>
          </w:tcPr>
          <w:p>
            <w:pPr>
              <w:ind w:left="180"/>
              <w:spacing w:after="0" w:line="220" w:lineRule="exact"/>
              <w:rPr>
                <w:sz w:val="20"/>
                <w:szCs w:val="20"/>
                <w:color w:val="auto"/>
              </w:rPr>
            </w:pPr>
            <w:r>
              <w:rPr>
                <w:rFonts w:ascii="Arial" w:cs="Arial" w:eastAsia="Arial" w:hAnsi="Arial"/>
                <w:sz w:val="20"/>
                <w:szCs w:val="20"/>
                <w:color w:val="auto"/>
              </w:rPr>
              <w:t>Taylor</w:t>
            </w:r>
          </w:p>
        </w:tc>
        <w:tc>
          <w:tcPr>
            <w:tcW w:w="940" w:type="dxa"/>
            <w:vAlign w:val="bottom"/>
            <w:tcBorders>
              <w:top w:val="single" w:sz="8" w:color="auto"/>
            </w:tcBorders>
            <w:gridSpan w:val="2"/>
          </w:tcPr>
          <w:p>
            <w:pPr>
              <w:ind w:left="280"/>
              <w:spacing w:after="0" w:line="220" w:lineRule="exact"/>
              <w:rPr>
                <w:sz w:val="20"/>
                <w:szCs w:val="20"/>
                <w:color w:val="auto"/>
              </w:rPr>
            </w:pPr>
            <w:r>
              <w:rPr>
                <w:rFonts w:ascii="Arial" w:cs="Arial" w:eastAsia="Arial" w:hAnsi="Arial"/>
                <w:sz w:val="20"/>
                <w:szCs w:val="20"/>
                <w:color w:val="auto"/>
              </w:rPr>
              <w:t>MI</w:t>
            </w:r>
          </w:p>
        </w:tc>
        <w:tc>
          <w:tcPr>
            <w:tcW w:w="1060" w:type="dxa"/>
            <w:vAlign w:val="bottom"/>
            <w:tcBorders>
              <w:top w:val="single" w:sz="8" w:color="auto"/>
            </w:tcBorders>
          </w:tcPr>
          <w:p>
            <w:pPr>
              <w:ind w:left="180"/>
              <w:spacing w:after="0" w:line="220" w:lineRule="exact"/>
              <w:rPr>
                <w:sz w:val="20"/>
                <w:szCs w:val="20"/>
                <w:color w:val="auto"/>
              </w:rPr>
            </w:pPr>
            <w:r>
              <w:rPr>
                <w:rFonts w:ascii="Arial" w:cs="Arial" w:eastAsia="Arial" w:hAnsi="Arial"/>
                <w:sz w:val="20"/>
                <w:szCs w:val="20"/>
                <w:color w:val="auto"/>
              </w:rPr>
              <w:t>48180</w:t>
            </w:r>
          </w:p>
        </w:tc>
        <w:tc>
          <w:tcPr>
            <w:tcW w:w="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ind w:left="20"/>
              <w:spacing w:after="0" w:line="220" w:lineRule="exact"/>
              <w:rPr>
                <w:sz w:val="20"/>
                <w:szCs w:val="20"/>
                <w:color w:val="auto"/>
              </w:rPr>
            </w:pPr>
            <w:r>
              <w:rPr>
                <w:rFonts w:ascii="Arial" w:cs="Arial" w:eastAsia="Arial" w:hAnsi="Arial"/>
                <w:sz w:val="20"/>
                <w:szCs w:val="20"/>
                <w:color w:val="auto"/>
              </w:rPr>
              <w:t>YRC Inc.</w:t>
            </w:r>
          </w:p>
        </w:tc>
        <w:tc>
          <w:tcPr>
            <w:tcW w:w="2000" w:type="dxa"/>
            <w:vAlign w:val="bottom"/>
            <w:tcBorders>
              <w:top w:val="single" w:sz="8" w:color="auto"/>
            </w:tcBorders>
          </w:tcPr>
          <w:p>
            <w:pPr>
              <w:ind w:left="140"/>
              <w:spacing w:after="0" w:line="220" w:lineRule="exact"/>
              <w:rPr>
                <w:sz w:val="20"/>
                <w:szCs w:val="20"/>
                <w:color w:val="auto"/>
              </w:rPr>
            </w:pPr>
            <w:r>
              <w:rPr>
                <w:rFonts w:ascii="Arial" w:cs="Arial" w:eastAsia="Arial" w:hAnsi="Arial"/>
                <w:sz w:val="20"/>
                <w:szCs w:val="20"/>
                <w:color w:val="auto"/>
              </w:rPr>
              <w:t>Saia Motor Freight</w:t>
            </w:r>
          </w:p>
        </w:tc>
        <w:tc>
          <w:tcPr>
            <w:tcW w:w="20" w:type="dxa"/>
            <w:vAlign w:val="bottom"/>
          </w:tcPr>
          <w:p>
            <w:pPr>
              <w:spacing w:after="0"/>
              <w:rPr>
                <w:sz w:val="19"/>
                <w:szCs w:val="19"/>
                <w:color w:val="auto"/>
              </w:rPr>
            </w:pPr>
          </w:p>
        </w:tc>
      </w:tr>
      <w:tr>
        <w:trPr>
          <w:trHeight w:val="250"/>
        </w:trPr>
        <w:tc>
          <w:tcPr>
            <w:tcW w:w="1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20" w:type="dxa"/>
            <w:vAlign w:val="bottom"/>
            <w:gridSpan w:val="2"/>
          </w:tcPr>
          <w:p>
            <w:pPr>
              <w:ind w:left="140"/>
              <w:spacing w:after="0"/>
              <w:rPr>
                <w:sz w:val="20"/>
                <w:szCs w:val="20"/>
                <w:color w:val="auto"/>
              </w:rPr>
            </w:pPr>
            <w:r>
              <w:rPr>
                <w:rFonts w:ascii="Arial" w:cs="Arial" w:eastAsia="Arial" w:hAnsi="Arial"/>
                <w:sz w:val="20"/>
                <w:szCs w:val="20"/>
                <w:color w:val="auto"/>
              </w:rPr>
              <w:t>Line, LLC</w:t>
            </w:r>
          </w:p>
        </w:tc>
      </w:tr>
      <w:tr>
        <w:trPr>
          <w:trHeight w:val="225"/>
        </w:trPr>
        <w:tc>
          <w:tcPr>
            <w:tcW w:w="1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gridSpan w:val="2"/>
          </w:tcPr>
          <w:p>
            <w:pPr>
              <w:spacing w:after="0"/>
              <w:rPr>
                <w:sz w:val="19"/>
                <w:szCs w:val="19"/>
                <w:color w:val="auto"/>
              </w:rPr>
            </w:pPr>
          </w:p>
        </w:tc>
      </w:tr>
      <w:tr>
        <w:trPr>
          <w:trHeight w:val="220"/>
        </w:trPr>
        <w:tc>
          <w:tcPr>
            <w:tcW w:w="1960" w:type="dxa"/>
            <w:vAlign w:val="bottom"/>
            <w:tcBorders>
              <w:top w:val="single" w:sz="8" w:color="auto"/>
            </w:tcBorders>
          </w:tcPr>
          <w:p>
            <w:pPr>
              <w:ind w:left="120"/>
              <w:spacing w:after="0" w:line="220" w:lineRule="exact"/>
              <w:rPr>
                <w:sz w:val="20"/>
                <w:szCs w:val="20"/>
                <w:color w:val="auto"/>
              </w:rPr>
            </w:pPr>
            <w:r>
              <w:rPr>
                <w:rFonts w:ascii="Arial" w:cs="Arial" w:eastAsia="Arial" w:hAnsi="Arial"/>
                <w:sz w:val="20"/>
                <w:szCs w:val="20"/>
                <w:color w:val="auto"/>
              </w:rPr>
              <w:t>Grand Rapids, MI</w:t>
            </w:r>
          </w:p>
        </w:tc>
        <w:tc>
          <w:tcPr>
            <w:tcW w:w="2240" w:type="dxa"/>
            <w:vAlign w:val="bottom"/>
            <w:tcBorders>
              <w:top w:val="single" w:sz="8" w:color="auto"/>
            </w:tcBorders>
            <w:gridSpan w:val="2"/>
          </w:tcPr>
          <w:p>
            <w:pPr>
              <w:ind w:left="100"/>
              <w:spacing w:after="0" w:line="220" w:lineRule="exact"/>
              <w:rPr>
                <w:sz w:val="20"/>
                <w:szCs w:val="20"/>
                <w:color w:val="auto"/>
              </w:rPr>
            </w:pPr>
            <w:r>
              <w:rPr>
                <w:rFonts w:ascii="Arial" w:cs="Arial" w:eastAsia="Arial" w:hAnsi="Arial"/>
                <w:sz w:val="20"/>
                <w:szCs w:val="20"/>
                <w:color w:val="auto"/>
                <w:w w:val="99"/>
              </w:rPr>
              <w:t>2180 Chicago Drive SW</w:t>
            </w:r>
          </w:p>
        </w:tc>
        <w:tc>
          <w:tcPr>
            <w:tcW w:w="1620" w:type="dxa"/>
            <w:vAlign w:val="bottom"/>
            <w:tcBorders>
              <w:top w:val="single" w:sz="8" w:color="auto"/>
            </w:tcBorders>
            <w:gridSpan w:val="2"/>
          </w:tcPr>
          <w:p>
            <w:pPr>
              <w:ind w:left="180"/>
              <w:spacing w:after="0" w:line="220" w:lineRule="exact"/>
              <w:rPr>
                <w:sz w:val="20"/>
                <w:szCs w:val="20"/>
                <w:color w:val="auto"/>
              </w:rPr>
            </w:pPr>
            <w:r>
              <w:rPr>
                <w:rFonts w:ascii="Arial" w:cs="Arial" w:eastAsia="Arial" w:hAnsi="Arial"/>
                <w:sz w:val="20"/>
                <w:szCs w:val="20"/>
                <w:color w:val="auto"/>
              </w:rPr>
              <w:t>Wyoming</w:t>
            </w:r>
          </w:p>
        </w:tc>
        <w:tc>
          <w:tcPr>
            <w:tcW w:w="940" w:type="dxa"/>
            <w:vAlign w:val="bottom"/>
            <w:tcBorders>
              <w:top w:val="single" w:sz="8" w:color="auto"/>
            </w:tcBorders>
            <w:gridSpan w:val="2"/>
          </w:tcPr>
          <w:p>
            <w:pPr>
              <w:ind w:left="280"/>
              <w:spacing w:after="0" w:line="220" w:lineRule="exact"/>
              <w:rPr>
                <w:sz w:val="20"/>
                <w:szCs w:val="20"/>
                <w:color w:val="auto"/>
              </w:rPr>
            </w:pPr>
            <w:r>
              <w:rPr>
                <w:rFonts w:ascii="Arial" w:cs="Arial" w:eastAsia="Arial" w:hAnsi="Arial"/>
                <w:sz w:val="20"/>
                <w:szCs w:val="20"/>
                <w:color w:val="auto"/>
              </w:rPr>
              <w:t>MI</w:t>
            </w:r>
          </w:p>
        </w:tc>
        <w:tc>
          <w:tcPr>
            <w:tcW w:w="1060" w:type="dxa"/>
            <w:vAlign w:val="bottom"/>
            <w:tcBorders>
              <w:top w:val="single" w:sz="8" w:color="auto"/>
            </w:tcBorders>
          </w:tcPr>
          <w:p>
            <w:pPr>
              <w:ind w:left="180"/>
              <w:spacing w:after="0" w:line="220" w:lineRule="exact"/>
              <w:rPr>
                <w:sz w:val="20"/>
                <w:szCs w:val="20"/>
                <w:color w:val="auto"/>
              </w:rPr>
            </w:pPr>
            <w:r>
              <w:rPr>
                <w:rFonts w:ascii="Arial" w:cs="Arial" w:eastAsia="Arial" w:hAnsi="Arial"/>
                <w:sz w:val="20"/>
                <w:szCs w:val="20"/>
                <w:color w:val="auto"/>
              </w:rPr>
              <w:t>49509</w:t>
            </w:r>
          </w:p>
        </w:tc>
        <w:tc>
          <w:tcPr>
            <w:tcW w:w="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ind w:left="20"/>
              <w:spacing w:after="0" w:line="220" w:lineRule="exact"/>
              <w:rPr>
                <w:sz w:val="20"/>
                <w:szCs w:val="20"/>
                <w:color w:val="auto"/>
              </w:rPr>
            </w:pPr>
            <w:r>
              <w:rPr>
                <w:rFonts w:ascii="Arial" w:cs="Arial" w:eastAsia="Arial" w:hAnsi="Arial"/>
                <w:sz w:val="20"/>
                <w:szCs w:val="20"/>
                <w:color w:val="auto"/>
              </w:rPr>
              <w:t>YRC Inc.</w:t>
            </w:r>
          </w:p>
        </w:tc>
        <w:tc>
          <w:tcPr>
            <w:tcW w:w="2000" w:type="dxa"/>
            <w:vAlign w:val="bottom"/>
            <w:tcBorders>
              <w:top w:val="single" w:sz="8" w:color="auto"/>
            </w:tcBorders>
          </w:tcPr>
          <w:p>
            <w:pPr>
              <w:ind w:left="140"/>
              <w:spacing w:after="0" w:line="220" w:lineRule="exact"/>
              <w:rPr>
                <w:sz w:val="20"/>
                <w:szCs w:val="20"/>
                <w:color w:val="auto"/>
              </w:rPr>
            </w:pPr>
            <w:r>
              <w:rPr>
                <w:rFonts w:ascii="Arial" w:cs="Arial" w:eastAsia="Arial" w:hAnsi="Arial"/>
                <w:sz w:val="20"/>
                <w:szCs w:val="20"/>
                <w:color w:val="auto"/>
              </w:rPr>
              <w:t>Saia Motor Freight</w:t>
            </w:r>
          </w:p>
        </w:tc>
        <w:tc>
          <w:tcPr>
            <w:tcW w:w="20" w:type="dxa"/>
            <w:vAlign w:val="bottom"/>
          </w:tcPr>
          <w:p>
            <w:pPr>
              <w:spacing w:after="0"/>
              <w:rPr>
                <w:sz w:val="19"/>
                <w:szCs w:val="19"/>
                <w:color w:val="auto"/>
              </w:rPr>
            </w:pPr>
          </w:p>
        </w:tc>
      </w:tr>
      <w:tr>
        <w:trPr>
          <w:trHeight w:val="250"/>
        </w:trPr>
        <w:tc>
          <w:tcPr>
            <w:tcW w:w="1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20" w:type="dxa"/>
            <w:vAlign w:val="bottom"/>
            <w:gridSpan w:val="2"/>
          </w:tcPr>
          <w:p>
            <w:pPr>
              <w:ind w:left="140"/>
              <w:spacing w:after="0"/>
              <w:rPr>
                <w:sz w:val="20"/>
                <w:szCs w:val="20"/>
                <w:color w:val="auto"/>
              </w:rPr>
            </w:pPr>
            <w:r>
              <w:rPr>
                <w:rFonts w:ascii="Arial" w:cs="Arial" w:eastAsia="Arial" w:hAnsi="Arial"/>
                <w:sz w:val="20"/>
                <w:szCs w:val="20"/>
                <w:color w:val="auto"/>
              </w:rPr>
              <w:t>Line, LLC</w:t>
            </w:r>
          </w:p>
        </w:tc>
      </w:tr>
      <w:tr>
        <w:trPr>
          <w:trHeight w:val="226"/>
        </w:trPr>
        <w:tc>
          <w:tcPr>
            <w:tcW w:w="1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gridSpan w:val="2"/>
          </w:tcPr>
          <w:p>
            <w:pPr>
              <w:spacing w:after="0"/>
              <w:rPr>
                <w:sz w:val="19"/>
                <w:szCs w:val="19"/>
                <w:color w:val="auto"/>
              </w:rPr>
            </w:pPr>
          </w:p>
        </w:tc>
      </w:tr>
      <w:tr>
        <w:trPr>
          <w:trHeight w:val="220"/>
        </w:trPr>
        <w:tc>
          <w:tcPr>
            <w:tcW w:w="1960" w:type="dxa"/>
            <w:vAlign w:val="bottom"/>
            <w:tcBorders>
              <w:top w:val="single" w:sz="8" w:color="auto"/>
            </w:tcBorders>
          </w:tcPr>
          <w:p>
            <w:pPr>
              <w:ind w:left="120"/>
              <w:spacing w:after="0" w:line="220" w:lineRule="exact"/>
              <w:rPr>
                <w:sz w:val="20"/>
                <w:szCs w:val="20"/>
                <w:color w:val="auto"/>
              </w:rPr>
            </w:pPr>
            <w:r>
              <w:rPr>
                <w:rFonts w:ascii="Arial" w:cs="Arial" w:eastAsia="Arial" w:hAnsi="Arial"/>
                <w:sz w:val="20"/>
                <w:szCs w:val="20"/>
                <w:color w:val="auto"/>
              </w:rPr>
              <w:t>Greensboro, NC</w:t>
            </w:r>
          </w:p>
        </w:tc>
        <w:tc>
          <w:tcPr>
            <w:tcW w:w="2240" w:type="dxa"/>
            <w:vAlign w:val="bottom"/>
            <w:tcBorders>
              <w:top w:val="single" w:sz="8" w:color="auto"/>
            </w:tcBorders>
            <w:gridSpan w:val="2"/>
          </w:tcPr>
          <w:p>
            <w:pPr>
              <w:ind w:left="100"/>
              <w:spacing w:after="0" w:line="220" w:lineRule="exact"/>
              <w:rPr>
                <w:sz w:val="20"/>
                <w:szCs w:val="20"/>
                <w:color w:val="auto"/>
              </w:rPr>
            </w:pPr>
            <w:r>
              <w:rPr>
                <w:rFonts w:ascii="Arial" w:cs="Arial" w:eastAsia="Arial" w:hAnsi="Arial"/>
                <w:sz w:val="20"/>
                <w:szCs w:val="20"/>
                <w:color w:val="auto"/>
              </w:rPr>
              <w:t>201 Stage Coach Trail</w:t>
            </w:r>
          </w:p>
        </w:tc>
        <w:tc>
          <w:tcPr>
            <w:tcW w:w="1620" w:type="dxa"/>
            <w:vAlign w:val="bottom"/>
            <w:tcBorders>
              <w:top w:val="single" w:sz="8" w:color="auto"/>
            </w:tcBorders>
            <w:gridSpan w:val="2"/>
          </w:tcPr>
          <w:p>
            <w:pPr>
              <w:ind w:left="180"/>
              <w:spacing w:after="0" w:line="220" w:lineRule="exact"/>
              <w:rPr>
                <w:sz w:val="20"/>
                <w:szCs w:val="20"/>
                <w:color w:val="auto"/>
              </w:rPr>
            </w:pPr>
            <w:r>
              <w:rPr>
                <w:rFonts w:ascii="Arial" w:cs="Arial" w:eastAsia="Arial" w:hAnsi="Arial"/>
                <w:sz w:val="20"/>
                <w:szCs w:val="20"/>
                <w:color w:val="auto"/>
              </w:rPr>
              <w:t>Greensboro</w:t>
            </w:r>
          </w:p>
        </w:tc>
        <w:tc>
          <w:tcPr>
            <w:tcW w:w="940" w:type="dxa"/>
            <w:vAlign w:val="bottom"/>
            <w:tcBorders>
              <w:top w:val="single" w:sz="8" w:color="auto"/>
            </w:tcBorders>
            <w:gridSpan w:val="2"/>
          </w:tcPr>
          <w:p>
            <w:pPr>
              <w:ind w:left="280"/>
              <w:spacing w:after="0" w:line="220" w:lineRule="exact"/>
              <w:rPr>
                <w:sz w:val="20"/>
                <w:szCs w:val="20"/>
                <w:color w:val="auto"/>
              </w:rPr>
            </w:pPr>
            <w:r>
              <w:rPr>
                <w:rFonts w:ascii="Arial" w:cs="Arial" w:eastAsia="Arial" w:hAnsi="Arial"/>
                <w:sz w:val="20"/>
                <w:szCs w:val="20"/>
                <w:color w:val="auto"/>
              </w:rPr>
              <w:t>NC</w:t>
            </w:r>
          </w:p>
        </w:tc>
        <w:tc>
          <w:tcPr>
            <w:tcW w:w="1060" w:type="dxa"/>
            <w:vAlign w:val="bottom"/>
            <w:tcBorders>
              <w:top w:val="single" w:sz="8" w:color="auto"/>
            </w:tcBorders>
          </w:tcPr>
          <w:p>
            <w:pPr>
              <w:ind w:left="180"/>
              <w:spacing w:after="0" w:line="220" w:lineRule="exact"/>
              <w:rPr>
                <w:sz w:val="20"/>
                <w:szCs w:val="20"/>
                <w:color w:val="auto"/>
              </w:rPr>
            </w:pPr>
            <w:r>
              <w:rPr>
                <w:rFonts w:ascii="Arial" w:cs="Arial" w:eastAsia="Arial" w:hAnsi="Arial"/>
                <w:sz w:val="20"/>
                <w:szCs w:val="20"/>
                <w:color w:val="auto"/>
              </w:rPr>
              <w:t>27409</w:t>
            </w:r>
          </w:p>
        </w:tc>
        <w:tc>
          <w:tcPr>
            <w:tcW w:w="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ind w:left="20"/>
              <w:spacing w:after="0" w:line="220" w:lineRule="exact"/>
              <w:rPr>
                <w:sz w:val="20"/>
                <w:szCs w:val="20"/>
                <w:color w:val="auto"/>
              </w:rPr>
            </w:pPr>
            <w:r>
              <w:rPr>
                <w:rFonts w:ascii="Arial" w:cs="Arial" w:eastAsia="Arial" w:hAnsi="Arial"/>
                <w:sz w:val="20"/>
                <w:szCs w:val="20"/>
                <w:color w:val="auto"/>
              </w:rPr>
              <w:t>USF Holland</w:t>
            </w:r>
          </w:p>
        </w:tc>
        <w:tc>
          <w:tcPr>
            <w:tcW w:w="2000" w:type="dxa"/>
            <w:vAlign w:val="bottom"/>
            <w:tcBorders>
              <w:top w:val="single" w:sz="8" w:color="auto"/>
            </w:tcBorders>
          </w:tcPr>
          <w:p>
            <w:pPr>
              <w:ind w:left="140"/>
              <w:spacing w:after="0" w:line="220" w:lineRule="exact"/>
              <w:rPr>
                <w:sz w:val="20"/>
                <w:szCs w:val="20"/>
                <w:color w:val="auto"/>
              </w:rPr>
            </w:pPr>
            <w:r>
              <w:rPr>
                <w:rFonts w:ascii="Arial" w:cs="Arial" w:eastAsia="Arial" w:hAnsi="Arial"/>
                <w:sz w:val="20"/>
                <w:szCs w:val="20"/>
                <w:color w:val="auto"/>
                <w:w w:val="99"/>
              </w:rPr>
              <w:t>Ash Grey Properties,</w:t>
            </w:r>
          </w:p>
        </w:tc>
        <w:tc>
          <w:tcPr>
            <w:tcW w:w="20" w:type="dxa"/>
            <w:vAlign w:val="bottom"/>
          </w:tcPr>
          <w:p>
            <w:pPr>
              <w:spacing w:after="0"/>
              <w:rPr>
                <w:sz w:val="19"/>
                <w:szCs w:val="19"/>
                <w:color w:val="auto"/>
              </w:rPr>
            </w:pPr>
          </w:p>
        </w:tc>
      </w:tr>
      <w:tr>
        <w:trPr>
          <w:trHeight w:val="250"/>
        </w:trPr>
        <w:tc>
          <w:tcPr>
            <w:tcW w:w="1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ind w:left="20"/>
              <w:spacing w:after="0"/>
              <w:rPr>
                <w:sz w:val="20"/>
                <w:szCs w:val="20"/>
                <w:color w:val="auto"/>
              </w:rPr>
            </w:pPr>
            <w:r>
              <w:rPr>
                <w:rFonts w:ascii="Arial" w:cs="Arial" w:eastAsia="Arial" w:hAnsi="Arial"/>
                <w:sz w:val="20"/>
                <w:szCs w:val="20"/>
                <w:color w:val="auto"/>
              </w:rPr>
              <w:t>LLC</w:t>
            </w:r>
          </w:p>
        </w:tc>
        <w:tc>
          <w:tcPr>
            <w:tcW w:w="2020" w:type="dxa"/>
            <w:vAlign w:val="bottom"/>
            <w:gridSpan w:val="2"/>
          </w:tcPr>
          <w:p>
            <w:pPr>
              <w:ind w:left="140"/>
              <w:spacing w:after="0"/>
              <w:rPr>
                <w:sz w:val="20"/>
                <w:szCs w:val="20"/>
                <w:color w:val="auto"/>
              </w:rPr>
            </w:pPr>
            <w:r>
              <w:rPr>
                <w:rFonts w:ascii="Arial" w:cs="Arial" w:eastAsia="Arial" w:hAnsi="Arial"/>
                <w:sz w:val="20"/>
                <w:szCs w:val="20"/>
                <w:color w:val="auto"/>
              </w:rPr>
              <w:t>LLC</w:t>
            </w:r>
          </w:p>
        </w:tc>
      </w:tr>
      <w:tr>
        <w:trPr>
          <w:trHeight w:val="226"/>
        </w:trPr>
        <w:tc>
          <w:tcPr>
            <w:tcW w:w="1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20" w:type="dxa"/>
            <w:vAlign w:val="bottom"/>
            <w:gridSpan w:val="2"/>
          </w:tcPr>
          <w:p>
            <w:pPr>
              <w:spacing w:after="0"/>
              <w:rPr>
                <w:sz w:val="19"/>
                <w:szCs w:val="19"/>
                <w:color w:val="auto"/>
              </w:rPr>
            </w:pPr>
          </w:p>
        </w:tc>
      </w:tr>
      <w:tr>
        <w:trPr>
          <w:trHeight w:val="220"/>
        </w:trPr>
        <w:tc>
          <w:tcPr>
            <w:tcW w:w="1960" w:type="dxa"/>
            <w:vAlign w:val="bottom"/>
            <w:tcBorders>
              <w:top w:val="single" w:sz="8" w:color="auto"/>
            </w:tcBorders>
          </w:tcPr>
          <w:p>
            <w:pPr>
              <w:ind w:left="120"/>
              <w:spacing w:after="0" w:line="220" w:lineRule="exact"/>
              <w:rPr>
                <w:sz w:val="20"/>
                <w:szCs w:val="20"/>
                <w:color w:val="auto"/>
              </w:rPr>
            </w:pPr>
            <w:r>
              <w:rPr>
                <w:rFonts w:ascii="Arial" w:cs="Arial" w:eastAsia="Arial" w:hAnsi="Arial"/>
                <w:sz w:val="20"/>
                <w:szCs w:val="20"/>
                <w:color w:val="auto"/>
              </w:rPr>
              <w:t>Omaha, NE</w:t>
            </w:r>
          </w:p>
        </w:tc>
        <w:tc>
          <w:tcPr>
            <w:tcW w:w="2240" w:type="dxa"/>
            <w:vAlign w:val="bottom"/>
            <w:tcBorders>
              <w:top w:val="single" w:sz="8" w:color="auto"/>
            </w:tcBorders>
            <w:gridSpan w:val="2"/>
          </w:tcPr>
          <w:p>
            <w:pPr>
              <w:ind w:left="100"/>
              <w:spacing w:after="0" w:line="220" w:lineRule="exact"/>
              <w:rPr>
                <w:sz w:val="20"/>
                <w:szCs w:val="20"/>
                <w:color w:val="auto"/>
              </w:rPr>
            </w:pPr>
            <w:r>
              <w:rPr>
                <w:rFonts w:ascii="Arial" w:cs="Arial" w:eastAsia="Arial" w:hAnsi="Arial"/>
                <w:sz w:val="20"/>
                <w:szCs w:val="20"/>
                <w:color w:val="auto"/>
              </w:rPr>
              <w:t>3219 Nebraska Avenue</w:t>
            </w:r>
          </w:p>
        </w:tc>
        <w:tc>
          <w:tcPr>
            <w:tcW w:w="1620" w:type="dxa"/>
            <w:vAlign w:val="bottom"/>
            <w:tcBorders>
              <w:top w:val="single" w:sz="8" w:color="auto"/>
            </w:tcBorders>
            <w:gridSpan w:val="2"/>
          </w:tcPr>
          <w:p>
            <w:pPr>
              <w:ind w:left="180"/>
              <w:spacing w:after="0" w:line="220" w:lineRule="exact"/>
              <w:rPr>
                <w:sz w:val="20"/>
                <w:szCs w:val="20"/>
                <w:color w:val="auto"/>
              </w:rPr>
            </w:pPr>
            <w:r>
              <w:rPr>
                <w:rFonts w:ascii="Arial" w:cs="Arial" w:eastAsia="Arial" w:hAnsi="Arial"/>
                <w:sz w:val="20"/>
                <w:szCs w:val="20"/>
                <w:color w:val="auto"/>
              </w:rPr>
              <w:t>Council Bluffs</w:t>
            </w:r>
          </w:p>
        </w:tc>
        <w:tc>
          <w:tcPr>
            <w:tcW w:w="940" w:type="dxa"/>
            <w:vAlign w:val="bottom"/>
            <w:tcBorders>
              <w:top w:val="single" w:sz="8" w:color="auto"/>
            </w:tcBorders>
            <w:gridSpan w:val="2"/>
          </w:tcPr>
          <w:p>
            <w:pPr>
              <w:ind w:left="280"/>
              <w:spacing w:after="0" w:line="220" w:lineRule="exact"/>
              <w:rPr>
                <w:sz w:val="20"/>
                <w:szCs w:val="20"/>
                <w:color w:val="auto"/>
              </w:rPr>
            </w:pPr>
            <w:r>
              <w:rPr>
                <w:rFonts w:ascii="Arial" w:cs="Arial" w:eastAsia="Arial" w:hAnsi="Arial"/>
                <w:sz w:val="20"/>
                <w:szCs w:val="20"/>
                <w:color w:val="auto"/>
              </w:rPr>
              <w:t>IA</w:t>
            </w:r>
          </w:p>
        </w:tc>
        <w:tc>
          <w:tcPr>
            <w:tcW w:w="1060" w:type="dxa"/>
            <w:vAlign w:val="bottom"/>
            <w:tcBorders>
              <w:top w:val="single" w:sz="8" w:color="auto"/>
            </w:tcBorders>
          </w:tcPr>
          <w:p>
            <w:pPr>
              <w:ind w:left="180"/>
              <w:spacing w:after="0" w:line="220" w:lineRule="exact"/>
              <w:rPr>
                <w:sz w:val="20"/>
                <w:szCs w:val="20"/>
                <w:color w:val="auto"/>
              </w:rPr>
            </w:pPr>
            <w:r>
              <w:rPr>
                <w:rFonts w:ascii="Arial" w:cs="Arial" w:eastAsia="Arial" w:hAnsi="Arial"/>
                <w:sz w:val="20"/>
                <w:szCs w:val="20"/>
                <w:color w:val="auto"/>
              </w:rPr>
              <w:t>51501</w:t>
            </w:r>
          </w:p>
        </w:tc>
        <w:tc>
          <w:tcPr>
            <w:tcW w:w="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ind w:left="20"/>
              <w:spacing w:after="0" w:line="220" w:lineRule="exact"/>
              <w:rPr>
                <w:sz w:val="20"/>
                <w:szCs w:val="20"/>
                <w:color w:val="auto"/>
              </w:rPr>
            </w:pPr>
            <w:r>
              <w:rPr>
                <w:rFonts w:ascii="Arial" w:cs="Arial" w:eastAsia="Arial" w:hAnsi="Arial"/>
                <w:sz w:val="20"/>
                <w:szCs w:val="20"/>
                <w:color w:val="auto"/>
              </w:rPr>
              <w:t>USF Holland</w:t>
            </w:r>
          </w:p>
        </w:tc>
        <w:tc>
          <w:tcPr>
            <w:tcW w:w="2000" w:type="dxa"/>
            <w:vAlign w:val="bottom"/>
            <w:tcBorders>
              <w:top w:val="single" w:sz="8" w:color="auto"/>
            </w:tcBorders>
          </w:tcPr>
          <w:p>
            <w:pPr>
              <w:ind w:left="140"/>
              <w:spacing w:after="0" w:line="220" w:lineRule="exact"/>
              <w:rPr>
                <w:sz w:val="20"/>
                <w:szCs w:val="20"/>
                <w:color w:val="auto"/>
              </w:rPr>
            </w:pPr>
            <w:r>
              <w:rPr>
                <w:rFonts w:ascii="Arial" w:cs="Arial" w:eastAsia="Arial" w:hAnsi="Arial"/>
                <w:sz w:val="20"/>
                <w:szCs w:val="20"/>
                <w:color w:val="auto"/>
              </w:rPr>
              <w:t>Old Dominion</w:t>
            </w:r>
          </w:p>
        </w:tc>
        <w:tc>
          <w:tcPr>
            <w:tcW w:w="20" w:type="dxa"/>
            <w:vAlign w:val="bottom"/>
          </w:tcPr>
          <w:p>
            <w:pPr>
              <w:spacing w:after="0"/>
              <w:rPr>
                <w:sz w:val="19"/>
                <w:szCs w:val="19"/>
                <w:color w:val="auto"/>
              </w:rPr>
            </w:pPr>
          </w:p>
        </w:tc>
      </w:tr>
      <w:tr>
        <w:trPr>
          <w:trHeight w:val="250"/>
        </w:trPr>
        <w:tc>
          <w:tcPr>
            <w:tcW w:w="1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ind w:left="20"/>
              <w:spacing w:after="0"/>
              <w:rPr>
                <w:sz w:val="20"/>
                <w:szCs w:val="20"/>
                <w:color w:val="auto"/>
              </w:rPr>
            </w:pPr>
            <w:r>
              <w:rPr>
                <w:rFonts w:ascii="Arial" w:cs="Arial" w:eastAsia="Arial" w:hAnsi="Arial"/>
                <w:sz w:val="20"/>
                <w:szCs w:val="20"/>
                <w:color w:val="auto"/>
              </w:rPr>
              <w:t>LLC</w:t>
            </w:r>
          </w:p>
        </w:tc>
        <w:tc>
          <w:tcPr>
            <w:tcW w:w="2020" w:type="dxa"/>
            <w:vAlign w:val="bottom"/>
            <w:gridSpan w:val="2"/>
          </w:tcPr>
          <w:p>
            <w:pPr>
              <w:ind w:left="140"/>
              <w:spacing w:after="0"/>
              <w:rPr>
                <w:sz w:val="20"/>
                <w:szCs w:val="20"/>
                <w:color w:val="auto"/>
              </w:rPr>
            </w:pPr>
            <w:r>
              <w:rPr>
                <w:rFonts w:ascii="Arial" w:cs="Arial" w:eastAsia="Arial" w:hAnsi="Arial"/>
                <w:sz w:val="20"/>
                <w:szCs w:val="20"/>
                <w:color w:val="auto"/>
              </w:rPr>
              <w:t>Freight Line, Inc.</w:t>
            </w:r>
          </w:p>
        </w:tc>
      </w:tr>
      <w:tr>
        <w:trPr>
          <w:trHeight w:val="428"/>
        </w:trPr>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20" w:type="dxa"/>
            <w:vAlign w:val="bottom"/>
            <w:gridSpan w:val="2"/>
          </w:tcPr>
          <w:p>
            <w:pPr>
              <w:spacing w:after="0"/>
              <w:rPr>
                <w:sz w:val="24"/>
                <w:szCs w:val="24"/>
                <w:color w:val="auto"/>
              </w:rPr>
            </w:pPr>
          </w:p>
        </w:tc>
      </w:tr>
      <w:tr>
        <w:trPr>
          <w:trHeight w:val="220"/>
        </w:trPr>
        <w:tc>
          <w:tcPr>
            <w:tcW w:w="1960" w:type="dxa"/>
            <w:vAlign w:val="bottom"/>
            <w:tcBorders>
              <w:top w:val="single" w:sz="8" w:color="auto"/>
            </w:tcBorders>
          </w:tcPr>
          <w:p>
            <w:pPr>
              <w:ind w:left="120"/>
              <w:spacing w:after="0" w:line="220" w:lineRule="exact"/>
              <w:rPr>
                <w:sz w:val="20"/>
                <w:szCs w:val="20"/>
                <w:color w:val="auto"/>
              </w:rPr>
            </w:pPr>
            <w:r>
              <w:rPr>
                <w:rFonts w:ascii="Arial" w:cs="Arial" w:eastAsia="Arial" w:hAnsi="Arial"/>
                <w:sz w:val="20"/>
                <w:szCs w:val="20"/>
                <w:color w:val="auto"/>
              </w:rPr>
              <w:t>Peoria, IL</w:t>
            </w:r>
          </w:p>
        </w:tc>
        <w:tc>
          <w:tcPr>
            <w:tcW w:w="2240" w:type="dxa"/>
            <w:vAlign w:val="bottom"/>
            <w:tcBorders>
              <w:top w:val="single" w:sz="8" w:color="auto"/>
            </w:tcBorders>
            <w:gridSpan w:val="2"/>
          </w:tcPr>
          <w:p>
            <w:pPr>
              <w:ind w:left="100"/>
              <w:spacing w:after="0" w:line="220" w:lineRule="exact"/>
              <w:rPr>
                <w:sz w:val="20"/>
                <w:szCs w:val="20"/>
                <w:color w:val="auto"/>
              </w:rPr>
            </w:pPr>
            <w:r>
              <w:rPr>
                <w:rFonts w:ascii="Arial" w:cs="Arial" w:eastAsia="Arial" w:hAnsi="Arial"/>
                <w:sz w:val="20"/>
                <w:szCs w:val="20"/>
                <w:color w:val="auto"/>
                <w:w w:val="98"/>
              </w:rPr>
              <w:t>780 W Birchwood Street</w:t>
            </w:r>
          </w:p>
        </w:tc>
        <w:tc>
          <w:tcPr>
            <w:tcW w:w="1620" w:type="dxa"/>
            <w:vAlign w:val="bottom"/>
            <w:tcBorders>
              <w:top w:val="single" w:sz="8" w:color="auto"/>
            </w:tcBorders>
            <w:gridSpan w:val="2"/>
          </w:tcPr>
          <w:p>
            <w:pPr>
              <w:ind w:left="180"/>
              <w:spacing w:after="0" w:line="220" w:lineRule="exact"/>
              <w:rPr>
                <w:sz w:val="20"/>
                <w:szCs w:val="20"/>
                <w:color w:val="auto"/>
              </w:rPr>
            </w:pPr>
            <w:r>
              <w:rPr>
                <w:rFonts w:ascii="Arial" w:cs="Arial" w:eastAsia="Arial" w:hAnsi="Arial"/>
                <w:sz w:val="20"/>
                <w:szCs w:val="20"/>
                <w:color w:val="auto"/>
              </w:rPr>
              <w:t>Morton</w:t>
            </w:r>
          </w:p>
        </w:tc>
        <w:tc>
          <w:tcPr>
            <w:tcW w:w="940" w:type="dxa"/>
            <w:vAlign w:val="bottom"/>
            <w:tcBorders>
              <w:top w:val="single" w:sz="8" w:color="auto"/>
            </w:tcBorders>
            <w:gridSpan w:val="2"/>
          </w:tcPr>
          <w:p>
            <w:pPr>
              <w:ind w:left="280"/>
              <w:spacing w:after="0" w:line="220" w:lineRule="exact"/>
              <w:rPr>
                <w:sz w:val="20"/>
                <w:szCs w:val="20"/>
                <w:color w:val="auto"/>
              </w:rPr>
            </w:pPr>
            <w:r>
              <w:rPr>
                <w:rFonts w:ascii="Arial" w:cs="Arial" w:eastAsia="Arial" w:hAnsi="Arial"/>
                <w:sz w:val="20"/>
                <w:szCs w:val="20"/>
                <w:color w:val="auto"/>
              </w:rPr>
              <w:t>IL</w:t>
            </w:r>
          </w:p>
        </w:tc>
        <w:tc>
          <w:tcPr>
            <w:tcW w:w="1060" w:type="dxa"/>
            <w:vAlign w:val="bottom"/>
            <w:tcBorders>
              <w:top w:val="single" w:sz="8" w:color="auto"/>
            </w:tcBorders>
          </w:tcPr>
          <w:p>
            <w:pPr>
              <w:ind w:left="180"/>
              <w:spacing w:after="0" w:line="220" w:lineRule="exact"/>
              <w:rPr>
                <w:sz w:val="20"/>
                <w:szCs w:val="20"/>
                <w:color w:val="auto"/>
              </w:rPr>
            </w:pPr>
            <w:r>
              <w:rPr>
                <w:rFonts w:ascii="Arial" w:cs="Arial" w:eastAsia="Arial" w:hAnsi="Arial"/>
                <w:sz w:val="20"/>
                <w:szCs w:val="20"/>
                <w:color w:val="auto"/>
              </w:rPr>
              <w:t>61550</w:t>
            </w:r>
          </w:p>
        </w:tc>
        <w:tc>
          <w:tcPr>
            <w:tcW w:w="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ind w:left="20"/>
              <w:spacing w:after="0" w:line="220" w:lineRule="exact"/>
              <w:rPr>
                <w:sz w:val="20"/>
                <w:szCs w:val="20"/>
                <w:color w:val="auto"/>
              </w:rPr>
            </w:pPr>
            <w:r>
              <w:rPr>
                <w:rFonts w:ascii="Arial" w:cs="Arial" w:eastAsia="Arial" w:hAnsi="Arial"/>
                <w:sz w:val="20"/>
                <w:szCs w:val="20"/>
                <w:color w:val="auto"/>
              </w:rPr>
              <w:t>YRC Inc.</w:t>
            </w:r>
          </w:p>
        </w:tc>
        <w:tc>
          <w:tcPr>
            <w:tcW w:w="2000" w:type="dxa"/>
            <w:vAlign w:val="bottom"/>
            <w:tcBorders>
              <w:top w:val="single" w:sz="8" w:color="auto"/>
            </w:tcBorders>
          </w:tcPr>
          <w:p>
            <w:pPr>
              <w:ind w:left="140"/>
              <w:spacing w:after="0" w:line="220" w:lineRule="exact"/>
              <w:rPr>
                <w:sz w:val="20"/>
                <w:szCs w:val="20"/>
                <w:color w:val="auto"/>
              </w:rPr>
            </w:pPr>
            <w:r>
              <w:rPr>
                <w:rFonts w:ascii="Arial" w:cs="Arial" w:eastAsia="Arial" w:hAnsi="Arial"/>
                <w:sz w:val="20"/>
                <w:szCs w:val="20"/>
                <w:color w:val="auto"/>
              </w:rPr>
              <w:t>Wm. Aupperle &amp;</w:t>
            </w:r>
          </w:p>
        </w:tc>
        <w:tc>
          <w:tcPr>
            <w:tcW w:w="20" w:type="dxa"/>
            <w:vAlign w:val="bottom"/>
          </w:tcPr>
          <w:p>
            <w:pPr>
              <w:spacing w:after="0"/>
              <w:rPr>
                <w:sz w:val="19"/>
                <w:szCs w:val="19"/>
                <w:color w:val="auto"/>
              </w:rPr>
            </w:pPr>
          </w:p>
        </w:tc>
      </w:tr>
      <w:tr>
        <w:trPr>
          <w:trHeight w:val="250"/>
        </w:trPr>
        <w:tc>
          <w:tcPr>
            <w:tcW w:w="1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20" w:type="dxa"/>
            <w:vAlign w:val="bottom"/>
            <w:gridSpan w:val="2"/>
          </w:tcPr>
          <w:p>
            <w:pPr>
              <w:ind w:left="140"/>
              <w:spacing w:after="0"/>
              <w:rPr>
                <w:sz w:val="20"/>
                <w:szCs w:val="20"/>
                <w:color w:val="auto"/>
              </w:rPr>
            </w:pPr>
            <w:r>
              <w:rPr>
                <w:rFonts w:ascii="Arial" w:cs="Arial" w:eastAsia="Arial" w:hAnsi="Arial"/>
                <w:sz w:val="20"/>
                <w:szCs w:val="20"/>
                <w:color w:val="auto"/>
              </w:rPr>
              <w:t>Sons,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-5273675</wp:posOffset>
            </wp:positionV>
            <wp:extent cx="7132320" cy="5426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5426075"/>
                    </a:xfrm>
                    <a:prstGeom prst="rect">
                      <a:avLst/>
                    </a:prstGeom>
                    <a:noFill/>
                  </pic:spPr>
                </pic:pic>
              </a:graphicData>
            </a:graphic>
          </wp:anchor>
        </w:drawing>
      </w:r>
    </w:p>
    <w:p>
      <w:pPr>
        <w:spacing w:after="0" w:line="198"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Schedule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243"/>
        </w:trPr>
        <w:tc>
          <w:tcPr>
            <w:tcW w:w="19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Rochester, NY</w:t>
            </w:r>
          </w:p>
        </w:tc>
        <w:tc>
          <w:tcPr>
            <w:tcW w:w="2100" w:type="dxa"/>
            <w:vAlign w:val="bottom"/>
            <w:tcBorders>
              <w:top w:val="single" w:sz="8" w:color="auto"/>
            </w:tcBorders>
          </w:tcPr>
          <w:p>
            <w:pPr>
              <w:ind w:left="100"/>
              <w:spacing w:after="0"/>
              <w:rPr>
                <w:sz w:val="20"/>
                <w:szCs w:val="20"/>
                <w:color w:val="auto"/>
              </w:rPr>
            </w:pPr>
            <w:r>
              <w:rPr>
                <w:rFonts w:ascii="Arial" w:cs="Arial" w:eastAsia="Arial" w:hAnsi="Arial"/>
                <w:sz w:val="20"/>
                <w:szCs w:val="20"/>
                <w:color w:val="auto"/>
              </w:rPr>
              <w:t>35 Transport Drive</w:t>
            </w:r>
          </w:p>
        </w:tc>
        <w:tc>
          <w:tcPr>
            <w:tcW w:w="1740" w:type="dxa"/>
            <w:vAlign w:val="bottom"/>
            <w:tcBorders>
              <w:top w:val="single" w:sz="8" w:color="auto"/>
            </w:tcBorders>
          </w:tcPr>
          <w:p>
            <w:pPr>
              <w:ind w:left="320"/>
              <w:spacing w:after="0"/>
              <w:rPr>
                <w:sz w:val="20"/>
                <w:szCs w:val="20"/>
                <w:color w:val="auto"/>
              </w:rPr>
            </w:pPr>
            <w:r>
              <w:rPr>
                <w:rFonts w:ascii="Arial" w:cs="Arial" w:eastAsia="Arial" w:hAnsi="Arial"/>
                <w:sz w:val="20"/>
                <w:szCs w:val="20"/>
                <w:color w:val="auto"/>
              </w:rPr>
              <w:t>Rochester</w:t>
            </w:r>
          </w:p>
        </w:tc>
        <w:tc>
          <w:tcPr>
            <w:tcW w:w="860" w:type="dxa"/>
            <w:vAlign w:val="bottom"/>
            <w:tcBorders>
              <w:top w:val="single" w:sz="8" w:color="auto"/>
            </w:tcBorders>
          </w:tcPr>
          <w:p>
            <w:pPr>
              <w:ind w:left="300"/>
              <w:spacing w:after="0"/>
              <w:rPr>
                <w:sz w:val="20"/>
                <w:szCs w:val="20"/>
                <w:color w:val="auto"/>
              </w:rPr>
            </w:pPr>
            <w:r>
              <w:rPr>
                <w:rFonts w:ascii="Arial" w:cs="Arial" w:eastAsia="Arial" w:hAnsi="Arial"/>
                <w:sz w:val="20"/>
                <w:szCs w:val="20"/>
                <w:color w:val="auto"/>
              </w:rPr>
              <w:t>NY</w:t>
            </w:r>
          </w:p>
        </w:tc>
        <w:tc>
          <w:tcPr>
            <w:tcW w:w="980" w:type="dxa"/>
            <w:vAlign w:val="bottom"/>
            <w:tcBorders>
              <w:top w:val="single" w:sz="8" w:color="auto"/>
            </w:tcBorders>
          </w:tcPr>
          <w:p>
            <w:pPr>
              <w:jc w:val="right"/>
              <w:ind w:right="121"/>
              <w:spacing w:after="0"/>
              <w:rPr>
                <w:sz w:val="20"/>
                <w:szCs w:val="20"/>
                <w:color w:val="auto"/>
              </w:rPr>
            </w:pPr>
            <w:r>
              <w:rPr>
                <w:rFonts w:ascii="Arial" w:cs="Arial" w:eastAsia="Arial" w:hAnsi="Arial"/>
                <w:sz w:val="20"/>
                <w:szCs w:val="20"/>
                <w:color w:val="auto"/>
              </w:rPr>
              <w:t>14623</w:t>
            </w:r>
          </w:p>
        </w:tc>
        <w:tc>
          <w:tcPr>
            <w:tcW w:w="1560" w:type="dxa"/>
            <w:vAlign w:val="bottom"/>
            <w:tcBorders>
              <w:top w:val="single" w:sz="8" w:color="auto"/>
            </w:tcBorders>
          </w:tcPr>
          <w:p>
            <w:pPr>
              <w:ind w:left="220"/>
              <w:spacing w:after="0"/>
              <w:rPr>
                <w:sz w:val="20"/>
                <w:szCs w:val="20"/>
                <w:color w:val="auto"/>
              </w:rPr>
            </w:pPr>
            <w:r>
              <w:rPr>
                <w:rFonts w:ascii="Arial" w:cs="Arial" w:eastAsia="Arial" w:hAnsi="Arial"/>
                <w:sz w:val="20"/>
                <w:szCs w:val="20"/>
                <w:color w:val="auto"/>
              </w:rPr>
              <w:t>New Penn</w:t>
            </w:r>
          </w:p>
        </w:tc>
        <w:tc>
          <w:tcPr>
            <w:tcW w:w="204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Saia Motor Freight</w:t>
            </w:r>
          </w:p>
        </w:tc>
      </w:tr>
      <w:tr>
        <w:trPr>
          <w:trHeight w:val="229"/>
        </w:trPr>
        <w:tc>
          <w:tcPr>
            <w:tcW w:w="1960" w:type="dxa"/>
            <w:vAlign w:val="bottom"/>
            <w:tcBorders>
              <w:left w:val="single" w:sz="8" w:color="auto"/>
              <w:right w:val="single" w:sz="8" w:color="auto"/>
            </w:tcBorders>
          </w:tcPr>
          <w:p>
            <w:pPr>
              <w:spacing w:after="0"/>
              <w:rPr>
                <w:sz w:val="19"/>
                <w:szCs w:val="19"/>
                <w:color w:val="auto"/>
              </w:rPr>
            </w:pPr>
          </w:p>
        </w:tc>
        <w:tc>
          <w:tcPr>
            <w:tcW w:w="2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60" w:type="dxa"/>
            <w:vAlign w:val="bottom"/>
          </w:tcPr>
          <w:p>
            <w:pPr>
              <w:ind w:left="220"/>
              <w:spacing w:after="0"/>
              <w:rPr>
                <w:sz w:val="20"/>
                <w:szCs w:val="20"/>
                <w:color w:val="auto"/>
              </w:rPr>
            </w:pPr>
            <w:r>
              <w:rPr>
                <w:rFonts w:ascii="Arial" w:cs="Arial" w:eastAsia="Arial" w:hAnsi="Arial"/>
                <w:sz w:val="20"/>
                <w:szCs w:val="20"/>
                <w:color w:val="auto"/>
              </w:rPr>
              <w:t>Motor Express</w:t>
            </w:r>
          </w:p>
        </w:tc>
        <w:tc>
          <w:tcPr>
            <w:tcW w:w="2040" w:type="dxa"/>
            <w:vAlign w:val="bottom"/>
          </w:tcPr>
          <w:p>
            <w:pPr>
              <w:ind w:left="180"/>
              <w:spacing w:after="0"/>
              <w:rPr>
                <w:sz w:val="20"/>
                <w:szCs w:val="20"/>
                <w:color w:val="auto"/>
              </w:rPr>
            </w:pPr>
            <w:r>
              <w:rPr>
                <w:rFonts w:ascii="Arial" w:cs="Arial" w:eastAsia="Arial" w:hAnsi="Arial"/>
                <w:sz w:val="20"/>
                <w:szCs w:val="20"/>
                <w:color w:val="auto"/>
              </w:rPr>
              <w:t>Line, LLC</w:t>
            </w:r>
          </w:p>
        </w:tc>
      </w:tr>
      <w:tr>
        <w:trPr>
          <w:trHeight w:val="250"/>
        </w:trPr>
        <w:tc>
          <w:tcPr>
            <w:tcW w:w="1960" w:type="dxa"/>
            <w:vAlign w:val="bottom"/>
            <w:tcBorders>
              <w:left w:val="single" w:sz="8" w:color="auto"/>
              <w:right w:val="single" w:sz="8" w:color="auto"/>
            </w:tcBorders>
          </w:tcPr>
          <w:p>
            <w:pPr>
              <w:spacing w:after="0"/>
              <w:rPr>
                <w:sz w:val="21"/>
                <w:szCs w:val="21"/>
                <w:color w:val="auto"/>
              </w:rPr>
            </w:pPr>
          </w:p>
        </w:tc>
        <w:tc>
          <w:tcPr>
            <w:tcW w:w="2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60" w:type="dxa"/>
            <w:vAlign w:val="bottom"/>
          </w:tcPr>
          <w:p>
            <w:pPr>
              <w:ind w:left="220"/>
              <w:spacing w:after="0"/>
              <w:rPr>
                <w:sz w:val="20"/>
                <w:szCs w:val="20"/>
                <w:color w:val="auto"/>
              </w:rPr>
            </w:pPr>
            <w:r>
              <w:rPr>
                <w:rFonts w:ascii="Arial" w:cs="Arial" w:eastAsia="Arial" w:hAnsi="Arial"/>
                <w:sz w:val="20"/>
                <w:szCs w:val="20"/>
                <w:color w:val="auto"/>
              </w:rPr>
              <w:t>LLC</w:t>
            </w:r>
          </w:p>
        </w:tc>
        <w:tc>
          <w:tcPr>
            <w:tcW w:w="2040" w:type="dxa"/>
            <w:vAlign w:val="bottom"/>
          </w:tcPr>
          <w:p>
            <w:pPr>
              <w:spacing w:after="0"/>
              <w:rPr>
                <w:sz w:val="21"/>
                <w:szCs w:val="21"/>
                <w:color w:val="auto"/>
              </w:rPr>
            </w:pPr>
          </w:p>
        </w:tc>
      </w:tr>
      <w:tr>
        <w:trPr>
          <w:trHeight w:val="242"/>
        </w:trPr>
        <w:tc>
          <w:tcPr>
            <w:tcW w:w="1960" w:type="dxa"/>
            <w:vAlign w:val="bottom"/>
            <w:tcBorders>
              <w:left w:val="single" w:sz="8" w:color="auto"/>
              <w:bottom w:val="single" w:sz="8" w:color="auto"/>
              <w:right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r>
      <w:tr>
        <w:trPr>
          <w:trHeight w:val="203"/>
        </w:trPr>
        <w:tc>
          <w:tcPr>
            <w:tcW w:w="1960" w:type="dxa"/>
            <w:vAlign w:val="bottom"/>
          </w:tcPr>
          <w:p>
            <w:pPr>
              <w:ind w:left="120"/>
              <w:spacing w:after="0" w:line="203" w:lineRule="exact"/>
              <w:rPr>
                <w:sz w:val="20"/>
                <w:szCs w:val="20"/>
                <w:color w:val="auto"/>
              </w:rPr>
            </w:pPr>
            <w:r>
              <w:rPr>
                <w:rFonts w:ascii="Arial" w:cs="Arial" w:eastAsia="Arial" w:hAnsi="Arial"/>
                <w:sz w:val="20"/>
                <w:szCs w:val="20"/>
                <w:color w:val="auto"/>
              </w:rPr>
              <w:t>Syracuse, NY</w:t>
            </w:r>
          </w:p>
        </w:tc>
        <w:tc>
          <w:tcPr>
            <w:tcW w:w="2100" w:type="dxa"/>
            <w:vAlign w:val="bottom"/>
          </w:tcPr>
          <w:p>
            <w:pPr>
              <w:ind w:left="100"/>
              <w:spacing w:after="0" w:line="203" w:lineRule="exact"/>
              <w:rPr>
                <w:sz w:val="20"/>
                <w:szCs w:val="20"/>
                <w:color w:val="auto"/>
              </w:rPr>
            </w:pPr>
            <w:r>
              <w:rPr>
                <w:rFonts w:ascii="Arial" w:cs="Arial" w:eastAsia="Arial" w:hAnsi="Arial"/>
                <w:sz w:val="20"/>
                <w:szCs w:val="20"/>
                <w:color w:val="auto"/>
              </w:rPr>
              <w:t>7173 Schuyler Road</w:t>
            </w:r>
          </w:p>
        </w:tc>
        <w:tc>
          <w:tcPr>
            <w:tcW w:w="1740" w:type="dxa"/>
            <w:vAlign w:val="bottom"/>
          </w:tcPr>
          <w:p>
            <w:pPr>
              <w:ind w:left="320"/>
              <w:spacing w:after="0" w:line="203" w:lineRule="exact"/>
              <w:rPr>
                <w:sz w:val="20"/>
                <w:szCs w:val="20"/>
                <w:color w:val="auto"/>
              </w:rPr>
            </w:pPr>
            <w:r>
              <w:rPr>
                <w:rFonts w:ascii="Arial" w:cs="Arial" w:eastAsia="Arial" w:hAnsi="Arial"/>
                <w:sz w:val="20"/>
                <w:szCs w:val="20"/>
                <w:color w:val="auto"/>
              </w:rPr>
              <w:t>East Syracuse</w:t>
            </w:r>
          </w:p>
        </w:tc>
        <w:tc>
          <w:tcPr>
            <w:tcW w:w="860" w:type="dxa"/>
            <w:vAlign w:val="bottom"/>
          </w:tcPr>
          <w:p>
            <w:pPr>
              <w:ind w:left="300"/>
              <w:spacing w:after="0" w:line="203" w:lineRule="exact"/>
              <w:rPr>
                <w:sz w:val="20"/>
                <w:szCs w:val="20"/>
                <w:color w:val="auto"/>
              </w:rPr>
            </w:pPr>
            <w:r>
              <w:rPr>
                <w:rFonts w:ascii="Arial" w:cs="Arial" w:eastAsia="Arial" w:hAnsi="Arial"/>
                <w:sz w:val="20"/>
                <w:szCs w:val="20"/>
                <w:color w:val="auto"/>
              </w:rPr>
              <w:t>NY</w:t>
            </w:r>
          </w:p>
        </w:tc>
        <w:tc>
          <w:tcPr>
            <w:tcW w:w="980" w:type="dxa"/>
            <w:vAlign w:val="bottom"/>
          </w:tcPr>
          <w:p>
            <w:pPr>
              <w:jc w:val="right"/>
              <w:ind w:right="121"/>
              <w:spacing w:after="0" w:line="203" w:lineRule="exact"/>
              <w:rPr>
                <w:sz w:val="20"/>
                <w:szCs w:val="20"/>
                <w:color w:val="auto"/>
              </w:rPr>
            </w:pPr>
            <w:r>
              <w:rPr>
                <w:rFonts w:ascii="Arial" w:cs="Arial" w:eastAsia="Arial" w:hAnsi="Arial"/>
                <w:sz w:val="20"/>
                <w:szCs w:val="20"/>
                <w:color w:val="auto"/>
              </w:rPr>
              <w:t>13057</w:t>
            </w:r>
          </w:p>
        </w:tc>
        <w:tc>
          <w:tcPr>
            <w:tcW w:w="1560" w:type="dxa"/>
            <w:vAlign w:val="bottom"/>
          </w:tcPr>
          <w:p>
            <w:pPr>
              <w:ind w:left="220"/>
              <w:spacing w:after="0" w:line="203" w:lineRule="exact"/>
              <w:rPr>
                <w:sz w:val="20"/>
                <w:szCs w:val="20"/>
                <w:color w:val="auto"/>
              </w:rPr>
            </w:pPr>
            <w:r>
              <w:rPr>
                <w:rFonts w:ascii="Arial" w:cs="Arial" w:eastAsia="Arial" w:hAnsi="Arial"/>
                <w:sz w:val="20"/>
                <w:szCs w:val="20"/>
                <w:color w:val="auto"/>
              </w:rPr>
              <w:t>New Penn</w:t>
            </w:r>
          </w:p>
        </w:tc>
        <w:tc>
          <w:tcPr>
            <w:tcW w:w="2040" w:type="dxa"/>
            <w:vAlign w:val="bottom"/>
          </w:tcPr>
          <w:p>
            <w:pPr>
              <w:ind w:left="180"/>
              <w:spacing w:after="0" w:line="203" w:lineRule="exact"/>
              <w:rPr>
                <w:sz w:val="20"/>
                <w:szCs w:val="20"/>
                <w:color w:val="auto"/>
              </w:rPr>
            </w:pPr>
            <w:r>
              <w:rPr>
                <w:rFonts w:ascii="Arial" w:cs="Arial" w:eastAsia="Arial" w:hAnsi="Arial"/>
                <w:sz w:val="20"/>
                <w:szCs w:val="20"/>
                <w:color w:val="auto"/>
              </w:rPr>
              <w:t>Crown Enterprises,</w:t>
            </w:r>
          </w:p>
        </w:tc>
      </w:tr>
      <w:tr>
        <w:trPr>
          <w:trHeight w:val="229"/>
        </w:trPr>
        <w:tc>
          <w:tcPr>
            <w:tcW w:w="19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60" w:type="dxa"/>
            <w:vAlign w:val="bottom"/>
          </w:tcPr>
          <w:p>
            <w:pPr>
              <w:ind w:left="220"/>
              <w:spacing w:after="0"/>
              <w:rPr>
                <w:sz w:val="20"/>
                <w:szCs w:val="20"/>
                <w:color w:val="auto"/>
              </w:rPr>
            </w:pPr>
            <w:r>
              <w:rPr>
                <w:rFonts w:ascii="Arial" w:cs="Arial" w:eastAsia="Arial" w:hAnsi="Arial"/>
                <w:sz w:val="20"/>
                <w:szCs w:val="20"/>
                <w:color w:val="auto"/>
              </w:rPr>
              <w:t>Motor Express</w:t>
            </w:r>
          </w:p>
        </w:tc>
        <w:tc>
          <w:tcPr>
            <w:tcW w:w="2040" w:type="dxa"/>
            <w:vAlign w:val="bottom"/>
          </w:tcPr>
          <w:p>
            <w:pPr>
              <w:ind w:left="180"/>
              <w:spacing w:after="0"/>
              <w:rPr>
                <w:sz w:val="20"/>
                <w:szCs w:val="20"/>
                <w:color w:val="auto"/>
              </w:rPr>
            </w:pPr>
            <w:r>
              <w:rPr>
                <w:rFonts w:ascii="Arial" w:cs="Arial" w:eastAsia="Arial" w:hAnsi="Arial"/>
                <w:sz w:val="20"/>
                <w:szCs w:val="20"/>
                <w:color w:val="auto"/>
              </w:rPr>
              <w:t>LLC</w:t>
            </w:r>
          </w:p>
        </w:tc>
      </w:tr>
      <w:tr>
        <w:trPr>
          <w:trHeight w:val="250"/>
        </w:trPr>
        <w:tc>
          <w:tcPr>
            <w:tcW w:w="19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60" w:type="dxa"/>
            <w:vAlign w:val="bottom"/>
          </w:tcPr>
          <w:p>
            <w:pPr>
              <w:ind w:left="220"/>
              <w:spacing w:after="0"/>
              <w:rPr>
                <w:sz w:val="20"/>
                <w:szCs w:val="20"/>
                <w:color w:val="auto"/>
              </w:rPr>
            </w:pPr>
            <w:r>
              <w:rPr>
                <w:rFonts w:ascii="Arial" w:cs="Arial" w:eastAsia="Arial" w:hAnsi="Arial"/>
                <w:sz w:val="20"/>
                <w:szCs w:val="20"/>
                <w:color w:val="auto"/>
              </w:rPr>
              <w:t>LLC</w:t>
            </w:r>
          </w:p>
        </w:tc>
        <w:tc>
          <w:tcPr>
            <w:tcW w:w="2040" w:type="dxa"/>
            <w:vAlign w:val="bottom"/>
          </w:tcPr>
          <w:p>
            <w:pPr>
              <w:spacing w:after="0"/>
              <w:rPr>
                <w:sz w:val="21"/>
                <w:szCs w:val="21"/>
                <w:color w:val="auto"/>
              </w:rPr>
            </w:pPr>
          </w:p>
        </w:tc>
      </w:tr>
      <w:tr>
        <w:trPr>
          <w:trHeight w:val="225"/>
        </w:trPr>
        <w:tc>
          <w:tcPr>
            <w:tcW w:w="19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r>
      <w:tr>
        <w:trPr>
          <w:trHeight w:val="220"/>
        </w:trPr>
        <w:tc>
          <w:tcPr>
            <w:tcW w:w="1960" w:type="dxa"/>
            <w:vAlign w:val="bottom"/>
          </w:tcPr>
          <w:p>
            <w:pPr>
              <w:ind w:left="120"/>
              <w:spacing w:after="0" w:line="220" w:lineRule="exact"/>
              <w:rPr>
                <w:sz w:val="20"/>
                <w:szCs w:val="20"/>
                <w:color w:val="auto"/>
              </w:rPr>
            </w:pPr>
            <w:r>
              <w:rPr>
                <w:rFonts w:ascii="Arial" w:cs="Arial" w:eastAsia="Arial" w:hAnsi="Arial"/>
                <w:sz w:val="20"/>
                <w:szCs w:val="20"/>
                <w:color w:val="auto"/>
              </w:rPr>
              <w:t>Wheeling, IL</w:t>
            </w:r>
          </w:p>
        </w:tc>
        <w:tc>
          <w:tcPr>
            <w:tcW w:w="2100" w:type="dxa"/>
            <w:vAlign w:val="bottom"/>
          </w:tcPr>
          <w:p>
            <w:pPr>
              <w:ind w:left="100"/>
              <w:spacing w:after="0" w:line="220" w:lineRule="exact"/>
              <w:rPr>
                <w:sz w:val="20"/>
                <w:szCs w:val="20"/>
                <w:color w:val="auto"/>
              </w:rPr>
            </w:pPr>
            <w:r>
              <w:rPr>
                <w:rFonts w:ascii="Arial" w:cs="Arial" w:eastAsia="Arial" w:hAnsi="Arial"/>
                <w:sz w:val="20"/>
                <w:szCs w:val="20"/>
                <w:color w:val="auto"/>
              </w:rPr>
              <w:t>1100 Chaddick Drive</w:t>
            </w:r>
          </w:p>
        </w:tc>
        <w:tc>
          <w:tcPr>
            <w:tcW w:w="1740" w:type="dxa"/>
            <w:vAlign w:val="bottom"/>
          </w:tcPr>
          <w:p>
            <w:pPr>
              <w:ind w:left="320"/>
              <w:spacing w:after="0" w:line="220" w:lineRule="exact"/>
              <w:rPr>
                <w:sz w:val="20"/>
                <w:szCs w:val="20"/>
                <w:color w:val="auto"/>
              </w:rPr>
            </w:pPr>
            <w:r>
              <w:rPr>
                <w:rFonts w:ascii="Arial" w:cs="Arial" w:eastAsia="Arial" w:hAnsi="Arial"/>
                <w:sz w:val="20"/>
                <w:szCs w:val="20"/>
                <w:color w:val="auto"/>
              </w:rPr>
              <w:t>Wheeling</w:t>
            </w:r>
          </w:p>
        </w:tc>
        <w:tc>
          <w:tcPr>
            <w:tcW w:w="860" w:type="dxa"/>
            <w:vAlign w:val="bottom"/>
          </w:tcPr>
          <w:p>
            <w:pPr>
              <w:ind w:left="300"/>
              <w:spacing w:after="0" w:line="220" w:lineRule="exact"/>
              <w:rPr>
                <w:sz w:val="20"/>
                <w:szCs w:val="20"/>
                <w:color w:val="auto"/>
              </w:rPr>
            </w:pPr>
            <w:r>
              <w:rPr>
                <w:rFonts w:ascii="Arial" w:cs="Arial" w:eastAsia="Arial" w:hAnsi="Arial"/>
                <w:sz w:val="20"/>
                <w:szCs w:val="20"/>
                <w:color w:val="auto"/>
              </w:rPr>
              <w:t>IL</w:t>
            </w:r>
          </w:p>
        </w:tc>
        <w:tc>
          <w:tcPr>
            <w:tcW w:w="980" w:type="dxa"/>
            <w:vAlign w:val="bottom"/>
          </w:tcPr>
          <w:p>
            <w:pPr>
              <w:jc w:val="right"/>
              <w:ind w:right="121"/>
              <w:spacing w:after="0" w:line="220" w:lineRule="exact"/>
              <w:rPr>
                <w:sz w:val="20"/>
                <w:szCs w:val="20"/>
                <w:color w:val="auto"/>
              </w:rPr>
            </w:pPr>
            <w:r>
              <w:rPr>
                <w:rFonts w:ascii="Arial" w:cs="Arial" w:eastAsia="Arial" w:hAnsi="Arial"/>
                <w:sz w:val="20"/>
                <w:szCs w:val="20"/>
                <w:color w:val="auto"/>
              </w:rPr>
              <w:t>60090</w:t>
            </w:r>
          </w:p>
        </w:tc>
        <w:tc>
          <w:tcPr>
            <w:tcW w:w="1560" w:type="dxa"/>
            <w:vAlign w:val="bottom"/>
          </w:tcPr>
          <w:p>
            <w:pPr>
              <w:ind w:left="220"/>
              <w:spacing w:after="0" w:line="220" w:lineRule="exact"/>
              <w:rPr>
                <w:sz w:val="20"/>
                <w:szCs w:val="20"/>
                <w:color w:val="auto"/>
              </w:rPr>
            </w:pPr>
            <w:r>
              <w:rPr>
                <w:rFonts w:ascii="Arial" w:cs="Arial" w:eastAsia="Arial" w:hAnsi="Arial"/>
                <w:sz w:val="20"/>
                <w:szCs w:val="20"/>
                <w:color w:val="auto"/>
              </w:rPr>
              <w:t>USF Holland</w:t>
            </w:r>
          </w:p>
        </w:tc>
        <w:tc>
          <w:tcPr>
            <w:tcW w:w="2040" w:type="dxa"/>
            <w:vAlign w:val="bottom"/>
          </w:tcPr>
          <w:p>
            <w:pPr>
              <w:ind w:left="180"/>
              <w:spacing w:after="0" w:line="220" w:lineRule="exact"/>
              <w:rPr>
                <w:sz w:val="20"/>
                <w:szCs w:val="20"/>
                <w:color w:val="auto"/>
              </w:rPr>
            </w:pPr>
            <w:r>
              <w:rPr>
                <w:rFonts w:ascii="Arial" w:cs="Arial" w:eastAsia="Arial" w:hAnsi="Arial"/>
                <w:sz w:val="20"/>
                <w:szCs w:val="20"/>
                <w:color w:val="auto"/>
              </w:rPr>
              <w:t>RAMAR Land</w:t>
            </w:r>
          </w:p>
        </w:tc>
      </w:tr>
      <w:tr>
        <w:trPr>
          <w:trHeight w:val="250"/>
        </w:trPr>
        <w:tc>
          <w:tcPr>
            <w:tcW w:w="19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60" w:type="dxa"/>
            <w:vAlign w:val="bottom"/>
          </w:tcPr>
          <w:p>
            <w:pPr>
              <w:ind w:left="220"/>
              <w:spacing w:after="0"/>
              <w:rPr>
                <w:sz w:val="20"/>
                <w:szCs w:val="20"/>
                <w:color w:val="auto"/>
              </w:rPr>
            </w:pPr>
            <w:r>
              <w:rPr>
                <w:rFonts w:ascii="Arial" w:cs="Arial" w:eastAsia="Arial" w:hAnsi="Arial"/>
                <w:sz w:val="20"/>
                <w:szCs w:val="20"/>
                <w:color w:val="auto"/>
              </w:rPr>
              <w:t>LLC</w:t>
            </w:r>
          </w:p>
        </w:tc>
        <w:tc>
          <w:tcPr>
            <w:tcW w:w="2040" w:type="dxa"/>
            <w:vAlign w:val="bottom"/>
          </w:tcPr>
          <w:p>
            <w:pPr>
              <w:ind w:left="180"/>
              <w:spacing w:after="0"/>
              <w:rPr>
                <w:sz w:val="20"/>
                <w:szCs w:val="20"/>
                <w:color w:val="auto"/>
              </w:rPr>
            </w:pPr>
            <w:r>
              <w:rPr>
                <w:rFonts w:ascii="Arial" w:cs="Arial" w:eastAsia="Arial" w:hAnsi="Arial"/>
                <w:sz w:val="20"/>
                <w:szCs w:val="20"/>
                <w:color w:val="auto"/>
              </w:rPr>
              <w:t>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-1510665</wp:posOffset>
            </wp:positionV>
            <wp:extent cx="7132320" cy="1663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63065"/>
                    </a:xfrm>
                    <a:prstGeom prst="rect">
                      <a:avLst/>
                    </a:prstGeom>
                    <a:noFill/>
                  </pic:spPr>
                </pic:pic>
              </a:graphicData>
            </a:graphic>
          </wp:anchor>
        </w:drawing>
      </w:r>
    </w:p>
    <w:p>
      <w:pPr>
        <w:spacing w:after="0" w:line="198" w:lineRule="exact"/>
        <w:rPr>
          <w:sz w:val="20"/>
          <w:szCs w:val="20"/>
          <w:color w:val="auto"/>
        </w:rPr>
      </w:pPr>
    </w:p>
    <w:p>
      <w:pPr>
        <w:ind w:left="60"/>
        <w:spacing w:after="0"/>
        <w:rPr>
          <w:sz w:val="20"/>
          <w:szCs w:val="20"/>
          <w:color w:val="auto"/>
        </w:rPr>
      </w:pPr>
      <w:r>
        <w:rPr>
          <w:rFonts w:ascii="Arial" w:cs="Arial" w:eastAsia="Arial" w:hAnsi="Arial"/>
          <w:sz w:val="22"/>
          <w:szCs w:val="22"/>
          <w:color w:val="auto"/>
        </w:rPr>
        <w:t>Schedule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color w:val="auto"/>
        </w:rPr>
        <w:t>Schedule 2 to Amendment No. 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7.05(b)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 No. 3 Additional Real Properties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78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20"/>
                <w:szCs w:val="20"/>
                <w:color w:val="auto"/>
              </w:rPr>
              <w:t>Location</w:t>
            </w:r>
          </w:p>
        </w:tc>
        <w:tc>
          <w:tcPr>
            <w:tcW w:w="20" w:type="dxa"/>
            <w:vAlign w:val="bottom"/>
            <w:tcBorders>
              <w:top w:val="single" w:sz="8" w:color="auto"/>
            </w:tcBorders>
            <w:shd w:val="clear" w:color="auto" w:fill="BFBFBF"/>
          </w:tcPr>
          <w:p>
            <w:pPr>
              <w:spacing w:after="0"/>
              <w:rPr>
                <w:sz w:val="21"/>
                <w:szCs w:val="21"/>
                <w:color w:val="auto"/>
              </w:rPr>
            </w:pPr>
          </w:p>
        </w:tc>
        <w:tc>
          <w:tcPr>
            <w:tcW w:w="2300" w:type="dxa"/>
            <w:vAlign w:val="bottom"/>
            <w:tcBorders>
              <w:top w:val="single" w:sz="8" w:color="auto"/>
              <w:right w:val="single" w:sz="8" w:color="auto"/>
            </w:tcBorders>
            <w:gridSpan w:val="2"/>
            <w:shd w:val="clear" w:color="auto" w:fill="BFBFBF"/>
          </w:tcPr>
          <w:p>
            <w:pPr>
              <w:ind w:left="60"/>
              <w:spacing w:after="0"/>
              <w:rPr>
                <w:sz w:val="20"/>
                <w:szCs w:val="20"/>
                <w:color w:val="auto"/>
              </w:rPr>
            </w:pPr>
            <w:r>
              <w:rPr>
                <w:rFonts w:ascii="Arial" w:cs="Arial" w:eastAsia="Arial" w:hAnsi="Arial"/>
                <w:sz w:val="20"/>
                <w:szCs w:val="20"/>
                <w:color w:val="auto"/>
              </w:rPr>
              <w:t>Street Address</w:t>
            </w:r>
          </w:p>
        </w:tc>
        <w:tc>
          <w:tcPr>
            <w:tcW w:w="1620" w:type="dxa"/>
            <w:vAlign w:val="bottom"/>
            <w:tcBorders>
              <w:top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20"/>
                <w:szCs w:val="20"/>
                <w:color w:val="auto"/>
              </w:rPr>
              <w:t>City</w:t>
            </w:r>
          </w:p>
        </w:tc>
        <w:tc>
          <w:tcPr>
            <w:tcW w:w="840" w:type="dxa"/>
            <w:vAlign w:val="bottom"/>
            <w:tcBorders>
              <w:top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20"/>
                <w:szCs w:val="20"/>
                <w:color w:val="auto"/>
              </w:rPr>
              <w:t>State</w:t>
            </w:r>
          </w:p>
        </w:tc>
        <w:tc>
          <w:tcPr>
            <w:tcW w:w="840" w:type="dxa"/>
            <w:vAlign w:val="bottom"/>
            <w:tcBorders>
              <w:top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20"/>
                <w:szCs w:val="20"/>
                <w:color w:val="auto"/>
              </w:rPr>
              <w:t>Zip</w:t>
            </w:r>
          </w:p>
        </w:tc>
        <w:tc>
          <w:tcPr>
            <w:tcW w:w="1860" w:type="dxa"/>
            <w:vAlign w:val="bottom"/>
            <w:tcBorders>
              <w:top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20"/>
                <w:szCs w:val="20"/>
                <w:color w:val="auto"/>
              </w:rPr>
              <w:t>Grantor (Seller)</w:t>
            </w:r>
          </w:p>
        </w:tc>
        <w:tc>
          <w:tcPr>
            <w:tcW w:w="1980" w:type="dxa"/>
            <w:vAlign w:val="bottom"/>
            <w:tcBorders>
              <w:top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20"/>
                <w:szCs w:val="20"/>
                <w:color w:val="auto"/>
              </w:rPr>
              <w:t>Broker</w:t>
            </w:r>
          </w:p>
        </w:tc>
      </w:tr>
      <w:tr>
        <w:trPr>
          <w:trHeight w:val="250"/>
        </w:trPr>
        <w:tc>
          <w:tcPr>
            <w:tcW w:w="1780" w:type="dxa"/>
            <w:vAlign w:val="bottom"/>
            <w:tcBorders>
              <w:left w:val="single" w:sz="8" w:color="auto"/>
              <w:right w:val="single" w:sz="8" w:color="auto"/>
            </w:tcBorders>
            <w:shd w:val="clear" w:color="auto" w:fill="BFBFBF"/>
          </w:tcPr>
          <w:p>
            <w:pPr>
              <w:spacing w:after="0"/>
              <w:rPr>
                <w:sz w:val="21"/>
                <w:szCs w:val="21"/>
                <w:color w:val="auto"/>
              </w:rPr>
            </w:pPr>
          </w:p>
        </w:tc>
        <w:tc>
          <w:tcPr>
            <w:tcW w:w="20" w:type="dxa"/>
            <w:vAlign w:val="bottom"/>
            <w:shd w:val="clear" w:color="auto" w:fill="BFBFBF"/>
          </w:tcPr>
          <w:p>
            <w:pPr>
              <w:spacing w:after="0"/>
              <w:rPr>
                <w:sz w:val="21"/>
                <w:szCs w:val="21"/>
                <w:color w:val="auto"/>
              </w:rPr>
            </w:pPr>
          </w:p>
        </w:tc>
        <w:tc>
          <w:tcPr>
            <w:tcW w:w="480" w:type="dxa"/>
            <w:vAlign w:val="bottom"/>
            <w:shd w:val="clear" w:color="auto" w:fill="BFBFBF"/>
          </w:tcPr>
          <w:p>
            <w:pPr>
              <w:spacing w:after="0"/>
              <w:rPr>
                <w:sz w:val="21"/>
                <w:szCs w:val="21"/>
                <w:color w:val="auto"/>
              </w:rPr>
            </w:pPr>
          </w:p>
        </w:tc>
        <w:tc>
          <w:tcPr>
            <w:tcW w:w="1820" w:type="dxa"/>
            <w:vAlign w:val="bottom"/>
            <w:tcBorders>
              <w:right w:val="single" w:sz="8" w:color="auto"/>
            </w:tcBorders>
            <w:shd w:val="clear" w:color="auto" w:fill="BFBFBF"/>
          </w:tcPr>
          <w:p>
            <w:pPr>
              <w:spacing w:after="0"/>
              <w:rPr>
                <w:sz w:val="21"/>
                <w:szCs w:val="21"/>
                <w:color w:val="auto"/>
              </w:rPr>
            </w:pPr>
          </w:p>
        </w:tc>
        <w:tc>
          <w:tcPr>
            <w:tcW w:w="1620" w:type="dxa"/>
            <w:vAlign w:val="bottom"/>
            <w:tcBorders>
              <w:right w:val="single" w:sz="8" w:color="auto"/>
            </w:tcBorders>
            <w:shd w:val="clear" w:color="auto" w:fill="BFBFBF"/>
          </w:tcPr>
          <w:p>
            <w:pPr>
              <w:spacing w:after="0"/>
              <w:rPr>
                <w:sz w:val="21"/>
                <w:szCs w:val="21"/>
                <w:color w:val="auto"/>
              </w:rPr>
            </w:pPr>
          </w:p>
        </w:tc>
        <w:tc>
          <w:tcPr>
            <w:tcW w:w="840" w:type="dxa"/>
            <w:vAlign w:val="bottom"/>
            <w:tcBorders>
              <w:right w:val="single" w:sz="8" w:color="auto"/>
            </w:tcBorders>
            <w:shd w:val="clear" w:color="auto" w:fill="BFBFBF"/>
          </w:tcPr>
          <w:p>
            <w:pPr>
              <w:spacing w:after="0"/>
              <w:rPr>
                <w:sz w:val="21"/>
                <w:szCs w:val="21"/>
                <w:color w:val="auto"/>
              </w:rPr>
            </w:pPr>
          </w:p>
        </w:tc>
        <w:tc>
          <w:tcPr>
            <w:tcW w:w="840" w:type="dxa"/>
            <w:vAlign w:val="bottom"/>
            <w:tcBorders>
              <w:right w:val="single" w:sz="8" w:color="auto"/>
            </w:tcBorders>
            <w:shd w:val="clear" w:color="auto" w:fill="BFBFBF"/>
          </w:tcPr>
          <w:p>
            <w:pPr>
              <w:ind w:left="100"/>
              <w:spacing w:after="0"/>
              <w:rPr>
                <w:sz w:val="20"/>
                <w:szCs w:val="20"/>
                <w:color w:val="auto"/>
              </w:rPr>
            </w:pPr>
            <w:r>
              <w:rPr>
                <w:rFonts w:ascii="Arial" w:cs="Arial" w:eastAsia="Arial" w:hAnsi="Arial"/>
                <w:sz w:val="20"/>
                <w:szCs w:val="20"/>
                <w:color w:val="auto"/>
              </w:rPr>
              <w:t>Code</w:t>
            </w:r>
          </w:p>
        </w:tc>
        <w:tc>
          <w:tcPr>
            <w:tcW w:w="1860" w:type="dxa"/>
            <w:vAlign w:val="bottom"/>
            <w:tcBorders>
              <w:right w:val="single" w:sz="8" w:color="auto"/>
            </w:tcBorders>
            <w:shd w:val="clear" w:color="auto" w:fill="BFBFBF"/>
          </w:tcPr>
          <w:p>
            <w:pPr>
              <w:spacing w:after="0"/>
              <w:rPr>
                <w:sz w:val="21"/>
                <w:szCs w:val="21"/>
                <w:color w:val="auto"/>
              </w:rPr>
            </w:pPr>
          </w:p>
        </w:tc>
        <w:tc>
          <w:tcPr>
            <w:tcW w:w="1980" w:type="dxa"/>
            <w:vAlign w:val="bottom"/>
            <w:tcBorders>
              <w:right w:val="single" w:sz="8" w:color="auto"/>
            </w:tcBorders>
            <w:shd w:val="clear" w:color="auto" w:fill="BFBFBF"/>
          </w:tcPr>
          <w:p>
            <w:pPr>
              <w:spacing w:after="0"/>
              <w:rPr>
                <w:sz w:val="21"/>
                <w:szCs w:val="21"/>
                <w:color w:val="auto"/>
              </w:rPr>
            </w:pPr>
          </w:p>
        </w:tc>
      </w:tr>
      <w:tr>
        <w:trPr>
          <w:trHeight w:val="242"/>
        </w:trPr>
        <w:tc>
          <w:tcPr>
            <w:tcW w:w="1780" w:type="dxa"/>
            <w:vAlign w:val="bottom"/>
            <w:tcBorders>
              <w:left w:val="single" w:sz="8" w:color="auto"/>
              <w:bottom w:val="single" w:sz="8" w:color="auto"/>
              <w:right w:val="single" w:sz="8" w:color="auto"/>
            </w:tcBorders>
            <w:shd w:val="clear" w:color="auto" w:fill="BFBFBF"/>
          </w:tcPr>
          <w:p>
            <w:pPr>
              <w:spacing w:after="0"/>
              <w:rPr>
                <w:sz w:val="21"/>
                <w:szCs w:val="21"/>
                <w:color w:val="auto"/>
              </w:rPr>
            </w:pPr>
          </w:p>
        </w:tc>
        <w:tc>
          <w:tcPr>
            <w:tcW w:w="20" w:type="dxa"/>
            <w:vAlign w:val="bottom"/>
            <w:tcBorders>
              <w:bottom w:val="single" w:sz="8" w:color="auto"/>
            </w:tcBorders>
            <w:shd w:val="clear" w:color="auto" w:fill="BFBFBF"/>
          </w:tcPr>
          <w:p>
            <w:pPr>
              <w:spacing w:after="0"/>
              <w:rPr>
                <w:sz w:val="21"/>
                <w:szCs w:val="21"/>
                <w:color w:val="auto"/>
              </w:rPr>
            </w:pPr>
          </w:p>
        </w:tc>
        <w:tc>
          <w:tcPr>
            <w:tcW w:w="2300" w:type="dxa"/>
            <w:vAlign w:val="bottom"/>
            <w:tcBorders>
              <w:bottom w:val="single" w:sz="8" w:color="auto"/>
              <w:right w:val="single" w:sz="8" w:color="auto"/>
            </w:tcBorders>
            <w:gridSpan w:val="2"/>
            <w:shd w:val="clear" w:color="auto" w:fill="BFBFBF"/>
          </w:tcPr>
          <w:p>
            <w:pPr>
              <w:spacing w:after="0"/>
              <w:rPr>
                <w:sz w:val="21"/>
                <w:szCs w:val="21"/>
                <w:color w:val="auto"/>
              </w:rPr>
            </w:pPr>
          </w:p>
        </w:tc>
        <w:tc>
          <w:tcPr>
            <w:tcW w:w="1620" w:type="dxa"/>
            <w:vAlign w:val="bottom"/>
            <w:tcBorders>
              <w:bottom w:val="single" w:sz="8" w:color="auto"/>
              <w:right w:val="single" w:sz="8" w:color="auto"/>
            </w:tcBorders>
            <w:shd w:val="clear" w:color="auto" w:fill="BFBFBF"/>
          </w:tcPr>
          <w:p>
            <w:pPr>
              <w:spacing w:after="0"/>
              <w:rPr>
                <w:sz w:val="21"/>
                <w:szCs w:val="21"/>
                <w:color w:val="auto"/>
              </w:rPr>
            </w:pPr>
          </w:p>
        </w:tc>
        <w:tc>
          <w:tcPr>
            <w:tcW w:w="840" w:type="dxa"/>
            <w:vAlign w:val="bottom"/>
            <w:tcBorders>
              <w:bottom w:val="single" w:sz="8" w:color="auto"/>
              <w:right w:val="single" w:sz="8" w:color="auto"/>
            </w:tcBorders>
            <w:shd w:val="clear" w:color="auto" w:fill="BFBFBF"/>
          </w:tcPr>
          <w:p>
            <w:pPr>
              <w:spacing w:after="0"/>
              <w:rPr>
                <w:sz w:val="21"/>
                <w:szCs w:val="21"/>
                <w:color w:val="auto"/>
              </w:rPr>
            </w:pPr>
          </w:p>
        </w:tc>
        <w:tc>
          <w:tcPr>
            <w:tcW w:w="840" w:type="dxa"/>
            <w:vAlign w:val="bottom"/>
            <w:tcBorders>
              <w:bottom w:val="single" w:sz="8" w:color="auto"/>
              <w:right w:val="single" w:sz="8" w:color="auto"/>
            </w:tcBorders>
            <w:shd w:val="clear" w:color="auto" w:fill="BFBFBF"/>
          </w:tcPr>
          <w:p>
            <w:pPr>
              <w:spacing w:after="0"/>
              <w:rPr>
                <w:sz w:val="21"/>
                <w:szCs w:val="21"/>
                <w:color w:val="auto"/>
              </w:rPr>
            </w:pPr>
          </w:p>
        </w:tc>
        <w:tc>
          <w:tcPr>
            <w:tcW w:w="1860" w:type="dxa"/>
            <w:vAlign w:val="bottom"/>
            <w:tcBorders>
              <w:bottom w:val="single" w:sz="8" w:color="auto"/>
              <w:right w:val="single" w:sz="8" w:color="auto"/>
            </w:tcBorders>
            <w:shd w:val="clear" w:color="auto" w:fill="BFBFBF"/>
          </w:tcPr>
          <w:p>
            <w:pPr>
              <w:spacing w:after="0"/>
              <w:rPr>
                <w:sz w:val="21"/>
                <w:szCs w:val="21"/>
                <w:color w:val="auto"/>
              </w:rPr>
            </w:pPr>
          </w:p>
        </w:tc>
        <w:tc>
          <w:tcPr>
            <w:tcW w:w="1980" w:type="dxa"/>
            <w:vAlign w:val="bottom"/>
            <w:tcBorders>
              <w:bottom w:val="single" w:sz="8" w:color="auto"/>
              <w:right w:val="single" w:sz="8" w:color="auto"/>
            </w:tcBorders>
            <w:shd w:val="clear" w:color="auto" w:fill="BFBFBF"/>
          </w:tcPr>
          <w:p>
            <w:pPr>
              <w:spacing w:after="0"/>
              <w:rPr>
                <w:sz w:val="21"/>
                <w:szCs w:val="21"/>
                <w:color w:val="auto"/>
              </w:rPr>
            </w:pPr>
          </w:p>
        </w:tc>
      </w:tr>
      <w:tr>
        <w:trPr>
          <w:trHeight w:val="230"/>
        </w:trPr>
        <w:tc>
          <w:tcPr>
            <w:tcW w:w="1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Buffalo, NY</w:t>
            </w:r>
          </w:p>
        </w:tc>
        <w:tc>
          <w:tcPr>
            <w:tcW w:w="20" w:type="dxa"/>
            <w:vAlign w:val="bottom"/>
          </w:tcPr>
          <w:p>
            <w:pPr>
              <w:spacing w:after="0"/>
              <w:rPr>
                <w:sz w:val="20"/>
                <w:szCs w:val="20"/>
                <w:color w:val="auto"/>
              </w:rPr>
            </w:pPr>
          </w:p>
        </w:tc>
        <w:tc>
          <w:tcPr>
            <w:tcW w:w="230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rPr>
              <w:t>6650 Transit Road</w:t>
            </w:r>
          </w:p>
        </w:tc>
        <w:tc>
          <w:tcPr>
            <w:tcW w:w="16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Williamsville</w:t>
            </w: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NY</w:t>
            </w: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14221</w:t>
            </w:r>
          </w:p>
        </w:tc>
        <w:tc>
          <w:tcPr>
            <w:tcW w:w="18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USF Holland LLC</w:t>
            </w:r>
          </w:p>
        </w:tc>
        <w:tc>
          <w:tcPr>
            <w:tcW w:w="19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Jones Lang LaSalle</w:t>
            </w:r>
          </w:p>
        </w:tc>
      </w:tr>
      <w:tr>
        <w:trPr>
          <w:trHeight w:val="219"/>
        </w:trPr>
        <w:tc>
          <w:tcPr>
            <w:tcW w:w="1780" w:type="dxa"/>
            <w:vAlign w:val="bottom"/>
            <w:tcBorders>
              <w:left w:val="single" w:sz="8" w:color="auto"/>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gridSpan w:val="2"/>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r>
      <w:tr>
        <w:trPr>
          <w:trHeight w:val="244"/>
        </w:trPr>
        <w:tc>
          <w:tcPr>
            <w:tcW w:w="1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Columbia, SC</w:t>
            </w:r>
          </w:p>
        </w:tc>
        <w:tc>
          <w:tcPr>
            <w:tcW w:w="500" w:type="dxa"/>
            <w:vAlign w:val="bottom"/>
            <w:gridSpan w:val="2"/>
          </w:tcPr>
          <w:p>
            <w:pPr>
              <w:ind w:left="80"/>
              <w:spacing w:after="0"/>
              <w:rPr>
                <w:sz w:val="20"/>
                <w:szCs w:val="20"/>
                <w:color w:val="auto"/>
              </w:rPr>
            </w:pPr>
            <w:r>
              <w:rPr>
                <w:rFonts w:ascii="Arial" w:cs="Arial" w:eastAsia="Arial" w:hAnsi="Arial"/>
                <w:sz w:val="20"/>
                <w:szCs w:val="20"/>
                <w:color w:val="auto"/>
                <w:w w:val="89"/>
              </w:rPr>
              <w:t>1308</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Pineview Drive</w:t>
            </w:r>
          </w:p>
        </w:tc>
        <w:tc>
          <w:tcPr>
            <w:tcW w:w="16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Columbia</w:t>
            </w: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SC</w:t>
            </w: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29209</w:t>
            </w:r>
          </w:p>
        </w:tc>
        <w:tc>
          <w:tcPr>
            <w:tcW w:w="18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YRC Inc.</w:t>
            </w:r>
          </w:p>
        </w:tc>
        <w:tc>
          <w:tcPr>
            <w:tcW w:w="19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Burr &amp; Temkin</w:t>
            </w:r>
          </w:p>
        </w:tc>
      </w:tr>
      <w:tr>
        <w:trPr>
          <w:trHeight w:val="222"/>
        </w:trPr>
        <w:tc>
          <w:tcPr>
            <w:tcW w:w="178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300" w:type="dxa"/>
            <w:vAlign w:val="bottom"/>
            <w:tcBorders>
              <w:bottom w:val="single" w:sz="8" w:color="auto"/>
              <w:right w:val="single" w:sz="8" w:color="auto"/>
            </w:tcBorders>
            <w:gridSpan w:val="2"/>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r>
      <w:tr>
        <w:trPr>
          <w:trHeight w:val="244"/>
        </w:trPr>
        <w:tc>
          <w:tcPr>
            <w:tcW w:w="1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Fresno, CA</w:t>
            </w:r>
          </w:p>
        </w:tc>
        <w:tc>
          <w:tcPr>
            <w:tcW w:w="20" w:type="dxa"/>
            <w:vAlign w:val="bottom"/>
          </w:tcPr>
          <w:p>
            <w:pPr>
              <w:spacing w:after="0"/>
              <w:rPr>
                <w:sz w:val="21"/>
                <w:szCs w:val="21"/>
                <w:color w:val="auto"/>
              </w:rPr>
            </w:pPr>
          </w:p>
        </w:tc>
        <w:tc>
          <w:tcPr>
            <w:tcW w:w="230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rPr>
              <w:t>2440 E Church Avenue</w:t>
            </w:r>
          </w:p>
        </w:tc>
        <w:tc>
          <w:tcPr>
            <w:tcW w:w="16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Fresno</w:t>
            </w: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CA</w:t>
            </w: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93706</w:t>
            </w:r>
          </w:p>
        </w:tc>
        <w:tc>
          <w:tcPr>
            <w:tcW w:w="18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YRC Inc.</w:t>
            </w:r>
          </w:p>
        </w:tc>
        <w:tc>
          <w:tcPr>
            <w:tcW w:w="19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Burr &amp; Temkin</w:t>
            </w:r>
          </w:p>
        </w:tc>
      </w:tr>
      <w:tr>
        <w:trPr>
          <w:trHeight w:val="222"/>
        </w:trPr>
        <w:tc>
          <w:tcPr>
            <w:tcW w:w="178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300" w:type="dxa"/>
            <w:vAlign w:val="bottom"/>
            <w:tcBorders>
              <w:bottom w:val="single" w:sz="8" w:color="auto"/>
              <w:right w:val="single" w:sz="8" w:color="auto"/>
            </w:tcBorders>
            <w:gridSpan w:val="2"/>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r>
      <w:tr>
        <w:trPr>
          <w:trHeight w:val="244"/>
        </w:trPr>
        <w:tc>
          <w:tcPr>
            <w:tcW w:w="1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Parkersburg, WV</w:t>
            </w:r>
          </w:p>
        </w:tc>
        <w:tc>
          <w:tcPr>
            <w:tcW w:w="20" w:type="dxa"/>
            <w:vAlign w:val="bottom"/>
          </w:tcPr>
          <w:p>
            <w:pPr>
              <w:spacing w:after="0"/>
              <w:rPr>
                <w:sz w:val="21"/>
                <w:szCs w:val="21"/>
                <w:color w:val="auto"/>
              </w:rPr>
            </w:pPr>
          </w:p>
        </w:tc>
        <w:tc>
          <w:tcPr>
            <w:tcW w:w="230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rPr>
              <w:t>300 Drag Strip Road</w:t>
            </w:r>
          </w:p>
        </w:tc>
        <w:tc>
          <w:tcPr>
            <w:tcW w:w="16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Belpre</w:t>
            </w: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OH</w:t>
            </w: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45714</w:t>
            </w:r>
          </w:p>
        </w:tc>
        <w:tc>
          <w:tcPr>
            <w:tcW w:w="18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YRC Inc.</w:t>
            </w:r>
          </w:p>
        </w:tc>
        <w:tc>
          <w:tcPr>
            <w:tcW w:w="19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Burr &amp; Temkin</w:t>
            </w:r>
          </w:p>
        </w:tc>
      </w:tr>
      <w:tr>
        <w:trPr>
          <w:trHeight w:val="222"/>
        </w:trPr>
        <w:tc>
          <w:tcPr>
            <w:tcW w:w="178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300" w:type="dxa"/>
            <w:vAlign w:val="bottom"/>
            <w:tcBorders>
              <w:bottom w:val="single" w:sz="8" w:color="auto"/>
              <w:right w:val="single" w:sz="8" w:color="auto"/>
            </w:tcBorders>
            <w:gridSpan w:val="2"/>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r>
      <w:tr>
        <w:trPr>
          <w:trHeight w:val="220"/>
        </w:trPr>
        <w:tc>
          <w:tcPr>
            <w:tcW w:w="1780" w:type="dxa"/>
            <w:vAlign w:val="bottom"/>
            <w:tcBorders>
              <w:left w:val="single" w:sz="8" w:color="auto"/>
              <w:right w:val="single" w:sz="8" w:color="auto"/>
            </w:tcBorders>
          </w:tcPr>
          <w:p>
            <w:pPr>
              <w:ind w:left="120"/>
              <w:spacing w:after="0" w:line="220" w:lineRule="exact"/>
              <w:rPr>
                <w:sz w:val="20"/>
                <w:szCs w:val="20"/>
                <w:color w:val="auto"/>
              </w:rPr>
            </w:pPr>
            <w:r>
              <w:rPr>
                <w:rFonts w:ascii="Arial" w:cs="Arial" w:eastAsia="Arial" w:hAnsi="Arial"/>
                <w:sz w:val="20"/>
                <w:szCs w:val="20"/>
                <w:color w:val="auto"/>
              </w:rPr>
              <w:t>Stanhope, PQ</w:t>
            </w:r>
          </w:p>
        </w:tc>
        <w:tc>
          <w:tcPr>
            <w:tcW w:w="20" w:type="dxa"/>
            <w:vAlign w:val="bottom"/>
          </w:tcPr>
          <w:p>
            <w:pPr>
              <w:spacing w:after="0"/>
              <w:rPr>
                <w:sz w:val="19"/>
                <w:szCs w:val="19"/>
                <w:color w:val="auto"/>
              </w:rPr>
            </w:pPr>
          </w:p>
        </w:tc>
        <w:tc>
          <w:tcPr>
            <w:tcW w:w="2300" w:type="dxa"/>
            <w:vAlign w:val="bottom"/>
            <w:tcBorders>
              <w:right w:val="single" w:sz="8" w:color="auto"/>
            </w:tcBorders>
            <w:gridSpan w:val="2"/>
          </w:tcPr>
          <w:p>
            <w:pPr>
              <w:ind w:left="60"/>
              <w:spacing w:after="0" w:line="220" w:lineRule="exact"/>
              <w:rPr>
                <w:sz w:val="20"/>
                <w:szCs w:val="20"/>
                <w:color w:val="auto"/>
              </w:rPr>
            </w:pPr>
            <w:r>
              <w:rPr>
                <w:rFonts w:ascii="Arial" w:cs="Arial" w:eastAsia="Arial" w:hAnsi="Arial"/>
                <w:sz w:val="20"/>
                <w:szCs w:val="20"/>
                <w:color w:val="auto"/>
              </w:rPr>
              <w:t>930 Route 147</w:t>
            </w:r>
          </w:p>
        </w:tc>
        <w:tc>
          <w:tcPr>
            <w:tcW w:w="1620" w:type="dxa"/>
            <w:vAlign w:val="bottom"/>
            <w:tcBorders>
              <w:right w:val="single" w:sz="8" w:color="auto"/>
            </w:tcBorders>
          </w:tcPr>
          <w:p>
            <w:pPr>
              <w:ind w:left="80"/>
              <w:spacing w:after="0" w:line="220" w:lineRule="exact"/>
              <w:rPr>
                <w:sz w:val="20"/>
                <w:szCs w:val="20"/>
                <w:color w:val="auto"/>
              </w:rPr>
            </w:pPr>
            <w:r>
              <w:rPr>
                <w:rFonts w:ascii="Arial" w:cs="Arial" w:eastAsia="Arial" w:hAnsi="Arial"/>
                <w:sz w:val="20"/>
                <w:szCs w:val="20"/>
                <w:color w:val="auto"/>
              </w:rPr>
              <w:t>Dixville</w:t>
            </w:r>
          </w:p>
        </w:tc>
        <w:tc>
          <w:tcPr>
            <w:tcW w:w="840" w:type="dxa"/>
            <w:vAlign w:val="bottom"/>
            <w:tcBorders>
              <w:right w:val="single" w:sz="8" w:color="auto"/>
            </w:tcBorders>
          </w:tcPr>
          <w:p>
            <w:pPr>
              <w:ind w:left="100"/>
              <w:spacing w:after="0" w:line="220" w:lineRule="exact"/>
              <w:rPr>
                <w:sz w:val="20"/>
                <w:szCs w:val="20"/>
                <w:color w:val="auto"/>
              </w:rPr>
            </w:pPr>
            <w:r>
              <w:rPr>
                <w:rFonts w:ascii="Arial" w:cs="Arial" w:eastAsia="Arial" w:hAnsi="Arial"/>
                <w:sz w:val="20"/>
                <w:szCs w:val="20"/>
                <w:color w:val="auto"/>
              </w:rPr>
              <w:t>PQ</w:t>
            </w:r>
          </w:p>
        </w:tc>
        <w:tc>
          <w:tcPr>
            <w:tcW w:w="840" w:type="dxa"/>
            <w:vAlign w:val="bottom"/>
            <w:tcBorders>
              <w:right w:val="single" w:sz="8" w:color="auto"/>
            </w:tcBorders>
          </w:tcPr>
          <w:p>
            <w:pPr>
              <w:ind w:left="100"/>
              <w:spacing w:after="0" w:line="220" w:lineRule="exact"/>
              <w:rPr>
                <w:sz w:val="20"/>
                <w:szCs w:val="20"/>
                <w:color w:val="auto"/>
              </w:rPr>
            </w:pPr>
            <w:r>
              <w:rPr>
                <w:rFonts w:ascii="Arial" w:cs="Arial" w:eastAsia="Arial" w:hAnsi="Arial"/>
                <w:sz w:val="20"/>
                <w:szCs w:val="20"/>
                <w:color w:val="auto"/>
              </w:rPr>
              <w:t>J0B</w:t>
            </w:r>
          </w:p>
        </w:tc>
        <w:tc>
          <w:tcPr>
            <w:tcW w:w="1860" w:type="dxa"/>
            <w:vAlign w:val="bottom"/>
            <w:tcBorders>
              <w:right w:val="single" w:sz="8" w:color="auto"/>
            </w:tcBorders>
          </w:tcPr>
          <w:p>
            <w:pPr>
              <w:ind w:left="80"/>
              <w:spacing w:after="0" w:line="220" w:lineRule="exact"/>
              <w:rPr>
                <w:sz w:val="20"/>
                <w:szCs w:val="20"/>
                <w:color w:val="auto"/>
              </w:rPr>
            </w:pPr>
            <w:r>
              <w:rPr>
                <w:rFonts w:ascii="Arial" w:cs="Arial" w:eastAsia="Arial" w:hAnsi="Arial"/>
                <w:sz w:val="20"/>
                <w:szCs w:val="20"/>
                <w:color w:val="auto"/>
              </w:rPr>
              <w:t>YRC Freight</w:t>
            </w:r>
          </w:p>
        </w:tc>
        <w:tc>
          <w:tcPr>
            <w:tcW w:w="1980" w:type="dxa"/>
            <w:vAlign w:val="bottom"/>
            <w:tcBorders>
              <w:right w:val="single" w:sz="8" w:color="auto"/>
            </w:tcBorders>
          </w:tcPr>
          <w:p>
            <w:pPr>
              <w:ind w:left="100"/>
              <w:spacing w:after="0" w:line="220" w:lineRule="exact"/>
              <w:rPr>
                <w:sz w:val="20"/>
                <w:szCs w:val="20"/>
                <w:color w:val="auto"/>
              </w:rPr>
            </w:pPr>
            <w:r>
              <w:rPr>
                <w:rFonts w:ascii="Arial" w:cs="Arial" w:eastAsia="Arial" w:hAnsi="Arial"/>
                <w:sz w:val="20"/>
                <w:szCs w:val="20"/>
                <w:color w:val="auto"/>
              </w:rPr>
              <w:t>Jones Lang LaSalle</w:t>
            </w:r>
          </w:p>
        </w:tc>
      </w:tr>
      <w:tr>
        <w:trPr>
          <w:trHeight w:val="250"/>
        </w:trPr>
        <w:tc>
          <w:tcPr>
            <w:tcW w:w="1780" w:type="dxa"/>
            <w:vAlign w:val="bottom"/>
            <w:tcBorders>
              <w:left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3C0</w:t>
            </w:r>
          </w:p>
        </w:tc>
        <w:tc>
          <w:tcPr>
            <w:tcW w:w="18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Canada Company</w:t>
            </w:r>
          </w:p>
        </w:tc>
        <w:tc>
          <w:tcPr>
            <w:tcW w:w="1980" w:type="dxa"/>
            <w:vAlign w:val="bottom"/>
            <w:tcBorders>
              <w:right w:val="single" w:sz="8" w:color="auto"/>
            </w:tcBorders>
          </w:tcPr>
          <w:p>
            <w:pPr>
              <w:spacing w:after="0"/>
              <w:rPr>
                <w:sz w:val="21"/>
                <w:szCs w:val="21"/>
                <w:color w:val="auto"/>
              </w:rPr>
            </w:pPr>
          </w:p>
        </w:tc>
      </w:tr>
      <w:tr>
        <w:trPr>
          <w:trHeight w:val="225"/>
        </w:trPr>
        <w:tc>
          <w:tcPr>
            <w:tcW w:w="1780" w:type="dxa"/>
            <w:vAlign w:val="bottom"/>
            <w:tcBorders>
              <w:left w:val="single" w:sz="8" w:color="auto"/>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gridSpan w:val="2"/>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r>
      <w:tr>
        <w:trPr>
          <w:trHeight w:val="244"/>
        </w:trPr>
        <w:tc>
          <w:tcPr>
            <w:tcW w:w="1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Toledo, OH</w:t>
            </w:r>
          </w:p>
        </w:tc>
        <w:tc>
          <w:tcPr>
            <w:tcW w:w="500" w:type="dxa"/>
            <w:vAlign w:val="bottom"/>
            <w:gridSpan w:val="2"/>
          </w:tcPr>
          <w:p>
            <w:pPr>
              <w:ind w:left="80"/>
              <w:spacing w:after="0"/>
              <w:rPr>
                <w:sz w:val="20"/>
                <w:szCs w:val="20"/>
                <w:color w:val="auto"/>
              </w:rPr>
            </w:pPr>
            <w:r>
              <w:rPr>
                <w:rFonts w:ascii="Arial" w:cs="Arial" w:eastAsia="Arial" w:hAnsi="Arial"/>
                <w:sz w:val="20"/>
                <w:szCs w:val="20"/>
                <w:color w:val="auto"/>
                <w:w w:val="89"/>
              </w:rPr>
              <w:t>4431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South Avenue</w:t>
            </w:r>
          </w:p>
        </w:tc>
        <w:tc>
          <w:tcPr>
            <w:tcW w:w="16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Toledo</w:t>
            </w: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OH</w:t>
            </w: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43615</w:t>
            </w:r>
          </w:p>
        </w:tc>
        <w:tc>
          <w:tcPr>
            <w:tcW w:w="18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YRC Inc.</w:t>
            </w:r>
          </w:p>
        </w:tc>
        <w:tc>
          <w:tcPr>
            <w:tcW w:w="19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Jones Lang LaSalle</w:t>
            </w:r>
          </w:p>
        </w:tc>
      </w:tr>
      <w:tr>
        <w:trPr>
          <w:trHeight w:val="222"/>
        </w:trPr>
        <w:tc>
          <w:tcPr>
            <w:tcW w:w="1780" w:type="dxa"/>
            <w:vAlign w:val="bottom"/>
            <w:tcBorders>
              <w:left w:val="single" w:sz="8" w:color="auto"/>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gridSpan w:val="2"/>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r>
      <w:tr>
        <w:trPr>
          <w:trHeight w:val="244"/>
        </w:trPr>
        <w:tc>
          <w:tcPr>
            <w:tcW w:w="1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Youngstown, OH</w:t>
            </w:r>
          </w:p>
        </w:tc>
        <w:tc>
          <w:tcPr>
            <w:tcW w:w="500" w:type="dxa"/>
            <w:vAlign w:val="bottom"/>
            <w:gridSpan w:val="2"/>
          </w:tcPr>
          <w:p>
            <w:pPr>
              <w:ind w:left="80"/>
              <w:spacing w:after="0"/>
              <w:rPr>
                <w:sz w:val="20"/>
                <w:szCs w:val="20"/>
                <w:color w:val="auto"/>
              </w:rPr>
            </w:pPr>
            <w:r>
              <w:rPr>
                <w:rFonts w:ascii="Arial" w:cs="Arial" w:eastAsia="Arial" w:hAnsi="Arial"/>
                <w:sz w:val="20"/>
                <w:szCs w:val="20"/>
                <w:color w:val="auto"/>
                <w:w w:val="89"/>
              </w:rPr>
              <w:t>3020</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Gale Drive</w:t>
            </w:r>
          </w:p>
        </w:tc>
        <w:tc>
          <w:tcPr>
            <w:tcW w:w="16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Hubbard</w:t>
            </w: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OH</w:t>
            </w: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44425</w:t>
            </w:r>
          </w:p>
        </w:tc>
        <w:tc>
          <w:tcPr>
            <w:tcW w:w="18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YRC Inc.</w:t>
            </w:r>
          </w:p>
        </w:tc>
        <w:tc>
          <w:tcPr>
            <w:tcW w:w="19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Jones Lang LaSalle</w:t>
            </w:r>
          </w:p>
        </w:tc>
      </w:tr>
      <w:tr>
        <w:trPr>
          <w:trHeight w:val="222"/>
        </w:trPr>
        <w:tc>
          <w:tcPr>
            <w:tcW w:w="178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r>
      <w:tr>
        <w:trPr>
          <w:trHeight w:val="1620"/>
        </w:trPr>
        <w:tc>
          <w:tcPr>
            <w:tcW w:w="1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20"/>
          <w:szCs w:val="20"/>
          <w:color w:val="auto"/>
        </w:rPr>
        <w:t>Exhibit A to Amendment No. 3</w:t>
      </w:r>
    </w:p>
    <w:p>
      <w:pPr>
        <w:spacing w:after="0" w:line="223"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u w:val="single" w:color="auto"/>
          <w:color w:val="auto"/>
        </w:rPr>
        <w:t>Amended Credit Agreement</w:t>
      </w:r>
    </w:p>
    <w:p>
      <w:pPr>
        <w:spacing w:after="0" w:line="281"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734695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6" w:right="339" w:bottom="1440" w:gutter="0" w:footer="0" w:header="0"/>
        </w:sectPr>
      </w:pPr>
    </w:p>
    <w:bookmarkStart w:id="27" w:name="page28"/>
    <w:bookmarkEnd w:id="27"/>
    <w:p>
      <w:pPr>
        <w:ind w:left="6860"/>
        <w:spacing w:after="0"/>
        <w:rPr>
          <w:sz w:val="20"/>
          <w:szCs w:val="20"/>
          <w:color w:val="auto"/>
        </w:rPr>
      </w:pPr>
      <w:r>
        <w:rPr>
          <w:rFonts w:ascii="Arial" w:cs="Arial" w:eastAsia="Arial" w:hAnsi="Arial"/>
          <w:sz w:val="20"/>
          <w:szCs w:val="20"/>
          <w:b w:val="1"/>
          <w:bCs w:val="1"/>
          <w:color w:val="auto"/>
        </w:rPr>
        <w:t>EXHIBIT A TO AMENDMENT NO. 3</w:t>
      </w:r>
    </w:p>
    <w:p>
      <w:pPr>
        <w:spacing w:after="0" w:line="220"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Amended and Restated Credit Agreement dated as of September 11, 2019 as Conformed Through:</w:t>
      </w:r>
    </w:p>
    <w:p>
      <w:pPr>
        <w:spacing w:after="0" w:line="50"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Amendment No. 1 dated as of April 7, 2020</w:t>
      </w:r>
    </w:p>
    <w:p>
      <w:pPr>
        <w:spacing w:after="0" w:line="32"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Amendment No. 2 dated as of July 7, 2020</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Amendment No. 3 and Limited Waiver dated as of July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AMENDED AND RESTATED CREDIT AGREEMENT</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dated as of</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September 11, 2019</w:t>
      </w: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among</w:t>
      </w:r>
    </w:p>
    <w:p>
      <w:pPr>
        <w:spacing w:after="0" w:line="200" w:lineRule="exact"/>
        <w:rPr>
          <w:sz w:val="20"/>
          <w:szCs w:val="20"/>
          <w:color w:val="auto"/>
        </w:rPr>
      </w:pPr>
    </w:p>
    <w:p>
      <w:pPr>
        <w:spacing w:after="0" w:line="25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YELLOW CORPORATION</w:t>
      </w:r>
    </w:p>
    <w:p>
      <w:pPr>
        <w:spacing w:after="0" w:line="16"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(formerly known as YRC Worldwide Inc.),</w:t>
      </w:r>
    </w:p>
    <w:p>
      <w:pPr>
        <w:spacing w:after="0" w:line="200" w:lineRule="exact"/>
        <w:rPr>
          <w:sz w:val="20"/>
          <w:szCs w:val="20"/>
          <w:color w:val="auto"/>
        </w:rPr>
      </w:pP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OTHER GUARANTORS PARTY HERETO FROM TIME TO TIME</w:t>
      </w:r>
    </w:p>
    <w:p>
      <w:pPr>
        <w:spacing w:after="0" w:line="3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THE LENDERS PARTY HERETO</w:t>
      </w:r>
    </w:p>
    <w:p>
      <w:pPr>
        <w:spacing w:after="0" w:line="200"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ALTER DOMUS PRODUCTS CORP.,</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as Administrative Agent and Collateral Agent</w:t>
      </w:r>
    </w:p>
    <w:p>
      <w:pPr>
        <w:spacing w:after="0" w:line="200" w:lineRule="exact"/>
        <w:rPr>
          <w:sz w:val="20"/>
          <w:szCs w:val="20"/>
          <w:color w:val="auto"/>
        </w:rPr>
      </w:pPr>
    </w:p>
    <w:p>
      <w:pPr>
        <w:spacing w:after="0" w:line="245"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284480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1960880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28" w:name="page29"/>
    <w:bookmarkEnd w:id="28"/>
    <w:p>
      <w:pPr>
        <w:jc w:val="center"/>
        <w:ind w:right="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2111375</wp:posOffset>
            </wp:positionH>
            <wp:positionV relativeFrom="page">
              <wp:posOffset>243205</wp:posOffset>
            </wp:positionV>
            <wp:extent cx="33261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26130" cy="8255"/>
                    </a:xfrm>
                    <a:prstGeom prst="rect">
                      <a:avLst/>
                    </a:prstGeom>
                    <a:noFill/>
                  </pic:spPr>
                </pic:pic>
              </a:graphicData>
            </a:graphic>
          </wp:anchor>
        </w:drawing>
        <w:t>TABLE OF CONTENTS</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w:t>
      </w:r>
      <w:r>
        <w:rPr>
          <w:rFonts w:ascii="Arial" w:cs="Arial" w:eastAsia="Arial" w:hAnsi="Arial"/>
          <w:sz w:val="13"/>
          <w:szCs w:val="13"/>
          <w:u w:val="single" w:color="auto"/>
          <w:color w:val="auto"/>
        </w:rPr>
        <w:t>age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60" w:type="dxa"/>
            <w:vAlign w:val="bottom"/>
          </w:tcPr>
          <w:p>
            <w:pPr>
              <w:ind w:left="700"/>
              <w:spacing w:after="0"/>
              <w:rPr>
                <w:sz w:val="20"/>
                <w:szCs w:val="20"/>
                <w:color w:val="auto"/>
              </w:rPr>
            </w:pPr>
            <w:r>
              <w:rPr>
                <w:rFonts w:ascii="Arial" w:cs="Arial" w:eastAsia="Arial" w:hAnsi="Arial"/>
                <w:sz w:val="20"/>
                <w:szCs w:val="20"/>
                <w:color w:val="auto"/>
              </w:rPr>
              <w:t>D</w:t>
            </w:r>
            <w:r>
              <w:rPr>
                <w:rFonts w:ascii="Arial" w:cs="Arial" w:eastAsia="Arial" w:hAnsi="Arial"/>
                <w:sz w:val="13"/>
                <w:szCs w:val="13"/>
                <w:color w:val="auto"/>
              </w:rPr>
              <w:t>efinitions</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409"/>
        </w:trPr>
        <w:tc>
          <w:tcPr>
            <w:tcW w:w="2640" w:type="dxa"/>
            <w:vAlign w:val="bottom"/>
            <w:gridSpan w:val="2"/>
          </w:tcPr>
          <w:p>
            <w:pPr>
              <w:ind w:left="380"/>
              <w:spacing w:after="0"/>
              <w:rPr>
                <w:sz w:val="20"/>
                <w:szCs w:val="20"/>
                <w:color w:val="auto"/>
              </w:rPr>
            </w:pPr>
            <w:r>
              <w:rPr>
                <w:rFonts w:ascii="Arial" w:cs="Arial" w:eastAsia="Arial" w:hAnsi="Arial"/>
                <w:sz w:val="20"/>
                <w:szCs w:val="20"/>
                <w:color w:val="auto"/>
                <w:w w:val="88"/>
              </w:rPr>
              <w:t>Section 1.01. Defined Terms</w:t>
            </w:r>
          </w:p>
        </w:tc>
        <w:tc>
          <w:tcPr>
            <w:tcW w:w="34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Arial" w:cs="Arial" w:eastAsia="Arial" w:hAnsi="Arial"/>
                <w:sz w:val="20"/>
                <w:szCs w:val="20"/>
                <w:color w:val="auto"/>
              </w:rPr>
              <w:t>1</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9"/>
        </w:trPr>
        <w:tc>
          <w:tcPr>
            <w:tcW w:w="4140" w:type="dxa"/>
            <w:vAlign w:val="bottom"/>
            <w:gridSpan w:val="5"/>
          </w:tcPr>
          <w:p>
            <w:pPr>
              <w:ind w:left="380"/>
              <w:spacing w:after="0"/>
              <w:rPr>
                <w:sz w:val="20"/>
                <w:szCs w:val="20"/>
                <w:color w:val="auto"/>
              </w:rPr>
            </w:pPr>
            <w:r>
              <w:rPr>
                <w:rFonts w:ascii="Arial" w:cs="Arial" w:eastAsia="Arial" w:hAnsi="Arial"/>
                <w:sz w:val="20"/>
                <w:szCs w:val="20"/>
                <w:color w:val="auto"/>
                <w:w w:val="92"/>
              </w:rPr>
              <w:t>Section 1.02. Other Interpretive Provisions 53</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2640" w:type="dxa"/>
            <w:vAlign w:val="bottom"/>
            <w:gridSpan w:val="2"/>
          </w:tcPr>
          <w:p>
            <w:pPr>
              <w:ind w:left="380"/>
              <w:spacing w:after="0"/>
              <w:rPr>
                <w:sz w:val="20"/>
                <w:szCs w:val="20"/>
                <w:color w:val="auto"/>
              </w:rPr>
            </w:pPr>
            <w:r>
              <w:rPr>
                <w:rFonts w:ascii="Arial" w:cs="Arial" w:eastAsia="Arial" w:hAnsi="Arial"/>
                <w:sz w:val="20"/>
                <w:szCs w:val="20"/>
                <w:color w:val="auto"/>
                <w:w w:val="94"/>
              </w:rPr>
              <w:t>Section 1.03. Certifications</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w w:val="89"/>
              </w:rPr>
              <w:t>54</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2980" w:type="dxa"/>
            <w:vAlign w:val="bottom"/>
            <w:gridSpan w:val="3"/>
          </w:tcPr>
          <w:p>
            <w:pPr>
              <w:ind w:left="380"/>
              <w:spacing w:after="0"/>
              <w:rPr>
                <w:sz w:val="20"/>
                <w:szCs w:val="20"/>
                <w:color w:val="auto"/>
              </w:rPr>
            </w:pPr>
            <w:r>
              <w:rPr>
                <w:rFonts w:ascii="Arial" w:cs="Arial" w:eastAsia="Arial" w:hAnsi="Arial"/>
                <w:sz w:val="20"/>
                <w:szCs w:val="20"/>
                <w:color w:val="auto"/>
                <w:w w:val="91"/>
              </w:rPr>
              <w:t>Section 1.04. Accounting Terms</w:t>
            </w:r>
          </w:p>
        </w:tc>
        <w:tc>
          <w:tcPr>
            <w:tcW w:w="420" w:type="dxa"/>
            <w:vAlign w:val="bottom"/>
          </w:tcPr>
          <w:p>
            <w:pPr>
              <w:ind w:left="60"/>
              <w:spacing w:after="0"/>
              <w:rPr>
                <w:sz w:val="20"/>
                <w:szCs w:val="20"/>
                <w:color w:val="auto"/>
              </w:rPr>
            </w:pPr>
            <w:r>
              <w:rPr>
                <w:rFonts w:ascii="Arial" w:cs="Arial" w:eastAsia="Arial" w:hAnsi="Arial"/>
                <w:sz w:val="20"/>
                <w:szCs w:val="20"/>
                <w:color w:val="auto"/>
              </w:rPr>
              <w:t>54</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2260" w:type="dxa"/>
            <w:vAlign w:val="bottom"/>
          </w:tcPr>
          <w:p>
            <w:pPr>
              <w:ind w:left="380"/>
              <w:spacing w:after="0"/>
              <w:rPr>
                <w:sz w:val="20"/>
                <w:szCs w:val="20"/>
                <w:color w:val="auto"/>
              </w:rPr>
            </w:pPr>
            <w:r>
              <w:rPr>
                <w:rFonts w:ascii="Arial" w:cs="Arial" w:eastAsia="Arial" w:hAnsi="Arial"/>
                <w:sz w:val="20"/>
                <w:szCs w:val="20"/>
                <w:color w:val="auto"/>
                <w:w w:val="89"/>
              </w:rPr>
              <w:t>Section 1.05. Rounding</w:t>
            </w:r>
          </w:p>
        </w:tc>
        <w:tc>
          <w:tcPr>
            <w:tcW w:w="38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w w:val="89"/>
              </w:rPr>
              <w:t>55</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4620" w:type="dxa"/>
            <w:vAlign w:val="bottom"/>
            <w:gridSpan w:val="6"/>
          </w:tcPr>
          <w:p>
            <w:pPr>
              <w:ind w:left="380"/>
              <w:spacing w:after="0"/>
              <w:rPr>
                <w:sz w:val="20"/>
                <w:szCs w:val="20"/>
                <w:color w:val="auto"/>
              </w:rPr>
            </w:pPr>
            <w:r>
              <w:rPr>
                <w:rFonts w:ascii="Arial" w:cs="Arial" w:eastAsia="Arial" w:hAnsi="Arial"/>
                <w:sz w:val="20"/>
                <w:szCs w:val="20"/>
                <w:color w:val="auto"/>
                <w:w w:val="92"/>
              </w:rPr>
              <w:t>Section 1.06. References to Agreements, Laws, Etc</w:t>
            </w:r>
          </w:p>
        </w:tc>
        <w:tc>
          <w:tcPr>
            <w:tcW w:w="600" w:type="dxa"/>
            <w:vAlign w:val="bottom"/>
          </w:tcPr>
          <w:p>
            <w:pPr>
              <w:jc w:val="right"/>
              <w:ind w:right="281"/>
              <w:spacing w:after="0"/>
              <w:rPr>
                <w:sz w:val="20"/>
                <w:szCs w:val="20"/>
                <w:color w:val="auto"/>
              </w:rPr>
            </w:pPr>
            <w:r>
              <w:rPr>
                <w:rFonts w:ascii="Arial" w:cs="Arial" w:eastAsia="Arial" w:hAnsi="Arial"/>
                <w:sz w:val="20"/>
                <w:szCs w:val="20"/>
                <w:color w:val="auto"/>
                <w:w w:val="89"/>
              </w:rPr>
              <w:t>55</w:t>
            </w:r>
          </w:p>
        </w:tc>
      </w:tr>
      <w:tr>
        <w:trPr>
          <w:trHeight w:val="229"/>
        </w:trPr>
        <w:tc>
          <w:tcPr>
            <w:tcW w:w="2640" w:type="dxa"/>
            <w:vAlign w:val="bottom"/>
            <w:gridSpan w:val="2"/>
          </w:tcPr>
          <w:p>
            <w:pPr>
              <w:ind w:left="380"/>
              <w:spacing w:after="0"/>
              <w:rPr>
                <w:sz w:val="20"/>
                <w:szCs w:val="20"/>
                <w:color w:val="auto"/>
              </w:rPr>
            </w:pPr>
            <w:r>
              <w:rPr>
                <w:rFonts w:ascii="Arial" w:cs="Arial" w:eastAsia="Arial" w:hAnsi="Arial"/>
                <w:sz w:val="20"/>
                <w:szCs w:val="20"/>
                <w:color w:val="auto"/>
                <w:w w:val="93"/>
              </w:rPr>
              <w:t>Section 1.07. Times of Day</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w w:val="89"/>
              </w:rPr>
              <w:t>55</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4620" w:type="dxa"/>
            <w:vAlign w:val="bottom"/>
            <w:gridSpan w:val="6"/>
          </w:tcPr>
          <w:p>
            <w:pPr>
              <w:ind w:left="380"/>
              <w:spacing w:after="0"/>
              <w:rPr>
                <w:sz w:val="20"/>
                <w:szCs w:val="20"/>
                <w:color w:val="auto"/>
              </w:rPr>
            </w:pPr>
            <w:r>
              <w:rPr>
                <w:rFonts w:ascii="Arial" w:cs="Arial" w:eastAsia="Arial" w:hAnsi="Arial"/>
                <w:sz w:val="20"/>
                <w:szCs w:val="20"/>
                <w:color w:val="auto"/>
                <w:w w:val="97"/>
              </w:rPr>
              <w:t>Section 1.08. Timing of Payment or Performance</w:t>
            </w:r>
          </w:p>
        </w:tc>
        <w:tc>
          <w:tcPr>
            <w:tcW w:w="600" w:type="dxa"/>
            <w:vAlign w:val="bottom"/>
          </w:tcPr>
          <w:p>
            <w:pPr>
              <w:jc w:val="right"/>
              <w:ind w:right="281"/>
              <w:spacing w:after="0"/>
              <w:rPr>
                <w:sz w:val="20"/>
                <w:szCs w:val="20"/>
                <w:color w:val="auto"/>
              </w:rPr>
            </w:pPr>
            <w:r>
              <w:rPr>
                <w:rFonts w:ascii="Arial" w:cs="Arial" w:eastAsia="Arial" w:hAnsi="Arial"/>
                <w:sz w:val="20"/>
                <w:szCs w:val="20"/>
                <w:color w:val="auto"/>
                <w:w w:val="89"/>
              </w:rPr>
              <w:t>55</w:t>
            </w:r>
          </w:p>
        </w:tc>
      </w:tr>
      <w:tr>
        <w:trPr>
          <w:trHeight w:val="229"/>
        </w:trPr>
        <w:tc>
          <w:tcPr>
            <w:tcW w:w="4140" w:type="dxa"/>
            <w:vAlign w:val="bottom"/>
            <w:gridSpan w:val="5"/>
          </w:tcPr>
          <w:p>
            <w:pPr>
              <w:ind w:left="380"/>
              <w:spacing w:after="0"/>
              <w:rPr>
                <w:sz w:val="20"/>
                <w:szCs w:val="20"/>
                <w:color w:val="auto"/>
              </w:rPr>
            </w:pPr>
            <w:r>
              <w:rPr>
                <w:rFonts w:ascii="Arial" w:cs="Arial" w:eastAsia="Arial" w:hAnsi="Arial"/>
                <w:sz w:val="20"/>
                <w:szCs w:val="20"/>
                <w:color w:val="auto"/>
                <w:w w:val="93"/>
              </w:rPr>
              <w:t>Section 1.09. Cumulative Credit Transactions</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55</w:t>
            </w:r>
          </w:p>
        </w:tc>
        <w:tc>
          <w:tcPr>
            <w:tcW w:w="600" w:type="dxa"/>
            <w:vAlign w:val="bottom"/>
          </w:tcPr>
          <w:p>
            <w:pPr>
              <w:spacing w:after="0"/>
              <w:rPr>
                <w:sz w:val="19"/>
                <w:szCs w:val="19"/>
                <w:color w:val="auto"/>
              </w:rPr>
            </w:pPr>
          </w:p>
        </w:tc>
      </w:tr>
      <w:tr>
        <w:trPr>
          <w:trHeight w:val="229"/>
        </w:trPr>
        <w:tc>
          <w:tcPr>
            <w:tcW w:w="3400" w:type="dxa"/>
            <w:vAlign w:val="bottom"/>
            <w:gridSpan w:val="4"/>
          </w:tcPr>
          <w:p>
            <w:pPr>
              <w:ind w:left="380"/>
              <w:spacing w:after="0"/>
              <w:rPr>
                <w:sz w:val="20"/>
                <w:szCs w:val="20"/>
                <w:color w:val="auto"/>
              </w:rPr>
            </w:pPr>
            <w:r>
              <w:rPr>
                <w:rFonts w:ascii="Arial" w:cs="Arial" w:eastAsia="Arial" w:hAnsi="Arial"/>
                <w:sz w:val="20"/>
                <w:szCs w:val="20"/>
                <w:color w:val="auto"/>
                <w:w w:val="90"/>
              </w:rPr>
              <w:t>Section 1.10. Pro Forma Calculations</w:t>
            </w:r>
          </w:p>
        </w:tc>
        <w:tc>
          <w:tcPr>
            <w:tcW w:w="740" w:type="dxa"/>
            <w:vAlign w:val="bottom"/>
          </w:tcPr>
          <w:p>
            <w:pPr>
              <w:jc w:val="right"/>
              <w:ind w:right="401"/>
              <w:spacing w:after="0"/>
              <w:rPr>
                <w:sz w:val="20"/>
                <w:szCs w:val="20"/>
                <w:color w:val="auto"/>
              </w:rPr>
            </w:pPr>
            <w:r>
              <w:rPr>
                <w:rFonts w:ascii="Arial" w:cs="Arial" w:eastAsia="Arial" w:hAnsi="Arial"/>
                <w:sz w:val="20"/>
                <w:szCs w:val="20"/>
                <w:color w:val="auto"/>
                <w:w w:val="98"/>
              </w:rPr>
              <w:t>55</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4140" w:type="dxa"/>
            <w:vAlign w:val="bottom"/>
            <w:gridSpan w:val="5"/>
          </w:tcPr>
          <w:p>
            <w:pPr>
              <w:ind w:left="380"/>
              <w:spacing w:after="0"/>
              <w:rPr>
                <w:sz w:val="20"/>
                <w:szCs w:val="20"/>
                <w:color w:val="auto"/>
              </w:rPr>
            </w:pPr>
            <w:r>
              <w:rPr>
                <w:rFonts w:ascii="Arial" w:cs="Arial" w:eastAsia="Arial" w:hAnsi="Arial"/>
                <w:sz w:val="20"/>
                <w:szCs w:val="20"/>
                <w:color w:val="auto"/>
                <w:w w:val="94"/>
              </w:rPr>
              <w:t>Section 1.11. Certain Accounting Matters  57</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4620" w:type="dxa"/>
            <w:vAlign w:val="bottom"/>
            <w:gridSpan w:val="6"/>
          </w:tcPr>
          <w:p>
            <w:pPr>
              <w:ind w:left="380"/>
              <w:spacing w:after="0"/>
              <w:rPr>
                <w:sz w:val="20"/>
                <w:szCs w:val="20"/>
                <w:color w:val="auto"/>
              </w:rPr>
            </w:pPr>
            <w:r>
              <w:rPr>
                <w:rFonts w:ascii="Arial" w:cs="Arial" w:eastAsia="Arial" w:hAnsi="Arial"/>
                <w:sz w:val="20"/>
                <w:szCs w:val="20"/>
                <w:color w:val="auto"/>
                <w:w w:val="90"/>
              </w:rPr>
              <w:t>Section 1.12. Classification of Loans and Borrowings</w:t>
            </w:r>
          </w:p>
        </w:tc>
        <w:tc>
          <w:tcPr>
            <w:tcW w:w="60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30"/>
        </w:trPr>
        <w:tc>
          <w:tcPr>
            <w:tcW w:w="4140" w:type="dxa"/>
            <w:vAlign w:val="bottom"/>
            <w:gridSpan w:val="5"/>
          </w:tcPr>
          <w:p>
            <w:pPr>
              <w:ind w:left="380"/>
              <w:spacing w:after="0"/>
              <w:rPr>
                <w:sz w:val="20"/>
                <w:szCs w:val="20"/>
                <w:color w:val="auto"/>
              </w:rPr>
            </w:pPr>
            <w:r>
              <w:rPr>
                <w:rFonts w:ascii="Arial" w:cs="Arial" w:eastAsia="Arial" w:hAnsi="Arial"/>
                <w:sz w:val="20"/>
                <w:szCs w:val="20"/>
                <w:color w:val="auto"/>
                <w:w w:val="92"/>
              </w:rPr>
              <w:t>Section 1.13. Currency Equivalents Generally</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57</w:t>
            </w:r>
          </w:p>
        </w:tc>
        <w:tc>
          <w:tcPr>
            <w:tcW w:w="600" w:type="dxa"/>
            <w:vAlign w:val="bottom"/>
          </w:tcPr>
          <w:p>
            <w:pPr>
              <w:spacing w:after="0"/>
              <w:rPr>
                <w:sz w:val="19"/>
                <w:szCs w:val="19"/>
                <w:color w:val="auto"/>
              </w:rPr>
            </w:pPr>
          </w:p>
        </w:tc>
      </w:tr>
      <w:tr>
        <w:trPr>
          <w:trHeight w:val="229"/>
        </w:trPr>
        <w:tc>
          <w:tcPr>
            <w:tcW w:w="5220" w:type="dxa"/>
            <w:vAlign w:val="bottom"/>
            <w:gridSpan w:val="7"/>
          </w:tcPr>
          <w:p>
            <w:pPr>
              <w:ind w:left="380"/>
              <w:spacing w:after="0"/>
              <w:rPr>
                <w:sz w:val="20"/>
                <w:szCs w:val="20"/>
                <w:color w:val="auto"/>
              </w:rPr>
            </w:pPr>
            <w:r>
              <w:rPr>
                <w:rFonts w:ascii="Arial" w:cs="Arial" w:eastAsia="Arial" w:hAnsi="Arial"/>
                <w:sz w:val="20"/>
                <w:szCs w:val="20"/>
                <w:color w:val="auto"/>
                <w:w w:val="97"/>
              </w:rPr>
              <w:t>Section 1.14. Effect of Amendment and Restatement 58</w:t>
            </w:r>
          </w:p>
        </w:tc>
      </w:tr>
      <w:tr>
        <w:trPr>
          <w:trHeight w:val="229"/>
        </w:trPr>
        <w:tc>
          <w:tcPr>
            <w:tcW w:w="2260" w:type="dxa"/>
            <w:vAlign w:val="bottom"/>
          </w:tcPr>
          <w:p>
            <w:pPr>
              <w:spacing w:after="0"/>
              <w:rPr>
                <w:sz w:val="20"/>
                <w:szCs w:val="20"/>
                <w:color w:val="auto"/>
              </w:rPr>
            </w:pPr>
            <w:r>
              <w:rPr>
                <w:rFonts w:ascii="Arial" w:cs="Arial" w:eastAsia="Arial" w:hAnsi="Arial"/>
                <w:sz w:val="20"/>
                <w:szCs w:val="20"/>
                <w:color w:val="auto"/>
              </w:rPr>
              <w:t>ARTICLE 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50"/>
        </w:trPr>
        <w:tc>
          <w:tcPr>
            <w:tcW w:w="2260" w:type="dxa"/>
            <w:vAlign w:val="bottom"/>
          </w:tcPr>
          <w:p>
            <w:pPr>
              <w:ind w:left="700"/>
              <w:spacing w:after="0"/>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he</w:t>
            </w:r>
            <w:r>
              <w:rPr>
                <w:rFonts w:ascii="Arial" w:cs="Arial" w:eastAsia="Arial" w:hAnsi="Arial"/>
                <w:sz w:val="20"/>
                <w:szCs w:val="20"/>
                <w:color w:val="auto"/>
              </w:rPr>
              <w:t xml:space="preserve"> C</w:t>
            </w:r>
            <w:r>
              <w:rPr>
                <w:rFonts w:ascii="Arial" w:cs="Arial" w:eastAsia="Arial" w:hAnsi="Arial"/>
                <w:sz w:val="13"/>
                <w:szCs w:val="13"/>
                <w:color w:val="auto"/>
              </w:rPr>
              <w:t>redits</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425"/>
        </w:trPr>
        <w:tc>
          <w:tcPr>
            <w:tcW w:w="5220" w:type="dxa"/>
            <w:vAlign w:val="bottom"/>
            <w:gridSpan w:val="7"/>
          </w:tcPr>
          <w:p>
            <w:pPr>
              <w:ind w:left="380"/>
              <w:spacing w:after="0"/>
              <w:rPr>
                <w:sz w:val="20"/>
                <w:szCs w:val="20"/>
                <w:color w:val="auto"/>
              </w:rPr>
            </w:pPr>
            <w:r>
              <w:rPr>
                <w:rFonts w:ascii="Arial" w:cs="Arial" w:eastAsia="Arial" w:hAnsi="Arial"/>
                <w:sz w:val="20"/>
                <w:szCs w:val="20"/>
                <w:color w:val="auto"/>
                <w:w w:val="98"/>
              </w:rPr>
              <w:t>Section 2.01. Tranche B-2 Term Loan Commitments 58</w:t>
            </w:r>
          </w:p>
        </w:tc>
      </w:tr>
      <w:tr>
        <w:trPr>
          <w:trHeight w:val="230"/>
        </w:trPr>
        <w:tc>
          <w:tcPr>
            <w:tcW w:w="2260" w:type="dxa"/>
            <w:vAlign w:val="bottom"/>
          </w:tcPr>
          <w:p>
            <w:pPr>
              <w:ind w:left="380"/>
              <w:spacing w:after="0"/>
              <w:rPr>
                <w:sz w:val="20"/>
                <w:szCs w:val="20"/>
                <w:color w:val="auto"/>
              </w:rPr>
            </w:pPr>
            <w:r>
              <w:rPr>
                <w:rFonts w:ascii="Arial" w:cs="Arial" w:eastAsia="Arial" w:hAnsi="Arial"/>
                <w:sz w:val="20"/>
                <w:szCs w:val="20"/>
                <w:color w:val="auto"/>
              </w:rPr>
              <w:t>Section 2.02. Loans</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w w:val="80"/>
              </w:rPr>
              <w:t>58</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3400" w:type="dxa"/>
            <w:vAlign w:val="bottom"/>
            <w:gridSpan w:val="4"/>
          </w:tcPr>
          <w:p>
            <w:pPr>
              <w:ind w:left="380"/>
              <w:spacing w:after="0"/>
              <w:rPr>
                <w:sz w:val="20"/>
                <w:szCs w:val="20"/>
                <w:color w:val="auto"/>
              </w:rPr>
            </w:pPr>
            <w:r>
              <w:rPr>
                <w:rFonts w:ascii="Arial" w:cs="Arial" w:eastAsia="Arial" w:hAnsi="Arial"/>
                <w:sz w:val="20"/>
                <w:szCs w:val="20"/>
                <w:color w:val="auto"/>
                <w:w w:val="96"/>
              </w:rPr>
              <w:t>Section 2.03. Borrowing Procedure</w:t>
            </w:r>
          </w:p>
        </w:tc>
        <w:tc>
          <w:tcPr>
            <w:tcW w:w="740" w:type="dxa"/>
            <w:vAlign w:val="bottom"/>
          </w:tcPr>
          <w:p>
            <w:pPr>
              <w:jc w:val="right"/>
              <w:ind w:right="401"/>
              <w:spacing w:after="0"/>
              <w:rPr>
                <w:sz w:val="20"/>
                <w:szCs w:val="20"/>
                <w:color w:val="auto"/>
              </w:rPr>
            </w:pPr>
            <w:r>
              <w:rPr>
                <w:rFonts w:ascii="Arial" w:cs="Arial" w:eastAsia="Arial" w:hAnsi="Arial"/>
                <w:sz w:val="20"/>
                <w:szCs w:val="20"/>
                <w:color w:val="auto"/>
                <w:w w:val="98"/>
              </w:rPr>
              <w:t>59</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5220" w:type="dxa"/>
            <w:vAlign w:val="bottom"/>
            <w:gridSpan w:val="7"/>
          </w:tcPr>
          <w:p>
            <w:pPr>
              <w:ind w:left="380"/>
              <w:spacing w:after="0"/>
              <w:rPr>
                <w:sz w:val="20"/>
                <w:szCs w:val="20"/>
                <w:color w:val="auto"/>
              </w:rPr>
            </w:pPr>
            <w:r>
              <w:rPr>
                <w:rFonts w:ascii="Arial" w:cs="Arial" w:eastAsia="Arial" w:hAnsi="Arial"/>
                <w:sz w:val="20"/>
                <w:szCs w:val="20"/>
                <w:color w:val="auto"/>
                <w:w w:val="96"/>
              </w:rPr>
              <w:t>Section 2.04. Evidence of Debt; Repayment of Loans 60</w:t>
            </w:r>
          </w:p>
        </w:tc>
      </w:tr>
      <w:tr>
        <w:trPr>
          <w:trHeight w:val="230"/>
        </w:trPr>
        <w:tc>
          <w:tcPr>
            <w:tcW w:w="2260" w:type="dxa"/>
            <w:vAlign w:val="bottom"/>
          </w:tcPr>
          <w:p>
            <w:pPr>
              <w:ind w:left="380"/>
              <w:spacing w:after="0"/>
              <w:rPr>
                <w:sz w:val="20"/>
                <w:szCs w:val="20"/>
                <w:color w:val="auto"/>
              </w:rPr>
            </w:pPr>
            <w:r>
              <w:rPr>
                <w:rFonts w:ascii="Arial" w:cs="Arial" w:eastAsia="Arial" w:hAnsi="Arial"/>
                <w:sz w:val="20"/>
                <w:szCs w:val="20"/>
                <w:color w:val="auto"/>
                <w:w w:val="95"/>
              </w:rPr>
              <w:t>Section 2.05. Fees 61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2980" w:type="dxa"/>
            <w:vAlign w:val="bottom"/>
            <w:gridSpan w:val="3"/>
          </w:tcPr>
          <w:p>
            <w:pPr>
              <w:ind w:left="380"/>
              <w:spacing w:after="0"/>
              <w:rPr>
                <w:sz w:val="20"/>
                <w:szCs w:val="20"/>
                <w:color w:val="auto"/>
              </w:rPr>
            </w:pPr>
            <w:r>
              <w:rPr>
                <w:rFonts w:ascii="Arial" w:cs="Arial" w:eastAsia="Arial" w:hAnsi="Arial"/>
                <w:sz w:val="20"/>
                <w:szCs w:val="20"/>
                <w:color w:val="auto"/>
                <w:w w:val="93"/>
              </w:rPr>
              <w:t>Section 2.06. Interest on Loans</w:t>
            </w:r>
          </w:p>
        </w:tc>
        <w:tc>
          <w:tcPr>
            <w:tcW w:w="420" w:type="dxa"/>
            <w:vAlign w:val="bottom"/>
          </w:tcPr>
          <w:p>
            <w:pPr>
              <w:ind w:left="60"/>
              <w:spacing w:after="0"/>
              <w:rPr>
                <w:sz w:val="20"/>
                <w:szCs w:val="20"/>
                <w:color w:val="auto"/>
              </w:rPr>
            </w:pPr>
            <w:r>
              <w:rPr>
                <w:rFonts w:ascii="Arial" w:cs="Arial" w:eastAsia="Arial" w:hAnsi="Arial"/>
                <w:sz w:val="20"/>
                <w:szCs w:val="20"/>
                <w:color w:val="auto"/>
              </w:rPr>
              <w:t>61</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45"/>
        </w:trPr>
        <w:tc>
          <w:tcPr>
            <w:tcW w:w="2980" w:type="dxa"/>
            <w:vAlign w:val="bottom"/>
            <w:gridSpan w:val="3"/>
          </w:tcPr>
          <w:p>
            <w:pPr>
              <w:ind w:left="380"/>
              <w:spacing w:after="0"/>
              <w:rPr>
                <w:sz w:val="20"/>
                <w:szCs w:val="20"/>
                <w:color w:val="auto"/>
              </w:rPr>
            </w:pPr>
            <w:r>
              <w:rPr>
                <w:rFonts w:ascii="Arial" w:cs="Arial" w:eastAsia="Arial" w:hAnsi="Arial"/>
                <w:sz w:val="20"/>
                <w:szCs w:val="20"/>
                <w:color w:val="auto"/>
              </w:rPr>
              <w:t>Section 2.07. Default Interest</w:t>
            </w:r>
          </w:p>
        </w:tc>
        <w:tc>
          <w:tcPr>
            <w:tcW w:w="420" w:type="dxa"/>
            <w:vAlign w:val="bottom"/>
          </w:tcPr>
          <w:p>
            <w:pPr>
              <w:ind w:left="60"/>
              <w:spacing w:after="0"/>
              <w:rPr>
                <w:sz w:val="20"/>
                <w:szCs w:val="20"/>
                <w:color w:val="auto"/>
              </w:rPr>
            </w:pPr>
            <w:r>
              <w:rPr>
                <w:rFonts w:ascii="Arial" w:cs="Arial" w:eastAsia="Arial" w:hAnsi="Arial"/>
                <w:sz w:val="20"/>
                <w:szCs w:val="20"/>
                <w:color w:val="auto"/>
              </w:rPr>
              <w:t>62</w:t>
            </w: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00" w:type="dxa"/>
            <w:vAlign w:val="bottom"/>
          </w:tcPr>
          <w:p>
            <w:pPr>
              <w:ind w:left="380"/>
              <w:spacing w:after="0" w:line="213" w:lineRule="exact"/>
              <w:rPr>
                <w:sz w:val="20"/>
                <w:szCs w:val="20"/>
                <w:color w:val="auto"/>
              </w:rPr>
            </w:pPr>
            <w:r>
              <w:rPr>
                <w:rFonts w:ascii="Arial" w:cs="Arial" w:eastAsia="Arial" w:hAnsi="Arial"/>
                <w:sz w:val="20"/>
                <w:szCs w:val="20"/>
                <w:color w:val="auto"/>
                <w:w w:val="89"/>
              </w:rPr>
              <w:t>Section</w:t>
            </w:r>
          </w:p>
        </w:tc>
        <w:tc>
          <w:tcPr>
            <w:tcW w:w="2740" w:type="dxa"/>
            <w:vAlign w:val="bottom"/>
            <w:gridSpan w:val="3"/>
          </w:tcPr>
          <w:p>
            <w:pPr>
              <w:ind w:left="20"/>
              <w:spacing w:after="0" w:line="213" w:lineRule="exact"/>
              <w:rPr>
                <w:sz w:val="20"/>
                <w:szCs w:val="20"/>
                <w:color w:val="auto"/>
              </w:rPr>
            </w:pPr>
            <w:r>
              <w:rPr>
                <w:rFonts w:ascii="Arial" w:cs="Arial" w:eastAsia="Arial" w:hAnsi="Arial"/>
                <w:sz w:val="20"/>
                <w:szCs w:val="20"/>
                <w:color w:val="auto"/>
                <w:w w:val="99"/>
              </w:rPr>
              <w:t>2.08. Alternate Rate of Interest</w:t>
            </w:r>
          </w:p>
        </w:tc>
        <w:tc>
          <w:tcPr>
            <w:tcW w:w="1580" w:type="dxa"/>
            <w:vAlign w:val="bottom"/>
          </w:tcPr>
          <w:p>
            <w:pPr>
              <w:jc w:val="right"/>
              <w:ind w:right="1181"/>
              <w:spacing w:after="0" w:line="213" w:lineRule="exact"/>
              <w:rPr>
                <w:sz w:val="20"/>
                <w:szCs w:val="20"/>
                <w:color w:val="auto"/>
              </w:rPr>
            </w:pPr>
            <w:r>
              <w:rPr>
                <w:rFonts w:ascii="Arial" w:cs="Arial" w:eastAsia="Arial" w:hAnsi="Arial"/>
                <w:sz w:val="20"/>
                <w:szCs w:val="20"/>
                <w:color w:val="auto"/>
              </w:rPr>
              <w:t>62</w:t>
            </w:r>
          </w:p>
        </w:tc>
        <w:tc>
          <w:tcPr>
            <w:tcW w:w="300" w:type="dxa"/>
            <w:vAlign w:val="bottom"/>
          </w:tcPr>
          <w:p>
            <w:pPr>
              <w:spacing w:after="0"/>
              <w:rPr>
                <w:sz w:val="18"/>
                <w:szCs w:val="18"/>
                <w:color w:val="auto"/>
              </w:rPr>
            </w:pPr>
          </w:p>
        </w:tc>
      </w:tr>
      <w:tr>
        <w:trPr>
          <w:trHeight w:val="230"/>
        </w:trPr>
        <w:tc>
          <w:tcPr>
            <w:tcW w:w="1000" w:type="dxa"/>
            <w:vAlign w:val="bottom"/>
          </w:tcPr>
          <w:p>
            <w:pPr>
              <w:ind w:left="380"/>
              <w:spacing w:after="0"/>
              <w:rPr>
                <w:sz w:val="20"/>
                <w:szCs w:val="20"/>
                <w:color w:val="auto"/>
              </w:rPr>
            </w:pPr>
            <w:r>
              <w:rPr>
                <w:rFonts w:ascii="Arial" w:cs="Arial" w:eastAsia="Arial" w:hAnsi="Arial"/>
                <w:sz w:val="20"/>
                <w:szCs w:val="20"/>
                <w:color w:val="auto"/>
                <w:w w:val="89"/>
              </w:rPr>
              <w:t>Section</w:t>
            </w:r>
          </w:p>
        </w:tc>
        <w:tc>
          <w:tcPr>
            <w:tcW w:w="4320" w:type="dxa"/>
            <w:vAlign w:val="bottom"/>
            <w:gridSpan w:val="4"/>
          </w:tcPr>
          <w:p>
            <w:pPr>
              <w:ind w:left="20"/>
              <w:spacing w:after="0"/>
              <w:rPr>
                <w:sz w:val="20"/>
                <w:szCs w:val="20"/>
                <w:color w:val="auto"/>
              </w:rPr>
            </w:pPr>
            <w:r>
              <w:rPr>
                <w:rFonts w:ascii="Arial" w:cs="Arial" w:eastAsia="Arial" w:hAnsi="Arial"/>
                <w:sz w:val="20"/>
                <w:szCs w:val="20"/>
                <w:color w:val="auto"/>
                <w:w w:val="96"/>
              </w:rPr>
              <w:t>2.09. Termination and Reduction of Commitments</w:t>
            </w:r>
          </w:p>
        </w:tc>
        <w:tc>
          <w:tcPr>
            <w:tcW w:w="3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0"/>
        </w:trPr>
        <w:tc>
          <w:tcPr>
            <w:tcW w:w="1000" w:type="dxa"/>
            <w:vAlign w:val="bottom"/>
          </w:tcPr>
          <w:p>
            <w:pPr>
              <w:ind w:left="380"/>
              <w:spacing w:after="0"/>
              <w:rPr>
                <w:sz w:val="20"/>
                <w:szCs w:val="20"/>
                <w:color w:val="auto"/>
              </w:rPr>
            </w:pPr>
            <w:r>
              <w:rPr>
                <w:rFonts w:ascii="Arial" w:cs="Arial" w:eastAsia="Arial" w:hAnsi="Arial"/>
                <w:sz w:val="20"/>
                <w:szCs w:val="20"/>
                <w:color w:val="auto"/>
                <w:w w:val="89"/>
              </w:rPr>
              <w:t>Section</w:t>
            </w:r>
          </w:p>
        </w:tc>
        <w:tc>
          <w:tcPr>
            <w:tcW w:w="4320" w:type="dxa"/>
            <w:vAlign w:val="bottom"/>
            <w:gridSpan w:val="4"/>
          </w:tcPr>
          <w:p>
            <w:pPr>
              <w:ind w:left="20"/>
              <w:spacing w:after="0"/>
              <w:rPr>
                <w:sz w:val="20"/>
                <w:szCs w:val="20"/>
                <w:color w:val="auto"/>
              </w:rPr>
            </w:pPr>
            <w:r>
              <w:rPr>
                <w:rFonts w:ascii="Arial" w:cs="Arial" w:eastAsia="Arial" w:hAnsi="Arial"/>
                <w:sz w:val="20"/>
                <w:szCs w:val="20"/>
                <w:color w:val="auto"/>
                <w:w w:val="92"/>
              </w:rPr>
              <w:t>2.10. Conversion and Continuation of Borrowings 63</w:t>
            </w:r>
          </w:p>
        </w:tc>
        <w:tc>
          <w:tcPr>
            <w:tcW w:w="300" w:type="dxa"/>
            <w:vAlign w:val="bottom"/>
          </w:tcPr>
          <w:p>
            <w:pPr>
              <w:spacing w:after="0"/>
              <w:rPr>
                <w:sz w:val="19"/>
                <w:szCs w:val="19"/>
                <w:color w:val="auto"/>
              </w:rPr>
            </w:pPr>
          </w:p>
        </w:tc>
      </w:tr>
      <w:tr>
        <w:trPr>
          <w:trHeight w:val="230"/>
        </w:trPr>
        <w:tc>
          <w:tcPr>
            <w:tcW w:w="1000" w:type="dxa"/>
            <w:vAlign w:val="bottom"/>
          </w:tcPr>
          <w:p>
            <w:pPr>
              <w:ind w:left="380"/>
              <w:spacing w:after="0"/>
              <w:rPr>
                <w:sz w:val="20"/>
                <w:szCs w:val="20"/>
                <w:color w:val="auto"/>
              </w:rPr>
            </w:pPr>
            <w:r>
              <w:rPr>
                <w:rFonts w:ascii="Arial" w:cs="Arial" w:eastAsia="Arial" w:hAnsi="Arial"/>
                <w:sz w:val="20"/>
                <w:szCs w:val="20"/>
                <w:color w:val="auto"/>
                <w:w w:val="89"/>
              </w:rPr>
              <w:t>Section</w:t>
            </w:r>
          </w:p>
        </w:tc>
        <w:tc>
          <w:tcPr>
            <w:tcW w:w="4320" w:type="dxa"/>
            <w:vAlign w:val="bottom"/>
            <w:gridSpan w:val="4"/>
          </w:tcPr>
          <w:p>
            <w:pPr>
              <w:ind w:left="20"/>
              <w:spacing w:after="0"/>
              <w:rPr>
                <w:sz w:val="20"/>
                <w:szCs w:val="20"/>
                <w:color w:val="auto"/>
              </w:rPr>
            </w:pPr>
            <w:r>
              <w:rPr>
                <w:rFonts w:ascii="Arial" w:cs="Arial" w:eastAsia="Arial" w:hAnsi="Arial"/>
                <w:sz w:val="20"/>
                <w:szCs w:val="20"/>
                <w:color w:val="auto"/>
              </w:rPr>
              <w:t>2.11. Repayment of Term Borrowings  64</w:t>
            </w:r>
          </w:p>
        </w:tc>
        <w:tc>
          <w:tcPr>
            <w:tcW w:w="300" w:type="dxa"/>
            <w:vAlign w:val="bottom"/>
          </w:tcPr>
          <w:p>
            <w:pPr>
              <w:spacing w:after="0"/>
              <w:rPr>
                <w:sz w:val="19"/>
                <w:szCs w:val="19"/>
                <w:color w:val="auto"/>
              </w:rPr>
            </w:pPr>
          </w:p>
        </w:tc>
      </w:tr>
      <w:tr>
        <w:trPr>
          <w:trHeight w:val="229"/>
        </w:trPr>
        <w:tc>
          <w:tcPr>
            <w:tcW w:w="1000" w:type="dxa"/>
            <w:vAlign w:val="bottom"/>
          </w:tcPr>
          <w:p>
            <w:pPr>
              <w:ind w:left="380"/>
              <w:spacing w:after="0"/>
              <w:rPr>
                <w:sz w:val="20"/>
                <w:szCs w:val="20"/>
                <w:color w:val="auto"/>
              </w:rPr>
            </w:pPr>
            <w:r>
              <w:rPr>
                <w:rFonts w:ascii="Arial" w:cs="Arial" w:eastAsia="Arial" w:hAnsi="Arial"/>
                <w:sz w:val="20"/>
                <w:szCs w:val="20"/>
                <w:color w:val="auto"/>
                <w:w w:val="89"/>
              </w:rPr>
              <w:t>Section</w:t>
            </w:r>
          </w:p>
        </w:tc>
        <w:tc>
          <w:tcPr>
            <w:tcW w:w="2740" w:type="dxa"/>
            <w:vAlign w:val="bottom"/>
            <w:gridSpan w:val="3"/>
          </w:tcPr>
          <w:p>
            <w:pPr>
              <w:ind w:left="20"/>
              <w:spacing w:after="0"/>
              <w:rPr>
                <w:sz w:val="20"/>
                <w:szCs w:val="20"/>
                <w:color w:val="auto"/>
              </w:rPr>
            </w:pPr>
            <w:r>
              <w:rPr>
                <w:rFonts w:ascii="Arial" w:cs="Arial" w:eastAsia="Arial" w:hAnsi="Arial"/>
                <w:sz w:val="20"/>
                <w:szCs w:val="20"/>
                <w:color w:val="auto"/>
                <w:w w:val="95"/>
              </w:rPr>
              <w:t>2.12. Voluntary Prepayment  65</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000" w:type="dxa"/>
            <w:vAlign w:val="bottom"/>
          </w:tcPr>
          <w:p>
            <w:pPr>
              <w:ind w:left="380"/>
              <w:spacing w:after="0"/>
              <w:rPr>
                <w:sz w:val="20"/>
                <w:szCs w:val="20"/>
                <w:color w:val="auto"/>
              </w:rPr>
            </w:pPr>
            <w:r>
              <w:rPr>
                <w:rFonts w:ascii="Arial" w:cs="Arial" w:eastAsia="Arial" w:hAnsi="Arial"/>
                <w:sz w:val="20"/>
                <w:szCs w:val="20"/>
                <w:color w:val="auto"/>
                <w:w w:val="89"/>
              </w:rPr>
              <w:t>Section</w:t>
            </w:r>
          </w:p>
        </w:tc>
        <w:tc>
          <w:tcPr>
            <w:tcW w:w="2740" w:type="dxa"/>
            <w:vAlign w:val="bottom"/>
            <w:gridSpan w:val="3"/>
          </w:tcPr>
          <w:p>
            <w:pPr>
              <w:ind w:left="20"/>
              <w:spacing w:after="0"/>
              <w:rPr>
                <w:sz w:val="20"/>
                <w:szCs w:val="20"/>
                <w:color w:val="auto"/>
              </w:rPr>
            </w:pPr>
            <w:r>
              <w:rPr>
                <w:rFonts w:ascii="Arial" w:cs="Arial" w:eastAsia="Arial" w:hAnsi="Arial"/>
                <w:sz w:val="20"/>
                <w:szCs w:val="20"/>
                <w:color w:val="auto"/>
                <w:w w:val="91"/>
              </w:rPr>
              <w:t>2.13. Mandatory Prepayments 66</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000" w:type="dxa"/>
            <w:vAlign w:val="bottom"/>
          </w:tcPr>
          <w:p>
            <w:pPr>
              <w:ind w:left="380"/>
              <w:spacing w:after="0"/>
              <w:rPr>
                <w:sz w:val="20"/>
                <w:szCs w:val="20"/>
                <w:color w:val="auto"/>
              </w:rPr>
            </w:pPr>
            <w:r>
              <w:rPr>
                <w:rFonts w:ascii="Arial" w:cs="Arial" w:eastAsia="Arial" w:hAnsi="Arial"/>
                <w:sz w:val="20"/>
                <w:szCs w:val="20"/>
                <w:color w:val="auto"/>
                <w:w w:val="89"/>
              </w:rPr>
              <w:t>Section</w:t>
            </w:r>
          </w:p>
        </w:tc>
        <w:tc>
          <w:tcPr>
            <w:tcW w:w="2740" w:type="dxa"/>
            <w:vAlign w:val="bottom"/>
            <w:gridSpan w:val="3"/>
          </w:tcPr>
          <w:p>
            <w:pPr>
              <w:ind w:left="20"/>
              <w:spacing w:after="0"/>
              <w:rPr>
                <w:sz w:val="20"/>
                <w:szCs w:val="20"/>
                <w:color w:val="auto"/>
              </w:rPr>
            </w:pPr>
            <w:r>
              <w:rPr>
                <w:rFonts w:ascii="Arial" w:cs="Arial" w:eastAsia="Arial" w:hAnsi="Arial"/>
                <w:sz w:val="20"/>
                <w:szCs w:val="20"/>
                <w:color w:val="auto"/>
              </w:rPr>
              <w:t>2.14. Pro Rata Treatment 69</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000" w:type="dxa"/>
            <w:vAlign w:val="bottom"/>
          </w:tcPr>
          <w:p>
            <w:pPr>
              <w:ind w:left="380"/>
              <w:spacing w:after="0"/>
              <w:rPr>
                <w:sz w:val="20"/>
                <w:szCs w:val="20"/>
                <w:color w:val="auto"/>
              </w:rPr>
            </w:pPr>
            <w:r>
              <w:rPr>
                <w:rFonts w:ascii="Arial" w:cs="Arial" w:eastAsia="Arial" w:hAnsi="Arial"/>
                <w:sz w:val="20"/>
                <w:szCs w:val="20"/>
                <w:color w:val="auto"/>
                <w:w w:val="89"/>
              </w:rPr>
              <w:t>Section</w:t>
            </w:r>
          </w:p>
        </w:tc>
        <w:tc>
          <w:tcPr>
            <w:tcW w:w="2740" w:type="dxa"/>
            <w:vAlign w:val="bottom"/>
            <w:gridSpan w:val="3"/>
          </w:tcPr>
          <w:p>
            <w:pPr>
              <w:ind w:left="20"/>
              <w:spacing w:after="0"/>
              <w:rPr>
                <w:sz w:val="20"/>
                <w:szCs w:val="20"/>
                <w:color w:val="auto"/>
              </w:rPr>
            </w:pPr>
            <w:r>
              <w:rPr>
                <w:rFonts w:ascii="Arial" w:cs="Arial" w:eastAsia="Arial" w:hAnsi="Arial"/>
                <w:sz w:val="20"/>
                <w:szCs w:val="20"/>
                <w:color w:val="auto"/>
              </w:rPr>
              <w:t>2.15. Sharing of Setoffs  70</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000" w:type="dxa"/>
            <w:vAlign w:val="bottom"/>
          </w:tcPr>
          <w:p>
            <w:pPr>
              <w:ind w:left="380"/>
              <w:spacing w:after="0"/>
              <w:rPr>
                <w:sz w:val="20"/>
                <w:szCs w:val="20"/>
                <w:color w:val="auto"/>
              </w:rPr>
            </w:pPr>
            <w:r>
              <w:rPr>
                <w:rFonts w:ascii="Arial" w:cs="Arial" w:eastAsia="Arial" w:hAnsi="Arial"/>
                <w:sz w:val="20"/>
                <w:szCs w:val="20"/>
                <w:color w:val="auto"/>
                <w:w w:val="89"/>
              </w:rPr>
              <w:t>Section</w:t>
            </w:r>
          </w:p>
        </w:tc>
        <w:tc>
          <w:tcPr>
            <w:tcW w:w="1240" w:type="dxa"/>
            <w:vAlign w:val="bottom"/>
          </w:tcPr>
          <w:p>
            <w:pPr>
              <w:ind w:left="20"/>
              <w:spacing w:after="0"/>
              <w:rPr>
                <w:sz w:val="20"/>
                <w:szCs w:val="20"/>
                <w:color w:val="auto"/>
              </w:rPr>
            </w:pPr>
            <w:r>
              <w:rPr>
                <w:rFonts w:ascii="Arial" w:cs="Arial" w:eastAsia="Arial" w:hAnsi="Arial"/>
                <w:sz w:val="20"/>
                <w:szCs w:val="20"/>
                <w:color w:val="auto"/>
                <w:w w:val="86"/>
              </w:rPr>
              <w:t>2.16. Payments</w:t>
            </w:r>
          </w:p>
        </w:tc>
        <w:tc>
          <w:tcPr>
            <w:tcW w:w="320" w:type="dxa"/>
            <w:vAlign w:val="bottom"/>
          </w:tcPr>
          <w:p>
            <w:pPr>
              <w:spacing w:after="0"/>
              <w:rPr>
                <w:sz w:val="19"/>
                <w:szCs w:val="19"/>
                <w:color w:val="auto"/>
              </w:rPr>
            </w:pPr>
          </w:p>
        </w:tc>
        <w:tc>
          <w:tcPr>
            <w:tcW w:w="1180" w:type="dxa"/>
            <w:vAlign w:val="bottom"/>
          </w:tcPr>
          <w:p>
            <w:pPr>
              <w:jc w:val="right"/>
              <w:ind w:right="781"/>
              <w:spacing w:after="0"/>
              <w:rPr>
                <w:sz w:val="20"/>
                <w:szCs w:val="20"/>
                <w:color w:val="auto"/>
              </w:rPr>
            </w:pPr>
            <w:r>
              <w:rPr>
                <w:rFonts w:ascii="Arial" w:cs="Arial" w:eastAsia="Arial" w:hAnsi="Arial"/>
                <w:sz w:val="20"/>
                <w:szCs w:val="20"/>
                <w:color w:val="auto"/>
              </w:rPr>
              <w:t>70</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1000" w:type="dxa"/>
            <w:vAlign w:val="bottom"/>
          </w:tcPr>
          <w:p>
            <w:pPr>
              <w:ind w:left="380"/>
              <w:spacing w:after="0"/>
              <w:rPr>
                <w:sz w:val="20"/>
                <w:szCs w:val="20"/>
                <w:color w:val="auto"/>
              </w:rPr>
            </w:pPr>
            <w:r>
              <w:rPr>
                <w:rFonts w:ascii="Arial" w:cs="Arial" w:eastAsia="Arial" w:hAnsi="Arial"/>
                <w:sz w:val="20"/>
                <w:szCs w:val="20"/>
                <w:color w:val="auto"/>
                <w:w w:val="89"/>
              </w:rPr>
              <w:t>Section</w:t>
            </w:r>
          </w:p>
        </w:tc>
        <w:tc>
          <w:tcPr>
            <w:tcW w:w="1560" w:type="dxa"/>
            <w:vAlign w:val="bottom"/>
            <w:gridSpan w:val="2"/>
          </w:tcPr>
          <w:p>
            <w:pPr>
              <w:ind w:left="20"/>
              <w:spacing w:after="0"/>
              <w:rPr>
                <w:sz w:val="20"/>
                <w:szCs w:val="20"/>
                <w:color w:val="auto"/>
              </w:rPr>
            </w:pPr>
            <w:r>
              <w:rPr>
                <w:rFonts w:ascii="Arial" w:cs="Arial" w:eastAsia="Arial" w:hAnsi="Arial"/>
                <w:sz w:val="20"/>
                <w:szCs w:val="20"/>
                <w:color w:val="auto"/>
              </w:rPr>
              <w:t>2.17. [Reserved]</w:t>
            </w:r>
          </w:p>
        </w:tc>
        <w:tc>
          <w:tcPr>
            <w:tcW w:w="1180" w:type="dxa"/>
            <w:vAlign w:val="bottom"/>
          </w:tcPr>
          <w:p>
            <w:pPr>
              <w:jc w:val="right"/>
              <w:ind w:right="781"/>
              <w:spacing w:after="0"/>
              <w:rPr>
                <w:sz w:val="20"/>
                <w:szCs w:val="20"/>
                <w:color w:val="auto"/>
              </w:rPr>
            </w:pPr>
            <w:r>
              <w:rPr>
                <w:rFonts w:ascii="Arial" w:cs="Arial" w:eastAsia="Arial" w:hAnsi="Arial"/>
                <w:sz w:val="20"/>
                <w:szCs w:val="20"/>
                <w:color w:val="auto"/>
              </w:rPr>
              <w:t>71</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000" w:type="dxa"/>
            <w:vAlign w:val="bottom"/>
          </w:tcPr>
          <w:p>
            <w:pPr>
              <w:ind w:left="380"/>
              <w:spacing w:after="0"/>
              <w:rPr>
                <w:sz w:val="20"/>
                <w:szCs w:val="20"/>
                <w:color w:val="auto"/>
              </w:rPr>
            </w:pPr>
            <w:r>
              <w:rPr>
                <w:rFonts w:ascii="Arial" w:cs="Arial" w:eastAsia="Arial" w:hAnsi="Arial"/>
                <w:sz w:val="20"/>
                <w:szCs w:val="20"/>
                <w:color w:val="auto"/>
                <w:w w:val="89"/>
              </w:rPr>
              <w:t>Section</w:t>
            </w:r>
          </w:p>
        </w:tc>
        <w:tc>
          <w:tcPr>
            <w:tcW w:w="2740" w:type="dxa"/>
            <w:vAlign w:val="bottom"/>
            <w:gridSpan w:val="3"/>
          </w:tcPr>
          <w:p>
            <w:pPr>
              <w:ind w:left="20"/>
              <w:spacing w:after="0"/>
              <w:rPr>
                <w:sz w:val="20"/>
                <w:szCs w:val="20"/>
                <w:color w:val="auto"/>
              </w:rPr>
            </w:pPr>
            <w:r>
              <w:rPr>
                <w:rFonts w:ascii="Arial" w:cs="Arial" w:eastAsia="Arial" w:hAnsi="Arial"/>
                <w:sz w:val="20"/>
                <w:szCs w:val="20"/>
                <w:color w:val="auto"/>
                <w:w w:val="96"/>
              </w:rPr>
              <w:t>2.18. Refinancing Amendments</w:t>
            </w:r>
          </w:p>
        </w:tc>
        <w:tc>
          <w:tcPr>
            <w:tcW w:w="1580" w:type="dxa"/>
            <w:vAlign w:val="bottom"/>
          </w:tcPr>
          <w:p>
            <w:pPr>
              <w:jc w:val="right"/>
              <w:ind w:right="1181"/>
              <w:spacing w:after="0"/>
              <w:rPr>
                <w:sz w:val="20"/>
                <w:szCs w:val="20"/>
                <w:color w:val="auto"/>
              </w:rPr>
            </w:pPr>
            <w:r>
              <w:rPr>
                <w:rFonts w:ascii="Arial" w:cs="Arial" w:eastAsia="Arial" w:hAnsi="Arial"/>
                <w:sz w:val="20"/>
                <w:szCs w:val="20"/>
                <w:color w:val="auto"/>
              </w:rPr>
              <w:t>71</w:t>
            </w:r>
          </w:p>
        </w:tc>
        <w:tc>
          <w:tcPr>
            <w:tcW w:w="300" w:type="dxa"/>
            <w:vAlign w:val="bottom"/>
          </w:tcPr>
          <w:p>
            <w:pPr>
              <w:spacing w:after="0"/>
              <w:rPr>
                <w:sz w:val="19"/>
                <w:szCs w:val="19"/>
                <w:color w:val="auto"/>
              </w:rPr>
            </w:pPr>
          </w:p>
        </w:tc>
      </w:tr>
      <w:tr>
        <w:trPr>
          <w:trHeight w:val="230"/>
        </w:trPr>
        <w:tc>
          <w:tcPr>
            <w:tcW w:w="3740" w:type="dxa"/>
            <w:vAlign w:val="bottom"/>
            <w:gridSpan w:val="4"/>
          </w:tcPr>
          <w:p>
            <w:pPr>
              <w:ind w:left="380"/>
              <w:spacing w:after="0"/>
              <w:rPr>
                <w:sz w:val="20"/>
                <w:szCs w:val="20"/>
                <w:color w:val="auto"/>
              </w:rPr>
            </w:pPr>
            <w:r>
              <w:rPr>
                <w:rFonts w:ascii="Arial" w:cs="Arial" w:eastAsia="Arial" w:hAnsi="Arial"/>
                <w:sz w:val="20"/>
                <w:szCs w:val="20"/>
                <w:color w:val="auto"/>
                <w:w w:val="94"/>
              </w:rPr>
              <w:t>Section 2.19. Extensions of Term Loans</w:t>
            </w:r>
          </w:p>
        </w:tc>
        <w:tc>
          <w:tcPr>
            <w:tcW w:w="1580" w:type="dxa"/>
            <w:vAlign w:val="bottom"/>
          </w:tcPr>
          <w:p>
            <w:pPr>
              <w:jc w:val="right"/>
              <w:ind w:right="1181"/>
              <w:spacing w:after="0"/>
              <w:rPr>
                <w:sz w:val="20"/>
                <w:szCs w:val="20"/>
                <w:color w:val="auto"/>
              </w:rPr>
            </w:pPr>
            <w:r>
              <w:rPr>
                <w:rFonts w:ascii="Arial" w:cs="Arial" w:eastAsia="Arial" w:hAnsi="Arial"/>
                <w:sz w:val="20"/>
                <w:szCs w:val="20"/>
                <w:color w:val="auto"/>
              </w:rPr>
              <w:t>72</w:t>
            </w:r>
          </w:p>
        </w:tc>
        <w:tc>
          <w:tcPr>
            <w:tcW w:w="30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w w:val="96"/>
              </w:rPr>
              <w:t>ARTICLE 3</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0"/>
        </w:trPr>
        <w:tc>
          <w:tcPr>
            <w:tcW w:w="5320" w:type="dxa"/>
            <w:vAlign w:val="bottom"/>
            <w:gridSpan w:val="5"/>
          </w:tcPr>
          <w:p>
            <w:pPr>
              <w:ind w:left="700"/>
              <w:spacing w:after="0"/>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axes</w:t>
            </w:r>
            <w:r>
              <w:rPr>
                <w:rFonts w:ascii="Arial" w:cs="Arial" w:eastAsia="Arial" w:hAnsi="Arial"/>
                <w:sz w:val="20"/>
                <w:szCs w:val="20"/>
                <w:color w:val="auto"/>
              </w:rPr>
              <w:t>, I</w:t>
            </w:r>
            <w:r>
              <w:rPr>
                <w:rFonts w:ascii="Arial" w:cs="Arial" w:eastAsia="Arial" w:hAnsi="Arial"/>
                <w:sz w:val="13"/>
                <w:szCs w:val="13"/>
                <w:color w:val="auto"/>
              </w:rPr>
              <w:t>ncreased</w:t>
            </w:r>
            <w:r>
              <w:rPr>
                <w:rFonts w:ascii="Arial" w:cs="Arial" w:eastAsia="Arial" w:hAnsi="Arial"/>
                <w:sz w:val="20"/>
                <w:szCs w:val="20"/>
                <w:color w:val="auto"/>
              </w:rPr>
              <w:t xml:space="preserve"> C</w:t>
            </w:r>
            <w:r>
              <w:rPr>
                <w:rFonts w:ascii="Arial" w:cs="Arial" w:eastAsia="Arial" w:hAnsi="Arial"/>
                <w:sz w:val="13"/>
                <w:szCs w:val="13"/>
                <w:color w:val="auto"/>
              </w:rPr>
              <w:t>osts</w:t>
            </w:r>
            <w:r>
              <w:rPr>
                <w:rFonts w:ascii="Arial" w:cs="Arial" w:eastAsia="Arial" w:hAnsi="Arial"/>
                <w:sz w:val="20"/>
                <w:szCs w:val="20"/>
                <w:color w:val="auto"/>
              </w:rPr>
              <w:t xml:space="preserve"> P</w:t>
            </w:r>
            <w:r>
              <w:rPr>
                <w:rFonts w:ascii="Arial" w:cs="Arial" w:eastAsia="Arial" w:hAnsi="Arial"/>
                <w:sz w:val="13"/>
                <w:szCs w:val="13"/>
                <w:color w:val="auto"/>
              </w:rPr>
              <w:t>rotection and</w:t>
            </w:r>
            <w:r>
              <w:rPr>
                <w:rFonts w:ascii="Arial" w:cs="Arial" w:eastAsia="Arial" w:hAnsi="Arial"/>
                <w:sz w:val="20"/>
                <w:szCs w:val="20"/>
                <w:color w:val="auto"/>
              </w:rPr>
              <w:t xml:space="preserve"> I</w:t>
            </w:r>
            <w:r>
              <w:rPr>
                <w:rFonts w:ascii="Arial" w:cs="Arial" w:eastAsia="Arial" w:hAnsi="Arial"/>
                <w:sz w:val="13"/>
                <w:szCs w:val="13"/>
                <w:color w:val="auto"/>
              </w:rPr>
              <w:t>llegality</w:t>
            </w:r>
          </w:p>
        </w:tc>
        <w:tc>
          <w:tcPr>
            <w:tcW w:w="300" w:type="dxa"/>
            <w:vAlign w:val="bottom"/>
          </w:tcPr>
          <w:p>
            <w:pPr>
              <w:spacing w:after="0"/>
              <w:rPr>
                <w:sz w:val="21"/>
                <w:szCs w:val="21"/>
                <w:color w:val="auto"/>
              </w:rPr>
            </w:pPr>
          </w:p>
        </w:tc>
      </w:tr>
      <w:tr>
        <w:trPr>
          <w:trHeight w:val="445"/>
        </w:trPr>
        <w:tc>
          <w:tcPr>
            <w:tcW w:w="2240" w:type="dxa"/>
            <w:vAlign w:val="bottom"/>
            <w:gridSpan w:val="2"/>
          </w:tcPr>
          <w:p>
            <w:pPr>
              <w:ind w:left="380"/>
              <w:spacing w:after="0"/>
              <w:rPr>
                <w:sz w:val="20"/>
                <w:szCs w:val="20"/>
                <w:color w:val="auto"/>
              </w:rPr>
            </w:pPr>
            <w:r>
              <w:rPr>
                <w:rFonts w:ascii="Arial" w:cs="Arial" w:eastAsia="Arial" w:hAnsi="Arial"/>
                <w:sz w:val="20"/>
                <w:szCs w:val="20"/>
                <w:color w:val="auto"/>
              </w:rPr>
              <w:t>Section 3.01. Taxes</w:t>
            </w:r>
          </w:p>
        </w:tc>
        <w:tc>
          <w:tcPr>
            <w:tcW w:w="320" w:type="dxa"/>
            <w:vAlign w:val="bottom"/>
          </w:tcPr>
          <w:p>
            <w:pPr>
              <w:jc w:val="right"/>
              <w:ind w:right="1"/>
              <w:spacing w:after="0"/>
              <w:rPr>
                <w:sz w:val="20"/>
                <w:szCs w:val="20"/>
                <w:color w:val="auto"/>
              </w:rPr>
            </w:pPr>
            <w:r>
              <w:rPr>
                <w:rFonts w:ascii="Arial" w:cs="Arial" w:eastAsia="Arial" w:hAnsi="Arial"/>
                <w:sz w:val="20"/>
                <w:szCs w:val="20"/>
                <w:color w:val="auto"/>
                <w:w w:val="89"/>
              </w:rPr>
              <w:t>74</w:t>
            </w:r>
          </w:p>
        </w:tc>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180"/>
          </w:cols>
          <w:pgMar w:left="380" w:top="387" w:right="339" w:bottom="1440" w:gutter="0" w:footer="0" w:header="0"/>
        </w:sectPr>
      </w:pPr>
    </w:p>
    <w:p>
      <w:pPr>
        <w:ind w:left="380"/>
        <w:spacing w:after="0" w:line="234" w:lineRule="auto"/>
        <w:rPr>
          <w:sz w:val="20"/>
          <w:szCs w:val="20"/>
          <w:color w:val="auto"/>
        </w:rPr>
      </w:pPr>
      <w:r>
        <w:rPr>
          <w:rFonts w:ascii="Arial" w:cs="Arial" w:eastAsia="Arial" w:hAnsi="Arial"/>
          <w:sz w:val="20"/>
          <w:szCs w:val="20"/>
          <w:color w:val="auto"/>
        </w:rPr>
        <w:t>Section 3.02. Illegality 78</w:t>
      </w:r>
    </w:p>
    <w:p>
      <w:pPr>
        <w:ind w:left="380"/>
        <w:spacing w:after="0"/>
        <w:rPr>
          <w:sz w:val="20"/>
          <w:szCs w:val="20"/>
          <w:color w:val="auto"/>
        </w:rPr>
      </w:pPr>
      <w:r>
        <w:rPr>
          <w:rFonts w:ascii="Arial" w:cs="Arial" w:eastAsia="Arial" w:hAnsi="Arial"/>
          <w:sz w:val="16"/>
          <w:szCs w:val="16"/>
          <w:color w:val="auto"/>
        </w:rPr>
        <w:t>Section 3.03. Increased Cost and Reduced Return; Capital Adequacy; Reserves on SOFR Loans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78</w:t>
      </w:r>
    </w:p>
    <w:p>
      <w:pPr>
        <w:spacing w:after="0" w:line="57" w:lineRule="exact"/>
        <w:rPr>
          <w:sz w:val="20"/>
          <w:szCs w:val="20"/>
          <w:color w:val="auto"/>
        </w:rPr>
      </w:pPr>
    </w:p>
    <w:p>
      <w:pPr>
        <w:sectPr>
          <w:pgSz w:w="11900" w:h="16838" w:orient="portrait"/>
          <w:cols w:equalWidth="0" w:num="2">
            <w:col w:w="7960" w:space="240"/>
            <w:col w:w="2980"/>
          </w:cols>
          <w:pgMar w:left="380" w:top="387" w:right="339" w:bottom="1440" w:gutter="0" w:footer="0" w:header="0"/>
          <w:type w:val="continuous"/>
        </w:sectPr>
      </w:pPr>
    </w:p>
    <w:tbl>
      <w:tblPr>
        <w:tblLayout w:type="fixed"/>
        <w:tblInd w:w="38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r>
              <w:rPr>
                <w:rFonts w:ascii="Arial" w:cs="Arial" w:eastAsia="Arial" w:hAnsi="Arial"/>
                <w:sz w:val="20"/>
                <w:szCs w:val="20"/>
                <w:color w:val="auto"/>
                <w:w w:val="95"/>
              </w:rPr>
              <w:t>Section 3.04. [Reserved]</w:t>
            </w:r>
          </w:p>
        </w:tc>
        <w:tc>
          <w:tcPr>
            <w:tcW w:w="360" w:type="dxa"/>
            <w:vAlign w:val="bottom"/>
          </w:tcPr>
          <w:p>
            <w:pPr>
              <w:jc w:val="right"/>
              <w:spacing w:after="0"/>
              <w:rPr>
                <w:sz w:val="20"/>
                <w:szCs w:val="20"/>
                <w:color w:val="auto"/>
              </w:rPr>
            </w:pPr>
            <w:r>
              <w:rPr>
                <w:rFonts w:ascii="Arial" w:cs="Arial" w:eastAsia="Arial" w:hAnsi="Arial"/>
                <w:sz w:val="20"/>
                <w:szCs w:val="20"/>
                <w:color w:val="auto"/>
              </w:rPr>
              <w:t>80</w:t>
            </w:r>
          </w:p>
        </w:tc>
      </w:tr>
    </w:tbl>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387"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1000" w:type="dxa"/>
            <w:vAlign w:val="bottom"/>
          </w:tcPr>
          <w:p>
            <w:pPr>
              <w:ind w:left="380"/>
              <w:spacing w:after="0"/>
              <w:rPr>
                <w:sz w:val="20"/>
                <w:szCs w:val="20"/>
                <w:color w:val="auto"/>
              </w:rPr>
            </w:pPr>
            <w:r>
              <w:rPr>
                <w:rFonts w:ascii="Arial" w:cs="Arial" w:eastAsia="Arial" w:hAnsi="Arial"/>
                <w:sz w:val="20"/>
                <w:szCs w:val="20"/>
                <w:color w:val="auto"/>
                <w:w w:val="89"/>
              </w:rPr>
              <w:t>Section</w:t>
            </w:r>
          </w:p>
        </w:tc>
        <w:tc>
          <w:tcPr>
            <w:tcW w:w="5400" w:type="dxa"/>
            <w:vAlign w:val="bottom"/>
            <w:gridSpan w:val="8"/>
          </w:tcPr>
          <w:p>
            <w:pPr>
              <w:jc w:val="right"/>
              <w:ind w:right="281"/>
              <w:spacing w:after="0"/>
              <w:rPr>
                <w:sz w:val="20"/>
                <w:szCs w:val="20"/>
                <w:color w:val="auto"/>
              </w:rPr>
            </w:pPr>
            <w:r>
              <w:rPr>
                <w:rFonts w:ascii="Arial" w:cs="Arial" w:eastAsia="Arial" w:hAnsi="Arial"/>
                <w:sz w:val="20"/>
                <w:szCs w:val="20"/>
                <w:color w:val="auto"/>
                <w:w w:val="91"/>
              </w:rPr>
              <w:t>3.05. Matters Applicable to all Requests for Compensation  80</w:t>
            </w:r>
          </w:p>
        </w:tc>
        <w:tc>
          <w:tcPr>
            <w:tcW w:w="400" w:type="dxa"/>
            <w:vAlign w:val="bottom"/>
          </w:tcPr>
          <w:p>
            <w:pPr>
              <w:spacing w:after="0"/>
              <w:rPr>
                <w:sz w:val="19"/>
                <w:szCs w:val="19"/>
                <w:color w:val="auto"/>
              </w:rPr>
            </w:pPr>
          </w:p>
        </w:tc>
      </w:tr>
      <w:tr>
        <w:trPr>
          <w:trHeight w:val="230"/>
        </w:trPr>
        <w:tc>
          <w:tcPr>
            <w:tcW w:w="1000" w:type="dxa"/>
            <w:vAlign w:val="bottom"/>
          </w:tcPr>
          <w:p>
            <w:pPr>
              <w:ind w:left="380"/>
              <w:spacing w:after="0"/>
              <w:rPr>
                <w:sz w:val="20"/>
                <w:szCs w:val="20"/>
                <w:color w:val="auto"/>
              </w:rPr>
            </w:pPr>
            <w:r>
              <w:rPr>
                <w:rFonts w:ascii="Arial" w:cs="Arial" w:eastAsia="Arial" w:hAnsi="Arial"/>
                <w:sz w:val="20"/>
                <w:szCs w:val="20"/>
                <w:color w:val="auto"/>
                <w:w w:val="89"/>
              </w:rPr>
              <w:t>Section</w:t>
            </w:r>
          </w:p>
        </w:tc>
        <w:tc>
          <w:tcPr>
            <w:tcW w:w="5400" w:type="dxa"/>
            <w:vAlign w:val="bottom"/>
            <w:gridSpan w:val="8"/>
          </w:tcPr>
          <w:p>
            <w:pPr>
              <w:jc w:val="right"/>
              <w:ind w:right="281"/>
              <w:spacing w:after="0"/>
              <w:rPr>
                <w:sz w:val="20"/>
                <w:szCs w:val="20"/>
                <w:color w:val="auto"/>
              </w:rPr>
            </w:pPr>
            <w:r>
              <w:rPr>
                <w:rFonts w:ascii="Arial" w:cs="Arial" w:eastAsia="Arial" w:hAnsi="Arial"/>
                <w:sz w:val="20"/>
                <w:szCs w:val="20"/>
                <w:color w:val="auto"/>
                <w:w w:val="89"/>
              </w:rPr>
              <w:t>3.06. Replacement of Lenders under Certain Circumstances 81</w:t>
            </w:r>
          </w:p>
        </w:tc>
        <w:tc>
          <w:tcPr>
            <w:tcW w:w="400" w:type="dxa"/>
            <w:vAlign w:val="bottom"/>
          </w:tcPr>
          <w:p>
            <w:pPr>
              <w:spacing w:after="0"/>
              <w:rPr>
                <w:sz w:val="19"/>
                <w:szCs w:val="19"/>
                <w:color w:val="auto"/>
              </w:rPr>
            </w:pPr>
          </w:p>
        </w:tc>
      </w:tr>
      <w:tr>
        <w:trPr>
          <w:trHeight w:val="229"/>
        </w:trPr>
        <w:tc>
          <w:tcPr>
            <w:tcW w:w="2240" w:type="dxa"/>
            <w:vAlign w:val="bottom"/>
            <w:gridSpan w:val="2"/>
          </w:tcPr>
          <w:p>
            <w:pPr>
              <w:ind w:left="380"/>
              <w:spacing w:after="0"/>
              <w:rPr>
                <w:sz w:val="20"/>
                <w:szCs w:val="20"/>
                <w:color w:val="auto"/>
              </w:rPr>
            </w:pPr>
            <w:r>
              <w:rPr>
                <w:rFonts w:ascii="Arial" w:cs="Arial" w:eastAsia="Arial" w:hAnsi="Arial"/>
                <w:sz w:val="20"/>
                <w:szCs w:val="20"/>
                <w:color w:val="auto"/>
                <w:w w:val="95"/>
              </w:rPr>
              <w:t>Section 3.07. Survival</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w w:val="89"/>
              </w:rPr>
              <w:t>83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20"/>
                <w:szCs w:val="20"/>
                <w:color w:val="auto"/>
                <w:w w:val="96"/>
              </w:rPr>
              <w:t>ARTICLE 4</w:t>
            </w: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50"/>
        </w:trPr>
        <w:tc>
          <w:tcPr>
            <w:tcW w:w="4200" w:type="dxa"/>
            <w:vAlign w:val="bottom"/>
            <w:gridSpan w:val="7"/>
          </w:tcPr>
          <w:p>
            <w:pPr>
              <w:ind w:left="700"/>
              <w:spacing w:after="0"/>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onditions</w:t>
            </w:r>
            <w:r>
              <w:rPr>
                <w:rFonts w:ascii="Arial" w:cs="Arial" w:eastAsia="Arial" w:hAnsi="Arial"/>
                <w:sz w:val="20"/>
                <w:szCs w:val="20"/>
                <w:color w:val="auto"/>
              </w:rPr>
              <w:t xml:space="preserve"> P</w:t>
            </w:r>
            <w:r>
              <w:rPr>
                <w:rFonts w:ascii="Arial" w:cs="Arial" w:eastAsia="Arial" w:hAnsi="Arial"/>
                <w:sz w:val="13"/>
                <w:szCs w:val="13"/>
                <w:color w:val="auto"/>
              </w:rPr>
              <w:t>recedent to</w:t>
            </w:r>
            <w:r>
              <w:rPr>
                <w:rFonts w:ascii="Arial" w:cs="Arial" w:eastAsia="Arial" w:hAnsi="Arial"/>
                <w:sz w:val="20"/>
                <w:szCs w:val="20"/>
                <w:color w:val="auto"/>
              </w:rPr>
              <w:t xml:space="preserve"> C</w:t>
            </w:r>
            <w:r>
              <w:rPr>
                <w:rFonts w:ascii="Arial" w:cs="Arial" w:eastAsia="Arial" w:hAnsi="Arial"/>
                <w:sz w:val="13"/>
                <w:szCs w:val="13"/>
                <w:color w:val="auto"/>
              </w:rPr>
              <w:t>redit</w:t>
            </w:r>
            <w:r>
              <w:rPr>
                <w:rFonts w:ascii="Arial" w:cs="Arial" w:eastAsia="Arial" w:hAnsi="Arial"/>
                <w:sz w:val="20"/>
                <w:szCs w:val="20"/>
                <w:color w:val="auto"/>
              </w:rPr>
              <w:t xml:space="preserve"> E</w:t>
            </w:r>
            <w:r>
              <w:rPr>
                <w:rFonts w:ascii="Arial" w:cs="Arial" w:eastAsia="Arial" w:hAnsi="Arial"/>
                <w:sz w:val="13"/>
                <w:szCs w:val="13"/>
                <w:color w:val="auto"/>
              </w:rPr>
              <w:t>xtensions</w:t>
            </w:r>
          </w:p>
        </w:tc>
        <w:tc>
          <w:tcPr>
            <w:tcW w:w="1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425"/>
        </w:trPr>
        <w:tc>
          <w:tcPr>
            <w:tcW w:w="3400" w:type="dxa"/>
            <w:vAlign w:val="bottom"/>
            <w:gridSpan w:val="5"/>
          </w:tcPr>
          <w:p>
            <w:pPr>
              <w:ind w:left="380"/>
              <w:spacing w:after="0"/>
              <w:rPr>
                <w:sz w:val="20"/>
                <w:szCs w:val="20"/>
                <w:color w:val="auto"/>
              </w:rPr>
            </w:pPr>
            <w:r>
              <w:rPr>
                <w:rFonts w:ascii="Arial" w:cs="Arial" w:eastAsia="Arial" w:hAnsi="Arial"/>
                <w:sz w:val="20"/>
                <w:szCs w:val="20"/>
                <w:color w:val="auto"/>
                <w:w w:val="97"/>
              </w:rPr>
              <w:t>Section 4.01. All Credit Extensions</w:t>
            </w:r>
          </w:p>
        </w:tc>
        <w:tc>
          <w:tcPr>
            <w:tcW w:w="440" w:type="dxa"/>
            <w:vAlign w:val="bottom"/>
          </w:tcPr>
          <w:p>
            <w:pPr>
              <w:ind w:left="40"/>
              <w:spacing w:after="0"/>
              <w:rPr>
                <w:sz w:val="20"/>
                <w:szCs w:val="20"/>
                <w:color w:val="auto"/>
              </w:rPr>
            </w:pPr>
            <w:r>
              <w:rPr>
                <w:rFonts w:ascii="Arial" w:cs="Arial" w:eastAsia="Arial" w:hAnsi="Arial"/>
                <w:sz w:val="20"/>
                <w:szCs w:val="20"/>
                <w:color w:val="auto"/>
              </w:rPr>
              <w:t>83</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0"/>
        </w:trPr>
        <w:tc>
          <w:tcPr>
            <w:tcW w:w="3400" w:type="dxa"/>
            <w:vAlign w:val="bottom"/>
            <w:gridSpan w:val="5"/>
          </w:tcPr>
          <w:p>
            <w:pPr>
              <w:ind w:left="380"/>
              <w:spacing w:after="0"/>
              <w:rPr>
                <w:sz w:val="20"/>
                <w:szCs w:val="20"/>
                <w:color w:val="auto"/>
              </w:rPr>
            </w:pPr>
            <w:r>
              <w:rPr>
                <w:rFonts w:ascii="Arial" w:cs="Arial" w:eastAsia="Arial" w:hAnsi="Arial"/>
                <w:sz w:val="20"/>
                <w:szCs w:val="20"/>
                <w:color w:val="auto"/>
                <w:w w:val="95"/>
              </w:rPr>
              <w:t>Section 4.02. First Credit Extension</w:t>
            </w:r>
          </w:p>
        </w:tc>
        <w:tc>
          <w:tcPr>
            <w:tcW w:w="440" w:type="dxa"/>
            <w:vAlign w:val="bottom"/>
          </w:tcPr>
          <w:p>
            <w:pPr>
              <w:ind w:left="40"/>
              <w:spacing w:after="0"/>
              <w:rPr>
                <w:sz w:val="20"/>
                <w:szCs w:val="20"/>
                <w:color w:val="auto"/>
              </w:rPr>
            </w:pPr>
            <w:r>
              <w:rPr>
                <w:rFonts w:ascii="Arial" w:cs="Arial" w:eastAsia="Arial" w:hAnsi="Arial"/>
                <w:sz w:val="20"/>
                <w:szCs w:val="20"/>
                <w:color w:val="auto"/>
              </w:rPr>
              <w:t>84</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20"/>
                <w:szCs w:val="20"/>
                <w:color w:val="auto"/>
                <w:w w:val="96"/>
              </w:rPr>
              <w:t>ARTICLE 5</w:t>
            </w: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50"/>
        </w:trPr>
        <w:tc>
          <w:tcPr>
            <w:tcW w:w="3400" w:type="dxa"/>
            <w:vAlign w:val="bottom"/>
            <w:gridSpan w:val="5"/>
          </w:tcPr>
          <w:p>
            <w:pPr>
              <w:ind w:left="700"/>
              <w:spacing w:after="0"/>
              <w:rPr>
                <w:sz w:val="20"/>
                <w:szCs w:val="20"/>
                <w:color w:val="auto"/>
              </w:rPr>
            </w:pPr>
            <w:r>
              <w:rPr>
                <w:rFonts w:ascii="Arial" w:cs="Arial" w:eastAsia="Arial" w:hAnsi="Arial"/>
                <w:sz w:val="20"/>
                <w:szCs w:val="20"/>
                <w:color w:val="auto"/>
              </w:rPr>
              <w:t>R</w:t>
            </w:r>
            <w:r>
              <w:rPr>
                <w:rFonts w:ascii="Arial" w:cs="Arial" w:eastAsia="Arial" w:hAnsi="Arial"/>
                <w:sz w:val="13"/>
                <w:szCs w:val="13"/>
                <w:color w:val="auto"/>
              </w:rPr>
              <w:t>epresentations and</w:t>
            </w:r>
            <w:r>
              <w:rPr>
                <w:rFonts w:ascii="Arial" w:cs="Arial" w:eastAsia="Arial" w:hAnsi="Arial"/>
                <w:sz w:val="20"/>
                <w:szCs w:val="20"/>
                <w:color w:val="auto"/>
              </w:rPr>
              <w:t xml:space="preserve"> W</w:t>
            </w:r>
            <w:r>
              <w:rPr>
                <w:rFonts w:ascii="Arial" w:cs="Arial" w:eastAsia="Arial" w:hAnsi="Arial"/>
                <w:sz w:val="13"/>
                <w:szCs w:val="13"/>
                <w:color w:val="auto"/>
              </w:rPr>
              <w:t>arranties</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425"/>
        </w:trPr>
        <w:tc>
          <w:tcPr>
            <w:tcW w:w="6400" w:type="dxa"/>
            <w:vAlign w:val="bottom"/>
            <w:gridSpan w:val="9"/>
          </w:tcPr>
          <w:p>
            <w:pPr>
              <w:ind w:left="380"/>
              <w:spacing w:after="0"/>
              <w:rPr>
                <w:sz w:val="20"/>
                <w:szCs w:val="20"/>
                <w:color w:val="auto"/>
              </w:rPr>
            </w:pPr>
            <w:r>
              <w:rPr>
                <w:rFonts w:ascii="Arial" w:cs="Arial" w:eastAsia="Arial" w:hAnsi="Arial"/>
                <w:sz w:val="20"/>
                <w:szCs w:val="20"/>
                <w:color w:val="auto"/>
                <w:w w:val="93"/>
              </w:rPr>
              <w:t>Section 5.01. Existence, Qualification and Power; Compliance with Laws</w:t>
            </w:r>
          </w:p>
        </w:tc>
        <w:tc>
          <w:tcPr>
            <w:tcW w:w="40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30"/>
        </w:trPr>
        <w:tc>
          <w:tcPr>
            <w:tcW w:w="4200" w:type="dxa"/>
            <w:vAlign w:val="bottom"/>
            <w:gridSpan w:val="7"/>
          </w:tcPr>
          <w:p>
            <w:pPr>
              <w:ind w:left="380"/>
              <w:spacing w:after="0"/>
              <w:rPr>
                <w:sz w:val="20"/>
                <w:szCs w:val="20"/>
                <w:color w:val="auto"/>
              </w:rPr>
            </w:pPr>
            <w:r>
              <w:rPr>
                <w:rFonts w:ascii="Arial" w:cs="Arial" w:eastAsia="Arial" w:hAnsi="Arial"/>
                <w:sz w:val="20"/>
                <w:szCs w:val="20"/>
                <w:color w:val="auto"/>
                <w:w w:val="93"/>
              </w:rPr>
              <w:t>Section 5.02. Authorization; No Contravention</w:t>
            </w:r>
          </w:p>
        </w:tc>
        <w:tc>
          <w:tcPr>
            <w:tcW w:w="1220" w:type="dxa"/>
            <w:vAlign w:val="bottom"/>
          </w:tcPr>
          <w:p>
            <w:pPr>
              <w:jc w:val="right"/>
              <w:ind w:right="881"/>
              <w:spacing w:after="0"/>
              <w:rPr>
                <w:sz w:val="20"/>
                <w:szCs w:val="20"/>
                <w:color w:val="auto"/>
              </w:rPr>
            </w:pPr>
            <w:r>
              <w:rPr>
                <w:rFonts w:ascii="Arial" w:cs="Arial" w:eastAsia="Arial" w:hAnsi="Arial"/>
                <w:sz w:val="20"/>
                <w:szCs w:val="20"/>
                <w:color w:val="auto"/>
                <w:w w:val="98"/>
              </w:rPr>
              <w:t>87</w:t>
            </w: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5420" w:type="dxa"/>
            <w:vAlign w:val="bottom"/>
            <w:gridSpan w:val="8"/>
          </w:tcPr>
          <w:p>
            <w:pPr>
              <w:ind w:left="380"/>
              <w:spacing w:after="0"/>
              <w:rPr>
                <w:sz w:val="20"/>
                <w:szCs w:val="20"/>
                <w:color w:val="auto"/>
              </w:rPr>
            </w:pPr>
            <w:r>
              <w:rPr>
                <w:rFonts w:ascii="Arial" w:cs="Arial" w:eastAsia="Arial" w:hAnsi="Arial"/>
                <w:sz w:val="20"/>
                <w:szCs w:val="20"/>
                <w:color w:val="auto"/>
                <w:w w:val="96"/>
              </w:rPr>
              <w:t>Section 5.03. Governmental Authorization; Other Consents</w:t>
            </w:r>
          </w:p>
        </w:tc>
        <w:tc>
          <w:tcPr>
            <w:tcW w:w="980" w:type="dxa"/>
            <w:vAlign w:val="bottom"/>
          </w:tcPr>
          <w:p>
            <w:pPr>
              <w:spacing w:after="0"/>
              <w:rPr>
                <w:sz w:val="20"/>
                <w:szCs w:val="20"/>
                <w:color w:val="auto"/>
              </w:rPr>
            </w:pPr>
            <w:r>
              <w:rPr>
                <w:rFonts w:ascii="Arial" w:cs="Arial" w:eastAsia="Arial" w:hAnsi="Arial"/>
                <w:sz w:val="20"/>
                <w:szCs w:val="20"/>
                <w:color w:val="auto"/>
              </w:rPr>
              <w:t>87</w:t>
            </w:r>
          </w:p>
        </w:tc>
        <w:tc>
          <w:tcPr>
            <w:tcW w:w="400" w:type="dxa"/>
            <w:vAlign w:val="bottom"/>
          </w:tcPr>
          <w:p>
            <w:pPr>
              <w:spacing w:after="0"/>
              <w:rPr>
                <w:sz w:val="19"/>
                <w:szCs w:val="19"/>
                <w:color w:val="auto"/>
              </w:rPr>
            </w:pPr>
          </w:p>
        </w:tc>
      </w:tr>
      <w:tr>
        <w:trPr>
          <w:trHeight w:val="229"/>
        </w:trPr>
        <w:tc>
          <w:tcPr>
            <w:tcW w:w="2640" w:type="dxa"/>
            <w:vAlign w:val="bottom"/>
            <w:gridSpan w:val="3"/>
          </w:tcPr>
          <w:p>
            <w:pPr>
              <w:ind w:left="380"/>
              <w:spacing w:after="0"/>
              <w:rPr>
                <w:sz w:val="20"/>
                <w:szCs w:val="20"/>
                <w:color w:val="auto"/>
              </w:rPr>
            </w:pPr>
            <w:r>
              <w:rPr>
                <w:rFonts w:ascii="Arial" w:cs="Arial" w:eastAsia="Arial" w:hAnsi="Arial"/>
                <w:sz w:val="20"/>
                <w:szCs w:val="20"/>
                <w:color w:val="auto"/>
                <w:w w:val="91"/>
              </w:rPr>
              <w:t>Section 5.04. Binding Effect</w:t>
            </w:r>
          </w:p>
        </w:tc>
        <w:tc>
          <w:tcPr>
            <w:tcW w:w="40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20"/>
                <w:szCs w:val="20"/>
                <w:color w:val="auto"/>
              </w:rPr>
              <w:t>87</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5420" w:type="dxa"/>
            <w:vAlign w:val="bottom"/>
            <w:gridSpan w:val="8"/>
          </w:tcPr>
          <w:p>
            <w:pPr>
              <w:ind w:left="380"/>
              <w:spacing w:after="0"/>
              <w:rPr>
                <w:sz w:val="20"/>
                <w:szCs w:val="20"/>
                <w:color w:val="auto"/>
              </w:rPr>
            </w:pPr>
            <w:r>
              <w:rPr>
                <w:rFonts w:ascii="Arial" w:cs="Arial" w:eastAsia="Arial" w:hAnsi="Arial"/>
                <w:sz w:val="20"/>
                <w:szCs w:val="20"/>
                <w:color w:val="auto"/>
                <w:w w:val="89"/>
              </w:rPr>
              <w:t>Section 5.05. Financial Statements; No Material Adverse Effect</w:t>
            </w:r>
          </w:p>
        </w:tc>
        <w:tc>
          <w:tcPr>
            <w:tcW w:w="980" w:type="dxa"/>
            <w:vAlign w:val="bottom"/>
          </w:tcPr>
          <w:p>
            <w:pPr>
              <w:jc w:val="right"/>
              <w:ind w:right="281"/>
              <w:spacing w:after="0"/>
              <w:rPr>
                <w:sz w:val="20"/>
                <w:szCs w:val="20"/>
                <w:color w:val="auto"/>
              </w:rPr>
            </w:pPr>
            <w:r>
              <w:rPr>
                <w:rFonts w:ascii="Arial" w:cs="Arial" w:eastAsia="Arial" w:hAnsi="Arial"/>
                <w:sz w:val="20"/>
                <w:szCs w:val="20"/>
                <w:color w:val="auto"/>
              </w:rPr>
              <w:t>87</w:t>
            </w:r>
          </w:p>
        </w:tc>
        <w:tc>
          <w:tcPr>
            <w:tcW w:w="400" w:type="dxa"/>
            <w:vAlign w:val="bottom"/>
          </w:tcPr>
          <w:p>
            <w:pPr>
              <w:spacing w:after="0"/>
              <w:rPr>
                <w:sz w:val="19"/>
                <w:szCs w:val="19"/>
                <w:color w:val="auto"/>
              </w:rPr>
            </w:pPr>
          </w:p>
        </w:tc>
      </w:tr>
      <w:tr>
        <w:trPr>
          <w:trHeight w:val="229"/>
        </w:trPr>
        <w:tc>
          <w:tcPr>
            <w:tcW w:w="3400" w:type="dxa"/>
            <w:vAlign w:val="bottom"/>
            <w:gridSpan w:val="5"/>
          </w:tcPr>
          <w:p>
            <w:pPr>
              <w:ind w:left="380"/>
              <w:spacing w:after="0"/>
              <w:rPr>
                <w:sz w:val="20"/>
                <w:szCs w:val="20"/>
                <w:color w:val="auto"/>
              </w:rPr>
            </w:pPr>
            <w:r>
              <w:rPr>
                <w:rFonts w:ascii="Arial" w:cs="Arial" w:eastAsia="Arial" w:hAnsi="Arial"/>
                <w:sz w:val="20"/>
                <w:szCs w:val="20"/>
                <w:color w:val="auto"/>
                <w:w w:val="92"/>
              </w:rPr>
              <w:t>Section 5.06. Compliance With Laws</w:t>
            </w:r>
          </w:p>
        </w:tc>
        <w:tc>
          <w:tcPr>
            <w:tcW w:w="440" w:type="dxa"/>
            <w:vAlign w:val="bottom"/>
          </w:tcPr>
          <w:p>
            <w:pPr>
              <w:ind w:left="40"/>
              <w:spacing w:after="0"/>
              <w:rPr>
                <w:sz w:val="20"/>
                <w:szCs w:val="20"/>
                <w:color w:val="auto"/>
              </w:rPr>
            </w:pPr>
            <w:r>
              <w:rPr>
                <w:rFonts w:ascii="Arial" w:cs="Arial" w:eastAsia="Arial" w:hAnsi="Arial"/>
                <w:sz w:val="20"/>
                <w:szCs w:val="20"/>
                <w:color w:val="auto"/>
              </w:rPr>
              <w:t>88</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3840" w:type="dxa"/>
            <w:vAlign w:val="bottom"/>
            <w:gridSpan w:val="6"/>
          </w:tcPr>
          <w:p>
            <w:pPr>
              <w:ind w:left="380"/>
              <w:spacing w:after="0"/>
              <w:rPr>
                <w:sz w:val="20"/>
                <w:szCs w:val="20"/>
                <w:color w:val="auto"/>
              </w:rPr>
            </w:pPr>
            <w:r>
              <w:rPr>
                <w:rFonts w:ascii="Arial" w:cs="Arial" w:eastAsia="Arial" w:hAnsi="Arial"/>
                <w:sz w:val="20"/>
                <w:szCs w:val="20"/>
                <w:color w:val="auto"/>
                <w:w w:val="90"/>
              </w:rPr>
              <w:t>Section 5.07. Ownership of Property; Liens</w:t>
            </w:r>
          </w:p>
        </w:tc>
        <w:tc>
          <w:tcPr>
            <w:tcW w:w="360" w:type="dxa"/>
            <w:vAlign w:val="bottom"/>
          </w:tcPr>
          <w:p>
            <w:pPr>
              <w:spacing w:after="0"/>
              <w:rPr>
                <w:sz w:val="19"/>
                <w:szCs w:val="19"/>
                <w:color w:val="auto"/>
              </w:rPr>
            </w:pPr>
          </w:p>
        </w:tc>
        <w:tc>
          <w:tcPr>
            <w:tcW w:w="1220" w:type="dxa"/>
            <w:vAlign w:val="bottom"/>
          </w:tcPr>
          <w:p>
            <w:pPr>
              <w:jc w:val="right"/>
              <w:ind w:right="881"/>
              <w:spacing w:after="0"/>
              <w:rPr>
                <w:sz w:val="20"/>
                <w:szCs w:val="20"/>
                <w:color w:val="auto"/>
              </w:rPr>
            </w:pPr>
            <w:r>
              <w:rPr>
                <w:rFonts w:ascii="Arial" w:cs="Arial" w:eastAsia="Arial" w:hAnsi="Arial"/>
                <w:sz w:val="20"/>
                <w:szCs w:val="20"/>
                <w:color w:val="auto"/>
                <w:w w:val="98"/>
              </w:rPr>
              <w:t>88</w:t>
            </w: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3400" w:type="dxa"/>
            <w:vAlign w:val="bottom"/>
            <w:gridSpan w:val="5"/>
          </w:tcPr>
          <w:p>
            <w:pPr>
              <w:ind w:left="380"/>
              <w:spacing w:after="0"/>
              <w:rPr>
                <w:sz w:val="20"/>
                <w:szCs w:val="20"/>
                <w:color w:val="auto"/>
              </w:rPr>
            </w:pPr>
            <w:r>
              <w:rPr>
                <w:rFonts w:ascii="Arial" w:cs="Arial" w:eastAsia="Arial" w:hAnsi="Arial"/>
                <w:sz w:val="20"/>
                <w:szCs w:val="20"/>
                <w:color w:val="auto"/>
                <w:w w:val="93"/>
              </w:rPr>
              <w:t>Section 5.08. Environmental Matters</w:t>
            </w:r>
          </w:p>
        </w:tc>
        <w:tc>
          <w:tcPr>
            <w:tcW w:w="440" w:type="dxa"/>
            <w:vAlign w:val="bottom"/>
          </w:tcPr>
          <w:p>
            <w:pPr>
              <w:ind w:left="40"/>
              <w:spacing w:after="0"/>
              <w:rPr>
                <w:sz w:val="20"/>
                <w:szCs w:val="20"/>
                <w:color w:val="auto"/>
              </w:rPr>
            </w:pPr>
            <w:r>
              <w:rPr>
                <w:rFonts w:ascii="Arial" w:cs="Arial" w:eastAsia="Arial" w:hAnsi="Arial"/>
                <w:sz w:val="20"/>
                <w:szCs w:val="20"/>
                <w:color w:val="auto"/>
              </w:rPr>
              <w:t>89</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2240" w:type="dxa"/>
            <w:vAlign w:val="bottom"/>
            <w:gridSpan w:val="2"/>
          </w:tcPr>
          <w:p>
            <w:pPr>
              <w:ind w:left="380"/>
              <w:spacing w:after="0"/>
              <w:rPr>
                <w:sz w:val="20"/>
                <w:szCs w:val="20"/>
                <w:color w:val="auto"/>
              </w:rPr>
            </w:pPr>
            <w:r>
              <w:rPr>
                <w:rFonts w:ascii="Arial" w:cs="Arial" w:eastAsia="Arial" w:hAnsi="Arial"/>
                <w:sz w:val="20"/>
                <w:szCs w:val="20"/>
                <w:color w:val="auto"/>
              </w:rPr>
              <w:t>Section 5.09. Taxes</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w w:val="89"/>
              </w:rPr>
              <w:t>90</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3040" w:type="dxa"/>
            <w:vAlign w:val="bottom"/>
            <w:gridSpan w:val="4"/>
          </w:tcPr>
          <w:p>
            <w:pPr>
              <w:ind w:left="380"/>
              <w:spacing w:after="0"/>
              <w:rPr>
                <w:sz w:val="20"/>
                <w:szCs w:val="20"/>
                <w:color w:val="auto"/>
              </w:rPr>
            </w:pPr>
            <w:r>
              <w:rPr>
                <w:rFonts w:ascii="Arial" w:cs="Arial" w:eastAsia="Arial" w:hAnsi="Arial"/>
                <w:sz w:val="20"/>
                <w:szCs w:val="20"/>
                <w:color w:val="auto"/>
                <w:w w:val="89"/>
              </w:rPr>
              <w:t>Section 5.10. ERISA Compliance</w:t>
            </w:r>
          </w:p>
        </w:tc>
        <w:tc>
          <w:tcPr>
            <w:tcW w:w="360" w:type="dxa"/>
            <w:vAlign w:val="bottom"/>
          </w:tcPr>
          <w:p>
            <w:pPr>
              <w:spacing w:after="0"/>
              <w:rPr>
                <w:sz w:val="19"/>
                <w:szCs w:val="19"/>
                <w:color w:val="auto"/>
              </w:rPr>
            </w:pPr>
          </w:p>
        </w:tc>
        <w:tc>
          <w:tcPr>
            <w:tcW w:w="440" w:type="dxa"/>
            <w:vAlign w:val="bottom"/>
          </w:tcPr>
          <w:p>
            <w:pPr>
              <w:ind w:left="40"/>
              <w:spacing w:after="0"/>
              <w:rPr>
                <w:sz w:val="20"/>
                <w:szCs w:val="20"/>
                <w:color w:val="auto"/>
              </w:rPr>
            </w:pPr>
            <w:r>
              <w:rPr>
                <w:rFonts w:ascii="Arial" w:cs="Arial" w:eastAsia="Arial" w:hAnsi="Arial"/>
                <w:sz w:val="20"/>
                <w:szCs w:val="20"/>
                <w:color w:val="auto"/>
              </w:rPr>
              <w:t>90</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2640" w:type="dxa"/>
            <w:vAlign w:val="bottom"/>
            <w:gridSpan w:val="3"/>
          </w:tcPr>
          <w:p>
            <w:pPr>
              <w:ind w:left="380"/>
              <w:spacing w:after="0"/>
              <w:rPr>
                <w:sz w:val="20"/>
                <w:szCs w:val="20"/>
                <w:color w:val="auto"/>
              </w:rPr>
            </w:pPr>
            <w:r>
              <w:rPr>
                <w:rFonts w:ascii="Arial" w:cs="Arial" w:eastAsia="Arial" w:hAnsi="Arial"/>
                <w:sz w:val="20"/>
                <w:szCs w:val="20"/>
                <w:color w:val="auto"/>
                <w:w w:val="96"/>
              </w:rPr>
              <w:t>Section 5.11. Subsidiaries</w:t>
            </w:r>
          </w:p>
        </w:tc>
        <w:tc>
          <w:tcPr>
            <w:tcW w:w="400" w:type="dxa"/>
            <w:vAlign w:val="bottom"/>
          </w:tcPr>
          <w:p>
            <w:pPr>
              <w:ind w:left="20"/>
              <w:spacing w:after="0"/>
              <w:rPr>
                <w:sz w:val="20"/>
                <w:szCs w:val="20"/>
                <w:color w:val="auto"/>
              </w:rPr>
            </w:pPr>
            <w:r>
              <w:rPr>
                <w:rFonts w:ascii="Arial" w:cs="Arial" w:eastAsia="Arial" w:hAnsi="Arial"/>
                <w:sz w:val="20"/>
                <w:szCs w:val="20"/>
                <w:color w:val="auto"/>
              </w:rPr>
              <w:t>90</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5420" w:type="dxa"/>
            <w:vAlign w:val="bottom"/>
            <w:gridSpan w:val="8"/>
          </w:tcPr>
          <w:p>
            <w:pPr>
              <w:ind w:left="380"/>
              <w:spacing w:after="0"/>
              <w:rPr>
                <w:sz w:val="20"/>
                <w:szCs w:val="20"/>
                <w:color w:val="auto"/>
              </w:rPr>
            </w:pPr>
            <w:r>
              <w:rPr>
                <w:rFonts w:ascii="Arial" w:cs="Arial" w:eastAsia="Arial" w:hAnsi="Arial"/>
                <w:sz w:val="20"/>
                <w:szCs w:val="20"/>
                <w:color w:val="auto"/>
                <w:w w:val="94"/>
              </w:rPr>
              <w:t>Section 5.12. Margin Regulations; Investment Company Act</w:t>
            </w:r>
          </w:p>
        </w:tc>
        <w:tc>
          <w:tcPr>
            <w:tcW w:w="980" w:type="dxa"/>
            <w:vAlign w:val="bottom"/>
          </w:tcPr>
          <w:p>
            <w:pPr>
              <w:spacing w:after="0"/>
              <w:rPr>
                <w:sz w:val="20"/>
                <w:szCs w:val="20"/>
                <w:color w:val="auto"/>
              </w:rPr>
            </w:pPr>
            <w:r>
              <w:rPr>
                <w:rFonts w:ascii="Arial" w:cs="Arial" w:eastAsia="Arial" w:hAnsi="Arial"/>
                <w:sz w:val="20"/>
                <w:szCs w:val="20"/>
                <w:color w:val="auto"/>
              </w:rPr>
              <w:t>90</w:t>
            </w:r>
          </w:p>
        </w:tc>
        <w:tc>
          <w:tcPr>
            <w:tcW w:w="400" w:type="dxa"/>
            <w:vAlign w:val="bottom"/>
          </w:tcPr>
          <w:p>
            <w:pPr>
              <w:spacing w:after="0"/>
              <w:rPr>
                <w:sz w:val="19"/>
                <w:szCs w:val="19"/>
                <w:color w:val="auto"/>
              </w:rPr>
            </w:pPr>
          </w:p>
        </w:tc>
      </w:tr>
      <w:tr>
        <w:trPr>
          <w:trHeight w:val="230"/>
        </w:trPr>
        <w:tc>
          <w:tcPr>
            <w:tcW w:w="2640" w:type="dxa"/>
            <w:vAlign w:val="bottom"/>
            <w:gridSpan w:val="3"/>
          </w:tcPr>
          <w:p>
            <w:pPr>
              <w:ind w:left="380"/>
              <w:spacing w:after="0"/>
              <w:rPr>
                <w:sz w:val="20"/>
                <w:szCs w:val="20"/>
                <w:color w:val="auto"/>
              </w:rPr>
            </w:pPr>
            <w:r>
              <w:rPr>
                <w:rFonts w:ascii="Arial" w:cs="Arial" w:eastAsia="Arial" w:hAnsi="Arial"/>
                <w:sz w:val="20"/>
                <w:szCs w:val="20"/>
                <w:color w:val="auto"/>
              </w:rPr>
              <w:t>Section 5.13. Disclosure</w:t>
            </w:r>
          </w:p>
        </w:tc>
        <w:tc>
          <w:tcPr>
            <w:tcW w:w="400" w:type="dxa"/>
            <w:vAlign w:val="bottom"/>
          </w:tcPr>
          <w:p>
            <w:pPr>
              <w:ind w:left="20"/>
              <w:spacing w:after="0"/>
              <w:rPr>
                <w:sz w:val="20"/>
                <w:szCs w:val="20"/>
                <w:color w:val="auto"/>
              </w:rPr>
            </w:pPr>
            <w:r>
              <w:rPr>
                <w:rFonts w:ascii="Arial" w:cs="Arial" w:eastAsia="Arial" w:hAnsi="Arial"/>
                <w:sz w:val="20"/>
                <w:szCs w:val="20"/>
                <w:color w:val="auto"/>
              </w:rPr>
              <w:t>91</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3040" w:type="dxa"/>
            <w:vAlign w:val="bottom"/>
            <w:gridSpan w:val="4"/>
          </w:tcPr>
          <w:p>
            <w:pPr>
              <w:ind w:left="380"/>
              <w:spacing w:after="0"/>
              <w:rPr>
                <w:sz w:val="20"/>
                <w:szCs w:val="20"/>
                <w:color w:val="auto"/>
              </w:rPr>
            </w:pPr>
            <w:r>
              <w:rPr>
                <w:rFonts w:ascii="Arial" w:cs="Arial" w:eastAsia="Arial" w:hAnsi="Arial"/>
                <w:sz w:val="20"/>
                <w:szCs w:val="20"/>
                <w:color w:val="auto"/>
                <w:w w:val="96"/>
              </w:rPr>
              <w:t>Section 5.14. Labor Matters 91</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2240" w:type="dxa"/>
            <w:vAlign w:val="bottom"/>
            <w:gridSpan w:val="2"/>
          </w:tcPr>
          <w:p>
            <w:pPr>
              <w:ind w:left="380"/>
              <w:spacing w:after="0"/>
              <w:rPr>
                <w:sz w:val="20"/>
                <w:szCs w:val="20"/>
                <w:color w:val="auto"/>
              </w:rPr>
            </w:pPr>
            <w:r>
              <w:rPr>
                <w:rFonts w:ascii="Arial" w:cs="Arial" w:eastAsia="Arial" w:hAnsi="Arial"/>
                <w:sz w:val="20"/>
                <w:szCs w:val="20"/>
                <w:color w:val="auto"/>
                <w:w w:val="87"/>
              </w:rPr>
              <w:t>Section 5.15. Insurance</w:t>
            </w:r>
          </w:p>
        </w:tc>
        <w:tc>
          <w:tcPr>
            <w:tcW w:w="4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20"/>
                <w:szCs w:val="20"/>
                <w:color w:val="auto"/>
              </w:rPr>
              <w:t>91</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2640" w:type="dxa"/>
            <w:vAlign w:val="bottom"/>
            <w:gridSpan w:val="3"/>
          </w:tcPr>
          <w:p>
            <w:pPr>
              <w:ind w:left="380"/>
              <w:spacing w:after="0"/>
              <w:rPr>
                <w:sz w:val="20"/>
                <w:szCs w:val="20"/>
                <w:color w:val="auto"/>
              </w:rPr>
            </w:pPr>
            <w:r>
              <w:rPr>
                <w:rFonts w:ascii="Arial" w:cs="Arial" w:eastAsia="Arial" w:hAnsi="Arial"/>
                <w:sz w:val="20"/>
                <w:szCs w:val="20"/>
                <w:color w:val="auto"/>
                <w:w w:val="96"/>
              </w:rPr>
              <w:t>Section 5.16. Solvency 92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5420" w:type="dxa"/>
            <w:vAlign w:val="bottom"/>
            <w:gridSpan w:val="8"/>
          </w:tcPr>
          <w:p>
            <w:pPr>
              <w:ind w:left="380"/>
              <w:spacing w:after="0"/>
              <w:rPr>
                <w:sz w:val="20"/>
                <w:szCs w:val="20"/>
                <w:color w:val="auto"/>
              </w:rPr>
            </w:pPr>
            <w:r>
              <w:rPr>
                <w:rFonts w:ascii="Arial" w:cs="Arial" w:eastAsia="Arial" w:hAnsi="Arial"/>
                <w:sz w:val="20"/>
                <w:szCs w:val="20"/>
                <w:color w:val="auto"/>
                <w:w w:val="95"/>
              </w:rPr>
              <w:t>Section 5.17. No Other Borrowed Money Indebtedness   92</w:t>
            </w: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3400" w:type="dxa"/>
            <w:vAlign w:val="bottom"/>
            <w:gridSpan w:val="5"/>
          </w:tcPr>
          <w:p>
            <w:pPr>
              <w:ind w:left="380"/>
              <w:spacing w:after="0"/>
              <w:rPr>
                <w:sz w:val="20"/>
                <w:szCs w:val="20"/>
                <w:color w:val="auto"/>
              </w:rPr>
            </w:pPr>
            <w:r>
              <w:rPr>
                <w:rFonts w:ascii="Arial" w:cs="Arial" w:eastAsia="Arial" w:hAnsi="Arial"/>
                <w:sz w:val="20"/>
                <w:szCs w:val="20"/>
                <w:color w:val="auto"/>
                <w:w w:val="95"/>
              </w:rPr>
              <w:t>Section 5.18. Collateral Documents</w:t>
            </w:r>
          </w:p>
        </w:tc>
        <w:tc>
          <w:tcPr>
            <w:tcW w:w="440" w:type="dxa"/>
            <w:vAlign w:val="bottom"/>
          </w:tcPr>
          <w:p>
            <w:pPr>
              <w:ind w:left="40"/>
              <w:spacing w:after="0"/>
              <w:rPr>
                <w:sz w:val="20"/>
                <w:szCs w:val="20"/>
                <w:color w:val="auto"/>
              </w:rPr>
            </w:pPr>
            <w:r>
              <w:rPr>
                <w:rFonts w:ascii="Arial" w:cs="Arial" w:eastAsia="Arial" w:hAnsi="Arial"/>
                <w:sz w:val="20"/>
                <w:szCs w:val="20"/>
                <w:color w:val="auto"/>
              </w:rPr>
              <w:t>92</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6400" w:type="dxa"/>
            <w:vAlign w:val="bottom"/>
            <w:gridSpan w:val="9"/>
          </w:tcPr>
          <w:p>
            <w:pPr>
              <w:ind w:left="380"/>
              <w:spacing w:after="0"/>
              <w:rPr>
                <w:sz w:val="20"/>
                <w:szCs w:val="20"/>
                <w:color w:val="auto"/>
              </w:rPr>
            </w:pPr>
            <w:r>
              <w:rPr>
                <w:rFonts w:ascii="Arial" w:cs="Arial" w:eastAsia="Arial" w:hAnsi="Arial"/>
                <w:sz w:val="20"/>
                <w:szCs w:val="20"/>
                <w:color w:val="auto"/>
                <w:w w:val="96"/>
              </w:rPr>
              <w:t>Section 5.19. Compliance with Anti-Terrorism and Corruption Laws 94</w:t>
            </w:r>
          </w:p>
        </w:tc>
        <w:tc>
          <w:tcPr>
            <w:tcW w:w="400" w:type="dxa"/>
            <w:vAlign w:val="bottom"/>
          </w:tcPr>
          <w:p>
            <w:pPr>
              <w:spacing w:after="0"/>
              <w:rPr>
                <w:sz w:val="19"/>
                <w:szCs w:val="19"/>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20"/>
                <w:szCs w:val="20"/>
                <w:color w:val="auto"/>
                <w:w w:val="96"/>
              </w:rPr>
              <w:t>ARTICLE 6</w:t>
            </w: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445"/>
        </w:trPr>
        <w:tc>
          <w:tcPr>
            <w:tcW w:w="2240" w:type="dxa"/>
            <w:vAlign w:val="bottom"/>
            <w:gridSpan w:val="2"/>
          </w:tcPr>
          <w:p>
            <w:pPr>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ffirmative</w:t>
            </w:r>
            <w:r>
              <w:rPr>
                <w:rFonts w:ascii="Arial" w:cs="Arial" w:eastAsia="Arial" w:hAnsi="Arial"/>
                <w:sz w:val="20"/>
                <w:szCs w:val="20"/>
                <w:color w:val="auto"/>
              </w:rPr>
              <w:t xml:space="preserve"> C</w:t>
            </w:r>
            <w:r>
              <w:rPr>
                <w:rFonts w:ascii="Arial" w:cs="Arial" w:eastAsia="Arial" w:hAnsi="Arial"/>
                <w:sz w:val="13"/>
                <w:szCs w:val="13"/>
                <w:color w:val="auto"/>
              </w:rPr>
              <w:t>ovenants</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25"/>
        </w:trPr>
        <w:tc>
          <w:tcPr>
            <w:tcW w:w="5420" w:type="dxa"/>
            <w:vAlign w:val="bottom"/>
            <w:gridSpan w:val="8"/>
          </w:tcPr>
          <w:p>
            <w:pPr>
              <w:ind w:left="380"/>
              <w:spacing w:after="0"/>
              <w:rPr>
                <w:sz w:val="20"/>
                <w:szCs w:val="20"/>
                <w:color w:val="auto"/>
              </w:rPr>
            </w:pPr>
            <w:r>
              <w:rPr>
                <w:rFonts w:ascii="Arial" w:cs="Arial" w:eastAsia="Arial" w:hAnsi="Arial"/>
                <w:sz w:val="20"/>
                <w:szCs w:val="20"/>
                <w:color w:val="auto"/>
              </w:rPr>
              <w:t>Section 6.01. Financial Statements, Reports, Etc 95</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0"/>
        </w:trPr>
        <w:tc>
          <w:tcPr>
            <w:tcW w:w="4200" w:type="dxa"/>
            <w:vAlign w:val="bottom"/>
            <w:gridSpan w:val="7"/>
          </w:tcPr>
          <w:p>
            <w:pPr>
              <w:ind w:left="380"/>
              <w:spacing w:after="0"/>
              <w:rPr>
                <w:sz w:val="20"/>
                <w:szCs w:val="20"/>
                <w:color w:val="auto"/>
              </w:rPr>
            </w:pPr>
            <w:r>
              <w:rPr>
                <w:rFonts w:ascii="Arial" w:cs="Arial" w:eastAsia="Arial" w:hAnsi="Arial"/>
                <w:sz w:val="20"/>
                <w:szCs w:val="20"/>
                <w:color w:val="auto"/>
                <w:w w:val="97"/>
              </w:rPr>
              <w:t>Section 6.02. Certificates; Other Information</w:t>
            </w:r>
          </w:p>
        </w:tc>
        <w:tc>
          <w:tcPr>
            <w:tcW w:w="1220" w:type="dxa"/>
            <w:vAlign w:val="bottom"/>
          </w:tcPr>
          <w:p>
            <w:pPr>
              <w:jc w:val="right"/>
              <w:ind w:right="881"/>
              <w:spacing w:after="0"/>
              <w:rPr>
                <w:sz w:val="20"/>
                <w:szCs w:val="20"/>
                <w:color w:val="auto"/>
              </w:rPr>
            </w:pPr>
            <w:r>
              <w:rPr>
                <w:rFonts w:ascii="Arial" w:cs="Arial" w:eastAsia="Arial" w:hAnsi="Arial"/>
                <w:sz w:val="20"/>
                <w:szCs w:val="20"/>
                <w:color w:val="auto"/>
                <w:w w:val="98"/>
              </w:rPr>
              <w:t>96</w:t>
            </w: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2240" w:type="dxa"/>
            <w:vAlign w:val="bottom"/>
            <w:gridSpan w:val="2"/>
          </w:tcPr>
          <w:p>
            <w:pPr>
              <w:ind w:left="380"/>
              <w:spacing w:after="0"/>
              <w:rPr>
                <w:sz w:val="20"/>
                <w:szCs w:val="20"/>
                <w:color w:val="auto"/>
              </w:rPr>
            </w:pPr>
            <w:r>
              <w:rPr>
                <w:rFonts w:ascii="Arial" w:cs="Arial" w:eastAsia="Arial" w:hAnsi="Arial"/>
                <w:sz w:val="20"/>
                <w:szCs w:val="20"/>
                <w:color w:val="auto"/>
                <w:w w:val="97"/>
              </w:rPr>
              <w:t>Section 6.03. Notices</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w w:val="89"/>
              </w:rPr>
              <w:t>98</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3040" w:type="dxa"/>
            <w:vAlign w:val="bottom"/>
            <w:gridSpan w:val="4"/>
          </w:tcPr>
          <w:p>
            <w:pPr>
              <w:ind w:left="380"/>
              <w:spacing w:after="0"/>
              <w:rPr>
                <w:sz w:val="20"/>
                <w:szCs w:val="20"/>
                <w:color w:val="auto"/>
              </w:rPr>
            </w:pPr>
            <w:r>
              <w:rPr>
                <w:rFonts w:ascii="Arial" w:cs="Arial" w:eastAsia="Arial" w:hAnsi="Arial"/>
                <w:sz w:val="20"/>
                <w:szCs w:val="20"/>
                <w:color w:val="auto"/>
                <w:w w:val="93"/>
              </w:rPr>
              <w:t>Section 6.04. Payment of Taxes</w:t>
            </w:r>
          </w:p>
        </w:tc>
        <w:tc>
          <w:tcPr>
            <w:tcW w:w="360" w:type="dxa"/>
            <w:vAlign w:val="bottom"/>
          </w:tcPr>
          <w:p>
            <w:pPr>
              <w:spacing w:after="0"/>
              <w:rPr>
                <w:sz w:val="20"/>
                <w:szCs w:val="20"/>
                <w:color w:val="auto"/>
              </w:rPr>
            </w:pPr>
            <w:r>
              <w:rPr>
                <w:rFonts w:ascii="Arial" w:cs="Arial" w:eastAsia="Arial" w:hAnsi="Arial"/>
                <w:sz w:val="20"/>
                <w:szCs w:val="20"/>
                <w:color w:val="auto"/>
              </w:rPr>
              <w:t>99</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4200" w:type="dxa"/>
            <w:vAlign w:val="bottom"/>
            <w:gridSpan w:val="7"/>
          </w:tcPr>
          <w:p>
            <w:pPr>
              <w:ind w:left="380"/>
              <w:spacing w:after="0"/>
              <w:rPr>
                <w:sz w:val="20"/>
                <w:szCs w:val="20"/>
                <w:color w:val="auto"/>
              </w:rPr>
            </w:pPr>
            <w:r>
              <w:rPr>
                <w:rFonts w:ascii="Arial" w:cs="Arial" w:eastAsia="Arial" w:hAnsi="Arial"/>
                <w:sz w:val="20"/>
                <w:szCs w:val="20"/>
                <w:color w:val="auto"/>
                <w:w w:val="97"/>
              </w:rPr>
              <w:t>Section 6.05. Preservation of Existence, Etc</w:t>
            </w:r>
          </w:p>
        </w:tc>
        <w:tc>
          <w:tcPr>
            <w:tcW w:w="1220" w:type="dxa"/>
            <w:vAlign w:val="bottom"/>
          </w:tcPr>
          <w:p>
            <w:pPr>
              <w:jc w:val="right"/>
              <w:ind w:right="881"/>
              <w:spacing w:after="0"/>
              <w:rPr>
                <w:sz w:val="20"/>
                <w:szCs w:val="20"/>
                <w:color w:val="auto"/>
              </w:rPr>
            </w:pPr>
            <w:r>
              <w:rPr>
                <w:rFonts w:ascii="Arial" w:cs="Arial" w:eastAsia="Arial" w:hAnsi="Arial"/>
                <w:sz w:val="20"/>
                <w:szCs w:val="20"/>
                <w:color w:val="auto"/>
                <w:w w:val="98"/>
              </w:rPr>
              <w:t>99</w:t>
            </w: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3840" w:type="dxa"/>
            <w:vAlign w:val="bottom"/>
            <w:gridSpan w:val="6"/>
          </w:tcPr>
          <w:p>
            <w:pPr>
              <w:ind w:left="380"/>
              <w:spacing w:after="0"/>
              <w:rPr>
                <w:sz w:val="20"/>
                <w:szCs w:val="20"/>
                <w:color w:val="auto"/>
              </w:rPr>
            </w:pPr>
            <w:r>
              <w:rPr>
                <w:rFonts w:ascii="Arial" w:cs="Arial" w:eastAsia="Arial" w:hAnsi="Arial"/>
                <w:sz w:val="20"/>
                <w:szCs w:val="20"/>
                <w:color w:val="auto"/>
                <w:w w:val="96"/>
              </w:rPr>
              <w:t>Section 6.06. Maintenance of Properties</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w w:val="80"/>
              </w:rPr>
              <w:t>99</w:t>
            </w: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3840" w:type="dxa"/>
            <w:vAlign w:val="bottom"/>
            <w:gridSpan w:val="6"/>
          </w:tcPr>
          <w:p>
            <w:pPr>
              <w:ind w:left="380"/>
              <w:spacing w:after="0"/>
              <w:rPr>
                <w:sz w:val="20"/>
                <w:szCs w:val="20"/>
                <w:color w:val="auto"/>
              </w:rPr>
            </w:pPr>
            <w:r>
              <w:rPr>
                <w:rFonts w:ascii="Arial" w:cs="Arial" w:eastAsia="Arial" w:hAnsi="Arial"/>
                <w:sz w:val="20"/>
                <w:szCs w:val="20"/>
                <w:color w:val="auto"/>
                <w:w w:val="97"/>
              </w:rPr>
              <w:t>Section 6.07. Maintenance of Insurance</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w w:val="80"/>
              </w:rPr>
              <w:t>99</w:t>
            </w: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3400" w:type="dxa"/>
            <w:vAlign w:val="bottom"/>
            <w:gridSpan w:val="5"/>
          </w:tcPr>
          <w:p>
            <w:pPr>
              <w:ind w:left="380"/>
              <w:spacing w:after="0"/>
              <w:rPr>
                <w:sz w:val="20"/>
                <w:szCs w:val="20"/>
                <w:color w:val="auto"/>
              </w:rPr>
            </w:pPr>
            <w:r>
              <w:rPr>
                <w:rFonts w:ascii="Arial" w:cs="Arial" w:eastAsia="Arial" w:hAnsi="Arial"/>
                <w:sz w:val="20"/>
                <w:szCs w:val="20"/>
                <w:color w:val="auto"/>
                <w:w w:val="93"/>
              </w:rPr>
              <w:t>Section 6.08. Compliance with Laws</w:t>
            </w:r>
          </w:p>
        </w:tc>
        <w:tc>
          <w:tcPr>
            <w:tcW w:w="440" w:type="dxa"/>
            <w:vAlign w:val="bottom"/>
          </w:tcPr>
          <w:p>
            <w:pPr>
              <w:ind w:left="40"/>
              <w:spacing w:after="0"/>
              <w:rPr>
                <w:sz w:val="20"/>
                <w:szCs w:val="20"/>
                <w:color w:val="auto"/>
              </w:rPr>
            </w:pPr>
            <w:r>
              <w:rPr>
                <w:rFonts w:ascii="Arial" w:cs="Arial" w:eastAsia="Arial" w:hAnsi="Arial"/>
                <w:sz w:val="20"/>
                <w:szCs w:val="20"/>
                <w:color w:val="auto"/>
              </w:rPr>
              <w:t>101</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3400" w:type="dxa"/>
            <w:vAlign w:val="bottom"/>
            <w:gridSpan w:val="5"/>
          </w:tcPr>
          <w:p>
            <w:pPr>
              <w:ind w:left="380"/>
              <w:spacing w:after="0"/>
              <w:rPr>
                <w:sz w:val="20"/>
                <w:szCs w:val="20"/>
                <w:color w:val="auto"/>
              </w:rPr>
            </w:pPr>
            <w:r>
              <w:rPr>
                <w:rFonts w:ascii="Arial" w:cs="Arial" w:eastAsia="Arial" w:hAnsi="Arial"/>
                <w:sz w:val="20"/>
                <w:szCs w:val="20"/>
                <w:color w:val="auto"/>
                <w:w w:val="89"/>
              </w:rPr>
              <w:t>Section 6.09. Books and Records 101</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3040" w:type="dxa"/>
            <w:vAlign w:val="bottom"/>
            <w:gridSpan w:val="4"/>
          </w:tcPr>
          <w:p>
            <w:pPr>
              <w:ind w:left="380"/>
              <w:spacing w:after="0"/>
              <w:rPr>
                <w:sz w:val="20"/>
                <w:szCs w:val="20"/>
                <w:color w:val="auto"/>
              </w:rPr>
            </w:pPr>
            <w:r>
              <w:rPr>
                <w:rFonts w:ascii="Arial" w:cs="Arial" w:eastAsia="Arial" w:hAnsi="Arial"/>
                <w:sz w:val="20"/>
                <w:szCs w:val="20"/>
                <w:color w:val="auto"/>
                <w:w w:val="95"/>
              </w:rPr>
              <w:t>Section 6.10. Inspection Rights</w:t>
            </w:r>
          </w:p>
        </w:tc>
        <w:tc>
          <w:tcPr>
            <w:tcW w:w="360" w:type="dxa"/>
            <w:vAlign w:val="bottom"/>
          </w:tcPr>
          <w:p>
            <w:pPr>
              <w:spacing w:after="0"/>
              <w:rPr>
                <w:sz w:val="20"/>
                <w:szCs w:val="20"/>
                <w:color w:val="auto"/>
              </w:rPr>
            </w:pPr>
            <w:r>
              <w:rPr>
                <w:rFonts w:ascii="Arial" w:cs="Arial" w:eastAsia="Arial" w:hAnsi="Arial"/>
                <w:sz w:val="20"/>
                <w:szCs w:val="20"/>
                <w:color w:val="auto"/>
              </w:rPr>
              <w:t>101</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5420" w:type="dxa"/>
            <w:vAlign w:val="bottom"/>
            <w:gridSpan w:val="8"/>
          </w:tcPr>
          <w:p>
            <w:pPr>
              <w:ind w:left="380"/>
              <w:spacing w:after="0"/>
              <w:rPr>
                <w:sz w:val="20"/>
                <w:szCs w:val="20"/>
                <w:color w:val="auto"/>
              </w:rPr>
            </w:pPr>
            <w:r>
              <w:rPr>
                <w:rFonts w:ascii="Arial" w:cs="Arial" w:eastAsia="Arial" w:hAnsi="Arial"/>
                <w:sz w:val="20"/>
                <w:szCs w:val="20"/>
                <w:color w:val="auto"/>
                <w:w w:val="92"/>
              </w:rPr>
              <w:t>Section 6.11. Additional Collateral; Additional Guarantors 101</w:t>
            </w: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5420" w:type="dxa"/>
            <w:vAlign w:val="bottom"/>
            <w:gridSpan w:val="8"/>
          </w:tcPr>
          <w:p>
            <w:pPr>
              <w:ind w:left="380"/>
              <w:spacing w:after="0"/>
              <w:rPr>
                <w:sz w:val="20"/>
                <w:szCs w:val="20"/>
                <w:color w:val="auto"/>
              </w:rPr>
            </w:pPr>
            <w:r>
              <w:rPr>
                <w:rFonts w:ascii="Arial" w:cs="Arial" w:eastAsia="Arial" w:hAnsi="Arial"/>
                <w:sz w:val="20"/>
                <w:szCs w:val="20"/>
                <w:color w:val="auto"/>
              </w:rPr>
              <w:t>Section 6.12. Compliance with Environmental Laws 103</w:t>
            </w: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5420" w:type="dxa"/>
            <w:vAlign w:val="bottom"/>
            <w:gridSpan w:val="8"/>
          </w:tcPr>
          <w:p>
            <w:pPr>
              <w:ind w:left="380"/>
              <w:spacing w:after="0"/>
              <w:rPr>
                <w:sz w:val="20"/>
                <w:szCs w:val="20"/>
                <w:color w:val="auto"/>
              </w:rPr>
            </w:pPr>
            <w:r>
              <w:rPr>
                <w:rFonts w:ascii="Arial" w:cs="Arial" w:eastAsia="Arial" w:hAnsi="Arial"/>
                <w:sz w:val="20"/>
                <w:szCs w:val="20"/>
                <w:color w:val="auto"/>
                <w:w w:val="90"/>
              </w:rPr>
              <w:t>Section 6.13. Further Assurances and Post-Closing Conditions</w:t>
            </w:r>
          </w:p>
        </w:tc>
        <w:tc>
          <w:tcPr>
            <w:tcW w:w="980" w:type="dxa"/>
            <w:vAlign w:val="bottom"/>
          </w:tcPr>
          <w:p>
            <w:pPr>
              <w:spacing w:after="0"/>
              <w:rPr>
                <w:sz w:val="20"/>
                <w:szCs w:val="20"/>
                <w:color w:val="auto"/>
              </w:rPr>
            </w:pPr>
            <w:r>
              <w:rPr>
                <w:rFonts w:ascii="Arial" w:cs="Arial" w:eastAsia="Arial" w:hAnsi="Arial"/>
                <w:sz w:val="20"/>
                <w:szCs w:val="20"/>
                <w:color w:val="auto"/>
              </w:rPr>
              <w:t>103</w:t>
            </w:r>
          </w:p>
        </w:tc>
        <w:tc>
          <w:tcPr>
            <w:tcW w:w="400" w:type="dxa"/>
            <w:vAlign w:val="bottom"/>
          </w:tcPr>
          <w:p>
            <w:pPr>
              <w:spacing w:after="0"/>
              <w:rPr>
                <w:sz w:val="19"/>
                <w:szCs w:val="19"/>
                <w:color w:val="auto"/>
              </w:rPr>
            </w:pPr>
          </w:p>
        </w:tc>
      </w:tr>
      <w:tr>
        <w:trPr>
          <w:trHeight w:val="230"/>
        </w:trPr>
        <w:tc>
          <w:tcPr>
            <w:tcW w:w="2640" w:type="dxa"/>
            <w:vAlign w:val="bottom"/>
            <w:gridSpan w:val="3"/>
          </w:tcPr>
          <w:p>
            <w:pPr>
              <w:ind w:left="380"/>
              <w:spacing w:after="0"/>
              <w:rPr>
                <w:sz w:val="20"/>
                <w:szCs w:val="20"/>
                <w:color w:val="auto"/>
              </w:rPr>
            </w:pPr>
            <w:r>
              <w:rPr>
                <w:rFonts w:ascii="Arial" w:cs="Arial" w:eastAsia="Arial" w:hAnsi="Arial"/>
                <w:sz w:val="20"/>
                <w:szCs w:val="20"/>
                <w:color w:val="auto"/>
              </w:rPr>
              <w:t>Section 6.14. [Reserved]</w:t>
            </w:r>
          </w:p>
        </w:tc>
        <w:tc>
          <w:tcPr>
            <w:tcW w:w="400" w:type="dxa"/>
            <w:vAlign w:val="bottom"/>
          </w:tcPr>
          <w:p>
            <w:pPr>
              <w:ind w:left="20"/>
              <w:spacing w:after="0"/>
              <w:rPr>
                <w:sz w:val="20"/>
                <w:szCs w:val="20"/>
                <w:color w:val="auto"/>
              </w:rPr>
            </w:pPr>
            <w:r>
              <w:rPr>
                <w:rFonts w:ascii="Arial" w:cs="Arial" w:eastAsia="Arial" w:hAnsi="Arial"/>
                <w:sz w:val="20"/>
                <w:szCs w:val="20"/>
                <w:color w:val="auto"/>
              </w:rPr>
              <w:t>104</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3840" w:type="dxa"/>
            <w:vAlign w:val="bottom"/>
            <w:gridSpan w:val="6"/>
          </w:tcPr>
          <w:p>
            <w:pPr>
              <w:ind w:left="380"/>
              <w:spacing w:after="0"/>
              <w:rPr>
                <w:sz w:val="20"/>
                <w:szCs w:val="20"/>
                <w:color w:val="auto"/>
              </w:rPr>
            </w:pPr>
            <w:r>
              <w:rPr>
                <w:rFonts w:ascii="Arial" w:cs="Arial" w:eastAsia="Arial" w:hAnsi="Arial"/>
                <w:sz w:val="20"/>
                <w:szCs w:val="20"/>
                <w:color w:val="auto"/>
                <w:w w:val="92"/>
              </w:rPr>
              <w:t>Section 6.15. Maintenance of Ratings 104</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3040" w:type="dxa"/>
            <w:vAlign w:val="bottom"/>
            <w:gridSpan w:val="4"/>
          </w:tcPr>
          <w:p>
            <w:pPr>
              <w:ind w:left="380"/>
              <w:spacing w:after="0"/>
              <w:rPr>
                <w:sz w:val="20"/>
                <w:szCs w:val="20"/>
                <w:color w:val="auto"/>
              </w:rPr>
            </w:pPr>
            <w:r>
              <w:rPr>
                <w:rFonts w:ascii="Arial" w:cs="Arial" w:eastAsia="Arial" w:hAnsi="Arial"/>
                <w:sz w:val="20"/>
                <w:szCs w:val="20"/>
                <w:color w:val="auto"/>
                <w:w w:val="97"/>
              </w:rPr>
              <w:t>Section 6.16. Use of Proceeds</w:t>
            </w:r>
          </w:p>
        </w:tc>
        <w:tc>
          <w:tcPr>
            <w:tcW w:w="360" w:type="dxa"/>
            <w:vAlign w:val="bottom"/>
          </w:tcPr>
          <w:p>
            <w:pPr>
              <w:spacing w:after="0"/>
              <w:rPr>
                <w:sz w:val="20"/>
                <w:szCs w:val="20"/>
                <w:color w:val="auto"/>
              </w:rPr>
            </w:pPr>
            <w:r>
              <w:rPr>
                <w:rFonts w:ascii="Arial" w:cs="Arial" w:eastAsia="Arial" w:hAnsi="Arial"/>
                <w:sz w:val="20"/>
                <w:szCs w:val="20"/>
                <w:color w:val="auto"/>
              </w:rPr>
              <w:t>104</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3040" w:type="dxa"/>
            <w:vAlign w:val="bottom"/>
            <w:gridSpan w:val="4"/>
          </w:tcPr>
          <w:p>
            <w:pPr>
              <w:ind w:left="380"/>
              <w:spacing w:after="0"/>
              <w:rPr>
                <w:sz w:val="20"/>
                <w:szCs w:val="20"/>
                <w:color w:val="auto"/>
              </w:rPr>
            </w:pPr>
            <w:r>
              <w:rPr>
                <w:rFonts w:ascii="Arial" w:cs="Arial" w:eastAsia="Arial" w:hAnsi="Arial"/>
                <w:sz w:val="20"/>
                <w:szCs w:val="20"/>
                <w:color w:val="auto"/>
                <w:w w:val="88"/>
              </w:rPr>
              <w:t>Section 6.17. 2020 Financial Plan</w:t>
            </w:r>
          </w:p>
        </w:tc>
        <w:tc>
          <w:tcPr>
            <w:tcW w:w="36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20"/>
                <w:szCs w:val="20"/>
                <w:color w:val="auto"/>
              </w:rPr>
              <w:t>104</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r>
    </w:tbl>
    <w:p>
      <w:pPr>
        <w:ind w:left="550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365" w:right="1440" w:bottom="1440" w:gutter="0" w:footer="0" w:header="0"/>
        </w:sectPr>
      </w:pPr>
    </w:p>
    <w:bookmarkStart w:id="30" w:name="page31"/>
    <w:bookmarkEnd w:id="30"/>
    <w:p>
      <w:pPr>
        <w:spacing w:after="0"/>
        <w:rPr>
          <w:sz w:val="20"/>
          <w:szCs w:val="20"/>
          <w:color w:val="auto"/>
        </w:rPr>
      </w:pPr>
      <w:r>
        <w:rPr>
          <w:rFonts w:ascii="Arial" w:cs="Arial" w:eastAsia="Arial" w:hAnsi="Arial"/>
          <w:sz w:val="20"/>
          <w:szCs w:val="20"/>
          <w:color w:val="auto"/>
        </w:rPr>
        <w:t>ARTICLE 7</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00" w:type="dxa"/>
            <w:vAlign w:val="bottom"/>
            <w:gridSpan w:val="2"/>
          </w:tcPr>
          <w:p>
            <w:pPr>
              <w:ind w:left="700"/>
              <w:spacing w:after="0"/>
              <w:rPr>
                <w:sz w:val="20"/>
                <w:szCs w:val="20"/>
                <w:color w:val="auto"/>
              </w:rPr>
            </w:pPr>
            <w:r>
              <w:rPr>
                <w:rFonts w:ascii="Arial" w:cs="Arial" w:eastAsia="Arial" w:hAnsi="Arial"/>
                <w:sz w:val="20"/>
                <w:szCs w:val="20"/>
                <w:color w:val="auto"/>
              </w:rPr>
              <w:t>N</w:t>
            </w:r>
            <w:r>
              <w:rPr>
                <w:rFonts w:ascii="Arial" w:cs="Arial" w:eastAsia="Arial" w:hAnsi="Arial"/>
                <w:sz w:val="13"/>
                <w:szCs w:val="13"/>
                <w:color w:val="auto"/>
              </w:rPr>
              <w:t>egative</w:t>
            </w:r>
            <w:r>
              <w:rPr>
                <w:rFonts w:ascii="Arial" w:cs="Arial" w:eastAsia="Arial" w:hAnsi="Arial"/>
                <w:sz w:val="20"/>
                <w:szCs w:val="20"/>
                <w:color w:val="auto"/>
              </w:rPr>
              <w:t xml:space="preserve"> C</w:t>
            </w:r>
            <w:r>
              <w:rPr>
                <w:rFonts w:ascii="Arial" w:cs="Arial" w:eastAsia="Arial" w:hAnsi="Arial"/>
                <w:sz w:val="13"/>
                <w:szCs w:val="13"/>
                <w:color w:val="auto"/>
              </w:rPr>
              <w:t>ovenants</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409"/>
        </w:trPr>
        <w:tc>
          <w:tcPr>
            <w:tcW w:w="2080" w:type="dxa"/>
            <w:vAlign w:val="bottom"/>
          </w:tcPr>
          <w:p>
            <w:pPr>
              <w:ind w:left="380"/>
              <w:spacing w:after="0"/>
              <w:rPr>
                <w:sz w:val="20"/>
                <w:szCs w:val="20"/>
                <w:color w:val="auto"/>
              </w:rPr>
            </w:pPr>
            <w:r>
              <w:rPr>
                <w:rFonts w:ascii="Arial" w:cs="Arial" w:eastAsia="Arial" w:hAnsi="Arial"/>
                <w:sz w:val="20"/>
                <w:szCs w:val="20"/>
                <w:color w:val="auto"/>
                <w:w w:val="98"/>
              </w:rPr>
              <w:t>Section 7.01. Liens</w:t>
            </w:r>
          </w:p>
        </w:tc>
        <w:tc>
          <w:tcPr>
            <w:tcW w:w="520" w:type="dxa"/>
            <w:vAlign w:val="bottom"/>
          </w:tcPr>
          <w:p>
            <w:pPr>
              <w:jc w:val="right"/>
              <w:spacing w:after="0"/>
              <w:rPr>
                <w:sz w:val="20"/>
                <w:szCs w:val="20"/>
                <w:color w:val="auto"/>
              </w:rPr>
            </w:pPr>
            <w:r>
              <w:rPr>
                <w:rFonts w:ascii="Arial" w:cs="Arial" w:eastAsia="Arial" w:hAnsi="Arial"/>
                <w:sz w:val="20"/>
                <w:szCs w:val="20"/>
                <w:color w:val="auto"/>
              </w:rPr>
              <w:t>104</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2600" w:type="dxa"/>
            <w:vAlign w:val="bottom"/>
            <w:gridSpan w:val="2"/>
          </w:tcPr>
          <w:p>
            <w:pPr>
              <w:ind w:left="380"/>
              <w:spacing w:after="0"/>
              <w:rPr>
                <w:sz w:val="20"/>
                <w:szCs w:val="20"/>
                <w:color w:val="auto"/>
              </w:rPr>
            </w:pPr>
            <w:r>
              <w:rPr>
                <w:rFonts w:ascii="Arial" w:cs="Arial" w:eastAsia="Arial" w:hAnsi="Arial"/>
                <w:sz w:val="20"/>
                <w:szCs w:val="20"/>
                <w:color w:val="auto"/>
                <w:w w:val="95"/>
              </w:rPr>
              <w:t>Section 7.02. Investments</w:t>
            </w:r>
          </w:p>
        </w:tc>
        <w:tc>
          <w:tcPr>
            <w:tcW w:w="400" w:type="dxa"/>
            <w:vAlign w:val="bottom"/>
          </w:tcPr>
          <w:p>
            <w:pPr>
              <w:ind w:left="60"/>
              <w:spacing w:after="0"/>
              <w:rPr>
                <w:sz w:val="20"/>
                <w:szCs w:val="20"/>
                <w:color w:val="auto"/>
              </w:rPr>
            </w:pPr>
            <w:r>
              <w:rPr>
                <w:rFonts w:ascii="Arial" w:cs="Arial" w:eastAsia="Arial" w:hAnsi="Arial"/>
                <w:sz w:val="20"/>
                <w:szCs w:val="20"/>
                <w:color w:val="auto"/>
                <w:w w:val="95"/>
              </w:rPr>
              <w:t>108</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2600" w:type="dxa"/>
            <w:vAlign w:val="bottom"/>
            <w:gridSpan w:val="2"/>
          </w:tcPr>
          <w:p>
            <w:pPr>
              <w:ind w:left="380"/>
              <w:spacing w:after="0"/>
              <w:rPr>
                <w:sz w:val="20"/>
                <w:szCs w:val="20"/>
                <w:color w:val="auto"/>
              </w:rPr>
            </w:pPr>
            <w:r>
              <w:rPr>
                <w:rFonts w:ascii="Arial" w:cs="Arial" w:eastAsia="Arial" w:hAnsi="Arial"/>
                <w:sz w:val="20"/>
                <w:szCs w:val="20"/>
                <w:color w:val="auto"/>
                <w:w w:val="90"/>
              </w:rPr>
              <w:t>Section 7.03. Indebtedness</w:t>
            </w:r>
          </w:p>
        </w:tc>
        <w:tc>
          <w:tcPr>
            <w:tcW w:w="400" w:type="dxa"/>
            <w:vAlign w:val="bottom"/>
          </w:tcPr>
          <w:p>
            <w:pPr>
              <w:ind w:left="60"/>
              <w:spacing w:after="0"/>
              <w:rPr>
                <w:sz w:val="20"/>
                <w:szCs w:val="20"/>
                <w:color w:val="auto"/>
              </w:rPr>
            </w:pPr>
            <w:r>
              <w:rPr>
                <w:rFonts w:ascii="Arial" w:cs="Arial" w:eastAsia="Arial" w:hAnsi="Arial"/>
                <w:sz w:val="20"/>
                <w:szCs w:val="20"/>
                <w:color w:val="auto"/>
                <w:w w:val="95"/>
              </w:rPr>
              <w:t>112</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3440" w:type="dxa"/>
            <w:vAlign w:val="bottom"/>
            <w:gridSpan w:val="4"/>
          </w:tcPr>
          <w:p>
            <w:pPr>
              <w:ind w:left="380"/>
              <w:spacing w:after="0"/>
              <w:rPr>
                <w:sz w:val="20"/>
                <w:szCs w:val="20"/>
                <w:color w:val="auto"/>
              </w:rPr>
            </w:pPr>
            <w:r>
              <w:rPr>
                <w:rFonts w:ascii="Arial" w:cs="Arial" w:eastAsia="Arial" w:hAnsi="Arial"/>
                <w:sz w:val="20"/>
                <w:szCs w:val="20"/>
                <w:color w:val="auto"/>
                <w:w w:val="93"/>
              </w:rPr>
              <w:t>Section 7.04. Fundamental Changes</w:t>
            </w:r>
          </w:p>
        </w:tc>
        <w:tc>
          <w:tcPr>
            <w:tcW w:w="360" w:type="dxa"/>
            <w:vAlign w:val="bottom"/>
          </w:tcPr>
          <w:p>
            <w:pPr>
              <w:spacing w:after="0"/>
              <w:rPr>
                <w:sz w:val="20"/>
                <w:szCs w:val="20"/>
                <w:color w:val="auto"/>
              </w:rPr>
            </w:pPr>
            <w:r>
              <w:rPr>
                <w:rFonts w:ascii="Arial" w:cs="Arial" w:eastAsia="Arial" w:hAnsi="Arial"/>
                <w:sz w:val="20"/>
                <w:szCs w:val="20"/>
                <w:color w:val="auto"/>
              </w:rPr>
              <w:t>115</w:t>
            </w: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2600" w:type="dxa"/>
            <w:vAlign w:val="bottom"/>
            <w:gridSpan w:val="2"/>
          </w:tcPr>
          <w:p>
            <w:pPr>
              <w:ind w:left="380"/>
              <w:spacing w:after="0"/>
              <w:rPr>
                <w:sz w:val="20"/>
                <w:szCs w:val="20"/>
                <w:color w:val="auto"/>
              </w:rPr>
            </w:pPr>
            <w:r>
              <w:rPr>
                <w:rFonts w:ascii="Arial" w:cs="Arial" w:eastAsia="Arial" w:hAnsi="Arial"/>
                <w:sz w:val="20"/>
                <w:szCs w:val="20"/>
                <w:color w:val="auto"/>
                <w:w w:val="95"/>
              </w:rPr>
              <w:t>Section 7.05. Dispositions</w:t>
            </w:r>
          </w:p>
        </w:tc>
        <w:tc>
          <w:tcPr>
            <w:tcW w:w="400" w:type="dxa"/>
            <w:vAlign w:val="bottom"/>
          </w:tcPr>
          <w:p>
            <w:pPr>
              <w:ind w:left="60"/>
              <w:spacing w:after="0"/>
              <w:rPr>
                <w:sz w:val="20"/>
                <w:szCs w:val="20"/>
                <w:color w:val="auto"/>
              </w:rPr>
            </w:pPr>
            <w:r>
              <w:rPr>
                <w:rFonts w:ascii="Arial" w:cs="Arial" w:eastAsia="Arial" w:hAnsi="Arial"/>
                <w:sz w:val="20"/>
                <w:szCs w:val="20"/>
                <w:color w:val="auto"/>
                <w:w w:val="95"/>
              </w:rPr>
              <w:t>117</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3440" w:type="dxa"/>
            <w:vAlign w:val="bottom"/>
            <w:gridSpan w:val="4"/>
          </w:tcPr>
          <w:p>
            <w:pPr>
              <w:ind w:left="380"/>
              <w:spacing w:after="0"/>
              <w:rPr>
                <w:sz w:val="20"/>
                <w:szCs w:val="20"/>
                <w:color w:val="auto"/>
              </w:rPr>
            </w:pPr>
            <w:r>
              <w:rPr>
                <w:rFonts w:ascii="Arial" w:cs="Arial" w:eastAsia="Arial" w:hAnsi="Arial"/>
                <w:sz w:val="20"/>
                <w:szCs w:val="20"/>
                <w:color w:val="auto"/>
                <w:w w:val="99"/>
              </w:rPr>
              <w:t>Section 7.06. Restricted Payments</w:t>
            </w:r>
          </w:p>
        </w:tc>
        <w:tc>
          <w:tcPr>
            <w:tcW w:w="360" w:type="dxa"/>
            <w:vAlign w:val="bottom"/>
          </w:tcPr>
          <w:p>
            <w:pPr>
              <w:spacing w:after="0"/>
              <w:rPr>
                <w:sz w:val="20"/>
                <w:szCs w:val="20"/>
                <w:color w:val="auto"/>
              </w:rPr>
            </w:pPr>
            <w:r>
              <w:rPr>
                <w:rFonts w:ascii="Arial" w:cs="Arial" w:eastAsia="Arial" w:hAnsi="Arial"/>
                <w:sz w:val="20"/>
                <w:szCs w:val="20"/>
                <w:color w:val="auto"/>
              </w:rPr>
              <w:t>120</w:t>
            </w: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6060" w:type="dxa"/>
            <w:vAlign w:val="bottom"/>
            <w:gridSpan w:val="7"/>
          </w:tcPr>
          <w:p>
            <w:pPr>
              <w:ind w:left="380"/>
              <w:spacing w:after="0"/>
              <w:rPr>
                <w:sz w:val="20"/>
                <w:szCs w:val="20"/>
                <w:color w:val="auto"/>
              </w:rPr>
            </w:pPr>
            <w:r>
              <w:rPr>
                <w:rFonts w:ascii="Arial" w:cs="Arial" w:eastAsia="Arial" w:hAnsi="Arial"/>
                <w:sz w:val="20"/>
                <w:szCs w:val="20"/>
                <w:color w:val="auto"/>
                <w:w w:val="91"/>
              </w:rPr>
              <w:t>Section 7.07. Change in Nature of Business; Organization Documents</w:t>
            </w:r>
          </w:p>
        </w:tc>
        <w:tc>
          <w:tcPr>
            <w:tcW w:w="46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29"/>
        </w:trPr>
        <w:tc>
          <w:tcPr>
            <w:tcW w:w="3800" w:type="dxa"/>
            <w:vAlign w:val="bottom"/>
            <w:gridSpan w:val="5"/>
          </w:tcPr>
          <w:p>
            <w:pPr>
              <w:ind w:left="380"/>
              <w:spacing w:after="0"/>
              <w:rPr>
                <w:sz w:val="20"/>
                <w:szCs w:val="20"/>
                <w:color w:val="auto"/>
              </w:rPr>
            </w:pPr>
            <w:r>
              <w:rPr>
                <w:rFonts w:ascii="Arial" w:cs="Arial" w:eastAsia="Arial" w:hAnsi="Arial"/>
                <w:sz w:val="20"/>
                <w:szCs w:val="20"/>
                <w:color w:val="auto"/>
                <w:w w:val="94"/>
              </w:rPr>
              <w:t>Section 7.08. Transactions with Affiliates</w:t>
            </w:r>
          </w:p>
        </w:tc>
        <w:tc>
          <w:tcPr>
            <w:tcW w:w="780" w:type="dxa"/>
            <w:vAlign w:val="bottom"/>
          </w:tcPr>
          <w:p>
            <w:pPr>
              <w:jc w:val="right"/>
              <w:ind w:right="341"/>
              <w:spacing w:after="0"/>
              <w:rPr>
                <w:sz w:val="20"/>
                <w:szCs w:val="20"/>
                <w:color w:val="auto"/>
              </w:rPr>
            </w:pPr>
            <w:r>
              <w:rPr>
                <w:rFonts w:ascii="Arial" w:cs="Arial" w:eastAsia="Arial" w:hAnsi="Arial"/>
                <w:sz w:val="20"/>
                <w:szCs w:val="20"/>
                <w:color w:val="auto"/>
                <w:w w:val="95"/>
              </w:rPr>
              <w:t>122</w:t>
            </w: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3800" w:type="dxa"/>
            <w:vAlign w:val="bottom"/>
            <w:gridSpan w:val="5"/>
          </w:tcPr>
          <w:p>
            <w:pPr>
              <w:ind w:left="380"/>
              <w:spacing w:after="0"/>
              <w:rPr>
                <w:sz w:val="20"/>
                <w:szCs w:val="20"/>
                <w:color w:val="auto"/>
              </w:rPr>
            </w:pPr>
            <w:r>
              <w:rPr>
                <w:rFonts w:ascii="Arial" w:cs="Arial" w:eastAsia="Arial" w:hAnsi="Arial"/>
                <w:sz w:val="20"/>
                <w:szCs w:val="20"/>
                <w:color w:val="auto"/>
                <w:w w:val="97"/>
              </w:rPr>
              <w:t>Section 7.09. Burdensome Agreements</w:t>
            </w:r>
          </w:p>
        </w:tc>
        <w:tc>
          <w:tcPr>
            <w:tcW w:w="780" w:type="dxa"/>
            <w:vAlign w:val="bottom"/>
          </w:tcPr>
          <w:p>
            <w:pPr>
              <w:jc w:val="right"/>
              <w:ind w:right="341"/>
              <w:spacing w:after="0"/>
              <w:rPr>
                <w:sz w:val="20"/>
                <w:szCs w:val="20"/>
                <w:color w:val="auto"/>
              </w:rPr>
            </w:pPr>
            <w:r>
              <w:rPr>
                <w:rFonts w:ascii="Arial" w:cs="Arial" w:eastAsia="Arial" w:hAnsi="Arial"/>
                <w:sz w:val="20"/>
                <w:szCs w:val="20"/>
                <w:color w:val="auto"/>
                <w:w w:val="95"/>
              </w:rPr>
              <w:t>122</w:t>
            </w: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3440" w:type="dxa"/>
            <w:vAlign w:val="bottom"/>
            <w:gridSpan w:val="4"/>
          </w:tcPr>
          <w:p>
            <w:pPr>
              <w:ind w:left="380"/>
              <w:spacing w:after="0"/>
              <w:rPr>
                <w:sz w:val="20"/>
                <w:szCs w:val="20"/>
                <w:color w:val="auto"/>
              </w:rPr>
            </w:pPr>
            <w:r>
              <w:rPr>
                <w:rFonts w:ascii="Arial" w:cs="Arial" w:eastAsia="Arial" w:hAnsi="Arial"/>
                <w:sz w:val="20"/>
                <w:szCs w:val="20"/>
                <w:color w:val="auto"/>
                <w:w w:val="91"/>
              </w:rPr>
              <w:t>Section 7.10. Financial Covenant 123</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2600" w:type="dxa"/>
            <w:vAlign w:val="bottom"/>
            <w:gridSpan w:val="2"/>
          </w:tcPr>
          <w:p>
            <w:pPr>
              <w:ind w:left="380"/>
              <w:spacing w:after="0"/>
              <w:rPr>
                <w:sz w:val="20"/>
                <w:szCs w:val="20"/>
                <w:color w:val="auto"/>
              </w:rPr>
            </w:pPr>
            <w:r>
              <w:rPr>
                <w:rFonts w:ascii="Arial" w:cs="Arial" w:eastAsia="Arial" w:hAnsi="Arial"/>
                <w:sz w:val="20"/>
                <w:szCs w:val="20"/>
                <w:color w:val="auto"/>
                <w:w w:val="97"/>
              </w:rPr>
              <w:t>Section 7.11. [Reserved].</w:t>
            </w:r>
          </w:p>
        </w:tc>
        <w:tc>
          <w:tcPr>
            <w:tcW w:w="400" w:type="dxa"/>
            <w:vAlign w:val="bottom"/>
          </w:tcPr>
          <w:p>
            <w:pPr>
              <w:ind w:left="60"/>
              <w:spacing w:after="0"/>
              <w:rPr>
                <w:sz w:val="20"/>
                <w:szCs w:val="20"/>
                <w:color w:val="auto"/>
              </w:rPr>
            </w:pPr>
            <w:r>
              <w:rPr>
                <w:rFonts w:ascii="Arial" w:cs="Arial" w:eastAsia="Arial" w:hAnsi="Arial"/>
                <w:sz w:val="20"/>
                <w:szCs w:val="20"/>
                <w:color w:val="auto"/>
                <w:w w:val="95"/>
              </w:rPr>
              <w:t>123</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2600" w:type="dxa"/>
            <w:vAlign w:val="bottom"/>
            <w:gridSpan w:val="2"/>
          </w:tcPr>
          <w:p>
            <w:pPr>
              <w:ind w:left="380"/>
              <w:spacing w:after="0"/>
              <w:rPr>
                <w:sz w:val="20"/>
                <w:szCs w:val="20"/>
                <w:color w:val="auto"/>
              </w:rPr>
            </w:pPr>
            <w:r>
              <w:rPr>
                <w:rFonts w:ascii="Arial" w:cs="Arial" w:eastAsia="Arial" w:hAnsi="Arial"/>
                <w:sz w:val="20"/>
                <w:szCs w:val="20"/>
                <w:color w:val="auto"/>
                <w:w w:val="98"/>
              </w:rPr>
              <w:t>Section 7.12. Fiscal Year</w:t>
            </w:r>
          </w:p>
        </w:tc>
        <w:tc>
          <w:tcPr>
            <w:tcW w:w="400" w:type="dxa"/>
            <w:vAlign w:val="bottom"/>
          </w:tcPr>
          <w:p>
            <w:pPr>
              <w:ind w:left="60"/>
              <w:spacing w:after="0"/>
              <w:rPr>
                <w:sz w:val="20"/>
                <w:szCs w:val="20"/>
                <w:color w:val="auto"/>
              </w:rPr>
            </w:pPr>
            <w:r>
              <w:rPr>
                <w:rFonts w:ascii="Arial" w:cs="Arial" w:eastAsia="Arial" w:hAnsi="Arial"/>
                <w:sz w:val="20"/>
                <w:szCs w:val="20"/>
                <w:color w:val="auto"/>
                <w:w w:val="95"/>
              </w:rPr>
              <w:t>123</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4580" w:type="dxa"/>
            <w:vAlign w:val="bottom"/>
            <w:gridSpan w:val="6"/>
          </w:tcPr>
          <w:p>
            <w:pPr>
              <w:ind w:left="380"/>
              <w:spacing w:after="0"/>
              <w:rPr>
                <w:sz w:val="20"/>
                <w:szCs w:val="20"/>
                <w:color w:val="auto"/>
              </w:rPr>
            </w:pPr>
            <w:r>
              <w:rPr>
                <w:rFonts w:ascii="Arial" w:cs="Arial" w:eastAsia="Arial" w:hAnsi="Arial"/>
                <w:sz w:val="20"/>
                <w:szCs w:val="20"/>
                <w:color w:val="auto"/>
                <w:w w:val="88"/>
              </w:rPr>
              <w:t>Section 7.13. Prepayments, Etc. of Indebtedness 124</w:t>
            </w: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2080" w:type="dxa"/>
            <w:vAlign w:val="bottom"/>
          </w:tcPr>
          <w:p>
            <w:pPr>
              <w:spacing w:after="0"/>
              <w:rPr>
                <w:sz w:val="20"/>
                <w:szCs w:val="20"/>
                <w:color w:val="auto"/>
              </w:rPr>
            </w:pPr>
            <w:r>
              <w:rPr>
                <w:rFonts w:ascii="Arial" w:cs="Arial" w:eastAsia="Arial" w:hAnsi="Arial"/>
                <w:sz w:val="20"/>
                <w:szCs w:val="20"/>
                <w:color w:val="auto"/>
              </w:rPr>
              <w:t>ARTICLE 8</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50"/>
        </w:trPr>
        <w:tc>
          <w:tcPr>
            <w:tcW w:w="3440" w:type="dxa"/>
            <w:vAlign w:val="bottom"/>
            <w:gridSpan w:val="4"/>
          </w:tcPr>
          <w:p>
            <w:pPr>
              <w:ind w:left="700"/>
              <w:spacing w:after="0"/>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vents of</w:t>
            </w:r>
            <w:r>
              <w:rPr>
                <w:rFonts w:ascii="Arial" w:cs="Arial" w:eastAsia="Arial" w:hAnsi="Arial"/>
                <w:sz w:val="20"/>
                <w:szCs w:val="20"/>
                <w:color w:val="auto"/>
              </w:rPr>
              <w:t xml:space="preserve"> D</w:t>
            </w:r>
            <w:r>
              <w:rPr>
                <w:rFonts w:ascii="Arial" w:cs="Arial" w:eastAsia="Arial" w:hAnsi="Arial"/>
                <w:sz w:val="13"/>
                <w:szCs w:val="13"/>
                <w:color w:val="auto"/>
              </w:rPr>
              <w:t>efault and</w:t>
            </w:r>
            <w:r>
              <w:rPr>
                <w:rFonts w:ascii="Arial" w:cs="Arial" w:eastAsia="Arial" w:hAnsi="Arial"/>
                <w:sz w:val="20"/>
                <w:szCs w:val="20"/>
                <w:color w:val="auto"/>
              </w:rPr>
              <w:t xml:space="preserve"> R</w:t>
            </w:r>
            <w:r>
              <w:rPr>
                <w:rFonts w:ascii="Arial" w:cs="Arial" w:eastAsia="Arial" w:hAnsi="Arial"/>
                <w:sz w:val="13"/>
                <w:szCs w:val="13"/>
                <w:color w:val="auto"/>
              </w:rPr>
              <w:t>emedies</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425"/>
        </w:trPr>
        <w:tc>
          <w:tcPr>
            <w:tcW w:w="3000" w:type="dxa"/>
            <w:vAlign w:val="bottom"/>
            <w:gridSpan w:val="3"/>
          </w:tcPr>
          <w:p>
            <w:pPr>
              <w:ind w:left="380"/>
              <w:spacing w:after="0"/>
              <w:rPr>
                <w:sz w:val="20"/>
                <w:szCs w:val="20"/>
                <w:color w:val="auto"/>
              </w:rPr>
            </w:pPr>
            <w:r>
              <w:rPr>
                <w:rFonts w:ascii="Arial" w:cs="Arial" w:eastAsia="Arial" w:hAnsi="Arial"/>
                <w:sz w:val="20"/>
                <w:szCs w:val="20"/>
                <w:color w:val="auto"/>
                <w:w w:val="94"/>
              </w:rPr>
              <w:t>Section 8.01. Events of Default</w:t>
            </w:r>
          </w:p>
        </w:tc>
        <w:tc>
          <w:tcPr>
            <w:tcW w:w="440" w:type="dxa"/>
            <w:vAlign w:val="bottom"/>
          </w:tcPr>
          <w:p>
            <w:pPr>
              <w:jc w:val="right"/>
              <w:ind w:right="1"/>
              <w:spacing w:after="0"/>
              <w:rPr>
                <w:sz w:val="20"/>
                <w:szCs w:val="20"/>
                <w:color w:val="auto"/>
              </w:rPr>
            </w:pPr>
            <w:r>
              <w:rPr>
                <w:rFonts w:ascii="Arial" w:cs="Arial" w:eastAsia="Arial" w:hAnsi="Arial"/>
                <w:sz w:val="20"/>
                <w:szCs w:val="20"/>
                <w:color w:val="auto"/>
                <w:w w:val="95"/>
              </w:rPr>
              <w:t>125</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4580" w:type="dxa"/>
            <w:vAlign w:val="bottom"/>
            <w:gridSpan w:val="6"/>
          </w:tcPr>
          <w:p>
            <w:pPr>
              <w:ind w:left="380"/>
              <w:spacing w:after="0"/>
              <w:rPr>
                <w:sz w:val="20"/>
                <w:szCs w:val="20"/>
                <w:color w:val="auto"/>
              </w:rPr>
            </w:pPr>
            <w:r>
              <w:rPr>
                <w:rFonts w:ascii="Arial" w:cs="Arial" w:eastAsia="Arial" w:hAnsi="Arial"/>
                <w:sz w:val="20"/>
                <w:szCs w:val="20"/>
                <w:color w:val="auto"/>
                <w:w w:val="91"/>
              </w:rPr>
              <w:t>Section 8.02. Remedies Upon Event of Default  128</w:t>
            </w: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4580" w:type="dxa"/>
            <w:vAlign w:val="bottom"/>
            <w:gridSpan w:val="6"/>
          </w:tcPr>
          <w:p>
            <w:pPr>
              <w:ind w:left="380"/>
              <w:spacing w:after="0"/>
              <w:rPr>
                <w:sz w:val="20"/>
                <w:szCs w:val="20"/>
                <w:color w:val="auto"/>
              </w:rPr>
            </w:pPr>
            <w:r>
              <w:rPr>
                <w:rFonts w:ascii="Arial" w:cs="Arial" w:eastAsia="Arial" w:hAnsi="Arial"/>
                <w:sz w:val="20"/>
                <w:szCs w:val="20"/>
                <w:color w:val="auto"/>
                <w:w w:val="94"/>
              </w:rPr>
              <w:t>Section 8.03. Exclusion of Immaterial Subsidiaries</w:t>
            </w:r>
          </w:p>
        </w:tc>
        <w:tc>
          <w:tcPr>
            <w:tcW w:w="1480" w:type="dxa"/>
            <w:vAlign w:val="bottom"/>
          </w:tcPr>
          <w:p>
            <w:pPr>
              <w:jc w:val="right"/>
              <w:ind w:right="1041"/>
              <w:spacing w:after="0"/>
              <w:rPr>
                <w:sz w:val="20"/>
                <w:szCs w:val="20"/>
                <w:color w:val="auto"/>
              </w:rPr>
            </w:pPr>
            <w:r>
              <w:rPr>
                <w:rFonts w:ascii="Arial" w:cs="Arial" w:eastAsia="Arial" w:hAnsi="Arial"/>
                <w:sz w:val="20"/>
                <w:szCs w:val="20"/>
                <w:color w:val="auto"/>
                <w:w w:val="95"/>
              </w:rPr>
              <w:t>129</w:t>
            </w:r>
          </w:p>
        </w:tc>
        <w:tc>
          <w:tcPr>
            <w:tcW w:w="460" w:type="dxa"/>
            <w:vAlign w:val="bottom"/>
          </w:tcPr>
          <w:p>
            <w:pPr>
              <w:spacing w:after="0"/>
              <w:rPr>
                <w:sz w:val="19"/>
                <w:szCs w:val="19"/>
                <w:color w:val="auto"/>
              </w:rPr>
            </w:pPr>
          </w:p>
        </w:tc>
      </w:tr>
      <w:tr>
        <w:trPr>
          <w:trHeight w:val="229"/>
        </w:trPr>
        <w:tc>
          <w:tcPr>
            <w:tcW w:w="3440" w:type="dxa"/>
            <w:vAlign w:val="bottom"/>
            <w:gridSpan w:val="4"/>
          </w:tcPr>
          <w:p>
            <w:pPr>
              <w:ind w:left="380"/>
              <w:spacing w:after="0"/>
              <w:rPr>
                <w:sz w:val="20"/>
                <w:szCs w:val="20"/>
                <w:color w:val="auto"/>
              </w:rPr>
            </w:pPr>
            <w:r>
              <w:rPr>
                <w:rFonts w:ascii="Arial" w:cs="Arial" w:eastAsia="Arial" w:hAnsi="Arial"/>
                <w:sz w:val="20"/>
                <w:szCs w:val="20"/>
                <w:color w:val="auto"/>
              </w:rPr>
              <w:t>Section 8.04. Application of Funds</w:t>
            </w:r>
          </w:p>
        </w:tc>
        <w:tc>
          <w:tcPr>
            <w:tcW w:w="360" w:type="dxa"/>
            <w:vAlign w:val="bottom"/>
          </w:tcPr>
          <w:p>
            <w:pPr>
              <w:spacing w:after="0"/>
              <w:rPr>
                <w:sz w:val="20"/>
                <w:szCs w:val="20"/>
                <w:color w:val="auto"/>
              </w:rPr>
            </w:pPr>
            <w:r>
              <w:rPr>
                <w:rFonts w:ascii="Arial" w:cs="Arial" w:eastAsia="Arial" w:hAnsi="Arial"/>
                <w:sz w:val="20"/>
                <w:szCs w:val="20"/>
                <w:color w:val="auto"/>
              </w:rPr>
              <w:t>129</w:t>
            </w: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20"/>
                <w:szCs w:val="20"/>
                <w:color w:val="auto"/>
              </w:rPr>
              <w:t>ARTICLE 9</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50"/>
        </w:trPr>
        <w:tc>
          <w:tcPr>
            <w:tcW w:w="6060" w:type="dxa"/>
            <w:vAlign w:val="bottom"/>
            <w:gridSpan w:val="7"/>
          </w:tcPr>
          <w:p>
            <w:pPr>
              <w:ind w:left="700"/>
              <w:spacing w:after="0"/>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he</w:t>
            </w:r>
            <w:r>
              <w:rPr>
                <w:rFonts w:ascii="Arial" w:cs="Arial" w:eastAsia="Arial" w:hAnsi="Arial"/>
                <w:sz w:val="20"/>
                <w:szCs w:val="20"/>
                <w:color w:val="auto"/>
              </w:rPr>
              <w:t xml:space="preserve"> A</w:t>
            </w:r>
            <w:r>
              <w:rPr>
                <w:rFonts w:ascii="Arial" w:cs="Arial" w:eastAsia="Arial" w:hAnsi="Arial"/>
                <w:sz w:val="13"/>
                <w:szCs w:val="13"/>
                <w:color w:val="auto"/>
              </w:rPr>
              <w:t>dministrative</w:t>
            </w:r>
            <w:r>
              <w:rPr>
                <w:rFonts w:ascii="Arial" w:cs="Arial" w:eastAsia="Arial" w:hAnsi="Arial"/>
                <w:sz w:val="20"/>
                <w:szCs w:val="20"/>
                <w:color w:val="auto"/>
              </w:rPr>
              <w:t xml:space="preserve"> A</w:t>
            </w:r>
            <w:r>
              <w:rPr>
                <w:rFonts w:ascii="Arial" w:cs="Arial" w:eastAsia="Arial" w:hAnsi="Arial"/>
                <w:sz w:val="13"/>
                <w:szCs w:val="13"/>
                <w:color w:val="auto"/>
              </w:rPr>
              <w:t>gent and the</w:t>
            </w:r>
            <w:r>
              <w:rPr>
                <w:rFonts w:ascii="Arial" w:cs="Arial" w:eastAsia="Arial" w:hAnsi="Arial"/>
                <w:sz w:val="20"/>
                <w:szCs w:val="20"/>
                <w:color w:val="auto"/>
              </w:rPr>
              <w:t xml:space="preserve"> C</w:t>
            </w:r>
            <w:r>
              <w:rPr>
                <w:rFonts w:ascii="Arial" w:cs="Arial" w:eastAsia="Arial" w:hAnsi="Arial"/>
                <w:sz w:val="13"/>
                <w:szCs w:val="13"/>
                <w:color w:val="auto"/>
              </w:rPr>
              <w:t>ollateral</w:t>
            </w:r>
            <w:r>
              <w:rPr>
                <w:rFonts w:ascii="Arial" w:cs="Arial" w:eastAsia="Arial" w:hAnsi="Arial"/>
                <w:sz w:val="20"/>
                <w:szCs w:val="20"/>
                <w:color w:val="auto"/>
              </w:rPr>
              <w:t xml:space="preserve"> A</w:t>
            </w:r>
            <w:r>
              <w:rPr>
                <w:rFonts w:ascii="Arial" w:cs="Arial" w:eastAsia="Arial" w:hAnsi="Arial"/>
                <w:sz w:val="13"/>
                <w:szCs w:val="13"/>
                <w:color w:val="auto"/>
              </w:rPr>
              <w:t>gent</w:t>
            </w:r>
          </w:p>
        </w:tc>
        <w:tc>
          <w:tcPr>
            <w:tcW w:w="460" w:type="dxa"/>
            <w:vAlign w:val="bottom"/>
          </w:tcPr>
          <w:p>
            <w:pPr>
              <w:spacing w:after="0"/>
              <w:rPr>
                <w:sz w:val="21"/>
                <w:szCs w:val="21"/>
                <w:color w:val="auto"/>
              </w:rPr>
            </w:pPr>
          </w:p>
        </w:tc>
      </w:tr>
      <w:tr>
        <w:trPr>
          <w:trHeight w:val="425"/>
        </w:trPr>
        <w:tc>
          <w:tcPr>
            <w:tcW w:w="2080" w:type="dxa"/>
            <w:vAlign w:val="bottom"/>
          </w:tcPr>
          <w:p>
            <w:pPr>
              <w:spacing w:after="0"/>
              <w:rPr>
                <w:sz w:val="20"/>
                <w:szCs w:val="20"/>
                <w:color w:val="auto"/>
              </w:rPr>
            </w:pPr>
            <w:r>
              <w:rPr>
                <w:rFonts w:ascii="Arial" w:cs="Arial" w:eastAsia="Arial" w:hAnsi="Arial"/>
                <w:sz w:val="20"/>
                <w:szCs w:val="20"/>
                <w:color w:val="auto"/>
              </w:rPr>
              <w:t>ARTICLE 10</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50"/>
        </w:trPr>
        <w:tc>
          <w:tcPr>
            <w:tcW w:w="2080" w:type="dxa"/>
            <w:vAlign w:val="bottom"/>
          </w:tcPr>
          <w:p>
            <w:pPr>
              <w:ind w:left="700"/>
              <w:spacing w:after="0"/>
              <w:rPr>
                <w:sz w:val="20"/>
                <w:szCs w:val="20"/>
                <w:color w:val="auto"/>
              </w:rPr>
            </w:pPr>
            <w:r>
              <w:rPr>
                <w:rFonts w:ascii="Arial" w:cs="Arial" w:eastAsia="Arial" w:hAnsi="Arial"/>
                <w:sz w:val="20"/>
                <w:szCs w:val="20"/>
                <w:color w:val="auto"/>
              </w:rPr>
              <w:t>M</w:t>
            </w:r>
            <w:r>
              <w:rPr>
                <w:rFonts w:ascii="Arial" w:cs="Arial" w:eastAsia="Arial" w:hAnsi="Arial"/>
                <w:sz w:val="13"/>
                <w:szCs w:val="13"/>
                <w:color w:val="auto"/>
              </w:rPr>
              <w:t>iscellaneous</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425"/>
        </w:trPr>
        <w:tc>
          <w:tcPr>
            <w:tcW w:w="4580" w:type="dxa"/>
            <w:vAlign w:val="bottom"/>
            <w:gridSpan w:val="6"/>
          </w:tcPr>
          <w:p>
            <w:pPr>
              <w:ind w:left="380"/>
              <w:spacing w:after="0"/>
              <w:rPr>
                <w:sz w:val="20"/>
                <w:szCs w:val="20"/>
                <w:color w:val="auto"/>
              </w:rPr>
            </w:pPr>
            <w:r>
              <w:rPr>
                <w:rFonts w:ascii="Arial" w:cs="Arial" w:eastAsia="Arial" w:hAnsi="Arial"/>
                <w:sz w:val="20"/>
                <w:szCs w:val="20"/>
                <w:color w:val="auto"/>
                <w:w w:val="92"/>
              </w:rPr>
              <w:t>Section 10.01. Notices; Electronic Communications</w:t>
            </w:r>
          </w:p>
        </w:tc>
        <w:tc>
          <w:tcPr>
            <w:tcW w:w="1480" w:type="dxa"/>
            <w:vAlign w:val="bottom"/>
          </w:tcPr>
          <w:p>
            <w:pPr>
              <w:jc w:val="right"/>
              <w:ind w:right="1041"/>
              <w:spacing w:after="0"/>
              <w:rPr>
                <w:sz w:val="20"/>
                <w:szCs w:val="20"/>
                <w:color w:val="auto"/>
              </w:rPr>
            </w:pPr>
            <w:r>
              <w:rPr>
                <w:rFonts w:ascii="Arial" w:cs="Arial" w:eastAsia="Arial" w:hAnsi="Arial"/>
                <w:sz w:val="20"/>
                <w:szCs w:val="20"/>
                <w:color w:val="auto"/>
                <w:w w:val="95"/>
              </w:rPr>
              <w:t>133</w:t>
            </w:r>
          </w:p>
        </w:tc>
        <w:tc>
          <w:tcPr>
            <w:tcW w:w="460" w:type="dxa"/>
            <w:vAlign w:val="bottom"/>
          </w:tcPr>
          <w:p>
            <w:pPr>
              <w:spacing w:after="0"/>
              <w:rPr>
                <w:sz w:val="24"/>
                <w:szCs w:val="24"/>
                <w:color w:val="auto"/>
              </w:rPr>
            </w:pPr>
          </w:p>
        </w:tc>
      </w:tr>
      <w:tr>
        <w:trPr>
          <w:trHeight w:val="229"/>
        </w:trPr>
        <w:tc>
          <w:tcPr>
            <w:tcW w:w="3800" w:type="dxa"/>
            <w:vAlign w:val="bottom"/>
            <w:gridSpan w:val="5"/>
          </w:tcPr>
          <w:p>
            <w:pPr>
              <w:ind w:left="380"/>
              <w:spacing w:after="0"/>
              <w:rPr>
                <w:sz w:val="20"/>
                <w:szCs w:val="20"/>
                <w:color w:val="auto"/>
              </w:rPr>
            </w:pPr>
            <w:r>
              <w:rPr>
                <w:rFonts w:ascii="Arial" w:cs="Arial" w:eastAsia="Arial" w:hAnsi="Arial"/>
                <w:sz w:val="20"/>
                <w:szCs w:val="20"/>
                <w:color w:val="auto"/>
                <w:w w:val="92"/>
              </w:rPr>
              <w:t>Section 10.02. Survival of Agreement 137</w:t>
            </w: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3000" w:type="dxa"/>
            <w:vAlign w:val="bottom"/>
            <w:gridSpan w:val="3"/>
          </w:tcPr>
          <w:p>
            <w:pPr>
              <w:ind w:left="380"/>
              <w:spacing w:after="0"/>
              <w:rPr>
                <w:sz w:val="20"/>
                <w:szCs w:val="20"/>
                <w:color w:val="auto"/>
              </w:rPr>
            </w:pPr>
            <w:r>
              <w:rPr>
                <w:rFonts w:ascii="Arial" w:cs="Arial" w:eastAsia="Arial" w:hAnsi="Arial"/>
                <w:sz w:val="20"/>
                <w:szCs w:val="20"/>
                <w:color w:val="auto"/>
              </w:rPr>
              <w:t>Section 10.03. Binding Effect</w:t>
            </w:r>
          </w:p>
        </w:tc>
        <w:tc>
          <w:tcPr>
            <w:tcW w:w="440" w:type="dxa"/>
            <w:vAlign w:val="bottom"/>
          </w:tcPr>
          <w:p>
            <w:pPr>
              <w:jc w:val="right"/>
              <w:ind w:right="1"/>
              <w:spacing w:after="0"/>
              <w:rPr>
                <w:sz w:val="20"/>
                <w:szCs w:val="20"/>
                <w:color w:val="auto"/>
              </w:rPr>
            </w:pPr>
            <w:r>
              <w:rPr>
                <w:rFonts w:ascii="Arial" w:cs="Arial" w:eastAsia="Arial" w:hAnsi="Arial"/>
                <w:sz w:val="20"/>
                <w:szCs w:val="20"/>
                <w:color w:val="auto"/>
                <w:w w:val="95"/>
              </w:rPr>
              <w:t>137</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3440" w:type="dxa"/>
            <w:vAlign w:val="bottom"/>
            <w:gridSpan w:val="4"/>
          </w:tcPr>
          <w:p>
            <w:pPr>
              <w:ind w:left="380"/>
              <w:spacing w:after="0"/>
              <w:rPr>
                <w:sz w:val="20"/>
                <w:szCs w:val="20"/>
                <w:color w:val="auto"/>
              </w:rPr>
            </w:pPr>
            <w:r>
              <w:rPr>
                <w:rFonts w:ascii="Arial" w:cs="Arial" w:eastAsia="Arial" w:hAnsi="Arial"/>
                <w:sz w:val="20"/>
                <w:szCs w:val="20"/>
                <w:color w:val="auto"/>
                <w:w w:val="86"/>
              </w:rPr>
              <w:t>Section 10.04. Successors and Assigns</w:t>
            </w:r>
          </w:p>
        </w:tc>
        <w:tc>
          <w:tcPr>
            <w:tcW w:w="360" w:type="dxa"/>
            <w:vAlign w:val="bottom"/>
          </w:tcPr>
          <w:p>
            <w:pPr>
              <w:spacing w:after="0"/>
              <w:rPr>
                <w:sz w:val="19"/>
                <w:szCs w:val="19"/>
                <w:color w:val="auto"/>
              </w:rPr>
            </w:pPr>
          </w:p>
        </w:tc>
        <w:tc>
          <w:tcPr>
            <w:tcW w:w="780" w:type="dxa"/>
            <w:vAlign w:val="bottom"/>
          </w:tcPr>
          <w:p>
            <w:pPr>
              <w:jc w:val="right"/>
              <w:ind w:right="341"/>
              <w:spacing w:after="0"/>
              <w:rPr>
                <w:sz w:val="20"/>
                <w:szCs w:val="20"/>
                <w:color w:val="auto"/>
              </w:rPr>
            </w:pPr>
            <w:r>
              <w:rPr>
                <w:rFonts w:ascii="Arial" w:cs="Arial" w:eastAsia="Arial" w:hAnsi="Arial"/>
                <w:sz w:val="20"/>
                <w:szCs w:val="20"/>
                <w:color w:val="auto"/>
                <w:w w:val="95"/>
              </w:rPr>
              <w:t>137</w:t>
            </w: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3440" w:type="dxa"/>
            <w:vAlign w:val="bottom"/>
            <w:gridSpan w:val="4"/>
          </w:tcPr>
          <w:p>
            <w:pPr>
              <w:ind w:left="380"/>
              <w:spacing w:after="0"/>
              <w:rPr>
                <w:sz w:val="20"/>
                <w:szCs w:val="20"/>
                <w:color w:val="auto"/>
              </w:rPr>
            </w:pPr>
            <w:r>
              <w:rPr>
                <w:rFonts w:ascii="Arial" w:cs="Arial" w:eastAsia="Arial" w:hAnsi="Arial"/>
                <w:sz w:val="20"/>
                <w:szCs w:val="20"/>
                <w:color w:val="auto"/>
                <w:w w:val="95"/>
              </w:rPr>
              <w:t>Section 10.05. Expenses; Indemnity</w:t>
            </w:r>
          </w:p>
        </w:tc>
        <w:tc>
          <w:tcPr>
            <w:tcW w:w="360" w:type="dxa"/>
            <w:vAlign w:val="bottom"/>
          </w:tcPr>
          <w:p>
            <w:pPr>
              <w:spacing w:after="0"/>
              <w:rPr>
                <w:sz w:val="20"/>
                <w:szCs w:val="20"/>
                <w:color w:val="auto"/>
              </w:rPr>
            </w:pPr>
            <w:r>
              <w:rPr>
                <w:rFonts w:ascii="Arial" w:cs="Arial" w:eastAsia="Arial" w:hAnsi="Arial"/>
                <w:sz w:val="20"/>
                <w:szCs w:val="20"/>
                <w:color w:val="auto"/>
              </w:rPr>
              <w:t>142</w:t>
            </w: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3000" w:type="dxa"/>
            <w:vAlign w:val="bottom"/>
            <w:gridSpan w:val="3"/>
          </w:tcPr>
          <w:p>
            <w:pPr>
              <w:ind w:left="380"/>
              <w:spacing w:after="0"/>
              <w:rPr>
                <w:sz w:val="20"/>
                <w:szCs w:val="20"/>
                <w:color w:val="auto"/>
              </w:rPr>
            </w:pPr>
            <w:r>
              <w:rPr>
                <w:rFonts w:ascii="Arial" w:cs="Arial" w:eastAsia="Arial" w:hAnsi="Arial"/>
                <w:sz w:val="20"/>
                <w:szCs w:val="20"/>
                <w:color w:val="auto"/>
                <w:w w:val="99"/>
              </w:rPr>
              <w:t>Section 10.06. Right of Setoff</w:t>
            </w:r>
          </w:p>
        </w:tc>
        <w:tc>
          <w:tcPr>
            <w:tcW w:w="440" w:type="dxa"/>
            <w:vAlign w:val="bottom"/>
          </w:tcPr>
          <w:p>
            <w:pPr>
              <w:jc w:val="right"/>
              <w:ind w:right="1"/>
              <w:spacing w:after="0"/>
              <w:rPr>
                <w:sz w:val="20"/>
                <w:szCs w:val="20"/>
                <w:color w:val="auto"/>
              </w:rPr>
            </w:pPr>
            <w:r>
              <w:rPr>
                <w:rFonts w:ascii="Arial" w:cs="Arial" w:eastAsia="Arial" w:hAnsi="Arial"/>
                <w:sz w:val="20"/>
                <w:szCs w:val="20"/>
                <w:color w:val="auto"/>
                <w:w w:val="95"/>
              </w:rPr>
              <w:t>145</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3000" w:type="dxa"/>
            <w:vAlign w:val="bottom"/>
            <w:gridSpan w:val="3"/>
          </w:tcPr>
          <w:p>
            <w:pPr>
              <w:ind w:left="380"/>
              <w:spacing w:after="0"/>
              <w:rPr>
                <w:sz w:val="20"/>
                <w:szCs w:val="20"/>
                <w:color w:val="auto"/>
              </w:rPr>
            </w:pPr>
            <w:r>
              <w:rPr>
                <w:rFonts w:ascii="Arial" w:cs="Arial" w:eastAsia="Arial" w:hAnsi="Arial"/>
                <w:sz w:val="20"/>
                <w:szCs w:val="20"/>
                <w:color w:val="auto"/>
                <w:w w:val="97"/>
              </w:rPr>
              <w:t>Section 10.07. Applicable Law</w:t>
            </w:r>
          </w:p>
        </w:tc>
        <w:tc>
          <w:tcPr>
            <w:tcW w:w="440" w:type="dxa"/>
            <w:vAlign w:val="bottom"/>
          </w:tcPr>
          <w:p>
            <w:pPr>
              <w:jc w:val="right"/>
              <w:ind w:right="1"/>
              <w:spacing w:after="0"/>
              <w:rPr>
                <w:sz w:val="20"/>
                <w:szCs w:val="20"/>
                <w:color w:val="auto"/>
              </w:rPr>
            </w:pPr>
            <w:r>
              <w:rPr>
                <w:rFonts w:ascii="Arial" w:cs="Arial" w:eastAsia="Arial" w:hAnsi="Arial"/>
                <w:sz w:val="20"/>
                <w:szCs w:val="20"/>
                <w:color w:val="auto"/>
                <w:w w:val="95"/>
              </w:rPr>
              <w:t>145</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3440" w:type="dxa"/>
            <w:vAlign w:val="bottom"/>
            <w:gridSpan w:val="4"/>
          </w:tcPr>
          <w:p>
            <w:pPr>
              <w:ind w:left="380"/>
              <w:spacing w:after="0"/>
              <w:rPr>
                <w:sz w:val="20"/>
                <w:szCs w:val="20"/>
                <w:color w:val="auto"/>
              </w:rPr>
            </w:pPr>
            <w:r>
              <w:rPr>
                <w:rFonts w:ascii="Arial" w:cs="Arial" w:eastAsia="Arial" w:hAnsi="Arial"/>
                <w:sz w:val="20"/>
                <w:szCs w:val="20"/>
                <w:color w:val="auto"/>
                <w:w w:val="93"/>
              </w:rPr>
              <w:t>Section 10.08. Waivers; Amendment</w:t>
            </w:r>
          </w:p>
        </w:tc>
        <w:tc>
          <w:tcPr>
            <w:tcW w:w="360" w:type="dxa"/>
            <w:vAlign w:val="bottom"/>
          </w:tcPr>
          <w:p>
            <w:pPr>
              <w:spacing w:after="0"/>
              <w:rPr>
                <w:sz w:val="20"/>
                <w:szCs w:val="20"/>
                <w:color w:val="auto"/>
              </w:rPr>
            </w:pPr>
            <w:r>
              <w:rPr>
                <w:rFonts w:ascii="Arial" w:cs="Arial" w:eastAsia="Arial" w:hAnsi="Arial"/>
                <w:sz w:val="20"/>
                <w:szCs w:val="20"/>
                <w:color w:val="auto"/>
              </w:rPr>
              <w:t>146</w:t>
            </w: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3800" w:type="dxa"/>
            <w:vAlign w:val="bottom"/>
            <w:gridSpan w:val="5"/>
          </w:tcPr>
          <w:p>
            <w:pPr>
              <w:ind w:left="380"/>
              <w:spacing w:after="0"/>
              <w:rPr>
                <w:sz w:val="20"/>
                <w:szCs w:val="20"/>
                <w:color w:val="auto"/>
              </w:rPr>
            </w:pPr>
            <w:r>
              <w:rPr>
                <w:rFonts w:ascii="Arial" w:cs="Arial" w:eastAsia="Arial" w:hAnsi="Arial"/>
                <w:sz w:val="20"/>
                <w:szCs w:val="20"/>
                <w:color w:val="auto"/>
              </w:rPr>
              <w:t>Section 10.09. Interest Rate Limitation</w:t>
            </w:r>
          </w:p>
        </w:tc>
        <w:tc>
          <w:tcPr>
            <w:tcW w:w="780" w:type="dxa"/>
            <w:vAlign w:val="bottom"/>
          </w:tcPr>
          <w:p>
            <w:pPr>
              <w:jc w:val="right"/>
              <w:ind w:right="341"/>
              <w:spacing w:after="0"/>
              <w:rPr>
                <w:sz w:val="20"/>
                <w:szCs w:val="20"/>
                <w:color w:val="auto"/>
              </w:rPr>
            </w:pPr>
            <w:r>
              <w:rPr>
                <w:rFonts w:ascii="Arial" w:cs="Arial" w:eastAsia="Arial" w:hAnsi="Arial"/>
                <w:sz w:val="20"/>
                <w:szCs w:val="20"/>
                <w:color w:val="auto"/>
                <w:w w:val="95"/>
              </w:rPr>
              <w:t>148</w:t>
            </w: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3440" w:type="dxa"/>
            <w:vAlign w:val="bottom"/>
            <w:gridSpan w:val="4"/>
          </w:tcPr>
          <w:p>
            <w:pPr>
              <w:ind w:left="380"/>
              <w:spacing w:after="0"/>
              <w:rPr>
                <w:sz w:val="20"/>
                <w:szCs w:val="20"/>
                <w:color w:val="auto"/>
              </w:rPr>
            </w:pPr>
            <w:r>
              <w:rPr>
                <w:rFonts w:ascii="Arial" w:cs="Arial" w:eastAsia="Arial" w:hAnsi="Arial"/>
                <w:sz w:val="20"/>
                <w:szCs w:val="20"/>
                <w:color w:val="auto"/>
                <w:w w:val="92"/>
              </w:rPr>
              <w:t>Section 10.10. Entire Agreement 148</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4580" w:type="dxa"/>
            <w:vAlign w:val="bottom"/>
            <w:gridSpan w:val="6"/>
          </w:tcPr>
          <w:p>
            <w:pPr>
              <w:ind w:left="380"/>
              <w:spacing w:after="0"/>
              <w:rPr>
                <w:sz w:val="20"/>
                <w:szCs w:val="20"/>
                <w:color w:val="auto"/>
              </w:rPr>
            </w:pPr>
            <w:r>
              <w:rPr>
                <w:rFonts w:ascii="Arial" w:cs="Arial" w:eastAsia="Arial" w:hAnsi="Arial"/>
                <w:sz w:val="20"/>
                <w:szCs w:val="20"/>
                <w:color w:val="auto"/>
              </w:rPr>
              <w:t>Section 10.11. WAIVER OF JURY TRIAL 148</w:t>
            </w: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2600" w:type="dxa"/>
            <w:vAlign w:val="bottom"/>
            <w:gridSpan w:val="2"/>
          </w:tcPr>
          <w:p>
            <w:pPr>
              <w:ind w:left="380"/>
              <w:spacing w:after="0"/>
              <w:rPr>
                <w:sz w:val="20"/>
                <w:szCs w:val="20"/>
                <w:color w:val="auto"/>
              </w:rPr>
            </w:pPr>
            <w:r>
              <w:rPr>
                <w:rFonts w:ascii="Arial" w:cs="Arial" w:eastAsia="Arial" w:hAnsi="Arial"/>
                <w:sz w:val="20"/>
                <w:szCs w:val="20"/>
                <w:color w:val="auto"/>
                <w:w w:val="92"/>
              </w:rPr>
              <w:t>Section 10.12. Severability</w:t>
            </w:r>
          </w:p>
        </w:tc>
        <w:tc>
          <w:tcPr>
            <w:tcW w:w="400" w:type="dxa"/>
            <w:vAlign w:val="bottom"/>
          </w:tcPr>
          <w:p>
            <w:pPr>
              <w:ind w:left="60"/>
              <w:spacing w:after="0"/>
              <w:rPr>
                <w:sz w:val="20"/>
                <w:szCs w:val="20"/>
                <w:color w:val="auto"/>
              </w:rPr>
            </w:pPr>
            <w:r>
              <w:rPr>
                <w:rFonts w:ascii="Arial" w:cs="Arial" w:eastAsia="Arial" w:hAnsi="Arial"/>
                <w:sz w:val="20"/>
                <w:szCs w:val="20"/>
                <w:color w:val="auto"/>
                <w:w w:val="95"/>
              </w:rPr>
              <w:t>149</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3000" w:type="dxa"/>
            <w:vAlign w:val="bottom"/>
            <w:gridSpan w:val="3"/>
          </w:tcPr>
          <w:p>
            <w:pPr>
              <w:ind w:left="380"/>
              <w:spacing w:after="0"/>
              <w:rPr>
                <w:sz w:val="20"/>
                <w:szCs w:val="20"/>
                <w:color w:val="auto"/>
              </w:rPr>
            </w:pPr>
            <w:r>
              <w:rPr>
                <w:rFonts w:ascii="Arial" w:cs="Arial" w:eastAsia="Arial" w:hAnsi="Arial"/>
                <w:sz w:val="20"/>
                <w:szCs w:val="20"/>
                <w:color w:val="auto"/>
                <w:w w:val="90"/>
              </w:rPr>
              <w:t>Section 10.13. Counterparts 149</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2600" w:type="dxa"/>
            <w:vAlign w:val="bottom"/>
            <w:gridSpan w:val="2"/>
          </w:tcPr>
          <w:p>
            <w:pPr>
              <w:ind w:left="380"/>
              <w:spacing w:after="0"/>
              <w:rPr>
                <w:sz w:val="20"/>
                <w:szCs w:val="20"/>
                <w:color w:val="auto"/>
              </w:rPr>
            </w:pPr>
            <w:r>
              <w:rPr>
                <w:rFonts w:ascii="Arial" w:cs="Arial" w:eastAsia="Arial" w:hAnsi="Arial"/>
                <w:sz w:val="20"/>
                <w:szCs w:val="20"/>
                <w:color w:val="auto"/>
              </w:rPr>
              <w:t>Section 10.14. Headings</w:t>
            </w:r>
          </w:p>
        </w:tc>
        <w:tc>
          <w:tcPr>
            <w:tcW w:w="400" w:type="dxa"/>
            <w:vAlign w:val="bottom"/>
          </w:tcPr>
          <w:p>
            <w:pPr>
              <w:ind w:left="60"/>
              <w:spacing w:after="0"/>
              <w:rPr>
                <w:sz w:val="20"/>
                <w:szCs w:val="20"/>
                <w:color w:val="auto"/>
              </w:rPr>
            </w:pPr>
            <w:r>
              <w:rPr>
                <w:rFonts w:ascii="Arial" w:cs="Arial" w:eastAsia="Arial" w:hAnsi="Arial"/>
                <w:sz w:val="20"/>
                <w:szCs w:val="20"/>
                <w:color w:val="auto"/>
                <w:w w:val="95"/>
              </w:rPr>
              <w:t>149</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6060" w:type="dxa"/>
            <w:vAlign w:val="bottom"/>
            <w:gridSpan w:val="7"/>
          </w:tcPr>
          <w:p>
            <w:pPr>
              <w:ind w:left="380"/>
              <w:spacing w:after="0"/>
              <w:rPr>
                <w:sz w:val="20"/>
                <w:szCs w:val="20"/>
                <w:color w:val="auto"/>
              </w:rPr>
            </w:pPr>
            <w:r>
              <w:rPr>
                <w:rFonts w:ascii="Arial" w:cs="Arial" w:eastAsia="Arial" w:hAnsi="Arial"/>
                <w:sz w:val="20"/>
                <w:szCs w:val="20"/>
                <w:color w:val="auto"/>
              </w:rPr>
              <w:t>Section 10.15. Jurisdiction; Consent to Service of Process 149</w:t>
            </w:r>
          </w:p>
        </w:tc>
        <w:tc>
          <w:tcPr>
            <w:tcW w:w="460" w:type="dxa"/>
            <w:vAlign w:val="bottom"/>
          </w:tcPr>
          <w:p>
            <w:pPr>
              <w:spacing w:after="0"/>
              <w:rPr>
                <w:sz w:val="19"/>
                <w:szCs w:val="19"/>
                <w:color w:val="auto"/>
              </w:rPr>
            </w:pPr>
          </w:p>
        </w:tc>
      </w:tr>
      <w:tr>
        <w:trPr>
          <w:trHeight w:val="229"/>
        </w:trPr>
        <w:tc>
          <w:tcPr>
            <w:tcW w:w="3000" w:type="dxa"/>
            <w:vAlign w:val="bottom"/>
            <w:gridSpan w:val="3"/>
          </w:tcPr>
          <w:p>
            <w:pPr>
              <w:ind w:left="380"/>
              <w:spacing w:after="0"/>
              <w:rPr>
                <w:sz w:val="20"/>
                <w:szCs w:val="20"/>
                <w:color w:val="auto"/>
              </w:rPr>
            </w:pPr>
            <w:r>
              <w:rPr>
                <w:rFonts w:ascii="Arial" w:cs="Arial" w:eastAsia="Arial" w:hAnsi="Arial"/>
                <w:sz w:val="20"/>
                <w:szCs w:val="20"/>
                <w:color w:val="auto"/>
              </w:rPr>
              <w:t>Section 10.16. Confidentiality</w:t>
            </w:r>
          </w:p>
        </w:tc>
        <w:tc>
          <w:tcPr>
            <w:tcW w:w="440" w:type="dxa"/>
            <w:vAlign w:val="bottom"/>
          </w:tcPr>
          <w:p>
            <w:pPr>
              <w:jc w:val="right"/>
              <w:ind w:right="1"/>
              <w:spacing w:after="0"/>
              <w:rPr>
                <w:sz w:val="20"/>
                <w:szCs w:val="20"/>
                <w:color w:val="auto"/>
              </w:rPr>
            </w:pPr>
            <w:r>
              <w:rPr>
                <w:rFonts w:ascii="Arial" w:cs="Arial" w:eastAsia="Arial" w:hAnsi="Arial"/>
                <w:sz w:val="20"/>
                <w:szCs w:val="20"/>
                <w:color w:val="auto"/>
                <w:w w:val="95"/>
              </w:rPr>
              <w:t>150</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3000" w:type="dxa"/>
            <w:vAlign w:val="bottom"/>
            <w:gridSpan w:val="3"/>
          </w:tcPr>
          <w:p>
            <w:pPr>
              <w:ind w:left="380"/>
              <w:spacing w:after="0"/>
              <w:rPr>
                <w:sz w:val="20"/>
                <w:szCs w:val="20"/>
                <w:color w:val="auto"/>
              </w:rPr>
            </w:pPr>
            <w:r>
              <w:rPr>
                <w:rFonts w:ascii="Arial" w:cs="Arial" w:eastAsia="Arial" w:hAnsi="Arial"/>
                <w:sz w:val="20"/>
                <w:szCs w:val="20"/>
                <w:color w:val="auto"/>
              </w:rPr>
              <w:t>Section 10.17. Lender Action</w:t>
            </w:r>
          </w:p>
        </w:tc>
        <w:tc>
          <w:tcPr>
            <w:tcW w:w="440" w:type="dxa"/>
            <w:vAlign w:val="bottom"/>
          </w:tcPr>
          <w:p>
            <w:pPr>
              <w:jc w:val="right"/>
              <w:ind w:right="1"/>
              <w:spacing w:after="0"/>
              <w:rPr>
                <w:sz w:val="20"/>
                <w:szCs w:val="20"/>
                <w:color w:val="auto"/>
              </w:rPr>
            </w:pPr>
            <w:r>
              <w:rPr>
                <w:rFonts w:ascii="Arial" w:cs="Arial" w:eastAsia="Arial" w:hAnsi="Arial"/>
                <w:sz w:val="20"/>
                <w:szCs w:val="20"/>
                <w:color w:val="auto"/>
                <w:w w:val="95"/>
              </w:rPr>
              <w:t>150</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3800" w:type="dxa"/>
            <w:vAlign w:val="bottom"/>
            <w:gridSpan w:val="5"/>
          </w:tcPr>
          <w:p>
            <w:pPr>
              <w:ind w:left="380"/>
              <w:spacing w:after="0"/>
              <w:rPr>
                <w:sz w:val="20"/>
                <w:szCs w:val="20"/>
                <w:color w:val="auto"/>
              </w:rPr>
            </w:pPr>
            <w:r>
              <w:rPr>
                <w:rFonts w:ascii="Arial" w:cs="Arial" w:eastAsia="Arial" w:hAnsi="Arial"/>
                <w:sz w:val="20"/>
                <w:szCs w:val="20"/>
                <w:color w:val="auto"/>
                <w:w w:val="93"/>
              </w:rPr>
              <w:t>Section 10.18. USA PATRIOT Act Notice</w:t>
            </w:r>
          </w:p>
        </w:tc>
        <w:tc>
          <w:tcPr>
            <w:tcW w:w="780" w:type="dxa"/>
            <w:vAlign w:val="bottom"/>
          </w:tcPr>
          <w:p>
            <w:pPr>
              <w:jc w:val="right"/>
              <w:ind w:right="341"/>
              <w:spacing w:after="0"/>
              <w:rPr>
                <w:sz w:val="20"/>
                <w:szCs w:val="20"/>
                <w:color w:val="auto"/>
              </w:rPr>
            </w:pPr>
            <w:r>
              <w:rPr>
                <w:rFonts w:ascii="Arial" w:cs="Arial" w:eastAsia="Arial" w:hAnsi="Arial"/>
                <w:sz w:val="20"/>
                <w:szCs w:val="20"/>
                <w:color w:val="auto"/>
                <w:w w:val="95"/>
              </w:rPr>
              <w:t>151</w:t>
            </w: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4580" w:type="dxa"/>
            <w:vAlign w:val="bottom"/>
            <w:gridSpan w:val="6"/>
          </w:tcPr>
          <w:p>
            <w:pPr>
              <w:ind w:left="380"/>
              <w:spacing w:after="0"/>
              <w:rPr>
                <w:sz w:val="20"/>
                <w:szCs w:val="20"/>
                <w:color w:val="auto"/>
              </w:rPr>
            </w:pPr>
            <w:r>
              <w:rPr>
                <w:rFonts w:ascii="Arial" w:cs="Arial" w:eastAsia="Arial" w:hAnsi="Arial"/>
                <w:sz w:val="20"/>
                <w:szCs w:val="20"/>
                <w:color w:val="auto"/>
                <w:w w:val="91"/>
              </w:rPr>
              <w:t>Section 10.19. Collateral And Guaranty Matters 151</w:t>
            </w: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3800" w:type="dxa"/>
            <w:vAlign w:val="bottom"/>
            <w:gridSpan w:val="5"/>
          </w:tcPr>
          <w:p>
            <w:pPr>
              <w:ind w:left="380"/>
              <w:spacing w:after="0"/>
              <w:rPr>
                <w:sz w:val="20"/>
                <w:szCs w:val="20"/>
                <w:color w:val="auto"/>
              </w:rPr>
            </w:pPr>
            <w:r>
              <w:rPr>
                <w:rFonts w:ascii="Arial" w:cs="Arial" w:eastAsia="Arial" w:hAnsi="Arial"/>
                <w:sz w:val="20"/>
                <w:szCs w:val="20"/>
                <w:color w:val="auto"/>
                <w:w w:val="94"/>
              </w:rPr>
              <w:t>Section 10.20. Limitation on Liability 152</w:t>
            </w: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46"/>
        </w:trPr>
        <w:tc>
          <w:tcPr>
            <w:tcW w:w="3440" w:type="dxa"/>
            <w:vAlign w:val="bottom"/>
            <w:gridSpan w:val="4"/>
          </w:tcPr>
          <w:p>
            <w:pPr>
              <w:ind w:left="380"/>
              <w:spacing w:after="0"/>
              <w:rPr>
                <w:sz w:val="20"/>
                <w:szCs w:val="20"/>
                <w:color w:val="auto"/>
              </w:rPr>
            </w:pPr>
            <w:r>
              <w:rPr>
                <w:rFonts w:ascii="Arial" w:cs="Arial" w:eastAsia="Arial" w:hAnsi="Arial"/>
                <w:sz w:val="20"/>
                <w:szCs w:val="20"/>
                <w:color w:val="auto"/>
                <w:w w:val="96"/>
              </w:rPr>
              <w:t>Section 10.21. Payments Set Aside</w:t>
            </w:r>
          </w:p>
        </w:tc>
        <w:tc>
          <w:tcPr>
            <w:tcW w:w="360" w:type="dxa"/>
            <w:vAlign w:val="bottom"/>
          </w:tcPr>
          <w:p>
            <w:pPr>
              <w:spacing w:after="0"/>
              <w:rPr>
                <w:sz w:val="20"/>
                <w:szCs w:val="20"/>
                <w:color w:val="auto"/>
              </w:rPr>
            </w:pPr>
            <w:r>
              <w:rPr>
                <w:rFonts w:ascii="Arial" w:cs="Arial" w:eastAsia="Arial" w:hAnsi="Arial"/>
                <w:sz w:val="20"/>
                <w:szCs w:val="20"/>
                <w:color w:val="auto"/>
              </w:rPr>
              <w:t>152</w:t>
            </w:r>
          </w:p>
        </w:tc>
        <w:tc>
          <w:tcPr>
            <w:tcW w:w="7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ind w:left="380"/>
        <w:spacing w:after="0"/>
        <w:tabs>
          <w:tab w:leader="none" w:pos="5000" w:val="left"/>
        </w:tabs>
        <w:rPr>
          <w:sz w:val="20"/>
          <w:szCs w:val="20"/>
          <w:color w:val="auto"/>
        </w:rPr>
      </w:pPr>
      <w:r>
        <w:rPr>
          <w:rFonts w:ascii="Arial" w:cs="Arial" w:eastAsia="Arial" w:hAnsi="Arial"/>
          <w:sz w:val="20"/>
          <w:szCs w:val="20"/>
          <w:color w:val="auto"/>
        </w:rPr>
        <w:t>Section 10.22. No Advisory or Fiduciary Responsibility</w:t>
      </w:r>
      <w:r>
        <w:rPr>
          <w:sz w:val="20"/>
          <w:szCs w:val="20"/>
          <w:color w:val="auto"/>
        </w:rPr>
        <w:tab/>
      </w:r>
      <w:r>
        <w:rPr>
          <w:rFonts w:ascii="Arial" w:cs="Arial" w:eastAsia="Arial" w:hAnsi="Arial"/>
          <w:sz w:val="16"/>
          <w:szCs w:val="16"/>
          <w:color w:val="auto"/>
        </w:rPr>
        <w:t>152</w:t>
      </w:r>
    </w:p>
    <w:p>
      <w:pPr>
        <w:spacing w:after="0" w:line="1"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366"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3800" w:type="dxa"/>
            <w:vAlign w:val="bottom"/>
            <w:gridSpan w:val="4"/>
          </w:tcPr>
          <w:p>
            <w:pPr>
              <w:ind w:left="380"/>
              <w:spacing w:after="0"/>
              <w:rPr>
                <w:sz w:val="20"/>
                <w:szCs w:val="20"/>
                <w:color w:val="auto"/>
              </w:rPr>
            </w:pPr>
            <w:r>
              <w:rPr>
                <w:rFonts w:ascii="Arial" w:cs="Arial" w:eastAsia="Arial" w:hAnsi="Arial"/>
                <w:sz w:val="20"/>
                <w:szCs w:val="20"/>
                <w:color w:val="auto"/>
                <w:w w:val="96"/>
              </w:rPr>
              <w:t>Section 10.23. Intercreditor Agreements</w:t>
            </w:r>
          </w:p>
        </w:tc>
        <w:tc>
          <w:tcPr>
            <w:tcW w:w="1540" w:type="dxa"/>
            <w:vAlign w:val="bottom"/>
          </w:tcPr>
          <w:p>
            <w:pPr>
              <w:jc w:val="right"/>
              <w:ind w:right="1101"/>
              <w:spacing w:after="0"/>
              <w:rPr>
                <w:sz w:val="20"/>
                <w:szCs w:val="20"/>
                <w:color w:val="auto"/>
              </w:rPr>
            </w:pPr>
            <w:r>
              <w:rPr>
                <w:rFonts w:ascii="Arial" w:cs="Arial" w:eastAsia="Arial" w:hAnsi="Arial"/>
                <w:sz w:val="20"/>
                <w:szCs w:val="20"/>
                <w:color w:val="auto"/>
                <w:w w:val="95"/>
              </w:rPr>
              <w:t>153</w:t>
            </w:r>
          </w:p>
        </w:tc>
        <w:tc>
          <w:tcPr>
            <w:tcW w:w="380" w:type="dxa"/>
            <w:vAlign w:val="bottom"/>
          </w:tcPr>
          <w:p>
            <w:pPr>
              <w:spacing w:after="0"/>
              <w:rPr>
                <w:sz w:val="19"/>
                <w:szCs w:val="19"/>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20"/>
                <w:szCs w:val="20"/>
                <w:color w:val="auto"/>
              </w:rPr>
              <w:t>ARTICLE 11</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50"/>
        </w:trPr>
        <w:tc>
          <w:tcPr>
            <w:tcW w:w="2500" w:type="dxa"/>
            <w:vAlign w:val="bottom"/>
          </w:tcPr>
          <w:p>
            <w:pPr>
              <w:ind w:left="700"/>
              <w:spacing w:after="0"/>
              <w:rPr>
                <w:sz w:val="20"/>
                <w:szCs w:val="20"/>
                <w:color w:val="auto"/>
              </w:rPr>
            </w:pPr>
            <w:r>
              <w:rPr>
                <w:rFonts w:ascii="Arial" w:cs="Arial" w:eastAsia="Arial" w:hAnsi="Arial"/>
                <w:sz w:val="20"/>
                <w:szCs w:val="20"/>
                <w:color w:val="auto"/>
              </w:rPr>
              <w:t>G</w:t>
            </w:r>
            <w:r>
              <w:rPr>
                <w:rFonts w:ascii="Arial" w:cs="Arial" w:eastAsia="Arial" w:hAnsi="Arial"/>
                <w:sz w:val="13"/>
                <w:szCs w:val="13"/>
                <w:color w:val="auto"/>
              </w:rPr>
              <w:t>uarantee</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425"/>
        </w:trPr>
        <w:tc>
          <w:tcPr>
            <w:tcW w:w="3000" w:type="dxa"/>
            <w:vAlign w:val="bottom"/>
            <w:gridSpan w:val="2"/>
          </w:tcPr>
          <w:p>
            <w:pPr>
              <w:ind w:left="380"/>
              <w:spacing w:after="0"/>
              <w:rPr>
                <w:sz w:val="20"/>
                <w:szCs w:val="20"/>
                <w:color w:val="auto"/>
              </w:rPr>
            </w:pPr>
            <w:r>
              <w:rPr>
                <w:rFonts w:ascii="Arial" w:cs="Arial" w:eastAsia="Arial" w:hAnsi="Arial"/>
                <w:sz w:val="20"/>
                <w:szCs w:val="20"/>
                <w:color w:val="auto"/>
                <w:w w:val="97"/>
              </w:rPr>
              <w:t>Section 11.01. The Guarantee</w:t>
            </w:r>
          </w:p>
        </w:tc>
        <w:tc>
          <w:tcPr>
            <w:tcW w:w="400" w:type="dxa"/>
            <w:vAlign w:val="bottom"/>
          </w:tcPr>
          <w:p>
            <w:pPr>
              <w:jc w:val="right"/>
              <w:spacing w:after="0"/>
              <w:rPr>
                <w:sz w:val="20"/>
                <w:szCs w:val="20"/>
                <w:color w:val="auto"/>
              </w:rPr>
            </w:pPr>
            <w:r>
              <w:rPr>
                <w:rFonts w:ascii="Arial" w:cs="Arial" w:eastAsia="Arial" w:hAnsi="Arial"/>
                <w:sz w:val="20"/>
                <w:szCs w:val="20"/>
                <w:color w:val="auto"/>
                <w:w w:val="95"/>
              </w:rPr>
              <w:t>155</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9"/>
        </w:trPr>
        <w:tc>
          <w:tcPr>
            <w:tcW w:w="3800" w:type="dxa"/>
            <w:vAlign w:val="bottom"/>
            <w:gridSpan w:val="4"/>
          </w:tcPr>
          <w:p>
            <w:pPr>
              <w:ind w:left="380"/>
              <w:spacing w:after="0"/>
              <w:rPr>
                <w:sz w:val="20"/>
                <w:szCs w:val="20"/>
                <w:color w:val="auto"/>
              </w:rPr>
            </w:pPr>
            <w:r>
              <w:rPr>
                <w:rFonts w:ascii="Arial" w:cs="Arial" w:eastAsia="Arial" w:hAnsi="Arial"/>
                <w:sz w:val="20"/>
                <w:szCs w:val="20"/>
                <w:color w:val="auto"/>
                <w:w w:val="94"/>
              </w:rPr>
              <w:t>Section 11.02. Obligations Unconditional</w:t>
            </w:r>
          </w:p>
        </w:tc>
        <w:tc>
          <w:tcPr>
            <w:tcW w:w="1540" w:type="dxa"/>
            <w:vAlign w:val="bottom"/>
          </w:tcPr>
          <w:p>
            <w:pPr>
              <w:jc w:val="right"/>
              <w:ind w:right="1101"/>
              <w:spacing w:after="0"/>
              <w:rPr>
                <w:sz w:val="20"/>
                <w:szCs w:val="20"/>
                <w:color w:val="auto"/>
              </w:rPr>
            </w:pPr>
            <w:r>
              <w:rPr>
                <w:rFonts w:ascii="Arial" w:cs="Arial" w:eastAsia="Arial" w:hAnsi="Arial"/>
                <w:sz w:val="20"/>
                <w:szCs w:val="20"/>
                <w:color w:val="auto"/>
                <w:w w:val="95"/>
              </w:rPr>
              <w:t>155</w:t>
            </w:r>
          </w:p>
        </w:tc>
        <w:tc>
          <w:tcPr>
            <w:tcW w:w="380" w:type="dxa"/>
            <w:vAlign w:val="bottom"/>
          </w:tcPr>
          <w:p>
            <w:pPr>
              <w:spacing w:after="0"/>
              <w:rPr>
                <w:sz w:val="19"/>
                <w:szCs w:val="19"/>
                <w:color w:val="auto"/>
              </w:rPr>
            </w:pPr>
          </w:p>
        </w:tc>
      </w:tr>
      <w:tr>
        <w:trPr>
          <w:trHeight w:val="229"/>
        </w:trPr>
        <w:tc>
          <w:tcPr>
            <w:tcW w:w="3000" w:type="dxa"/>
            <w:vAlign w:val="bottom"/>
            <w:gridSpan w:val="2"/>
          </w:tcPr>
          <w:p>
            <w:pPr>
              <w:ind w:left="380"/>
              <w:spacing w:after="0"/>
              <w:rPr>
                <w:sz w:val="20"/>
                <w:szCs w:val="20"/>
                <w:color w:val="auto"/>
              </w:rPr>
            </w:pPr>
            <w:r>
              <w:rPr>
                <w:rFonts w:ascii="Arial" w:cs="Arial" w:eastAsia="Arial" w:hAnsi="Arial"/>
                <w:sz w:val="20"/>
                <w:szCs w:val="20"/>
                <w:color w:val="auto"/>
                <w:w w:val="94"/>
              </w:rPr>
              <w:t>Section 11.03. Certain Waivers</w:t>
            </w:r>
          </w:p>
        </w:tc>
        <w:tc>
          <w:tcPr>
            <w:tcW w:w="400" w:type="dxa"/>
            <w:vAlign w:val="bottom"/>
          </w:tcPr>
          <w:p>
            <w:pPr>
              <w:jc w:val="right"/>
              <w:spacing w:after="0"/>
              <w:rPr>
                <w:sz w:val="20"/>
                <w:szCs w:val="20"/>
                <w:color w:val="auto"/>
              </w:rPr>
            </w:pPr>
            <w:r>
              <w:rPr>
                <w:rFonts w:ascii="Arial" w:cs="Arial" w:eastAsia="Arial" w:hAnsi="Arial"/>
                <w:sz w:val="20"/>
                <w:szCs w:val="20"/>
                <w:color w:val="auto"/>
                <w:w w:val="95"/>
              </w:rPr>
              <w:t>156</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3000" w:type="dxa"/>
            <w:vAlign w:val="bottom"/>
            <w:gridSpan w:val="2"/>
          </w:tcPr>
          <w:p>
            <w:pPr>
              <w:ind w:left="380"/>
              <w:spacing w:after="0"/>
              <w:rPr>
                <w:sz w:val="20"/>
                <w:szCs w:val="20"/>
                <w:color w:val="auto"/>
              </w:rPr>
            </w:pPr>
            <w:r>
              <w:rPr>
                <w:rFonts w:ascii="Arial" w:cs="Arial" w:eastAsia="Arial" w:hAnsi="Arial"/>
                <w:sz w:val="20"/>
                <w:szCs w:val="20"/>
                <w:color w:val="auto"/>
                <w:w w:val="99"/>
              </w:rPr>
              <w:t>Section 11.04. Reinstatement</w:t>
            </w:r>
          </w:p>
        </w:tc>
        <w:tc>
          <w:tcPr>
            <w:tcW w:w="400" w:type="dxa"/>
            <w:vAlign w:val="bottom"/>
          </w:tcPr>
          <w:p>
            <w:pPr>
              <w:jc w:val="right"/>
              <w:spacing w:after="0"/>
              <w:rPr>
                <w:sz w:val="20"/>
                <w:szCs w:val="20"/>
                <w:color w:val="auto"/>
              </w:rPr>
            </w:pPr>
            <w:r>
              <w:rPr>
                <w:rFonts w:ascii="Arial" w:cs="Arial" w:eastAsia="Arial" w:hAnsi="Arial"/>
                <w:sz w:val="20"/>
                <w:szCs w:val="20"/>
                <w:color w:val="auto"/>
                <w:w w:val="95"/>
              </w:rPr>
              <w:t>156</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29"/>
        </w:trPr>
        <w:tc>
          <w:tcPr>
            <w:tcW w:w="5340" w:type="dxa"/>
            <w:vAlign w:val="bottom"/>
            <w:gridSpan w:val="5"/>
          </w:tcPr>
          <w:p>
            <w:pPr>
              <w:ind w:left="380"/>
              <w:spacing w:after="0"/>
              <w:rPr>
                <w:sz w:val="20"/>
                <w:szCs w:val="20"/>
                <w:color w:val="auto"/>
              </w:rPr>
            </w:pPr>
            <w:r>
              <w:rPr>
                <w:rFonts w:ascii="Arial" w:cs="Arial" w:eastAsia="Arial" w:hAnsi="Arial"/>
                <w:sz w:val="20"/>
                <w:szCs w:val="20"/>
                <w:color w:val="auto"/>
              </w:rPr>
              <w:t>Section 11.05. Subrogation; Subordination 157</w:t>
            </w:r>
          </w:p>
        </w:tc>
        <w:tc>
          <w:tcPr>
            <w:tcW w:w="380" w:type="dxa"/>
            <w:vAlign w:val="bottom"/>
          </w:tcPr>
          <w:p>
            <w:pPr>
              <w:spacing w:after="0"/>
              <w:rPr>
                <w:sz w:val="19"/>
                <w:szCs w:val="19"/>
                <w:color w:val="auto"/>
              </w:rPr>
            </w:pPr>
          </w:p>
        </w:tc>
      </w:tr>
      <w:tr>
        <w:trPr>
          <w:trHeight w:val="230"/>
        </w:trPr>
        <w:tc>
          <w:tcPr>
            <w:tcW w:w="2500" w:type="dxa"/>
            <w:vAlign w:val="bottom"/>
          </w:tcPr>
          <w:p>
            <w:pPr>
              <w:ind w:left="380"/>
              <w:spacing w:after="0"/>
              <w:rPr>
                <w:sz w:val="20"/>
                <w:szCs w:val="20"/>
                <w:color w:val="auto"/>
              </w:rPr>
            </w:pPr>
            <w:r>
              <w:rPr>
                <w:rFonts w:ascii="Arial" w:cs="Arial" w:eastAsia="Arial" w:hAnsi="Arial"/>
                <w:sz w:val="20"/>
                <w:szCs w:val="20"/>
                <w:color w:val="auto"/>
                <w:w w:val="93"/>
              </w:rPr>
              <w:t>Section 11.06. Remedies</w:t>
            </w:r>
          </w:p>
        </w:tc>
        <w:tc>
          <w:tcPr>
            <w:tcW w:w="500" w:type="dxa"/>
            <w:vAlign w:val="bottom"/>
          </w:tcPr>
          <w:p>
            <w:pPr>
              <w:jc w:val="right"/>
              <w:spacing w:after="0"/>
              <w:rPr>
                <w:sz w:val="20"/>
                <w:szCs w:val="20"/>
                <w:color w:val="auto"/>
              </w:rPr>
            </w:pPr>
            <w:r>
              <w:rPr>
                <w:rFonts w:ascii="Arial" w:cs="Arial" w:eastAsia="Arial" w:hAnsi="Arial"/>
                <w:sz w:val="20"/>
                <w:szCs w:val="20"/>
                <w:color w:val="auto"/>
              </w:rPr>
              <w:t>157</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29"/>
        </w:trPr>
        <w:tc>
          <w:tcPr>
            <w:tcW w:w="5340" w:type="dxa"/>
            <w:vAlign w:val="bottom"/>
            <w:gridSpan w:val="5"/>
          </w:tcPr>
          <w:p>
            <w:pPr>
              <w:ind w:left="380"/>
              <w:spacing w:after="0"/>
              <w:rPr>
                <w:sz w:val="20"/>
                <w:szCs w:val="20"/>
                <w:color w:val="auto"/>
              </w:rPr>
            </w:pPr>
            <w:r>
              <w:rPr>
                <w:rFonts w:ascii="Arial" w:cs="Arial" w:eastAsia="Arial" w:hAnsi="Arial"/>
                <w:sz w:val="20"/>
                <w:szCs w:val="20"/>
                <w:color w:val="auto"/>
                <w:w w:val="98"/>
              </w:rPr>
              <w:t>Section 11.07. Instrument for the Payment of Money 157</w:t>
            </w:r>
          </w:p>
        </w:tc>
        <w:tc>
          <w:tcPr>
            <w:tcW w:w="380" w:type="dxa"/>
            <w:vAlign w:val="bottom"/>
          </w:tcPr>
          <w:p>
            <w:pPr>
              <w:spacing w:after="0"/>
              <w:rPr>
                <w:sz w:val="19"/>
                <w:szCs w:val="19"/>
                <w:color w:val="auto"/>
              </w:rPr>
            </w:pPr>
          </w:p>
        </w:tc>
      </w:tr>
      <w:tr>
        <w:trPr>
          <w:trHeight w:val="229"/>
        </w:trPr>
        <w:tc>
          <w:tcPr>
            <w:tcW w:w="3400" w:type="dxa"/>
            <w:vAlign w:val="bottom"/>
            <w:gridSpan w:val="3"/>
          </w:tcPr>
          <w:p>
            <w:pPr>
              <w:ind w:left="380"/>
              <w:spacing w:after="0"/>
              <w:rPr>
                <w:sz w:val="20"/>
                <w:szCs w:val="20"/>
                <w:color w:val="auto"/>
              </w:rPr>
            </w:pPr>
            <w:r>
              <w:rPr>
                <w:rFonts w:ascii="Arial" w:cs="Arial" w:eastAsia="Arial" w:hAnsi="Arial"/>
                <w:sz w:val="20"/>
                <w:szCs w:val="20"/>
                <w:color w:val="auto"/>
                <w:w w:val="91"/>
              </w:rPr>
              <w:t>Section 11.08. Continuing Guarantee</w:t>
            </w:r>
          </w:p>
        </w:tc>
        <w:tc>
          <w:tcPr>
            <w:tcW w:w="400" w:type="dxa"/>
            <w:vAlign w:val="bottom"/>
          </w:tcPr>
          <w:p>
            <w:pPr>
              <w:jc w:val="right"/>
              <w:spacing w:after="0"/>
              <w:rPr>
                <w:sz w:val="20"/>
                <w:szCs w:val="20"/>
                <w:color w:val="auto"/>
              </w:rPr>
            </w:pPr>
            <w:r>
              <w:rPr>
                <w:rFonts w:ascii="Arial" w:cs="Arial" w:eastAsia="Arial" w:hAnsi="Arial"/>
                <w:sz w:val="20"/>
                <w:szCs w:val="20"/>
                <w:color w:val="auto"/>
                <w:w w:val="95"/>
              </w:rPr>
              <w:t>157</w:t>
            </w: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5340" w:type="dxa"/>
            <w:vAlign w:val="bottom"/>
            <w:gridSpan w:val="5"/>
          </w:tcPr>
          <w:p>
            <w:pPr>
              <w:ind w:left="380"/>
              <w:spacing w:after="0"/>
              <w:rPr>
                <w:sz w:val="20"/>
                <w:szCs w:val="20"/>
                <w:color w:val="auto"/>
              </w:rPr>
            </w:pPr>
            <w:r>
              <w:rPr>
                <w:rFonts w:ascii="Arial" w:cs="Arial" w:eastAsia="Arial" w:hAnsi="Arial"/>
                <w:sz w:val="20"/>
                <w:szCs w:val="20"/>
                <w:color w:val="auto"/>
                <w:w w:val="93"/>
              </w:rPr>
              <w:t>Section 11.09. General Limitation on Guarantee Obligations</w:t>
            </w:r>
          </w:p>
        </w:tc>
        <w:tc>
          <w:tcPr>
            <w:tcW w:w="380" w:type="dxa"/>
            <w:vAlign w:val="bottom"/>
          </w:tcPr>
          <w:p>
            <w:pPr>
              <w:jc w:val="right"/>
              <w:spacing w:after="0"/>
              <w:rPr>
                <w:sz w:val="20"/>
                <w:szCs w:val="20"/>
                <w:color w:val="auto"/>
              </w:rPr>
            </w:pPr>
            <w:r>
              <w:rPr>
                <w:rFonts w:ascii="Arial" w:cs="Arial" w:eastAsia="Arial" w:hAnsi="Arial"/>
                <w:sz w:val="20"/>
                <w:szCs w:val="20"/>
                <w:color w:val="auto"/>
              </w:rPr>
              <w:t>157</w:t>
            </w:r>
          </w:p>
        </w:tc>
      </w:tr>
      <w:tr>
        <w:trPr>
          <w:trHeight w:val="229"/>
        </w:trPr>
        <w:tc>
          <w:tcPr>
            <w:tcW w:w="3400" w:type="dxa"/>
            <w:vAlign w:val="bottom"/>
            <w:gridSpan w:val="3"/>
          </w:tcPr>
          <w:p>
            <w:pPr>
              <w:ind w:left="380"/>
              <w:spacing w:after="0"/>
              <w:rPr>
                <w:sz w:val="20"/>
                <w:szCs w:val="20"/>
                <w:color w:val="auto"/>
              </w:rPr>
            </w:pPr>
            <w:r>
              <w:rPr>
                <w:rFonts w:ascii="Arial" w:cs="Arial" w:eastAsia="Arial" w:hAnsi="Arial"/>
                <w:sz w:val="20"/>
                <w:szCs w:val="20"/>
                <w:color w:val="auto"/>
                <w:w w:val="89"/>
              </w:rPr>
              <w:t>Section 11.10. Release of Guarantors</w:t>
            </w:r>
          </w:p>
        </w:tc>
        <w:tc>
          <w:tcPr>
            <w:tcW w:w="400" w:type="dxa"/>
            <w:vAlign w:val="bottom"/>
          </w:tcPr>
          <w:p>
            <w:pPr>
              <w:jc w:val="right"/>
              <w:spacing w:after="0"/>
              <w:rPr>
                <w:sz w:val="20"/>
                <w:szCs w:val="20"/>
                <w:color w:val="auto"/>
              </w:rPr>
            </w:pPr>
            <w:r>
              <w:rPr>
                <w:rFonts w:ascii="Arial" w:cs="Arial" w:eastAsia="Arial" w:hAnsi="Arial"/>
                <w:sz w:val="20"/>
                <w:szCs w:val="20"/>
                <w:color w:val="auto"/>
                <w:w w:val="95"/>
              </w:rPr>
              <w:t>157</w:t>
            </w: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29"/>
        </w:trPr>
        <w:tc>
          <w:tcPr>
            <w:tcW w:w="3400" w:type="dxa"/>
            <w:vAlign w:val="bottom"/>
            <w:gridSpan w:val="3"/>
          </w:tcPr>
          <w:p>
            <w:pPr>
              <w:ind w:left="380"/>
              <w:spacing w:after="0"/>
              <w:rPr>
                <w:sz w:val="20"/>
                <w:szCs w:val="20"/>
                <w:color w:val="auto"/>
              </w:rPr>
            </w:pPr>
            <w:r>
              <w:rPr>
                <w:rFonts w:ascii="Arial" w:cs="Arial" w:eastAsia="Arial" w:hAnsi="Arial"/>
                <w:sz w:val="20"/>
                <w:szCs w:val="20"/>
                <w:color w:val="auto"/>
                <w:w w:val="95"/>
              </w:rPr>
              <w:t>Section 11.11. Right of Contribution</w:t>
            </w:r>
          </w:p>
        </w:tc>
        <w:tc>
          <w:tcPr>
            <w:tcW w:w="400" w:type="dxa"/>
            <w:vAlign w:val="bottom"/>
          </w:tcPr>
          <w:p>
            <w:pPr>
              <w:jc w:val="right"/>
              <w:spacing w:after="0"/>
              <w:rPr>
                <w:sz w:val="20"/>
                <w:szCs w:val="20"/>
                <w:color w:val="auto"/>
              </w:rPr>
            </w:pPr>
            <w:r>
              <w:rPr>
                <w:rFonts w:ascii="Arial" w:cs="Arial" w:eastAsia="Arial" w:hAnsi="Arial"/>
                <w:sz w:val="20"/>
                <w:szCs w:val="20"/>
                <w:color w:val="auto"/>
                <w:w w:val="95"/>
              </w:rPr>
              <w:t>158</w:t>
            </w: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50"/>
        </w:trPr>
        <w:tc>
          <w:tcPr>
            <w:tcW w:w="5340" w:type="dxa"/>
            <w:vAlign w:val="bottom"/>
            <w:gridSpan w:val="5"/>
          </w:tcPr>
          <w:p>
            <w:pPr>
              <w:ind w:left="380"/>
              <w:spacing w:after="0"/>
              <w:rPr>
                <w:sz w:val="20"/>
                <w:szCs w:val="20"/>
                <w:color w:val="auto"/>
              </w:rPr>
            </w:pPr>
            <w:r>
              <w:rPr>
                <w:rFonts w:ascii="Arial" w:cs="Arial" w:eastAsia="Arial" w:hAnsi="Arial"/>
                <w:sz w:val="20"/>
                <w:szCs w:val="20"/>
                <w:color w:val="auto"/>
                <w:w w:val="90"/>
              </w:rPr>
              <w:t>Section 11.12. Additional Guarantor Waivers and Agreements</w:t>
            </w:r>
          </w:p>
        </w:tc>
        <w:tc>
          <w:tcPr>
            <w:tcW w:w="380" w:type="dxa"/>
            <w:vAlign w:val="bottom"/>
          </w:tcPr>
          <w:p>
            <w:pPr>
              <w:jc w:val="right"/>
              <w:spacing w:after="0"/>
              <w:rPr>
                <w:sz w:val="20"/>
                <w:szCs w:val="20"/>
                <w:color w:val="auto"/>
              </w:rPr>
            </w:pPr>
            <w:r>
              <w:rPr>
                <w:rFonts w:ascii="Arial" w:cs="Arial" w:eastAsia="Arial" w:hAnsi="Arial"/>
                <w:sz w:val="20"/>
                <w:szCs w:val="20"/>
                <w:color w:val="auto"/>
              </w:rPr>
              <w:t>158</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157480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365" w:right="1440" w:bottom="1440" w:gutter="0" w:footer="0" w:header="0"/>
        </w:sectPr>
      </w:pPr>
    </w:p>
    <w:bookmarkStart w:id="32" w:name="page33"/>
    <w:bookmarkEnd w:id="32"/>
    <w:p>
      <w:pPr>
        <w:spacing w:after="0"/>
        <w:rPr>
          <w:sz w:val="20"/>
          <w:szCs w:val="20"/>
          <w:color w:val="auto"/>
        </w:rPr>
      </w:pPr>
      <w:r>
        <w:rPr>
          <w:rFonts w:ascii="Arial" w:cs="Arial" w:eastAsia="Arial" w:hAnsi="Arial"/>
          <w:sz w:val="20"/>
          <w:szCs w:val="20"/>
          <w:color w:val="auto"/>
        </w:rPr>
        <w:t>SCHEDULES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20"/>
                <w:szCs w:val="20"/>
                <w:color w:val="auto"/>
              </w:rPr>
              <w:t>1.01(a)</w:t>
            </w:r>
          </w:p>
        </w:tc>
        <w:tc>
          <w:tcPr>
            <w:tcW w:w="4500" w:type="dxa"/>
            <w:vAlign w:val="bottom"/>
          </w:tcPr>
          <w:p>
            <w:pPr>
              <w:ind w:left="500"/>
              <w:spacing w:after="0"/>
              <w:rPr>
                <w:sz w:val="20"/>
                <w:szCs w:val="20"/>
                <w:color w:val="auto"/>
              </w:rPr>
            </w:pPr>
            <w:r>
              <w:rPr>
                <w:rFonts w:ascii="Arial" w:cs="Arial" w:eastAsia="Arial" w:hAnsi="Arial"/>
                <w:sz w:val="20"/>
                <w:szCs w:val="20"/>
                <w:color w:val="auto"/>
              </w:rPr>
              <w:t>Excluded Real Property</w:t>
            </w:r>
          </w:p>
        </w:tc>
      </w:tr>
      <w:tr>
        <w:trPr>
          <w:trHeight w:val="229"/>
        </w:trPr>
        <w:tc>
          <w:tcPr>
            <w:tcW w:w="700" w:type="dxa"/>
            <w:vAlign w:val="bottom"/>
          </w:tcPr>
          <w:p>
            <w:pPr>
              <w:spacing w:after="0"/>
              <w:rPr>
                <w:sz w:val="20"/>
                <w:szCs w:val="20"/>
                <w:color w:val="auto"/>
              </w:rPr>
            </w:pPr>
            <w:r>
              <w:rPr>
                <w:rFonts w:ascii="Arial" w:cs="Arial" w:eastAsia="Arial" w:hAnsi="Arial"/>
                <w:sz w:val="20"/>
                <w:szCs w:val="20"/>
                <w:color w:val="auto"/>
              </w:rPr>
              <w:t>1.01(b)</w:t>
            </w:r>
          </w:p>
        </w:tc>
        <w:tc>
          <w:tcPr>
            <w:tcW w:w="4500" w:type="dxa"/>
            <w:vAlign w:val="bottom"/>
          </w:tcPr>
          <w:p>
            <w:pPr>
              <w:ind w:left="500"/>
              <w:spacing w:after="0"/>
              <w:rPr>
                <w:sz w:val="20"/>
                <w:szCs w:val="20"/>
                <w:color w:val="auto"/>
              </w:rPr>
            </w:pPr>
            <w:r>
              <w:rPr>
                <w:rFonts w:ascii="Arial" w:cs="Arial" w:eastAsia="Arial" w:hAnsi="Arial"/>
                <w:sz w:val="20"/>
                <w:szCs w:val="20"/>
                <w:color w:val="auto"/>
              </w:rPr>
              <w:t>Guarantors</w:t>
            </w:r>
          </w:p>
        </w:tc>
      </w:tr>
      <w:tr>
        <w:trPr>
          <w:trHeight w:val="230"/>
        </w:trPr>
        <w:tc>
          <w:tcPr>
            <w:tcW w:w="700" w:type="dxa"/>
            <w:vAlign w:val="bottom"/>
          </w:tcPr>
          <w:p>
            <w:pPr>
              <w:spacing w:after="0"/>
              <w:rPr>
                <w:sz w:val="20"/>
                <w:szCs w:val="20"/>
                <w:color w:val="auto"/>
              </w:rPr>
            </w:pPr>
            <w:r>
              <w:rPr>
                <w:rFonts w:ascii="Arial" w:cs="Arial" w:eastAsia="Arial" w:hAnsi="Arial"/>
                <w:sz w:val="20"/>
                <w:szCs w:val="20"/>
                <w:color w:val="auto"/>
              </w:rPr>
              <w:t>1.01(c)</w:t>
            </w:r>
          </w:p>
        </w:tc>
        <w:tc>
          <w:tcPr>
            <w:tcW w:w="4500" w:type="dxa"/>
            <w:vAlign w:val="bottom"/>
          </w:tcPr>
          <w:p>
            <w:pPr>
              <w:ind w:left="500"/>
              <w:spacing w:after="0"/>
              <w:rPr>
                <w:sz w:val="20"/>
                <w:szCs w:val="20"/>
                <w:color w:val="auto"/>
              </w:rPr>
            </w:pPr>
            <w:r>
              <w:rPr>
                <w:rFonts w:ascii="Arial" w:cs="Arial" w:eastAsia="Arial" w:hAnsi="Arial"/>
                <w:sz w:val="20"/>
                <w:szCs w:val="20"/>
                <w:color w:val="auto"/>
              </w:rPr>
              <w:t>Mortgaged Properties</w:t>
            </w:r>
          </w:p>
        </w:tc>
      </w:tr>
      <w:tr>
        <w:trPr>
          <w:trHeight w:val="229"/>
        </w:trPr>
        <w:tc>
          <w:tcPr>
            <w:tcW w:w="700" w:type="dxa"/>
            <w:vAlign w:val="bottom"/>
          </w:tcPr>
          <w:p>
            <w:pPr>
              <w:spacing w:after="0"/>
              <w:rPr>
                <w:sz w:val="20"/>
                <w:szCs w:val="20"/>
                <w:color w:val="auto"/>
              </w:rPr>
            </w:pPr>
            <w:r>
              <w:rPr>
                <w:rFonts w:ascii="Arial" w:cs="Arial" w:eastAsia="Arial" w:hAnsi="Arial"/>
                <w:sz w:val="20"/>
                <w:szCs w:val="20"/>
                <w:color w:val="auto"/>
              </w:rPr>
              <w:t>1.01(d)</w:t>
            </w:r>
          </w:p>
        </w:tc>
        <w:tc>
          <w:tcPr>
            <w:tcW w:w="4500" w:type="dxa"/>
            <w:vAlign w:val="bottom"/>
          </w:tcPr>
          <w:p>
            <w:pPr>
              <w:ind w:left="500"/>
              <w:spacing w:after="0"/>
              <w:rPr>
                <w:sz w:val="20"/>
                <w:szCs w:val="20"/>
                <w:color w:val="auto"/>
              </w:rPr>
            </w:pPr>
            <w:r>
              <w:rPr>
                <w:rFonts w:ascii="Arial" w:cs="Arial" w:eastAsia="Arial" w:hAnsi="Arial"/>
                <w:sz w:val="20"/>
                <w:szCs w:val="20"/>
                <w:color w:val="auto"/>
              </w:rPr>
              <w:t>Pension Fund Entities</w:t>
            </w:r>
          </w:p>
        </w:tc>
      </w:tr>
      <w:tr>
        <w:trPr>
          <w:trHeight w:val="229"/>
        </w:trPr>
        <w:tc>
          <w:tcPr>
            <w:tcW w:w="700" w:type="dxa"/>
            <w:vAlign w:val="bottom"/>
          </w:tcPr>
          <w:p>
            <w:pPr>
              <w:spacing w:after="0"/>
              <w:rPr>
                <w:sz w:val="20"/>
                <w:szCs w:val="20"/>
                <w:color w:val="auto"/>
              </w:rPr>
            </w:pPr>
            <w:r>
              <w:rPr>
                <w:rFonts w:ascii="Arial" w:cs="Arial" w:eastAsia="Arial" w:hAnsi="Arial"/>
                <w:sz w:val="20"/>
                <w:szCs w:val="20"/>
                <w:color w:val="auto"/>
              </w:rPr>
              <w:t>2.01</w:t>
            </w:r>
          </w:p>
        </w:tc>
        <w:tc>
          <w:tcPr>
            <w:tcW w:w="4500" w:type="dxa"/>
            <w:vAlign w:val="bottom"/>
          </w:tcPr>
          <w:p>
            <w:pPr>
              <w:ind w:left="100"/>
              <w:spacing w:after="0"/>
              <w:rPr>
                <w:sz w:val="20"/>
                <w:szCs w:val="20"/>
                <w:color w:val="auto"/>
              </w:rPr>
            </w:pPr>
            <w:r>
              <w:rPr>
                <w:rFonts w:ascii="Arial" w:cs="Arial" w:eastAsia="Arial" w:hAnsi="Arial"/>
                <w:sz w:val="20"/>
                <w:szCs w:val="20"/>
                <w:color w:val="auto"/>
              </w:rPr>
              <w:t>Lenders and Commitments</w:t>
            </w:r>
          </w:p>
        </w:tc>
      </w:tr>
      <w:tr>
        <w:trPr>
          <w:trHeight w:val="230"/>
        </w:trPr>
        <w:tc>
          <w:tcPr>
            <w:tcW w:w="700" w:type="dxa"/>
            <w:vAlign w:val="bottom"/>
          </w:tcPr>
          <w:p>
            <w:pPr>
              <w:spacing w:after="0"/>
              <w:rPr>
                <w:sz w:val="20"/>
                <w:szCs w:val="20"/>
                <w:color w:val="auto"/>
              </w:rPr>
            </w:pPr>
            <w:r>
              <w:rPr>
                <w:rFonts w:ascii="Arial" w:cs="Arial" w:eastAsia="Arial" w:hAnsi="Arial"/>
                <w:sz w:val="20"/>
                <w:szCs w:val="20"/>
                <w:color w:val="auto"/>
              </w:rPr>
              <w:t>4.02(b)</w:t>
            </w:r>
          </w:p>
        </w:tc>
        <w:tc>
          <w:tcPr>
            <w:tcW w:w="4500" w:type="dxa"/>
            <w:vAlign w:val="bottom"/>
          </w:tcPr>
          <w:p>
            <w:pPr>
              <w:ind w:left="500"/>
              <w:spacing w:after="0"/>
              <w:rPr>
                <w:sz w:val="20"/>
                <w:szCs w:val="20"/>
                <w:color w:val="auto"/>
              </w:rPr>
            </w:pPr>
            <w:r>
              <w:rPr>
                <w:rFonts w:ascii="Arial" w:cs="Arial" w:eastAsia="Arial" w:hAnsi="Arial"/>
                <w:sz w:val="20"/>
                <w:szCs w:val="20"/>
                <w:color w:val="auto"/>
              </w:rPr>
              <w:t>Local Counsel Opinions</w:t>
            </w:r>
          </w:p>
        </w:tc>
      </w:tr>
      <w:tr>
        <w:trPr>
          <w:trHeight w:val="229"/>
        </w:trPr>
        <w:tc>
          <w:tcPr>
            <w:tcW w:w="700" w:type="dxa"/>
            <w:vAlign w:val="bottom"/>
          </w:tcPr>
          <w:p>
            <w:pPr>
              <w:spacing w:after="0"/>
              <w:rPr>
                <w:sz w:val="20"/>
                <w:szCs w:val="20"/>
                <w:color w:val="auto"/>
              </w:rPr>
            </w:pPr>
            <w:r>
              <w:rPr>
                <w:rFonts w:ascii="Arial" w:cs="Arial" w:eastAsia="Arial" w:hAnsi="Arial"/>
                <w:sz w:val="20"/>
                <w:szCs w:val="20"/>
                <w:color w:val="auto"/>
              </w:rPr>
              <w:t>5.10(b)</w:t>
            </w:r>
          </w:p>
        </w:tc>
        <w:tc>
          <w:tcPr>
            <w:tcW w:w="4500" w:type="dxa"/>
            <w:vAlign w:val="bottom"/>
          </w:tcPr>
          <w:p>
            <w:pPr>
              <w:ind w:left="500"/>
              <w:spacing w:after="0"/>
              <w:rPr>
                <w:sz w:val="20"/>
                <w:szCs w:val="20"/>
                <w:color w:val="auto"/>
              </w:rPr>
            </w:pPr>
            <w:r>
              <w:rPr>
                <w:rFonts w:ascii="Arial" w:cs="Arial" w:eastAsia="Arial" w:hAnsi="Arial"/>
                <w:sz w:val="20"/>
                <w:szCs w:val="20"/>
                <w:color w:val="auto"/>
              </w:rPr>
              <w:t>Multiemployer Plans</w:t>
            </w:r>
          </w:p>
        </w:tc>
      </w:tr>
      <w:tr>
        <w:trPr>
          <w:trHeight w:val="230"/>
        </w:trPr>
        <w:tc>
          <w:tcPr>
            <w:tcW w:w="700" w:type="dxa"/>
            <w:vAlign w:val="bottom"/>
          </w:tcPr>
          <w:p>
            <w:pPr>
              <w:spacing w:after="0"/>
              <w:rPr>
                <w:sz w:val="20"/>
                <w:szCs w:val="20"/>
                <w:color w:val="auto"/>
              </w:rPr>
            </w:pPr>
            <w:r>
              <w:rPr>
                <w:rFonts w:ascii="Arial" w:cs="Arial" w:eastAsia="Arial" w:hAnsi="Arial"/>
                <w:sz w:val="20"/>
                <w:szCs w:val="20"/>
                <w:color w:val="auto"/>
              </w:rPr>
              <w:t>5.11</w:t>
            </w:r>
          </w:p>
        </w:tc>
        <w:tc>
          <w:tcPr>
            <w:tcW w:w="4500" w:type="dxa"/>
            <w:vAlign w:val="bottom"/>
          </w:tcPr>
          <w:p>
            <w:pPr>
              <w:ind w:left="100"/>
              <w:spacing w:after="0"/>
              <w:rPr>
                <w:sz w:val="20"/>
                <w:szCs w:val="20"/>
                <w:color w:val="auto"/>
              </w:rPr>
            </w:pPr>
            <w:r>
              <w:rPr>
                <w:rFonts w:ascii="Arial" w:cs="Arial" w:eastAsia="Arial" w:hAnsi="Arial"/>
                <w:sz w:val="20"/>
                <w:szCs w:val="20"/>
                <w:color w:val="auto"/>
              </w:rPr>
              <w:t>Subsidiaries and Other Equity Interests</w:t>
            </w:r>
          </w:p>
        </w:tc>
      </w:tr>
      <w:tr>
        <w:trPr>
          <w:trHeight w:val="229"/>
        </w:trPr>
        <w:tc>
          <w:tcPr>
            <w:tcW w:w="700" w:type="dxa"/>
            <w:vAlign w:val="bottom"/>
          </w:tcPr>
          <w:p>
            <w:pPr>
              <w:spacing w:after="0"/>
              <w:rPr>
                <w:sz w:val="20"/>
                <w:szCs w:val="20"/>
                <w:color w:val="auto"/>
              </w:rPr>
            </w:pPr>
            <w:r>
              <w:rPr>
                <w:rFonts w:ascii="Arial" w:cs="Arial" w:eastAsia="Arial" w:hAnsi="Arial"/>
                <w:sz w:val="20"/>
                <w:szCs w:val="20"/>
                <w:color w:val="auto"/>
              </w:rPr>
              <w:t>5.14</w:t>
            </w:r>
          </w:p>
        </w:tc>
        <w:tc>
          <w:tcPr>
            <w:tcW w:w="4500" w:type="dxa"/>
            <w:vAlign w:val="bottom"/>
          </w:tcPr>
          <w:p>
            <w:pPr>
              <w:ind w:left="100"/>
              <w:spacing w:after="0"/>
              <w:rPr>
                <w:sz w:val="20"/>
                <w:szCs w:val="20"/>
                <w:color w:val="auto"/>
              </w:rPr>
            </w:pPr>
            <w:r>
              <w:rPr>
                <w:rFonts w:ascii="Arial" w:cs="Arial" w:eastAsia="Arial" w:hAnsi="Arial"/>
                <w:sz w:val="20"/>
                <w:szCs w:val="20"/>
                <w:color w:val="auto"/>
              </w:rPr>
              <w:t>Labor Matters</w:t>
            </w:r>
          </w:p>
        </w:tc>
      </w:tr>
      <w:tr>
        <w:trPr>
          <w:trHeight w:val="229"/>
        </w:trPr>
        <w:tc>
          <w:tcPr>
            <w:tcW w:w="700" w:type="dxa"/>
            <w:vAlign w:val="bottom"/>
          </w:tcPr>
          <w:p>
            <w:pPr>
              <w:spacing w:after="0"/>
              <w:rPr>
                <w:sz w:val="20"/>
                <w:szCs w:val="20"/>
                <w:color w:val="auto"/>
              </w:rPr>
            </w:pPr>
            <w:r>
              <w:rPr>
                <w:rFonts w:ascii="Arial" w:cs="Arial" w:eastAsia="Arial" w:hAnsi="Arial"/>
                <w:sz w:val="20"/>
                <w:szCs w:val="20"/>
                <w:color w:val="auto"/>
              </w:rPr>
              <w:t>6.13(a)</w:t>
            </w:r>
          </w:p>
        </w:tc>
        <w:tc>
          <w:tcPr>
            <w:tcW w:w="4500" w:type="dxa"/>
            <w:vAlign w:val="bottom"/>
          </w:tcPr>
          <w:p>
            <w:pPr>
              <w:ind w:left="500"/>
              <w:spacing w:after="0"/>
              <w:rPr>
                <w:sz w:val="20"/>
                <w:szCs w:val="20"/>
                <w:color w:val="auto"/>
              </w:rPr>
            </w:pPr>
            <w:r>
              <w:rPr>
                <w:rFonts w:ascii="Arial" w:cs="Arial" w:eastAsia="Arial" w:hAnsi="Arial"/>
                <w:sz w:val="20"/>
                <w:szCs w:val="20"/>
                <w:color w:val="auto"/>
              </w:rPr>
              <w:t>Post Closing Schedule</w:t>
            </w:r>
          </w:p>
        </w:tc>
      </w:tr>
      <w:tr>
        <w:trPr>
          <w:trHeight w:val="230"/>
        </w:trPr>
        <w:tc>
          <w:tcPr>
            <w:tcW w:w="700" w:type="dxa"/>
            <w:vAlign w:val="bottom"/>
          </w:tcPr>
          <w:p>
            <w:pPr>
              <w:spacing w:after="0"/>
              <w:rPr>
                <w:sz w:val="20"/>
                <w:szCs w:val="20"/>
                <w:color w:val="auto"/>
              </w:rPr>
            </w:pPr>
            <w:r>
              <w:rPr>
                <w:rFonts w:ascii="Arial" w:cs="Arial" w:eastAsia="Arial" w:hAnsi="Arial"/>
                <w:sz w:val="20"/>
                <w:szCs w:val="20"/>
                <w:color w:val="auto"/>
              </w:rPr>
              <w:t>7.01(b)</w:t>
            </w:r>
          </w:p>
        </w:tc>
        <w:tc>
          <w:tcPr>
            <w:tcW w:w="4500" w:type="dxa"/>
            <w:vAlign w:val="bottom"/>
          </w:tcPr>
          <w:p>
            <w:pPr>
              <w:ind w:left="500"/>
              <w:spacing w:after="0"/>
              <w:rPr>
                <w:sz w:val="20"/>
                <w:szCs w:val="20"/>
                <w:color w:val="auto"/>
              </w:rPr>
            </w:pPr>
            <w:r>
              <w:rPr>
                <w:rFonts w:ascii="Arial" w:cs="Arial" w:eastAsia="Arial" w:hAnsi="Arial"/>
                <w:sz w:val="20"/>
                <w:szCs w:val="20"/>
                <w:color w:val="auto"/>
              </w:rPr>
              <w:t>Existing Liens</w:t>
            </w:r>
          </w:p>
        </w:tc>
      </w:tr>
      <w:tr>
        <w:trPr>
          <w:trHeight w:val="229"/>
        </w:trPr>
        <w:tc>
          <w:tcPr>
            <w:tcW w:w="700" w:type="dxa"/>
            <w:vAlign w:val="bottom"/>
          </w:tcPr>
          <w:p>
            <w:pPr>
              <w:spacing w:after="0"/>
              <w:rPr>
                <w:sz w:val="20"/>
                <w:szCs w:val="20"/>
                <w:color w:val="auto"/>
              </w:rPr>
            </w:pPr>
            <w:r>
              <w:rPr>
                <w:rFonts w:ascii="Arial" w:cs="Arial" w:eastAsia="Arial" w:hAnsi="Arial"/>
                <w:sz w:val="20"/>
                <w:szCs w:val="20"/>
                <w:color w:val="auto"/>
              </w:rPr>
              <w:t>7.02(e)</w:t>
            </w:r>
          </w:p>
        </w:tc>
        <w:tc>
          <w:tcPr>
            <w:tcW w:w="4500" w:type="dxa"/>
            <w:vAlign w:val="bottom"/>
          </w:tcPr>
          <w:p>
            <w:pPr>
              <w:ind w:left="500"/>
              <w:spacing w:after="0"/>
              <w:rPr>
                <w:sz w:val="20"/>
                <w:szCs w:val="20"/>
                <w:color w:val="auto"/>
              </w:rPr>
            </w:pPr>
            <w:r>
              <w:rPr>
                <w:rFonts w:ascii="Arial" w:cs="Arial" w:eastAsia="Arial" w:hAnsi="Arial"/>
                <w:sz w:val="20"/>
                <w:szCs w:val="20"/>
                <w:color w:val="auto"/>
              </w:rPr>
              <w:t>Existing Investments</w:t>
            </w:r>
          </w:p>
        </w:tc>
      </w:tr>
      <w:tr>
        <w:trPr>
          <w:trHeight w:val="229"/>
        </w:trPr>
        <w:tc>
          <w:tcPr>
            <w:tcW w:w="700" w:type="dxa"/>
            <w:vAlign w:val="bottom"/>
          </w:tcPr>
          <w:p>
            <w:pPr>
              <w:spacing w:after="0"/>
              <w:rPr>
                <w:sz w:val="20"/>
                <w:szCs w:val="20"/>
                <w:color w:val="auto"/>
              </w:rPr>
            </w:pPr>
            <w:r>
              <w:rPr>
                <w:rFonts w:ascii="Arial" w:cs="Arial" w:eastAsia="Arial" w:hAnsi="Arial"/>
                <w:sz w:val="20"/>
                <w:szCs w:val="20"/>
                <w:color w:val="auto"/>
              </w:rPr>
              <w:t>7.03(b)</w:t>
            </w:r>
          </w:p>
        </w:tc>
        <w:tc>
          <w:tcPr>
            <w:tcW w:w="4500" w:type="dxa"/>
            <w:vAlign w:val="bottom"/>
          </w:tcPr>
          <w:p>
            <w:pPr>
              <w:ind w:left="500"/>
              <w:spacing w:after="0"/>
              <w:rPr>
                <w:sz w:val="20"/>
                <w:szCs w:val="20"/>
                <w:color w:val="auto"/>
              </w:rPr>
            </w:pPr>
            <w:r>
              <w:rPr>
                <w:rFonts w:ascii="Arial" w:cs="Arial" w:eastAsia="Arial" w:hAnsi="Arial"/>
                <w:sz w:val="20"/>
                <w:szCs w:val="20"/>
                <w:color w:val="auto"/>
              </w:rPr>
              <w:t>Existing Indebtedness</w:t>
            </w:r>
          </w:p>
        </w:tc>
      </w:tr>
      <w:tr>
        <w:trPr>
          <w:trHeight w:val="230"/>
        </w:trPr>
        <w:tc>
          <w:tcPr>
            <w:tcW w:w="700" w:type="dxa"/>
            <w:vAlign w:val="bottom"/>
          </w:tcPr>
          <w:p>
            <w:pPr>
              <w:spacing w:after="0"/>
              <w:rPr>
                <w:sz w:val="20"/>
                <w:szCs w:val="20"/>
                <w:color w:val="auto"/>
              </w:rPr>
            </w:pPr>
            <w:r>
              <w:rPr>
                <w:rFonts w:ascii="Arial" w:cs="Arial" w:eastAsia="Arial" w:hAnsi="Arial"/>
                <w:sz w:val="20"/>
                <w:szCs w:val="20"/>
                <w:color w:val="auto"/>
              </w:rPr>
              <w:t>7.05(a)</w:t>
            </w:r>
          </w:p>
        </w:tc>
        <w:tc>
          <w:tcPr>
            <w:tcW w:w="4500" w:type="dxa"/>
            <w:vAlign w:val="bottom"/>
          </w:tcPr>
          <w:p>
            <w:pPr>
              <w:ind w:left="500"/>
              <w:spacing w:after="0"/>
              <w:rPr>
                <w:sz w:val="20"/>
                <w:szCs w:val="20"/>
                <w:color w:val="auto"/>
              </w:rPr>
            </w:pPr>
            <w:r>
              <w:rPr>
                <w:rFonts w:ascii="Arial" w:cs="Arial" w:eastAsia="Arial" w:hAnsi="Arial"/>
                <w:sz w:val="20"/>
                <w:szCs w:val="20"/>
                <w:color w:val="auto"/>
                <w:w w:val="89"/>
              </w:rPr>
              <w:t>Amendment No. 3 Real Properties Under Contract</w:t>
            </w:r>
          </w:p>
        </w:tc>
      </w:tr>
      <w:tr>
        <w:trPr>
          <w:trHeight w:val="229"/>
        </w:trPr>
        <w:tc>
          <w:tcPr>
            <w:tcW w:w="700" w:type="dxa"/>
            <w:vAlign w:val="bottom"/>
          </w:tcPr>
          <w:p>
            <w:pPr>
              <w:spacing w:after="0"/>
              <w:rPr>
                <w:sz w:val="20"/>
                <w:szCs w:val="20"/>
                <w:color w:val="auto"/>
              </w:rPr>
            </w:pPr>
            <w:r>
              <w:rPr>
                <w:rFonts w:ascii="Arial" w:cs="Arial" w:eastAsia="Arial" w:hAnsi="Arial"/>
                <w:sz w:val="20"/>
                <w:szCs w:val="20"/>
                <w:color w:val="auto"/>
              </w:rPr>
              <w:t>7.05(b)</w:t>
            </w:r>
          </w:p>
        </w:tc>
        <w:tc>
          <w:tcPr>
            <w:tcW w:w="4500" w:type="dxa"/>
            <w:vAlign w:val="bottom"/>
          </w:tcPr>
          <w:p>
            <w:pPr>
              <w:ind w:left="500"/>
              <w:spacing w:after="0"/>
              <w:rPr>
                <w:sz w:val="20"/>
                <w:szCs w:val="20"/>
                <w:color w:val="auto"/>
              </w:rPr>
            </w:pPr>
            <w:r>
              <w:rPr>
                <w:rFonts w:ascii="Arial" w:cs="Arial" w:eastAsia="Arial" w:hAnsi="Arial"/>
                <w:sz w:val="20"/>
                <w:szCs w:val="20"/>
                <w:color w:val="auto"/>
              </w:rPr>
              <w:t>Amendment No. 3 Additional Real Properties</w:t>
            </w:r>
          </w:p>
        </w:tc>
      </w:tr>
      <w:tr>
        <w:trPr>
          <w:trHeight w:val="230"/>
        </w:trPr>
        <w:tc>
          <w:tcPr>
            <w:tcW w:w="700" w:type="dxa"/>
            <w:vAlign w:val="bottom"/>
          </w:tcPr>
          <w:p>
            <w:pPr>
              <w:spacing w:after="0"/>
              <w:rPr>
                <w:sz w:val="20"/>
                <w:szCs w:val="20"/>
                <w:color w:val="auto"/>
              </w:rPr>
            </w:pPr>
            <w:r>
              <w:rPr>
                <w:rFonts w:ascii="Arial" w:cs="Arial" w:eastAsia="Arial" w:hAnsi="Arial"/>
                <w:sz w:val="20"/>
                <w:szCs w:val="20"/>
                <w:color w:val="auto"/>
              </w:rPr>
              <w:t>7.08</w:t>
            </w:r>
          </w:p>
        </w:tc>
        <w:tc>
          <w:tcPr>
            <w:tcW w:w="4500" w:type="dxa"/>
            <w:vAlign w:val="bottom"/>
          </w:tcPr>
          <w:p>
            <w:pPr>
              <w:ind w:left="100"/>
              <w:spacing w:after="0"/>
              <w:rPr>
                <w:sz w:val="20"/>
                <w:szCs w:val="20"/>
                <w:color w:val="auto"/>
              </w:rPr>
            </w:pPr>
            <w:r>
              <w:rPr>
                <w:rFonts w:ascii="Arial" w:cs="Arial" w:eastAsia="Arial" w:hAnsi="Arial"/>
                <w:sz w:val="20"/>
                <w:szCs w:val="20"/>
                <w:color w:val="auto"/>
              </w:rPr>
              <w:t>Transactions with Affiliates</w:t>
            </w:r>
          </w:p>
        </w:tc>
      </w:tr>
      <w:tr>
        <w:trPr>
          <w:trHeight w:val="250"/>
        </w:trPr>
        <w:tc>
          <w:tcPr>
            <w:tcW w:w="700" w:type="dxa"/>
            <w:vAlign w:val="bottom"/>
          </w:tcPr>
          <w:p>
            <w:pPr>
              <w:spacing w:after="0"/>
              <w:rPr>
                <w:sz w:val="20"/>
                <w:szCs w:val="20"/>
                <w:color w:val="auto"/>
              </w:rPr>
            </w:pPr>
            <w:r>
              <w:rPr>
                <w:rFonts w:ascii="Arial" w:cs="Arial" w:eastAsia="Arial" w:hAnsi="Arial"/>
                <w:sz w:val="20"/>
                <w:szCs w:val="20"/>
                <w:color w:val="auto"/>
              </w:rPr>
              <w:t>7.09</w:t>
            </w:r>
          </w:p>
        </w:tc>
        <w:tc>
          <w:tcPr>
            <w:tcW w:w="4500" w:type="dxa"/>
            <w:vAlign w:val="bottom"/>
          </w:tcPr>
          <w:p>
            <w:pPr>
              <w:ind w:left="100"/>
              <w:spacing w:after="0"/>
              <w:rPr>
                <w:sz w:val="20"/>
                <w:szCs w:val="20"/>
                <w:color w:val="auto"/>
              </w:rPr>
            </w:pPr>
            <w:r>
              <w:rPr>
                <w:rFonts w:ascii="Arial" w:cs="Arial" w:eastAsia="Arial" w:hAnsi="Arial"/>
                <w:sz w:val="20"/>
                <w:szCs w:val="20"/>
                <w:color w:val="auto"/>
              </w:rPr>
              <w:t>Certain Contractual Obligations</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EXHIBITS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Exhibit A Form of Administrative Questionnaire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Exhibit B Form of Assignment and Acceptance</w:t>
      </w:r>
    </w:p>
    <w:p>
      <w:pPr>
        <w:spacing w:after="0"/>
        <w:rPr>
          <w:sz w:val="20"/>
          <w:szCs w:val="20"/>
          <w:color w:val="auto"/>
        </w:rPr>
      </w:pPr>
      <w:r>
        <w:rPr>
          <w:rFonts w:ascii="Arial" w:cs="Arial" w:eastAsia="Arial" w:hAnsi="Arial"/>
          <w:sz w:val="20"/>
          <w:szCs w:val="20"/>
          <w:color w:val="auto"/>
        </w:rPr>
        <w:t>Exhibit C Form of Request for Credit Extension</w:t>
      </w:r>
    </w:p>
    <w:p>
      <w:pPr>
        <w:spacing w:after="0"/>
        <w:tabs>
          <w:tab w:leader="none" w:pos="1180" w:val="left"/>
        </w:tabs>
        <w:rPr>
          <w:sz w:val="20"/>
          <w:szCs w:val="20"/>
          <w:color w:val="auto"/>
        </w:rPr>
      </w:pPr>
      <w:r>
        <w:rPr>
          <w:rFonts w:ascii="Arial" w:cs="Arial" w:eastAsia="Arial" w:hAnsi="Arial"/>
          <w:sz w:val="20"/>
          <w:szCs w:val="20"/>
          <w:color w:val="auto"/>
        </w:rPr>
        <w:t>Exhibit D</w:t>
      </w:r>
      <w:r>
        <w:rPr>
          <w:sz w:val="20"/>
          <w:szCs w:val="20"/>
          <w:color w:val="auto"/>
        </w:rPr>
        <w:tab/>
      </w:r>
      <w:r>
        <w:rPr>
          <w:rFonts w:ascii="Arial" w:cs="Arial" w:eastAsia="Arial" w:hAnsi="Arial"/>
          <w:sz w:val="16"/>
          <w:szCs w:val="16"/>
          <w:color w:val="auto"/>
        </w:rPr>
        <w:t>[Reserved]</w:t>
      </w:r>
    </w:p>
    <w:p>
      <w:pPr>
        <w:spacing w:after="0"/>
        <w:rPr>
          <w:sz w:val="20"/>
          <w:szCs w:val="20"/>
          <w:color w:val="auto"/>
        </w:rPr>
      </w:pPr>
      <w:r>
        <w:rPr>
          <w:rFonts w:ascii="Arial" w:cs="Arial" w:eastAsia="Arial" w:hAnsi="Arial"/>
          <w:sz w:val="20"/>
          <w:szCs w:val="20"/>
          <w:color w:val="auto"/>
        </w:rPr>
        <w:t>Exhibit E Form of Intercompany Note</w:t>
      </w:r>
    </w:p>
    <w:p>
      <w:pPr>
        <w:spacing w:after="0"/>
        <w:rPr>
          <w:sz w:val="20"/>
          <w:szCs w:val="20"/>
          <w:color w:val="auto"/>
        </w:rPr>
      </w:pPr>
      <w:r>
        <w:rPr>
          <w:rFonts w:ascii="Arial" w:cs="Arial" w:eastAsia="Arial" w:hAnsi="Arial"/>
          <w:sz w:val="20"/>
          <w:szCs w:val="20"/>
          <w:color w:val="auto"/>
        </w:rPr>
        <w:t>Exhibit F Form of Compliance Certificate</w:t>
      </w:r>
    </w:p>
    <w:p>
      <w:pPr>
        <w:spacing w:after="0"/>
        <w:tabs>
          <w:tab w:leader="none" w:pos="1480" w:val="left"/>
        </w:tabs>
        <w:rPr>
          <w:sz w:val="20"/>
          <w:szCs w:val="20"/>
          <w:color w:val="auto"/>
        </w:rPr>
      </w:pPr>
      <w:r>
        <w:rPr>
          <w:rFonts w:ascii="Arial" w:cs="Arial" w:eastAsia="Arial" w:hAnsi="Arial"/>
          <w:sz w:val="20"/>
          <w:szCs w:val="20"/>
          <w:color w:val="auto"/>
        </w:rPr>
        <w:t>Exhibit G-1</w:t>
      </w:r>
      <w:r>
        <w:rPr>
          <w:sz w:val="20"/>
          <w:szCs w:val="20"/>
          <w:color w:val="auto"/>
        </w:rPr>
        <w:tab/>
      </w:r>
      <w:r>
        <w:rPr>
          <w:rFonts w:ascii="Arial" w:cs="Arial" w:eastAsia="Arial" w:hAnsi="Arial"/>
          <w:sz w:val="18"/>
          <w:szCs w:val="18"/>
          <w:color w:val="auto"/>
        </w:rPr>
        <w:t>Form of United States Tax Compliance Certificate</w:t>
      </w:r>
    </w:p>
    <w:p>
      <w:pPr>
        <w:ind w:left="1500"/>
        <w:spacing w:after="0"/>
        <w:rPr>
          <w:sz w:val="20"/>
          <w:szCs w:val="20"/>
          <w:color w:val="auto"/>
        </w:rPr>
      </w:pPr>
      <w:r>
        <w:rPr>
          <w:rFonts w:ascii="Arial" w:cs="Arial" w:eastAsia="Arial" w:hAnsi="Arial"/>
          <w:sz w:val="19"/>
          <w:szCs w:val="19"/>
          <w:color w:val="auto"/>
        </w:rPr>
        <w:t>(For Non-U.S. Lenders that are not Partnerships)</w:t>
      </w:r>
    </w:p>
    <w:p>
      <w:pPr>
        <w:spacing w:after="0" w:line="11"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color w:val="auto"/>
        </w:rPr>
        <w:t>Exhibit G-2</w:t>
      </w:r>
      <w:r>
        <w:rPr>
          <w:sz w:val="20"/>
          <w:szCs w:val="20"/>
          <w:color w:val="auto"/>
        </w:rPr>
        <w:tab/>
      </w:r>
      <w:r>
        <w:rPr>
          <w:rFonts w:ascii="Arial" w:cs="Arial" w:eastAsia="Arial" w:hAnsi="Arial"/>
          <w:sz w:val="18"/>
          <w:szCs w:val="18"/>
          <w:color w:val="auto"/>
        </w:rPr>
        <w:t>Form of United States Tax Compliance Certificate</w:t>
      </w:r>
    </w:p>
    <w:p>
      <w:pPr>
        <w:ind w:left="1500"/>
        <w:spacing w:after="0"/>
        <w:rPr>
          <w:sz w:val="20"/>
          <w:szCs w:val="20"/>
          <w:color w:val="auto"/>
        </w:rPr>
      </w:pPr>
      <w:r>
        <w:rPr>
          <w:rFonts w:ascii="Arial" w:cs="Arial" w:eastAsia="Arial" w:hAnsi="Arial"/>
          <w:sz w:val="20"/>
          <w:szCs w:val="20"/>
          <w:color w:val="auto"/>
        </w:rPr>
        <w:t>(For Non-U.S. Lenders that are Partnerships)</w:t>
      </w:r>
    </w:p>
    <w:p>
      <w:pPr>
        <w:spacing w:after="0"/>
        <w:tabs>
          <w:tab w:leader="none" w:pos="1480" w:val="left"/>
        </w:tabs>
        <w:rPr>
          <w:sz w:val="20"/>
          <w:szCs w:val="20"/>
          <w:color w:val="auto"/>
        </w:rPr>
      </w:pPr>
      <w:r>
        <w:rPr>
          <w:rFonts w:ascii="Arial" w:cs="Arial" w:eastAsia="Arial" w:hAnsi="Arial"/>
          <w:sz w:val="20"/>
          <w:szCs w:val="20"/>
          <w:color w:val="auto"/>
        </w:rPr>
        <w:t>Exhibit G-3</w:t>
      </w:r>
      <w:r>
        <w:rPr>
          <w:sz w:val="20"/>
          <w:szCs w:val="20"/>
          <w:color w:val="auto"/>
        </w:rPr>
        <w:tab/>
      </w:r>
      <w:r>
        <w:rPr>
          <w:rFonts w:ascii="Arial" w:cs="Arial" w:eastAsia="Arial" w:hAnsi="Arial"/>
          <w:sz w:val="18"/>
          <w:szCs w:val="18"/>
          <w:color w:val="auto"/>
        </w:rPr>
        <w:t>Form of United States Tax Compliance Certificate</w:t>
      </w:r>
    </w:p>
    <w:p>
      <w:pPr>
        <w:ind w:left="1500"/>
        <w:spacing w:after="0"/>
        <w:rPr>
          <w:sz w:val="20"/>
          <w:szCs w:val="20"/>
          <w:color w:val="auto"/>
        </w:rPr>
      </w:pPr>
      <w:r>
        <w:rPr>
          <w:rFonts w:ascii="Arial" w:cs="Arial" w:eastAsia="Arial" w:hAnsi="Arial"/>
          <w:sz w:val="16"/>
          <w:szCs w:val="16"/>
          <w:color w:val="auto"/>
        </w:rPr>
        <w:t>(For Non-U.S. Participants that are not Partnerships)</w:t>
      </w:r>
    </w:p>
    <w:p>
      <w:pPr>
        <w:spacing w:after="0" w:line="45"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color w:val="auto"/>
        </w:rPr>
        <w:t>Exhibit G-4</w:t>
      </w:r>
      <w:r>
        <w:rPr>
          <w:sz w:val="20"/>
          <w:szCs w:val="20"/>
          <w:color w:val="auto"/>
        </w:rPr>
        <w:tab/>
      </w:r>
      <w:r>
        <w:rPr>
          <w:rFonts w:ascii="Arial" w:cs="Arial" w:eastAsia="Arial" w:hAnsi="Arial"/>
          <w:sz w:val="18"/>
          <w:szCs w:val="18"/>
          <w:color w:val="auto"/>
        </w:rPr>
        <w:t>Form of United States Tax Compliance Certificate</w:t>
      </w:r>
    </w:p>
    <w:p>
      <w:pPr>
        <w:ind w:left="1500"/>
        <w:spacing w:after="0"/>
        <w:rPr>
          <w:sz w:val="20"/>
          <w:szCs w:val="20"/>
          <w:color w:val="auto"/>
        </w:rPr>
      </w:pPr>
      <w:r>
        <w:rPr>
          <w:rFonts w:ascii="Arial" w:cs="Arial" w:eastAsia="Arial" w:hAnsi="Arial"/>
          <w:sz w:val="19"/>
          <w:szCs w:val="19"/>
          <w:color w:val="auto"/>
        </w:rPr>
        <w:t>(For Non-U.S. Participants that are Partnerships)</w:t>
      </w:r>
    </w:p>
    <w:p>
      <w:pPr>
        <w:spacing w:after="0" w:line="11"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Exhibit H</w:t>
      </w:r>
      <w:r>
        <w:rPr>
          <w:sz w:val="20"/>
          <w:szCs w:val="20"/>
          <w:color w:val="auto"/>
        </w:rPr>
        <w:tab/>
      </w:r>
      <w:r>
        <w:rPr>
          <w:rFonts w:ascii="Arial" w:cs="Arial" w:eastAsia="Arial" w:hAnsi="Arial"/>
          <w:sz w:val="18"/>
          <w:szCs w:val="18"/>
          <w:color w:val="auto"/>
        </w:rPr>
        <w:t>Form of Solvency Certificate</w:t>
      </w:r>
    </w:p>
    <w:p>
      <w:pPr>
        <w:spacing w:after="0"/>
        <w:rPr>
          <w:sz w:val="20"/>
          <w:szCs w:val="20"/>
          <w:color w:val="auto"/>
        </w:rPr>
      </w:pPr>
      <w:r>
        <w:rPr>
          <w:rFonts w:ascii="Arial" w:cs="Arial" w:eastAsia="Arial" w:hAnsi="Arial"/>
          <w:sz w:val="20"/>
          <w:szCs w:val="20"/>
          <w:color w:val="auto"/>
        </w:rPr>
        <w:t>Exhibit I [Reserved]</w:t>
      </w:r>
    </w:p>
    <w:p>
      <w:pPr>
        <w:spacing w:after="0"/>
        <w:rPr>
          <w:sz w:val="20"/>
          <w:szCs w:val="20"/>
          <w:color w:val="auto"/>
        </w:rPr>
      </w:pPr>
      <w:r>
        <w:rPr>
          <w:rFonts w:ascii="Arial" w:cs="Arial" w:eastAsia="Arial" w:hAnsi="Arial"/>
          <w:sz w:val="20"/>
          <w:szCs w:val="20"/>
          <w:color w:val="auto"/>
        </w:rPr>
        <w:t>Exhibit J Form of Term Note</w:t>
      </w:r>
    </w:p>
    <w:p>
      <w:pPr>
        <w:spacing w:after="0"/>
        <w:tabs>
          <w:tab w:leader="none" w:pos="1180" w:val="left"/>
        </w:tabs>
        <w:rPr>
          <w:sz w:val="20"/>
          <w:szCs w:val="20"/>
          <w:color w:val="auto"/>
        </w:rPr>
      </w:pPr>
      <w:r>
        <w:rPr>
          <w:rFonts w:ascii="Arial" w:cs="Arial" w:eastAsia="Arial" w:hAnsi="Arial"/>
          <w:sz w:val="20"/>
          <w:szCs w:val="20"/>
          <w:color w:val="auto"/>
        </w:rPr>
        <w:t>Exhibit K</w:t>
      </w:r>
      <w:r>
        <w:rPr>
          <w:sz w:val="20"/>
          <w:szCs w:val="20"/>
          <w:color w:val="auto"/>
        </w:rPr>
        <w:tab/>
      </w:r>
      <w:r>
        <w:rPr>
          <w:rFonts w:ascii="Arial" w:cs="Arial" w:eastAsia="Arial" w:hAnsi="Arial"/>
          <w:sz w:val="16"/>
          <w:szCs w:val="16"/>
          <w:color w:val="auto"/>
        </w:rPr>
        <w:t>Auction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6" w:right="1440" w:bottom="1440" w:gutter="0" w:footer="0" w:header="0"/>
        </w:sectPr>
      </w:pPr>
    </w:p>
    <w:bookmarkStart w:id="33" w:name="page34"/>
    <w:bookmarkEnd w:id="33"/>
    <w:p>
      <w:pPr>
        <w:jc w:val="both"/>
        <w:ind w:firstLine="749"/>
        <w:spacing w:after="0" w:line="243" w:lineRule="auto"/>
        <w:rPr>
          <w:sz w:val="20"/>
          <w:szCs w:val="20"/>
          <w:color w:val="auto"/>
        </w:rPr>
      </w:pPr>
      <w:r>
        <w:rPr>
          <w:rFonts w:ascii="Arial" w:cs="Arial" w:eastAsia="Arial" w:hAnsi="Arial"/>
          <w:sz w:val="20"/>
          <w:szCs w:val="20"/>
          <w:color w:val="auto"/>
        </w:rPr>
        <w:t>AMENDED AND RESTATED CREDIT AGREEMENT, dated as of September 11, 2019 (as amended by Amendment No. 1, Amendment No. 2 and Amendment No. 3, this “</w:t>
      </w:r>
      <w:r>
        <w:rPr>
          <w:rFonts w:ascii="Arial" w:cs="Arial" w:eastAsia="Arial" w:hAnsi="Arial"/>
          <w:sz w:val="20"/>
          <w:szCs w:val="20"/>
          <w:b w:val="1"/>
          <w:bCs w:val="1"/>
          <w:color w:val="auto"/>
        </w:rPr>
        <w:t>Agreement</w:t>
      </w:r>
      <w:r>
        <w:rPr>
          <w:rFonts w:ascii="Arial" w:cs="Arial" w:eastAsia="Arial" w:hAnsi="Arial"/>
          <w:sz w:val="20"/>
          <w:szCs w:val="20"/>
          <w:color w:val="auto"/>
        </w:rPr>
        <w:t>”), among YELLOW CORPORATION (formerly known as YRC Worldwide Inc.), a Delaware corporation (the “</w:t>
      </w:r>
      <w:r>
        <w:rPr>
          <w:rFonts w:ascii="Arial" w:cs="Arial" w:eastAsia="Arial" w:hAnsi="Arial"/>
          <w:sz w:val="20"/>
          <w:szCs w:val="20"/>
          <w:b w:val="1"/>
          <w:bCs w:val="1"/>
          <w:color w:val="auto"/>
        </w:rPr>
        <w:t>Borrower</w:t>
      </w:r>
      <w:r>
        <w:rPr>
          <w:rFonts w:ascii="Arial" w:cs="Arial" w:eastAsia="Arial" w:hAnsi="Arial"/>
          <w:sz w:val="20"/>
          <w:szCs w:val="20"/>
          <w:color w:val="auto"/>
        </w:rPr>
        <w:t>”), the Guarantors party hereto from time to time, the Lenders (such term and each other capitalized term used but not defined in this introductory statement having the meaning given it in Article 1), and ALTER DOMUS PRODUCTS CORP. (formerly known as CORTLAND PRODUCTS CORP.), as administrative agent (in such capacity, including any permitted successor or assign thereto, the “</w:t>
      </w:r>
      <w:r>
        <w:rPr>
          <w:rFonts w:ascii="Arial" w:cs="Arial" w:eastAsia="Arial" w:hAnsi="Arial"/>
          <w:sz w:val="20"/>
          <w:szCs w:val="20"/>
          <w:b w:val="1"/>
          <w:bCs w:val="1"/>
          <w:color w:val="auto"/>
        </w:rPr>
        <w:t>Administrative Agent</w:t>
      </w:r>
      <w:r>
        <w:rPr>
          <w:rFonts w:ascii="Arial" w:cs="Arial" w:eastAsia="Arial" w:hAnsi="Arial"/>
          <w:sz w:val="20"/>
          <w:szCs w:val="20"/>
          <w:color w:val="auto"/>
        </w:rPr>
        <w:t>”) and as collateral agent (in such capacity, including any permitted successor or assign thereto, the “</w:t>
      </w:r>
      <w:r>
        <w:rPr>
          <w:rFonts w:ascii="Arial" w:cs="Arial" w:eastAsia="Arial" w:hAnsi="Arial"/>
          <w:sz w:val="20"/>
          <w:szCs w:val="20"/>
          <w:b w:val="1"/>
          <w:bCs w:val="1"/>
          <w:color w:val="auto"/>
        </w:rPr>
        <w:t>Collateral Agent</w:t>
      </w:r>
      <w:r>
        <w:rPr>
          <w:rFonts w:ascii="Arial" w:cs="Arial" w:eastAsia="Arial" w:hAnsi="Arial"/>
          <w:sz w:val="20"/>
          <w:szCs w:val="20"/>
          <w:color w:val="auto"/>
        </w:rPr>
        <w:t>”) for the Lenders.</w:t>
      </w:r>
    </w:p>
    <w:p>
      <w:pPr>
        <w:spacing w:after="0" w:line="19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WHEREAS, the Borrower, the financial institutions party thereto and Credit Suisse AG, Cayman Islands Branch, as predecessor Administrative Agent and predecessor Collateral Agent, are parties to a Credit Agreement dated as of February 13, 2014 (as amendment, supplemented and modified and in effect on the Restatement Effective Date, the “</w:t>
      </w:r>
      <w:r>
        <w:rPr>
          <w:rFonts w:ascii="Arial" w:cs="Arial" w:eastAsia="Arial" w:hAnsi="Arial"/>
          <w:sz w:val="19"/>
          <w:szCs w:val="19"/>
          <w:b w:val="1"/>
          <w:bCs w:val="1"/>
          <w:color w:val="auto"/>
        </w:rPr>
        <w:t>Existing Credit Agreement</w:t>
      </w:r>
      <w:r>
        <w:rPr>
          <w:rFonts w:ascii="Arial" w:cs="Arial" w:eastAsia="Arial" w:hAnsi="Arial"/>
          <w:sz w:val="19"/>
          <w:szCs w:val="19"/>
          <w:color w:val="auto"/>
        </w:rPr>
        <w:t>”).</w:t>
      </w:r>
    </w:p>
    <w:p>
      <w:pPr>
        <w:spacing w:after="0" w:line="17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WHEREAS, (i) the Borrower has requested that the Tranche B-2 Term Lenders (as defined below) make, and the Tranche B-2 Term Lenders have agreed to make subject to the conditions set forth herein, the Tranche B-2 Term Loans the proceeds of which shall be used to refinance the Term Loans outstanding under the Existing Credit Agreement in full (the “</w:t>
      </w:r>
      <w:r>
        <w:rPr>
          <w:rFonts w:ascii="Arial" w:cs="Arial" w:eastAsia="Arial" w:hAnsi="Arial"/>
          <w:sz w:val="20"/>
          <w:szCs w:val="20"/>
          <w:b w:val="1"/>
          <w:bCs w:val="1"/>
          <w:color w:val="auto"/>
        </w:rPr>
        <w:t>Refinancing Transaction</w:t>
      </w:r>
      <w:r>
        <w:rPr>
          <w:rFonts w:ascii="Arial" w:cs="Arial" w:eastAsia="Arial" w:hAnsi="Arial"/>
          <w:sz w:val="20"/>
          <w:szCs w:val="20"/>
          <w:color w:val="auto"/>
        </w:rPr>
        <w:t>”), for working capital and other corporate purposes and (ii) in connection with the Refinancing Transaction, the Borrower and the other Loan Parties and the Tranche B-2 Term Lenders, have agreed to amend and restate the Existing Credit Agreement in its entirety pursuant to this Agreement (the “</w:t>
      </w:r>
      <w:r>
        <w:rPr>
          <w:rFonts w:ascii="Arial" w:cs="Arial" w:eastAsia="Arial" w:hAnsi="Arial"/>
          <w:sz w:val="20"/>
          <w:szCs w:val="20"/>
          <w:b w:val="1"/>
          <w:bCs w:val="1"/>
          <w:color w:val="auto"/>
        </w:rPr>
        <w:t>Restatement</w:t>
      </w:r>
      <w:r>
        <w:rPr>
          <w:rFonts w:ascii="Arial" w:cs="Arial" w:eastAsia="Arial" w:hAnsi="Arial"/>
          <w:sz w:val="20"/>
          <w:szCs w:val="20"/>
          <w:color w:val="auto"/>
        </w:rPr>
        <w:t>”).</w:t>
      </w:r>
    </w:p>
    <w:p>
      <w:pPr>
        <w:spacing w:after="0" w:line="196" w:lineRule="exact"/>
        <w:rPr>
          <w:sz w:val="20"/>
          <w:szCs w:val="20"/>
          <w:color w:val="auto"/>
        </w:rPr>
      </w:pPr>
    </w:p>
    <w:p>
      <w:pPr>
        <w:ind w:right="300" w:firstLine="749"/>
        <w:spacing w:after="0" w:line="385" w:lineRule="auto"/>
        <w:rPr>
          <w:sz w:val="20"/>
          <w:szCs w:val="20"/>
          <w:color w:val="auto"/>
        </w:rPr>
      </w:pPr>
      <w:r>
        <w:rPr>
          <w:rFonts w:ascii="Arial" w:cs="Arial" w:eastAsia="Arial" w:hAnsi="Arial"/>
          <w:sz w:val="16"/>
          <w:szCs w:val="16"/>
          <w:color w:val="auto"/>
        </w:rPr>
        <w:t>NOW, THEREFORE, for good and valuable consideration, the receipt and sufficiency of which are hereby acknowledged by the parties hereto, the parties hereto agree that the Existing Credit Agreement shall be amended and restated in its entirety to read as follows:</w:t>
      </w:r>
    </w:p>
    <w:p>
      <w:pPr>
        <w:spacing w:after="0" w:line="74"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ARTICLE 1</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D</w:t>
      </w:r>
      <w:r>
        <w:rPr>
          <w:rFonts w:ascii="Arial" w:cs="Arial" w:eastAsia="Arial" w:hAnsi="Arial"/>
          <w:sz w:val="13"/>
          <w:szCs w:val="13"/>
          <w:color w:val="auto"/>
        </w:rPr>
        <w:t>efinitions</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Defined Terms.</w:t>
      </w:r>
      <w:r>
        <w:rPr>
          <w:rFonts w:ascii="Arial" w:cs="Arial" w:eastAsia="Arial" w:hAnsi="Arial"/>
          <w:sz w:val="18"/>
          <w:szCs w:val="18"/>
          <w:color w:val="auto"/>
        </w:rPr>
        <w:t xml:space="preserve"> As used in this Agreement, the following terms shall have the meanings specified below:</w:t>
      </w:r>
    </w:p>
    <w:p>
      <w:pPr>
        <w:spacing w:after="0" w:line="23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ABL Agent</w:t>
      </w:r>
      <w:r>
        <w:rPr>
          <w:rFonts w:ascii="Arial" w:cs="Arial" w:eastAsia="Arial" w:hAnsi="Arial"/>
          <w:sz w:val="20"/>
          <w:szCs w:val="20"/>
          <w:color w:val="auto"/>
        </w:rPr>
        <w:t>” shall mean, as the context may require, Citizens Business Capital (a division of Citizens Asset Finance, Inc., a subsidiary of Citizens, N.A.), in its capacity as administrative agent under the ABL Facility Documentation, Citizens Business Capital (a division of Citizens Asset Finance, Inc., a subsidiary of Citizens, N.A.), in its capacity as collateral agent under the ABL Facility Documentation, such agents collectively or any permitted successor or assignee administrative agent or collateral agent under the ABL Facility Documentation.</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ABL Credit Agreement</w:t>
      </w:r>
      <w:r>
        <w:rPr>
          <w:rFonts w:ascii="Arial" w:cs="Arial" w:eastAsia="Arial" w:hAnsi="Arial"/>
          <w:sz w:val="19"/>
          <w:szCs w:val="19"/>
          <w:color w:val="auto"/>
        </w:rPr>
        <w:t>” shall mean that certain asset-based revolving credit agreement dated as of the Original Closing Date, among the Borrower, YRC Inc., a Delaware corporation, USF Reddaway Inc., an Oregon corporation, USF Holland LLC, a Delaware limited liability company (as successor to USF Holland, Inc., a Michigan corporation) and New Penn Motor Express, LLC, a Delaware limited liability company (as successor to New Penn Motor Express, Inc., a Pennsylvania corporation), the other subsidiaries of the Borrower party thereto, the lenders party thereto and the ABL Agent, as amended by that certain Amendment No. 1, dated September 23, 2015, Amendment No. 2, dated June 28, 2016, Amendment No. 3 and Limited Consent, dated January 30, 2018, Amendment No. 4, dated February 12, 2019, Amendment No. 5, dated September 11, 2019, Amendment No. 6, dated July 7, 2020 and Amendment No. 7, dated October 31, 2022, and as the same may be further amended, restated, modified, supplemented, extended, renewed, restructured, refunded, replaced or refinanced from time to time in one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4" w:name="page35"/>
    <w:bookmarkEnd w:id="34"/>
    <w:p>
      <w:pPr>
        <w:jc w:val="both"/>
        <w:spacing w:after="0" w:line="273" w:lineRule="auto"/>
        <w:rPr>
          <w:sz w:val="20"/>
          <w:szCs w:val="20"/>
          <w:color w:val="auto"/>
        </w:rPr>
      </w:pPr>
      <w:r>
        <w:rPr>
          <w:rFonts w:ascii="Arial" w:cs="Arial" w:eastAsia="Arial" w:hAnsi="Arial"/>
          <w:sz w:val="18"/>
          <w:szCs w:val="18"/>
          <w:color w:val="auto"/>
        </w:rPr>
        <w:t xml:space="preserve">agreements (in each case with the same or new lenders, institutional investors or agents and resulting in a financing that constitutes (or that would constitute if incurred as a new financing) a Permitted Refinancing of the ABL Facility Indebtedness), including any agreement extending the maturity thereof or otherwise restructuring all or any portion of the Indebtedness thereunder or increasing the amount loaned or issued thereunder or altering the maturity thereof), in each case as and to the extent permitted by this Agreement and, if applicable, the ABL Intercreditor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amendment, restatement, modification supplement, extension, renewal, restructuring, refunding, replacement or refinancing shall be permitted hereunder only if all commitments thereunder are provided by lenders who are third party commercial banks or other financial institutions that customarily provide asset based lending credit facilities and other financial institutions consented to by the Administrative Agent (such consent not to be unreasonably withheld or delayed).</w:t>
      </w:r>
    </w:p>
    <w:p>
      <w:pPr>
        <w:spacing w:after="0" w:line="162"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ABL Facility</w:t>
      </w:r>
      <w:r>
        <w:rPr>
          <w:rFonts w:ascii="Arial" w:cs="Arial" w:eastAsia="Arial" w:hAnsi="Arial"/>
          <w:sz w:val="20"/>
          <w:szCs w:val="20"/>
          <w:color w:val="auto"/>
        </w:rPr>
        <w:t>” shall mean the asset-based revolving credit facility made available to the Borrower and certain of its Subsidiaries pursuant to the ABL Credit Agreement.</w:t>
      </w:r>
    </w:p>
    <w:p>
      <w:pPr>
        <w:spacing w:after="0" w:line="16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ABL Facility Documentation</w:t>
      </w:r>
      <w:r>
        <w:rPr>
          <w:rFonts w:ascii="Arial" w:cs="Arial" w:eastAsia="Arial" w:hAnsi="Arial"/>
          <w:sz w:val="20"/>
          <w:szCs w:val="20"/>
          <w:color w:val="auto"/>
        </w:rPr>
        <w:t>” shall mean the ABL Credit Agreement and all security agreements, guarantees, pledge agreements and other agreements or instruments executed in connection therewith and including all “Loan Documents” (as defined in the ABL Credit Agreement) or similar term.</w:t>
      </w:r>
    </w:p>
    <w:p>
      <w:pPr>
        <w:spacing w:after="0" w:line="17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ABL Facility Indebtedness</w:t>
      </w:r>
      <w:r>
        <w:rPr>
          <w:rFonts w:ascii="Arial" w:cs="Arial" w:eastAsia="Arial" w:hAnsi="Arial"/>
          <w:sz w:val="20"/>
          <w:szCs w:val="20"/>
          <w:color w:val="auto"/>
        </w:rPr>
        <w:t>” shall mean Indebtedness of the Borrower or any Restricted Subsidiary outstanding under the ABL Facility Documentation, including Bank Product Debt (as defined in the ABL Credit Agreement).</w:t>
      </w:r>
    </w:p>
    <w:p>
      <w:pPr>
        <w:spacing w:after="0" w:line="16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ABL Intercreditor Agreement</w:t>
      </w:r>
      <w:r>
        <w:rPr>
          <w:rFonts w:ascii="Arial" w:cs="Arial" w:eastAsia="Arial" w:hAnsi="Arial"/>
          <w:sz w:val="20"/>
          <w:szCs w:val="20"/>
          <w:color w:val="auto"/>
        </w:rPr>
        <w:t>” shall mean the Amended and Restated Intercreditor Agreement dated as of July 7, 2020, among the Administrative Agent and/or Collateral Agent, the ABL Agent, the UST Tranche A Agent, the UST Tranche B Agent and the Loan Parties, and as the same may be further amended, restated, modified, supplemented, extended, renewed, restructured, waived or replaced from time to time.</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ABL Priority Collateral</w:t>
      </w:r>
      <w:r>
        <w:rPr>
          <w:rFonts w:ascii="Arial" w:cs="Arial" w:eastAsia="Arial" w:hAnsi="Arial"/>
          <w:sz w:val="20"/>
          <w:szCs w:val="20"/>
          <w:color w:val="auto"/>
        </w:rPr>
        <w:t>” shall have the meaning assigned to such term in the ABL Intercreditor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ABL Secured Parties</w:t>
      </w:r>
      <w:r>
        <w:rPr>
          <w:rFonts w:ascii="Arial" w:cs="Arial" w:eastAsia="Arial" w:hAnsi="Arial"/>
          <w:sz w:val="20"/>
          <w:szCs w:val="20"/>
          <w:color w:val="auto"/>
        </w:rPr>
        <w:t>” shall have the meaning assigned to such term in the ABL Intercreditor Agreement.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ABR</w:t>
      </w:r>
      <w:r>
        <w:rPr>
          <w:rFonts w:ascii="Arial" w:cs="Arial" w:eastAsia="Arial" w:hAnsi="Arial"/>
          <w:sz w:val="20"/>
          <w:szCs w:val="20"/>
          <w:color w:val="auto"/>
        </w:rPr>
        <w:t>”, when used in reference to any Loan or Borrowing, refers to whether such Loan, or the Loans comprising such Borrowing, are bearing interest at a rate determined by reference to the Alternate Base Rate.</w:t>
      </w:r>
    </w:p>
    <w:p>
      <w:pPr>
        <w:spacing w:after="0" w:line="163"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Lender</w:t>
      </w:r>
      <w:r>
        <w:rPr>
          <w:rFonts w:ascii="Arial" w:cs="Arial" w:eastAsia="Arial" w:hAnsi="Arial"/>
          <w:sz w:val="19"/>
          <w:szCs w:val="19"/>
          <w:color w:val="auto"/>
        </w:rPr>
        <w:t xml:space="preserve">” shall mean, with respect to any Refinancing Amendment or in respect of any bank, financial institution or investor not theretofor a Lender that agrees to provide an Other Term Loan pursuant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shall have consented (not to be unreasonably withheld, conditioned or delayed) to such bank, financial institution or investor as would be required under </w:t>
      </w:r>
      <w:r>
        <w:rPr>
          <w:rFonts w:ascii="Arial" w:cs="Arial" w:eastAsia="Arial" w:hAnsi="Arial"/>
          <w:sz w:val="19"/>
          <w:szCs w:val="19"/>
          <w:u w:val="single" w:color="auto"/>
          <w:color w:val="auto"/>
        </w:rPr>
        <w:t>Section 10.04(b)</w:t>
      </w:r>
      <w:r>
        <w:rPr>
          <w:rFonts w:ascii="Arial" w:cs="Arial" w:eastAsia="Arial" w:hAnsi="Arial"/>
          <w:sz w:val="19"/>
          <w:szCs w:val="19"/>
          <w:color w:val="auto"/>
        </w:rPr>
        <w:t xml:space="preserve"> for an assignment of Loans to such bank, financial institution or investor.</w:t>
      </w:r>
    </w:p>
    <w:p>
      <w:pPr>
        <w:spacing w:after="0" w:line="16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Adjusted Term SOFR</w:t>
      </w:r>
      <w:r>
        <w:rPr>
          <w:rFonts w:ascii="Arial" w:cs="Arial" w:eastAsia="Arial" w:hAnsi="Arial"/>
          <w:sz w:val="20"/>
          <w:szCs w:val="20"/>
          <w:color w:val="auto"/>
        </w:rPr>
        <w:t xml:space="preserve">” shall mean, for purposes of any calculation, an interest rate per annum equal to (a) Term SOFR plus (b) (i) in the case of an Interest Period of one-month’s duration, 0.11448% (11.448 basis points), (ii) in the case of an Interest Period of three-months’ duration, 0.26161% (26.161 basis points), and (iii) in the case of an Interest Period of six-months’ duration, 0.42826% (42.826 basis points);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Adjusted Term SOFR determined as provided above shall ever be less than the Floor, then Adjusted Term SOFR shall be deemed to be the Floor.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5" w:name="page36"/>
    <w:bookmarkEnd w:id="35"/>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Administrative Agent</w:t>
      </w:r>
      <w:r>
        <w:rPr>
          <w:rFonts w:ascii="Arial" w:cs="Arial" w:eastAsia="Arial" w:hAnsi="Arial"/>
          <w:sz w:val="20"/>
          <w:szCs w:val="20"/>
          <w:color w:val="auto"/>
        </w:rPr>
        <w:t xml:space="preserve">” shall have the meaning assigned to such term in the introductory statement to this Agreement, together with its successors and any replacement designated pursuant to </w:t>
      </w:r>
      <w:r>
        <w:rPr>
          <w:rFonts w:ascii="Arial" w:cs="Arial" w:eastAsia="Arial" w:hAnsi="Arial"/>
          <w:sz w:val="20"/>
          <w:szCs w:val="20"/>
          <w:u w:val="single" w:color="auto"/>
          <w:color w:val="auto"/>
        </w:rPr>
        <w:t>Article 9</w:t>
      </w:r>
      <w:r>
        <w:rPr>
          <w:rFonts w:ascii="Arial" w:cs="Arial" w:eastAsia="Arial" w:hAnsi="Arial"/>
          <w:sz w:val="20"/>
          <w:szCs w:val="20"/>
          <w:color w:val="auto"/>
        </w:rPr>
        <w:t xml:space="preserve"> of this Agreement.</w:t>
      </w:r>
    </w:p>
    <w:p>
      <w:pPr>
        <w:spacing w:after="0" w:line="163"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Administrative Agent Fee Letter</w:t>
      </w:r>
      <w:r>
        <w:rPr>
          <w:rFonts w:ascii="Arial" w:cs="Arial" w:eastAsia="Arial" w:hAnsi="Arial"/>
          <w:sz w:val="19"/>
          <w:szCs w:val="19"/>
          <w:color w:val="auto"/>
        </w:rPr>
        <w:t>” means that certain fee letter dated as of the date hereof, by and between Borrower and Administrative Agent, as amended, amended and restated, supplemented, waived, replaced or otherwise modified from time to time.</w:t>
      </w:r>
    </w:p>
    <w:p>
      <w:pPr>
        <w:spacing w:after="0" w:line="142"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Administrative Agent’s Office</w:t>
      </w:r>
      <w:r>
        <w:rPr>
          <w:rFonts w:ascii="Arial" w:cs="Arial" w:eastAsia="Arial" w:hAnsi="Arial"/>
          <w:sz w:val="20"/>
          <w:szCs w:val="20"/>
          <w:color w:val="auto"/>
        </w:rPr>
        <w:t>” means the Administrative Agent’s office or account as it may from time to time designate, in writing, to the Borrower and each Lender.</w:t>
      </w:r>
    </w:p>
    <w:p>
      <w:pPr>
        <w:spacing w:after="0" w:line="16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Administrative Questionnaire</w:t>
      </w:r>
      <w:r>
        <w:rPr>
          <w:rFonts w:ascii="Arial" w:cs="Arial" w:eastAsia="Arial" w:hAnsi="Arial"/>
          <w:sz w:val="20"/>
          <w:szCs w:val="20"/>
          <w:color w:val="auto"/>
        </w:rPr>
        <w:t xml:space="preserve">” shall mean an Administrative Questionnaire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or such other form as may be supplied from time to time by the Administrative Agent and approved by the Borrower (such approval not to be unreasonably withheld, conditioned or delayed).</w:t>
      </w:r>
    </w:p>
    <w:p>
      <w:pPr>
        <w:spacing w:after="0" w:line="177"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shall mean, with respect to any Person, another Person that directly, or indirectly through one or more intermediaries, Controls or is Controlled by or is under common Control with the Person specified;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the Borrower and its Subsidiaries, in no case shall any Governmental Authority constitute an “Affiliate”. “</w:t>
      </w:r>
      <w:r>
        <w:rPr>
          <w:rFonts w:ascii="Arial" w:cs="Arial" w:eastAsia="Arial" w:hAnsi="Arial"/>
          <w:sz w:val="18"/>
          <w:szCs w:val="18"/>
          <w:b w:val="1"/>
          <w:bCs w:val="1"/>
          <w:color w:val="auto"/>
        </w:rPr>
        <w:t>Control</w:t>
      </w:r>
      <w:r>
        <w:rPr>
          <w:rFonts w:ascii="Arial" w:cs="Arial" w:eastAsia="Arial" w:hAnsi="Arial"/>
          <w:sz w:val="18"/>
          <w:szCs w:val="18"/>
          <w:color w:val="auto"/>
        </w:rPr>
        <w:t>” shall mean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have meanings correlative thereto.</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Agent Indemnitees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10.05(b)</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Agents</w:t>
      </w:r>
      <w:r>
        <w:rPr>
          <w:rFonts w:ascii="Arial" w:cs="Arial" w:eastAsia="Arial" w:hAnsi="Arial"/>
          <w:sz w:val="20"/>
          <w:szCs w:val="20"/>
          <w:color w:val="auto"/>
        </w:rPr>
        <w:t>” shall have the meaning assigned to such term in Article 9.</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shall have the meaning assigned to such term in the introductory statement to this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Base Rate</w:t>
      </w:r>
      <w:r>
        <w:rPr>
          <w:rFonts w:ascii="Arial" w:cs="Arial" w:eastAsia="Arial" w:hAnsi="Arial"/>
          <w:sz w:val="18"/>
          <w:szCs w:val="18"/>
          <w:color w:val="auto"/>
        </w:rPr>
        <w:t>” shall mean, for any day, a rate per annum equal to the greatest of (a) the Prime Rate in effect on such day,</w:t>
      </w:r>
    </w:p>
    <w:p>
      <w:pPr>
        <w:spacing w:after="0" w:line="45" w:lineRule="exact"/>
        <w:rPr>
          <w:sz w:val="20"/>
          <w:szCs w:val="20"/>
          <w:color w:val="auto"/>
        </w:rPr>
      </w:pPr>
    </w:p>
    <w:p>
      <w:pPr>
        <w:jc w:val="both"/>
        <w:ind w:firstLine="8"/>
        <w:spacing w:after="0" w:line="254" w:lineRule="auto"/>
        <w:tabs>
          <w:tab w:leader="none" w:pos="297"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the Federal Funds Effective Rate in effect on such day plus 1/2 of 1% and (c) the Adjusted Term SOFR Rate for a one month Interest Period on such day (or if such day is not a Business Day, the immediately preceding Business Day) plus 1.00%;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the Alternate Base Rate be less than 2.00% per annum. If the Administrative Agent shall have determined (which determination shall be conclusive absent manifest error) that it is unable to ascertain the Federal Funds Effective Rate for any reason, including the inability or failure of the Administrative Agent to obtain sufficient quotations in accordance with the terms of the definition thereof, the Alternate Base Rate shall be determined without regard to clause (b) of the preceding sentence until the circumstances giving rise to such inability no longer exist. Any change in the Alternate Base Rate due to a change in the Prime Rate, the Federal Funds Effective Rate or the Adjusted Term SOFR Rate shall be effective on the effective date of such change in the Prime Rate, the Federal Funds Effective Rate or the Adjusted Term SOFR Rate, as the case may be.</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Alternate Base Rate Term SOFR Determination Day</w:t>
      </w:r>
      <w:r>
        <w:rPr>
          <w:rFonts w:ascii="Arial" w:cs="Arial" w:eastAsia="Arial" w:hAnsi="Arial"/>
          <w:sz w:val="20"/>
          <w:szCs w:val="20"/>
          <w:color w:val="auto"/>
        </w:rPr>
        <w:t>” has the meaning specified in the definition of “Term SOFR”.</w:t>
      </w:r>
    </w:p>
    <w:p>
      <w:pPr>
        <w:spacing w:after="0" w:line="2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No. 1</w:t>
      </w:r>
      <w:r>
        <w:rPr>
          <w:rFonts w:ascii="Arial" w:cs="Arial" w:eastAsia="Arial" w:hAnsi="Arial"/>
          <w:sz w:val="20"/>
          <w:szCs w:val="20"/>
          <w:color w:val="auto"/>
        </w:rPr>
        <w:t>” means that certain Amendment No. 1 to Amended and Restated Credit Agreement, dated as of the Amendment No. 1 Effective Date, by and among the Borrower, the “Guarantors” referred to on the signature pages thereto, the Administrative Agent and the Lenders party thereto.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No. 1 Effective Date</w:t>
      </w:r>
      <w:r>
        <w:rPr>
          <w:rFonts w:ascii="Arial" w:cs="Arial" w:eastAsia="Arial" w:hAnsi="Arial"/>
          <w:sz w:val="20"/>
          <w:szCs w:val="20"/>
          <w:color w:val="auto"/>
        </w:rPr>
        <w:t>” means the date on which the conditions set forth in Section 2 of the Amendment No. 1 were satisfied, which date was April 7, 2020.</w:t>
      </w:r>
    </w:p>
    <w:p>
      <w:pPr>
        <w:spacing w:after="0" w:line="16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No. 2</w:t>
      </w:r>
      <w:r>
        <w:rPr>
          <w:rFonts w:ascii="Arial" w:cs="Arial" w:eastAsia="Arial" w:hAnsi="Arial"/>
          <w:sz w:val="20"/>
          <w:szCs w:val="20"/>
          <w:color w:val="auto"/>
        </w:rPr>
        <w:t>” means that certain Amendment No. 2 to Amended and Restated Credit Agreement, dated as of the Amendment No. 2 Effective Date, by and among the Borrower, the “Guarantors” referred to on the signature pages thereto, the Administrative Agent and the Lenders party thereto.</w:t>
      </w:r>
    </w:p>
    <w:p>
      <w:pPr>
        <w:spacing w:after="0" w:line="17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No. 2 Effective Date</w:t>
      </w:r>
      <w:r>
        <w:rPr>
          <w:rFonts w:ascii="Arial" w:cs="Arial" w:eastAsia="Arial" w:hAnsi="Arial"/>
          <w:sz w:val="20"/>
          <w:szCs w:val="20"/>
          <w:color w:val="auto"/>
        </w:rPr>
        <w:t>” means the date on which the conditions set forth in Section 2 of the Amendment No. 2 were satisfied, which date was July 7, 2020.</w:t>
      </w:r>
    </w:p>
    <w:p>
      <w:pPr>
        <w:spacing w:after="0" w:line="163"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No. 2 Transactions</w:t>
      </w:r>
      <w:r>
        <w:rPr>
          <w:rFonts w:ascii="Arial" w:cs="Arial" w:eastAsia="Arial" w:hAnsi="Arial"/>
          <w:sz w:val="20"/>
          <w:szCs w:val="20"/>
          <w:color w:val="auto"/>
        </w:rPr>
        <w:t>” shall mean, collectively, (a) the negotiation, execution and delivery by the Loan Parties of Amendment No. 2 and the Loan Documents delivered in connection therewith, (b) the negotiation, execution and delivery of the UST Tranche A Facility Documentation and incurrence of UST Tranche A Facility Indebtedness, (c) the negotiation, execution and delivery of the UST Tranche B Facility Documentation and incurrence of UST Tranche B Facility Indebtedness, (d) the negotiation, execution and delivery by the Borrower and the Subsidiaries party thereto of amendments to the ABL Facility Documentation in connection with the matters described in clauses (a) through (c) and effecting certain other amendments in connection therewith, (e) the Treasury Equity Issuance and the negotiation, execution and delivery of the Treasury Equity Documents and (f) the payment of fees, costs and expenses in connection with the foregoing.</w:t>
      </w:r>
    </w:p>
    <w:p>
      <w:pPr>
        <w:spacing w:after="0" w:line="18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No. 3</w:t>
      </w:r>
      <w:r>
        <w:rPr>
          <w:rFonts w:ascii="Arial" w:cs="Arial" w:eastAsia="Arial" w:hAnsi="Arial"/>
          <w:sz w:val="20"/>
          <w:szCs w:val="20"/>
          <w:color w:val="auto"/>
        </w:rPr>
        <w:t>” shall mean that certain Amendment No. 3 and Limited Waiver to Amended and Restated Credit Agreement, dated as of the Amendment No. 3 Closing Date, by and among the Borrower, the “Guarantors” referred to on the signature pages thereto, the Administrative Agent and the Lenders party thereto.</w:t>
      </w:r>
    </w:p>
    <w:p>
      <w:pPr>
        <w:spacing w:after="0" w:line="17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No. 3 Closing Date</w:t>
      </w:r>
      <w:r>
        <w:rPr>
          <w:rFonts w:ascii="Arial" w:cs="Arial" w:eastAsia="Arial" w:hAnsi="Arial"/>
          <w:sz w:val="20"/>
          <w:szCs w:val="20"/>
          <w:color w:val="auto"/>
        </w:rPr>
        <w:t>” shall mean the date on which the conditions set forth in Section 3 of the Amendment No. 3 were satisfied, which date was July 7, 2023.</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No. 3 Effective Date</w:t>
      </w:r>
      <w:r>
        <w:rPr>
          <w:rFonts w:ascii="Arial" w:cs="Arial" w:eastAsia="Arial" w:hAnsi="Arial"/>
          <w:sz w:val="20"/>
          <w:szCs w:val="20"/>
          <w:color w:val="auto"/>
        </w:rPr>
        <w:t>” shall mean June 30, 2023.</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Apollo</w:t>
      </w:r>
      <w:r>
        <w:rPr>
          <w:rFonts w:ascii="Arial" w:cs="Arial" w:eastAsia="Arial" w:hAnsi="Arial"/>
          <w:sz w:val="18"/>
          <w:szCs w:val="18"/>
          <w:color w:val="auto"/>
        </w:rPr>
        <w:t>” means, collectively, Apollo Capital Management, L.P. and one or more funds and/or accounts managed by its affiliates.</w:t>
      </w:r>
    </w:p>
    <w:p>
      <w:pPr>
        <w:spacing w:after="0" w:line="239"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ECF Percentage</w:t>
      </w:r>
      <w:r>
        <w:rPr>
          <w:rFonts w:ascii="Arial" w:cs="Arial" w:eastAsia="Arial" w:hAnsi="Arial"/>
          <w:sz w:val="19"/>
          <w:szCs w:val="19"/>
          <w:color w:val="auto"/>
        </w:rPr>
        <w:t>” shall mean, for any Excess Cash Flow Period, (a) 75% if the Total Leverage Ratio as of the last day of such Excess Cash Flow Period is greater than 3.25:1.00, (b) 50% if the Total Leverage Ratio as of the last day of such Excess Cash Flow Period is less than or equal to 3.25:1.00 and greater than 3.00:1.00, (c) 25% if the Total Leverage Ratio as of the last day of such Excess Cash Flow Period is less than or equal to 3.00:1.00 but is greater than 2.50:1.00, and (d) 0% if the Total Leverage Ratio as of the last day of such Excess Cash Flow Period is less than or equal to 2.50:1.00.</w:t>
      </w:r>
    </w:p>
    <w:p>
      <w:pPr>
        <w:spacing w:after="0" w:line="17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Margin</w:t>
      </w:r>
      <w:r>
        <w:rPr>
          <w:rFonts w:ascii="Arial" w:cs="Arial" w:eastAsia="Arial" w:hAnsi="Arial"/>
          <w:sz w:val="20"/>
          <w:szCs w:val="20"/>
          <w:color w:val="auto"/>
        </w:rPr>
        <w:t xml:space="preserve">” shall mean, with respect to any Loan, a percentage per annum equal to, (a) until delivery of financial statements and Compliance Certificate for the fiscal quarter ending September 30, 2019 pursuant to </w:t>
      </w:r>
      <w:r>
        <w:rPr>
          <w:rFonts w:ascii="Arial" w:cs="Arial" w:eastAsia="Arial" w:hAnsi="Arial"/>
          <w:sz w:val="20"/>
          <w:szCs w:val="20"/>
          <w:u w:val="single" w:color="auto"/>
          <w:color w:val="auto"/>
        </w:rPr>
        <w:t>Sections 6.01(b)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6.02(a)</w:t>
      </w:r>
      <w:r>
        <w:rPr>
          <w:rFonts w:ascii="Arial" w:cs="Arial" w:eastAsia="Arial" w:hAnsi="Arial"/>
          <w:sz w:val="20"/>
          <w:szCs w:val="20"/>
          <w:color w:val="auto"/>
        </w:rPr>
        <w:t xml:space="preserve">, (i) 7.50% per annum for SOFR Term Loans and (ii) 6.50% per annum for ABR Term Loans; and (b) thereafter, the percentages per annum set forth in the table below, based upon Consolidated EBITDA for the most recent Test Period as set forth in the most recent Compliance Certificate received by the Administrative Agent pursuant to </w:t>
      </w:r>
      <w:r>
        <w:rPr>
          <w:rFonts w:ascii="Arial" w:cs="Arial" w:eastAsia="Arial" w:hAnsi="Arial"/>
          <w:sz w:val="20"/>
          <w:szCs w:val="20"/>
          <w:u w:val="single" w:color="auto"/>
          <w:color w:val="auto"/>
        </w:rPr>
        <w:t>Section 6.02(a)</w:t>
      </w:r>
      <w:r>
        <w:rPr>
          <w:rFonts w:ascii="Arial" w:cs="Arial" w:eastAsia="Arial" w:hAnsi="Arial"/>
          <w:sz w:val="20"/>
          <w:szCs w:val="20"/>
          <w:color w:val="auto"/>
        </w:rPr>
        <w:t>.</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8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Pricing</w:t>
            </w:r>
          </w:p>
        </w:tc>
        <w:tc>
          <w:tcPr>
            <w:tcW w:w="3020" w:type="dxa"/>
            <w:vAlign w:val="bottom"/>
            <w:tcBorders>
              <w:top w:val="single" w:sz="8" w:color="auto"/>
            </w:tcBorders>
          </w:tcPr>
          <w:p>
            <w:pPr>
              <w:jc w:val="center"/>
              <w:ind w:right="121"/>
              <w:spacing w:after="0"/>
              <w:rPr>
                <w:sz w:val="20"/>
                <w:szCs w:val="20"/>
                <w:color w:val="auto"/>
              </w:rPr>
            </w:pPr>
            <w:r>
              <w:rPr>
                <w:rFonts w:ascii="Arial" w:cs="Arial" w:eastAsia="Arial" w:hAnsi="Arial"/>
                <w:sz w:val="20"/>
                <w:szCs w:val="20"/>
                <w:b w:val="1"/>
                <w:bCs w:val="1"/>
                <w:color w:val="auto"/>
                <w:w w:val="92"/>
              </w:rPr>
              <w:t>Consolidated EBITDA</w:t>
            </w:r>
          </w:p>
        </w:tc>
        <w:tc>
          <w:tcPr>
            <w:tcW w:w="2440" w:type="dxa"/>
            <w:vAlign w:val="bottom"/>
            <w:tcBorders>
              <w:top w:val="single" w:sz="8" w:color="auto"/>
            </w:tcBorders>
          </w:tcPr>
          <w:p>
            <w:pPr>
              <w:jc w:val="center"/>
              <w:ind w:right="41"/>
              <w:spacing w:after="0"/>
              <w:rPr>
                <w:sz w:val="20"/>
                <w:szCs w:val="20"/>
                <w:color w:val="auto"/>
              </w:rPr>
            </w:pPr>
            <w:r>
              <w:rPr>
                <w:rFonts w:ascii="Arial" w:cs="Arial" w:eastAsia="Arial" w:hAnsi="Arial"/>
                <w:sz w:val="20"/>
                <w:szCs w:val="20"/>
                <w:b w:val="1"/>
                <w:bCs w:val="1"/>
                <w:color w:val="auto"/>
                <w:w w:val="96"/>
              </w:rPr>
              <w:t>ABR</w:t>
            </w:r>
          </w:p>
        </w:tc>
        <w:tc>
          <w:tcPr>
            <w:tcW w:w="2960" w:type="dxa"/>
            <w:vAlign w:val="bottom"/>
            <w:tcBorders>
              <w:top w:val="single" w:sz="8" w:color="auto"/>
            </w:tcBorders>
          </w:tcPr>
          <w:p>
            <w:pPr>
              <w:jc w:val="center"/>
              <w:ind w:left="41"/>
              <w:spacing w:after="0"/>
              <w:rPr>
                <w:sz w:val="20"/>
                <w:szCs w:val="20"/>
                <w:color w:val="auto"/>
              </w:rPr>
            </w:pPr>
            <w:r>
              <w:rPr>
                <w:rFonts w:ascii="Arial" w:cs="Arial" w:eastAsia="Arial" w:hAnsi="Arial"/>
                <w:sz w:val="20"/>
                <w:szCs w:val="20"/>
                <w:b w:val="1"/>
                <w:bCs w:val="1"/>
                <w:color w:val="auto"/>
                <w:w w:val="90"/>
              </w:rPr>
              <w:t>SOFR Term Loans</w:t>
            </w:r>
          </w:p>
        </w:tc>
      </w:tr>
      <w:tr>
        <w:trPr>
          <w:trHeight w:val="279"/>
        </w:trPr>
        <w:tc>
          <w:tcPr>
            <w:tcW w:w="2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Level</w:t>
            </w:r>
          </w:p>
        </w:tc>
        <w:tc>
          <w:tcPr>
            <w:tcW w:w="30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Term Loans</w:t>
            </w:r>
          </w:p>
        </w:tc>
        <w:tc>
          <w:tcPr>
            <w:tcW w:w="2960" w:type="dxa"/>
            <w:vAlign w:val="bottom"/>
            <w:tcBorders>
              <w:bottom w:val="single" w:sz="8" w:color="auto"/>
            </w:tcBorders>
          </w:tcPr>
          <w:p>
            <w:pPr>
              <w:spacing w:after="0"/>
              <w:rPr>
                <w:sz w:val="24"/>
                <w:szCs w:val="24"/>
                <w:color w:val="auto"/>
              </w:rPr>
            </w:pPr>
          </w:p>
        </w:tc>
      </w:tr>
      <w:tr>
        <w:trPr>
          <w:trHeight w:val="233"/>
        </w:trPr>
        <w:tc>
          <w:tcPr>
            <w:tcW w:w="2820" w:type="dxa"/>
            <w:vAlign w:val="bottom"/>
          </w:tcPr>
          <w:p>
            <w:pPr>
              <w:jc w:val="center"/>
              <w:spacing w:after="0"/>
              <w:rPr>
                <w:sz w:val="20"/>
                <w:szCs w:val="20"/>
                <w:color w:val="auto"/>
              </w:rPr>
            </w:pPr>
            <w:r>
              <w:rPr>
                <w:rFonts w:ascii="Arial" w:cs="Arial" w:eastAsia="Arial" w:hAnsi="Arial"/>
                <w:sz w:val="20"/>
                <w:szCs w:val="20"/>
                <w:color w:val="auto"/>
              </w:rPr>
              <w:t>I</w:t>
            </w:r>
          </w:p>
        </w:tc>
        <w:tc>
          <w:tcPr>
            <w:tcW w:w="3020" w:type="dxa"/>
            <w:vAlign w:val="bottom"/>
          </w:tcPr>
          <w:p>
            <w:pPr>
              <w:jc w:val="center"/>
              <w:ind w:right="121"/>
              <w:spacing w:after="0"/>
              <w:rPr>
                <w:sz w:val="20"/>
                <w:szCs w:val="20"/>
                <w:color w:val="auto"/>
              </w:rPr>
            </w:pPr>
            <w:r>
              <w:rPr>
                <w:rFonts w:ascii="Arial" w:cs="Arial" w:eastAsia="Arial" w:hAnsi="Arial"/>
                <w:sz w:val="20"/>
                <w:szCs w:val="20"/>
                <w:color w:val="auto"/>
                <w:w w:val="89"/>
              </w:rPr>
              <w:t>≤ $400,000,000</w:t>
            </w:r>
          </w:p>
        </w:tc>
        <w:tc>
          <w:tcPr>
            <w:tcW w:w="2440" w:type="dxa"/>
            <w:vAlign w:val="bottom"/>
          </w:tcPr>
          <w:p>
            <w:pPr>
              <w:jc w:val="center"/>
              <w:spacing w:after="0"/>
              <w:rPr>
                <w:sz w:val="20"/>
                <w:szCs w:val="20"/>
                <w:color w:val="auto"/>
              </w:rPr>
            </w:pPr>
            <w:r>
              <w:rPr>
                <w:rFonts w:ascii="Arial" w:cs="Arial" w:eastAsia="Arial" w:hAnsi="Arial"/>
                <w:sz w:val="20"/>
                <w:szCs w:val="20"/>
                <w:color w:val="auto"/>
                <w:w w:val="91"/>
              </w:rPr>
              <w:t>6.50%</w:t>
            </w:r>
          </w:p>
        </w:tc>
        <w:tc>
          <w:tcPr>
            <w:tcW w:w="2960" w:type="dxa"/>
            <w:vAlign w:val="bottom"/>
          </w:tcPr>
          <w:p>
            <w:pPr>
              <w:jc w:val="right"/>
              <w:ind w:right="1061"/>
              <w:spacing w:after="0"/>
              <w:rPr>
                <w:sz w:val="20"/>
                <w:szCs w:val="20"/>
                <w:color w:val="auto"/>
              </w:rPr>
            </w:pPr>
            <w:r>
              <w:rPr>
                <w:rFonts w:ascii="Arial" w:cs="Arial" w:eastAsia="Arial" w:hAnsi="Arial"/>
                <w:sz w:val="20"/>
                <w:szCs w:val="20"/>
                <w:color w:val="auto"/>
              </w:rPr>
              <w:t>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4972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270"/>
        </w:trPr>
        <w:tc>
          <w:tcPr>
            <w:tcW w:w="2820" w:type="dxa"/>
            <w:vAlign w:val="bottom"/>
            <w:tcBorders>
              <w:top w:val="single" w:sz="8" w:color="auto"/>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20"/>
                <w:szCs w:val="20"/>
                <w:color w:val="auto"/>
              </w:rPr>
              <w:t>II</w:t>
            </w:r>
          </w:p>
        </w:tc>
        <w:tc>
          <w:tcPr>
            <w:tcW w:w="2820" w:type="dxa"/>
            <w:vAlign w:val="bottom"/>
            <w:tcBorders>
              <w:top w:val="single" w:sz="8" w:color="auto"/>
              <w:bottom w:val="single" w:sz="8" w:color="auto"/>
              <w:right w:val="single" w:sz="8" w:color="auto"/>
            </w:tcBorders>
          </w:tcPr>
          <w:p>
            <w:pPr>
              <w:jc w:val="right"/>
              <w:ind w:right="701"/>
              <w:spacing w:after="0"/>
              <w:rPr>
                <w:sz w:val="20"/>
                <w:szCs w:val="20"/>
                <w:color w:val="auto"/>
              </w:rPr>
            </w:pPr>
            <w:r>
              <w:rPr>
                <w:rFonts w:ascii="Arial" w:cs="Arial" w:eastAsia="Arial" w:hAnsi="Arial"/>
                <w:sz w:val="20"/>
                <w:szCs w:val="20"/>
                <w:color w:val="auto"/>
              </w:rPr>
              <w:t>&gt; $400,000,000</w:t>
            </w:r>
          </w:p>
        </w:tc>
        <w:tc>
          <w:tcPr>
            <w:tcW w:w="2800" w:type="dxa"/>
            <w:vAlign w:val="bottom"/>
            <w:tcBorders>
              <w:top w:val="single" w:sz="8" w:color="auto"/>
              <w:bottom w:val="single" w:sz="8" w:color="auto"/>
              <w:right w:val="single" w:sz="8" w:color="auto"/>
            </w:tcBorders>
          </w:tcPr>
          <w:p>
            <w:pPr>
              <w:jc w:val="right"/>
              <w:ind w:right="1061"/>
              <w:spacing w:after="0"/>
              <w:rPr>
                <w:sz w:val="20"/>
                <w:szCs w:val="20"/>
                <w:color w:val="auto"/>
              </w:rPr>
            </w:pPr>
            <w:r>
              <w:rPr>
                <w:rFonts w:ascii="Arial" w:cs="Arial" w:eastAsia="Arial" w:hAnsi="Arial"/>
                <w:sz w:val="20"/>
                <w:szCs w:val="20"/>
                <w:color w:val="auto"/>
              </w:rPr>
              <w:t>5.50%</w:t>
            </w:r>
          </w:p>
        </w:tc>
        <w:tc>
          <w:tcPr>
            <w:tcW w:w="2800" w:type="dxa"/>
            <w:vAlign w:val="bottom"/>
            <w:tcBorders>
              <w:top w:val="single" w:sz="8" w:color="auto"/>
              <w:bottom w:val="single" w:sz="8" w:color="auto"/>
              <w:right w:val="single" w:sz="8" w:color="auto"/>
            </w:tcBorders>
          </w:tcPr>
          <w:p>
            <w:pPr>
              <w:jc w:val="right"/>
              <w:ind w:right="1061"/>
              <w:spacing w:after="0"/>
              <w:rPr>
                <w:sz w:val="20"/>
                <w:szCs w:val="20"/>
                <w:color w:val="auto"/>
              </w:rPr>
            </w:pPr>
            <w:r>
              <w:rPr>
                <w:rFonts w:ascii="Arial" w:cs="Arial" w:eastAsia="Arial" w:hAnsi="Arial"/>
                <w:sz w:val="20"/>
                <w:szCs w:val="20"/>
                <w:color w:val="auto"/>
              </w:rPr>
              <w:t>6.50%</w:t>
            </w:r>
          </w:p>
        </w:tc>
      </w:tr>
    </w:tbl>
    <w:p>
      <w:pPr>
        <w:spacing w:after="0" w:line="209"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Any increase or decrease in the Applicable Margin resulting from a change in Consolidated EBITDA shall become effective as of the first Business Day immediately following the date a Compliance Certificate is delivered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w:t>
      </w:r>
    </w:p>
    <w:p>
      <w:pPr>
        <w:spacing w:after="0" w:line="15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In addition, at any time an Event of Default exists as a result of the Borrower failing to deliver the applicable Compliance Certificate, at the option of the Lenders having more than 50% of the sum of the outstanding Term Loans, Consolidated EBITDA shall be deemed to be in Pricing Level I solely for the purposes of determining the Applicable Margin (but only for so long as such failure continues, after which such ratio and the Pricing Level shall be determined based on Consolidated EBITDA as set forth in the most recently-delivered Compliance Certificate).</w:t>
      </w:r>
    </w:p>
    <w:p>
      <w:pPr>
        <w:spacing w:after="0" w:line="19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 xml:space="preserve">In the event that any financial statement or compliance certificate delivered pursuant to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is inaccurate (and this Agreement remains in effect when such inaccuracy is discovered), and such inaccuracy, if corrected, would have led to the application of a higher Applicable Margin for any period (an “</w:t>
      </w:r>
      <w:r>
        <w:rPr>
          <w:rFonts w:ascii="Arial" w:cs="Arial" w:eastAsia="Arial" w:hAnsi="Arial"/>
          <w:sz w:val="18"/>
          <w:szCs w:val="18"/>
          <w:b w:val="1"/>
          <w:bCs w:val="1"/>
          <w:color w:val="auto"/>
        </w:rPr>
        <w:t>Applicable Period</w:t>
      </w:r>
      <w:r>
        <w:rPr>
          <w:rFonts w:ascii="Arial" w:cs="Arial" w:eastAsia="Arial" w:hAnsi="Arial"/>
          <w:sz w:val="18"/>
          <w:szCs w:val="18"/>
          <w:color w:val="auto"/>
        </w:rPr>
        <w:t xml:space="preserve">”) than the Applicable Margin applied for such Applicable Period, then (i) the Borrower shall promptly upon obtaining knowledge of such inaccuracy deliver to the Administrative Agent a corrected financial statement and a corrected compliance certificate for such Applicable Period, (ii) the Applicable Margin shall be determined based on the corrected financial statement and corrected compliance certificate for such Applicable Period and (iii) the Borrower shall promptly pay to the Administrative Agent (for the account of the Lenders during the Applicable Period or their successors and assigns) the accrued additional interest owing as a result of such increased Applicable Margin for such Applicable Period. This paragraph shall not limit the rights of the Administrative Agent or the Lenders with respect to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hereof. No Default or Event of Default shall arise or exist as a result of the initial non-payment of such amounts so long as the Borrower complies with this paragraph.</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Approved Budget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6.02(l)</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Assignment and Acceptance</w:t>
      </w:r>
      <w:r>
        <w:rPr>
          <w:rFonts w:ascii="Arial" w:cs="Arial" w:eastAsia="Arial" w:hAnsi="Arial"/>
          <w:sz w:val="19"/>
          <w:szCs w:val="19"/>
          <w:color w:val="auto"/>
        </w:rPr>
        <w:t xml:space="preserve">” shall mean an assignment and acceptance entered into by a Lender and an Eligible Assignee, and accepted by the Administrative Agent,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or such other form as shall be approved by the Administrative Agent and the Borrower (such approval of the Borrower shall not be unreasonably withheld, conditioned or delayed).</w:t>
      </w:r>
    </w:p>
    <w:p>
      <w:pPr>
        <w:spacing w:after="0" w:line="162"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Attorney Costs</w:t>
      </w:r>
      <w:r>
        <w:rPr>
          <w:rFonts w:ascii="Arial" w:cs="Arial" w:eastAsia="Arial" w:hAnsi="Arial"/>
          <w:sz w:val="20"/>
          <w:szCs w:val="20"/>
          <w:color w:val="auto"/>
        </w:rPr>
        <w:t>” shall mean and shall include all reasonable and documented fees, expenses and disbursements of any law firm or other external legal counsel.</w:t>
      </w:r>
    </w:p>
    <w:p>
      <w:pPr>
        <w:spacing w:after="0" w:line="163"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Attributable Indebtedness</w:t>
      </w:r>
      <w:r>
        <w:rPr>
          <w:rFonts w:ascii="Arial" w:cs="Arial" w:eastAsia="Arial" w:hAnsi="Arial"/>
          <w:sz w:val="19"/>
          <w:szCs w:val="19"/>
          <w:color w:val="auto"/>
        </w:rPr>
        <w:t xml:space="preserve"> ” shall mean, on any date, in respect of any Capitalized Lease of any Person, the capitalized amount thereof that would appear on a balance sheet of such Person prepared as of such date in accordance with GAAP.</w:t>
      </w:r>
    </w:p>
    <w:p>
      <w:pPr>
        <w:spacing w:after="0" w:line="142" w:lineRule="exact"/>
        <w:rPr>
          <w:sz w:val="20"/>
          <w:szCs w:val="20"/>
          <w:color w:val="auto"/>
        </w:rPr>
      </w:pPr>
    </w:p>
    <w:p>
      <w:pPr>
        <w:jc w:val="both"/>
        <w:ind w:firstLine="823"/>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Auction Procedures</w:t>
      </w:r>
      <w:r>
        <w:rPr>
          <w:rFonts w:ascii="Arial" w:cs="Arial" w:eastAsia="Arial" w:hAnsi="Arial"/>
          <w:sz w:val="20"/>
          <w:szCs w:val="20"/>
          <w:color w:val="auto"/>
        </w:rPr>
        <w:t xml:space="preserve">” shall mean the auction procedures with respect to non-pro rata assignments of Term Loans pursuant to </w:t>
      </w:r>
      <w:r>
        <w:rPr>
          <w:rFonts w:ascii="Arial" w:cs="Arial" w:eastAsia="Arial" w:hAnsi="Arial"/>
          <w:sz w:val="20"/>
          <w:szCs w:val="20"/>
          <w:u w:val="single" w:color="auto"/>
          <w:color w:val="auto"/>
        </w:rPr>
        <w:t>Section 10.04(k)</w:t>
      </w:r>
      <w:r>
        <w:rPr>
          <w:rFonts w:ascii="Arial" w:cs="Arial" w:eastAsia="Arial" w:hAnsi="Arial"/>
          <w:sz w:val="20"/>
          <w:szCs w:val="20"/>
          <w:color w:val="auto"/>
        </w:rPr>
        <w:t xml:space="preserve"> set forth in </w:t>
      </w:r>
      <w:r>
        <w:rPr>
          <w:rFonts w:ascii="Arial" w:cs="Arial" w:eastAsia="Arial" w:hAnsi="Arial"/>
          <w:sz w:val="20"/>
          <w:szCs w:val="20"/>
          <w:u w:val="single" w:color="auto"/>
          <w:color w:val="auto"/>
        </w:rPr>
        <w:t>Exhibit K</w:t>
      </w:r>
      <w:r>
        <w:rPr>
          <w:rFonts w:ascii="Arial" w:cs="Arial" w:eastAsia="Arial" w:hAnsi="Arial"/>
          <w:sz w:val="20"/>
          <w:szCs w:val="20"/>
          <w:color w:val="auto"/>
        </w:rPr>
        <w:t xml:space="preserve"> hereto.</w:t>
      </w:r>
    </w:p>
    <w:p>
      <w:pPr>
        <w:spacing w:after="0" w:line="16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Audited Financial Statements</w:t>
      </w:r>
      <w:r>
        <w:rPr>
          <w:rFonts w:ascii="Arial" w:cs="Arial" w:eastAsia="Arial" w:hAnsi="Arial"/>
          <w:sz w:val="20"/>
          <w:szCs w:val="20"/>
          <w:color w:val="auto"/>
        </w:rPr>
        <w:t>” shall mean the audited consolidated balance sheets of the Borrower and its consolidated subsidiaries for the fiscal years ending December 31, 2018 and December 31, 2017 and the related consolidated statements of operations, changes in shareholders’ equity and cash flows of the Borrower and its consolidated subsidiaries.</w:t>
      </w:r>
    </w:p>
    <w:p>
      <w:pPr>
        <w:spacing w:after="0" w:line="17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Benchmark</w:t>
      </w:r>
      <w:r>
        <w:rPr>
          <w:rFonts w:ascii="Arial" w:cs="Arial" w:eastAsia="Arial" w:hAnsi="Arial"/>
          <w:sz w:val="20"/>
          <w:szCs w:val="20"/>
          <w:color w:val="auto"/>
        </w:rPr>
        <w:t>” shall mean, initially, the Term SOFR Reference Rate; provided, that if a Benchmark Transition Event has occurred with respect to the Term SOFR Reference Rate or the then-current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38" w:name="page39"/>
    <w:bookmarkEnd w:id="38"/>
    <w:p>
      <w:pPr>
        <w:spacing w:after="0" w:line="260" w:lineRule="auto"/>
        <w:rPr>
          <w:sz w:val="20"/>
          <w:szCs w:val="20"/>
          <w:color w:val="auto"/>
        </w:rPr>
      </w:pPr>
      <w:r>
        <w:rPr>
          <w:rFonts w:ascii="Arial" w:cs="Arial" w:eastAsia="Arial" w:hAnsi="Arial"/>
          <w:sz w:val="20"/>
          <w:szCs w:val="20"/>
          <w:color w:val="auto"/>
        </w:rPr>
        <w:t xml:space="preserve">Benchmark, then “Benchmark” shall mean the applicable Benchmark Replacement to the extent that such Benchmark Replacement has replaced such prior benchmark rate pursuant to </w:t>
      </w:r>
      <w:r>
        <w:rPr>
          <w:rFonts w:ascii="Arial" w:cs="Arial" w:eastAsia="Arial" w:hAnsi="Arial"/>
          <w:sz w:val="20"/>
          <w:szCs w:val="20"/>
          <w:u w:val="single" w:color="auto"/>
          <w:color w:val="auto"/>
        </w:rPr>
        <w:t>Section 2.08</w:t>
      </w:r>
      <w:r>
        <w:rPr>
          <w:rFonts w:ascii="Arial" w:cs="Arial" w:eastAsia="Arial" w:hAnsi="Arial"/>
          <w:sz w:val="20"/>
          <w:szCs w:val="20"/>
          <w:color w:val="auto"/>
        </w:rPr>
        <w:t>.</w:t>
      </w:r>
    </w:p>
    <w:p>
      <w:pPr>
        <w:spacing w:after="0" w:line="184" w:lineRule="exact"/>
        <w:rPr>
          <w:sz w:val="20"/>
          <w:szCs w:val="20"/>
          <w:color w:val="auto"/>
        </w:rPr>
      </w:pPr>
    </w:p>
    <w:p>
      <w:pPr>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Benchmark Replacement</w:t>
      </w:r>
      <w:r>
        <w:rPr>
          <w:rFonts w:ascii="Arial" w:cs="Arial" w:eastAsia="Arial" w:hAnsi="Arial"/>
          <w:sz w:val="20"/>
          <w:szCs w:val="20"/>
          <w:color w:val="auto"/>
        </w:rPr>
        <w:t>” shall mean the first alternative set forth in the order below that can be determined by the Administrative Agent for the applicable Benchmark Replacement Date,</w:t>
      </w:r>
    </w:p>
    <w:p>
      <w:pPr>
        <w:spacing w:after="0" w:line="183" w:lineRule="exact"/>
        <w:rPr>
          <w:sz w:val="20"/>
          <w:szCs w:val="20"/>
          <w:color w:val="auto"/>
        </w:rPr>
      </w:pPr>
    </w:p>
    <w:p>
      <w:pPr>
        <w:ind w:left="1020" w:hanging="263"/>
        <w:spacing w:after="0"/>
        <w:tabs>
          <w:tab w:leader="none" w:pos="10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sum of (i) Daily Simple SOFR plus (ii) 0.11448% (11.448 basis points);</w:t>
      </w:r>
    </w:p>
    <w:p>
      <w:pPr>
        <w:spacing w:after="0" w:line="215" w:lineRule="exact"/>
        <w:rPr>
          <w:rFonts w:ascii="Arial" w:cs="Arial" w:eastAsia="Arial" w:hAnsi="Arial"/>
          <w:sz w:val="20"/>
          <w:szCs w:val="20"/>
          <w:color w:val="auto"/>
        </w:rPr>
      </w:pPr>
    </w:p>
    <w:p>
      <w:pPr>
        <w:jc w:val="both"/>
        <w:ind w:firstLine="757"/>
        <w:spacing w:after="0" w:line="282" w:lineRule="auto"/>
        <w:tabs>
          <w:tab w:leader="none" w:pos="10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and (B) any evolving or then-prevailing market convention for determining a benchmark rate as a replacement to the then-current Benchmark for Dollar-denominated syndicated credit facilities and (ii) the related Benchmark Replacement Adjustment.</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the Benchmark Replacement as determined pursuant to clause (a) or (b) above would be less than the Floor, the Benchmark Replacement will be deemed to be the Floor.</w:t>
      </w:r>
    </w:p>
    <w:p>
      <w:pPr>
        <w:spacing w:after="0" w:line="184" w:lineRule="exact"/>
        <w:rPr>
          <w:sz w:val="20"/>
          <w:szCs w:val="20"/>
          <w:color w:val="auto"/>
        </w:rPr>
      </w:pPr>
    </w:p>
    <w:p>
      <w:pPr>
        <w:jc w:val="both"/>
        <w:ind w:firstLine="82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Benchmark Replacement Adjustment</w:t>
      </w:r>
      <w:r>
        <w:rPr>
          <w:rFonts w:ascii="Arial" w:cs="Arial" w:eastAsia="Arial" w:hAnsi="Arial"/>
          <w:sz w:val="20"/>
          <w:szCs w:val="20"/>
          <w:color w:val="auto"/>
        </w:rPr>
        <w:t>” shall mean,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Benchmark Replacement Date</w:t>
      </w:r>
      <w:r>
        <w:rPr>
          <w:rFonts w:ascii="Arial" w:cs="Arial" w:eastAsia="Arial" w:hAnsi="Arial"/>
          <w:sz w:val="19"/>
          <w:szCs w:val="19"/>
          <w:color w:val="auto"/>
        </w:rPr>
        <w:t>” shall mean the earlier to occur of the following events with respect to the then-current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Benchmark:</w:t>
      </w:r>
    </w:p>
    <w:p>
      <w:pPr>
        <w:spacing w:after="0" w:line="200" w:lineRule="exact"/>
        <w:rPr>
          <w:sz w:val="20"/>
          <w:szCs w:val="20"/>
          <w:color w:val="auto"/>
        </w:rPr>
      </w:pPr>
    </w:p>
    <w:p>
      <w:pPr>
        <w:jc w:val="both"/>
        <w:ind w:firstLine="757"/>
        <w:spacing w:after="0" w:line="246" w:lineRule="auto"/>
        <w:tabs>
          <w:tab w:leader="none" w:pos="1217"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 the case of clause (a) or (b)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91" w:lineRule="exact"/>
        <w:rPr>
          <w:rFonts w:ascii="Arial" w:cs="Arial" w:eastAsia="Arial" w:hAnsi="Arial"/>
          <w:sz w:val="20"/>
          <w:szCs w:val="20"/>
          <w:color w:val="auto"/>
        </w:rPr>
      </w:pPr>
    </w:p>
    <w:p>
      <w:pPr>
        <w:jc w:val="both"/>
        <w:ind w:firstLine="757"/>
        <w:spacing w:after="0" w:line="257" w:lineRule="auto"/>
        <w:tabs>
          <w:tab w:leader="none" w:pos="1202" w:val="left"/>
        </w:tabs>
        <w:numPr>
          <w:ilvl w:val="0"/>
          <w:numId w:val="20"/>
        </w:numPr>
        <w:rPr>
          <w:rFonts w:ascii="Arial" w:cs="Arial" w:eastAsia="Arial" w:hAnsi="Arial"/>
          <w:sz w:val="19"/>
          <w:szCs w:val="19"/>
          <w:color w:val="auto"/>
        </w:rPr>
      </w:pPr>
      <w:r>
        <w:rPr>
          <w:rFonts w:ascii="Arial" w:cs="Arial" w:eastAsia="Arial" w:hAnsi="Arial"/>
          <w:sz w:val="19"/>
          <w:szCs w:val="19"/>
          <w:color w:val="auto"/>
        </w:rPr>
        <w:t>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185"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For the avoidance of doubt, the “Benchmark Replacement Date” will be deemed to have occurred in the case of clause (a) or (b) with respect to any Benchmark upon the occurrence of the applicable event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9" w:name="page40"/>
    <w:bookmarkEnd w:id="39"/>
    <w:p>
      <w:pPr>
        <w:spacing w:after="0" w:line="260" w:lineRule="auto"/>
        <w:rPr>
          <w:sz w:val="20"/>
          <w:szCs w:val="20"/>
          <w:color w:val="auto"/>
        </w:rPr>
      </w:pPr>
      <w:r>
        <w:rPr>
          <w:rFonts w:ascii="Arial" w:cs="Arial" w:eastAsia="Arial" w:hAnsi="Arial"/>
          <w:sz w:val="20"/>
          <w:szCs w:val="20"/>
          <w:color w:val="auto"/>
        </w:rPr>
        <w:t>or events set forth therein with respect to all then-current Available Tenors of such Benchmark (or the published component used in the calculation thereof).</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Transition Event</w:t>
      </w:r>
      <w:r>
        <w:rPr>
          <w:rFonts w:ascii="Arial" w:cs="Arial" w:eastAsia="Arial" w:hAnsi="Arial"/>
          <w:sz w:val="18"/>
          <w:szCs w:val="18"/>
          <w:color w:val="auto"/>
        </w:rPr>
        <w:t>” shall mean the occurrence of one or more of the following events with respect to the then-current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Benchmark:</w:t>
      </w:r>
    </w:p>
    <w:p>
      <w:pPr>
        <w:spacing w:after="0" w:line="200" w:lineRule="exact"/>
        <w:rPr>
          <w:sz w:val="20"/>
          <w:szCs w:val="20"/>
          <w:color w:val="auto"/>
        </w:rPr>
      </w:pPr>
    </w:p>
    <w:p>
      <w:pPr>
        <w:jc w:val="both"/>
        <w:ind w:firstLine="757"/>
        <w:spacing w:after="0" w:line="282" w:lineRule="auto"/>
        <w:tabs>
          <w:tab w:leader="none" w:pos="12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61" w:lineRule="exact"/>
        <w:rPr>
          <w:rFonts w:ascii="Arial" w:cs="Arial" w:eastAsia="Arial" w:hAnsi="Arial"/>
          <w:sz w:val="18"/>
          <w:szCs w:val="18"/>
          <w:color w:val="auto"/>
        </w:rPr>
      </w:pPr>
    </w:p>
    <w:p>
      <w:pPr>
        <w:jc w:val="both"/>
        <w:ind w:firstLine="757"/>
        <w:spacing w:after="0" w:line="242" w:lineRule="auto"/>
        <w:tabs>
          <w:tab w:leader="none" w:pos="1195"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the relevant Governmental Authority,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96" w:lineRule="exact"/>
        <w:rPr>
          <w:rFonts w:ascii="Arial" w:cs="Arial" w:eastAsia="Arial" w:hAnsi="Arial"/>
          <w:sz w:val="20"/>
          <w:szCs w:val="20"/>
          <w:color w:val="auto"/>
        </w:rPr>
      </w:pPr>
    </w:p>
    <w:p>
      <w:pPr>
        <w:jc w:val="both"/>
        <w:ind w:firstLine="757"/>
        <w:spacing w:after="0" w:line="244" w:lineRule="auto"/>
        <w:tabs>
          <w:tab w:leader="none" w:pos="1208"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9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0"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Unavailability Period</w:t>
      </w:r>
      <w:r>
        <w:rPr>
          <w:rFonts w:ascii="Arial" w:cs="Arial" w:eastAsia="Arial" w:hAnsi="Arial"/>
          <w:sz w:val="18"/>
          <w:szCs w:val="18"/>
          <w:color w:val="auto"/>
        </w:rPr>
        <w:t>” shall mean the period (if any) (x) beginning at the time that such Benchmark Replacement Date has occurred if, at such time, no Benchmark Replacement has replaced the then-current Benchmark for all purposes hereunder and under any Loan Document in accordance with the Section 2.08 and (y) ending at the time that a Benchmark Replacement has replaced the then-current Benchmark for all purposes hereunder and under any Loan Document pursuant to the Section 2.08.</w:t>
      </w:r>
    </w:p>
    <w:p>
      <w:pPr>
        <w:spacing w:after="0" w:line="151" w:lineRule="exact"/>
        <w:rPr>
          <w:sz w:val="20"/>
          <w:szCs w:val="20"/>
          <w:color w:val="auto"/>
        </w:rPr>
      </w:pPr>
    </w:p>
    <w:p>
      <w:pPr>
        <w:jc w:val="both"/>
        <w:ind w:firstLine="801"/>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Blocked Person</w:t>
      </w:r>
      <w:r>
        <w:rPr>
          <w:rFonts w:ascii="Arial" w:cs="Arial" w:eastAsia="Arial" w:hAnsi="Arial"/>
          <w:sz w:val="19"/>
          <w:szCs w:val="19"/>
          <w:color w:val="auto"/>
        </w:rPr>
        <w:t>” shall mean any Person that is publicly identified on the most current list of “Specially Designated Nationals and Blocked Persons” published by the Office of Foreign Assets Control of the U.S. Department of the Treasury (“</w:t>
      </w:r>
      <w:r>
        <w:rPr>
          <w:rFonts w:ascii="Arial" w:cs="Arial" w:eastAsia="Arial" w:hAnsi="Arial"/>
          <w:sz w:val="19"/>
          <w:szCs w:val="19"/>
          <w:b w:val="1"/>
          <w:bCs w:val="1"/>
          <w:color w:val="auto"/>
        </w:rPr>
        <w:t>OFAC</w:t>
      </w:r>
      <w:r>
        <w:rPr>
          <w:rFonts w:ascii="Arial" w:cs="Arial" w:eastAsia="Arial" w:hAnsi="Arial"/>
          <w:sz w:val="19"/>
          <w:szCs w:val="19"/>
          <w:color w:val="auto"/>
        </w:rPr>
        <w:t>”).</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shall mean the Board of Governors of the Federal Reserve System of the United States of America.</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 Meeting</w:t>
      </w:r>
      <w:r>
        <w:rPr>
          <w:rFonts w:ascii="Arial" w:cs="Arial" w:eastAsia="Arial" w:hAnsi="Arial"/>
          <w:sz w:val="20"/>
          <w:szCs w:val="20"/>
          <w:color w:val="auto"/>
        </w:rPr>
        <w:t>” as defined in Section 6.18.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0" w:name="page41"/>
    <w:bookmarkEnd w:id="40"/>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 Observer</w:t>
      </w:r>
      <w:r>
        <w:rPr>
          <w:rFonts w:ascii="Arial" w:cs="Arial" w:eastAsia="Arial" w:hAnsi="Arial"/>
          <w:sz w:val="20"/>
          <w:szCs w:val="20"/>
          <w:color w:val="auto"/>
        </w:rPr>
        <w:t>” as defined in Section 6.18.</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w:t>
      </w:r>
      <w:r>
        <w:rPr>
          <w:rFonts w:ascii="Arial" w:cs="Arial" w:eastAsia="Arial" w:hAnsi="Arial"/>
          <w:sz w:val="20"/>
          <w:szCs w:val="20"/>
          <w:color w:val="auto"/>
        </w:rPr>
        <w:t>” shall have the meaning assigned to such term in the introductory statement to this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 Materials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Borrowing</w:t>
      </w:r>
      <w:r>
        <w:rPr>
          <w:rFonts w:ascii="Arial" w:cs="Arial" w:eastAsia="Arial" w:hAnsi="Arial"/>
          <w:sz w:val="20"/>
          <w:szCs w:val="20"/>
          <w:color w:val="auto"/>
        </w:rPr>
        <w:t>” shall mean Loans of the same Class and Type made, converted or continued on the same date and, in the case of SOFR Loans, as to which a single Interest Period is in effect.</w:t>
      </w:r>
    </w:p>
    <w:p>
      <w:pPr>
        <w:spacing w:after="0" w:line="16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Budget Variance Report</w:t>
      </w:r>
      <w:r>
        <w:rPr>
          <w:rFonts w:ascii="Arial" w:cs="Arial" w:eastAsia="Arial" w:hAnsi="Arial"/>
          <w:sz w:val="20"/>
          <w:szCs w:val="20"/>
          <w:color w:val="auto"/>
        </w:rPr>
        <w:t>” shall mean a weekly variance report prepared by management of the Borrower (and after the Operational Advisor Appointment Date, in consultation with the Borrower’s Operational Advisor), in form and detail reasonably satisfactory to the Required Lenders, comparing for each applicable Budget Variance Test Period the actual results against anticipated results under the applicable Approved Budget, on a line-by-line and aggregate basis and in the same level of detail set forth in the Approved Budget(s), together with a written explanation for all material variances in any given Budget Variance Test Period and such other related information as the Required Lenders may reasonably request.</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Budget Variance Test Date</w:t>
      </w:r>
      <w:r>
        <w:rPr>
          <w:rFonts w:ascii="Arial" w:cs="Arial" w:eastAsia="Arial" w:hAnsi="Arial"/>
          <w:sz w:val="20"/>
          <w:szCs w:val="20"/>
          <w:color w:val="auto"/>
        </w:rPr>
        <w:t>” shall mean the Wednesday of each calendar week.</w:t>
      </w:r>
    </w:p>
    <w:p>
      <w:pPr>
        <w:spacing w:after="0" w:line="2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Budget Variance Test Period</w:t>
      </w:r>
      <w:r>
        <w:rPr>
          <w:rFonts w:ascii="Arial" w:cs="Arial" w:eastAsia="Arial" w:hAnsi="Arial"/>
          <w:sz w:val="20"/>
          <w:szCs w:val="20"/>
          <w:color w:val="auto"/>
        </w:rPr>
        <w:t xml:space="preserve">” shall mean, as of any date of determination under this Agreement, the most recent period as of such date of seven (7) consecutive days ending on a Friday for which a Budget Variance Report has been delivered (or was required to have been delivered) pursuant to </w:t>
      </w:r>
      <w:r>
        <w:rPr>
          <w:rFonts w:ascii="Arial" w:cs="Arial" w:eastAsia="Arial" w:hAnsi="Arial"/>
          <w:sz w:val="20"/>
          <w:szCs w:val="20"/>
          <w:u w:val="single" w:color="auto"/>
          <w:color w:val="auto"/>
        </w:rPr>
        <w:t>Section 6.02(n)(i)</w:t>
      </w:r>
      <w:r>
        <w:rPr>
          <w:rFonts w:ascii="Arial" w:cs="Arial" w:eastAsia="Arial" w:hAnsi="Arial"/>
          <w:sz w:val="20"/>
          <w:szCs w:val="20"/>
          <w:color w:val="auto"/>
        </w:rPr>
        <w:t>.</w:t>
      </w:r>
    </w:p>
    <w:p>
      <w:pPr>
        <w:spacing w:after="0" w:line="17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xml:space="preserve">” shall mean any day other than a Saturday, Sunday or day on which banks in New York City are authorized or required by law to close; </w:t>
      </w:r>
      <w:r>
        <w:rPr>
          <w:rFonts w:ascii="Arial" w:cs="Arial" w:eastAsia="Arial" w:hAnsi="Arial"/>
          <w:sz w:val="20"/>
          <w:szCs w:val="20"/>
          <w:i w:val="1"/>
          <w:iCs w:val="1"/>
          <w:color w:val="auto"/>
        </w:rPr>
        <w:t>provided, however</w:t>
      </w:r>
      <w:r>
        <w:rPr>
          <w:rFonts w:ascii="Arial" w:cs="Arial" w:eastAsia="Arial" w:hAnsi="Arial"/>
          <w:sz w:val="20"/>
          <w:szCs w:val="20"/>
          <w:color w:val="auto"/>
        </w:rPr>
        <w:t>, that when used in connection with a SOFR Loan, the term “</w:t>
      </w:r>
      <w:r>
        <w:rPr>
          <w:rFonts w:ascii="Arial" w:cs="Arial" w:eastAsia="Arial" w:hAnsi="Arial"/>
          <w:sz w:val="20"/>
          <w:szCs w:val="20"/>
          <w:b w:val="1"/>
          <w:bCs w:val="1"/>
          <w:color w:val="auto"/>
        </w:rPr>
        <w:t>Business Day</w:t>
      </w:r>
      <w:r>
        <w:rPr>
          <w:rFonts w:ascii="Arial" w:cs="Arial" w:eastAsia="Arial" w:hAnsi="Arial"/>
          <w:sz w:val="20"/>
          <w:szCs w:val="20"/>
          <w:color w:val="auto"/>
        </w:rPr>
        <w:t>” shall also exclude any day that is not a U.S. Government Securities Business Day.</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Subsidiary</w:t>
      </w:r>
      <w:r>
        <w:rPr>
          <w:rFonts w:ascii="Arial" w:cs="Arial" w:eastAsia="Arial" w:hAnsi="Arial"/>
          <w:sz w:val="18"/>
          <w:szCs w:val="18"/>
          <w:color w:val="auto"/>
        </w:rPr>
        <w:t>” shall mean any Subsidiary that is organized under the Laws of Canada or any state or province thereof.</w:t>
      </w:r>
    </w:p>
    <w:p>
      <w:pPr>
        <w:spacing w:after="0" w:line="239"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Expenditures</w:t>
      </w:r>
      <w:r>
        <w:rPr>
          <w:rFonts w:ascii="Arial" w:cs="Arial" w:eastAsia="Arial" w:hAnsi="Arial"/>
          <w:sz w:val="18"/>
          <w:szCs w:val="18"/>
          <w:color w:val="auto"/>
        </w:rPr>
        <w:t>” shall mean, for any period, the aggregate of (a) all amounts that would be reflected as additions to property, plant or equipment on a consolidated statement of cash flows of the Borrower and its Restricted Subsidiaries in accordance with GAAP and (b) the value of all assets under Capitalized Leases incurred by the Borrower and its Restricted Subsidiaries during such period.</w:t>
      </w:r>
    </w:p>
    <w:p>
      <w:pPr>
        <w:spacing w:after="0" w:line="14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Capitalized Leases</w:t>
      </w:r>
      <w:r>
        <w:rPr>
          <w:rFonts w:ascii="Arial" w:cs="Arial" w:eastAsia="Arial" w:hAnsi="Arial"/>
          <w:sz w:val="20"/>
          <w:szCs w:val="20"/>
          <w:color w:val="auto"/>
        </w:rPr>
        <w:t xml:space="preserve">” shall mean all leases that have been or are required to be, in accordance with GAAP, recorded as capitalized leases;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subject to </w:t>
      </w: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 for all purposes hereunder the amount of obligations under any Capitalized Lease shall be the amount thereof accounted for as a liability in accordance with GAAP.</w:t>
      </w:r>
    </w:p>
    <w:p>
      <w:pPr>
        <w:spacing w:after="0" w:line="17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Cash Collateral Account</w:t>
      </w:r>
      <w:r>
        <w:rPr>
          <w:rFonts w:ascii="Arial" w:cs="Arial" w:eastAsia="Arial" w:hAnsi="Arial"/>
          <w:sz w:val="20"/>
          <w:szCs w:val="20"/>
          <w:color w:val="auto"/>
        </w:rPr>
        <w:t xml:space="preserve"> ” shall mean a blocked account at a commercial bank reasonably satisfactory to the Required Lenders and the Administrative Agent, in the name of the Administrative Agent and under the sole dominion and control of the Administrative Agent, and otherwise established in a manner reasonably satisfactory to the Administrative Agent.</w:t>
      </w:r>
    </w:p>
    <w:p>
      <w:pPr>
        <w:spacing w:after="0" w:line="17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Cash Equivalents</w:t>
      </w:r>
      <w:r>
        <w:rPr>
          <w:rFonts w:ascii="Arial" w:cs="Arial" w:eastAsia="Arial" w:hAnsi="Arial"/>
          <w:sz w:val="20"/>
          <w:szCs w:val="20"/>
          <w:color w:val="auto"/>
        </w:rPr>
        <w:t>” shall mean any of the following types of Investments, to the extent owned by the Borrower or any Restricted Subsidiary: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ind w:left="1200" w:hanging="443"/>
        <w:spacing w:after="0"/>
        <w:tabs>
          <w:tab w:leader="none" w:pos="12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Dollars and, to the extent consistent with past practice, Canadian Dollars;</w:t>
      </w:r>
    </w:p>
    <w:p>
      <w:pPr>
        <w:spacing w:after="0" w:line="215" w:lineRule="exact"/>
        <w:rPr>
          <w:rFonts w:ascii="Arial" w:cs="Arial" w:eastAsia="Arial" w:hAnsi="Arial"/>
          <w:sz w:val="20"/>
          <w:szCs w:val="20"/>
          <w:color w:val="auto"/>
        </w:rPr>
      </w:pPr>
    </w:p>
    <w:p>
      <w:pPr>
        <w:jc w:val="both"/>
        <w:ind w:firstLine="757"/>
        <w:spacing w:after="0" w:line="250" w:lineRule="auto"/>
        <w:tabs>
          <w:tab w:leader="none" w:pos="1191" w:val="left"/>
        </w:tabs>
        <w:numPr>
          <w:ilvl w:val="0"/>
          <w:numId w:val="22"/>
        </w:numPr>
        <w:rPr>
          <w:rFonts w:ascii="Arial" w:cs="Arial" w:eastAsia="Arial" w:hAnsi="Arial"/>
          <w:sz w:val="20"/>
          <w:szCs w:val="20"/>
          <w:color w:val="auto"/>
        </w:rPr>
      </w:pPr>
      <w:r>
        <w:rPr>
          <w:rFonts w:ascii="Arial" w:cs="Arial" w:eastAsia="Arial" w:hAnsi="Arial"/>
          <w:sz w:val="20"/>
          <w:szCs w:val="20"/>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issuance thereof;</w:t>
      </w:r>
    </w:p>
    <w:p>
      <w:pPr>
        <w:spacing w:after="0" w:line="185" w:lineRule="exact"/>
        <w:rPr>
          <w:rFonts w:ascii="Arial" w:cs="Arial" w:eastAsia="Arial" w:hAnsi="Arial"/>
          <w:sz w:val="20"/>
          <w:szCs w:val="20"/>
          <w:color w:val="auto"/>
        </w:rPr>
      </w:pPr>
    </w:p>
    <w:p>
      <w:pPr>
        <w:ind w:firstLine="757"/>
        <w:spacing w:after="0" w:line="260" w:lineRule="auto"/>
        <w:tabs>
          <w:tab w:leader="none" w:pos="1214"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investments in commercial paper maturing within 270 days from the date of issuance thereof and having, at such date of acquisition, rated at least A-2 or P-2 by S&amp;P or Moody’s;</w:t>
      </w:r>
    </w:p>
    <w:p>
      <w:pPr>
        <w:spacing w:after="0" w:line="176" w:lineRule="exact"/>
        <w:rPr>
          <w:rFonts w:ascii="Arial" w:cs="Arial" w:eastAsia="Arial" w:hAnsi="Arial"/>
          <w:sz w:val="20"/>
          <w:szCs w:val="20"/>
          <w:color w:val="auto"/>
        </w:rPr>
      </w:pPr>
    </w:p>
    <w:p>
      <w:pPr>
        <w:jc w:val="both"/>
        <w:ind w:firstLine="757"/>
        <w:spacing w:after="0" w:line="259" w:lineRule="auto"/>
        <w:tabs>
          <w:tab w:leader="none" w:pos="1189" w:val="left"/>
        </w:tabs>
        <w:numPr>
          <w:ilvl w:val="0"/>
          <w:numId w:val="22"/>
        </w:numPr>
        <w:rPr>
          <w:rFonts w:ascii="Arial" w:cs="Arial" w:eastAsia="Arial" w:hAnsi="Arial"/>
          <w:sz w:val="19"/>
          <w:szCs w:val="19"/>
          <w:color w:val="auto"/>
        </w:rPr>
      </w:pPr>
      <w:r>
        <w:rPr>
          <w:rFonts w:ascii="Arial" w:cs="Arial" w:eastAsia="Arial" w:hAnsi="Arial"/>
          <w:sz w:val="19"/>
          <w:szCs w:val="19"/>
          <w:color w:val="auto"/>
        </w:rPr>
        <w:t>investments in demand deposits, certificates of deposit, banker’s acceptances and time deposits maturing within one year from the date of acquisition thereof issued or guaranteed by or placed with, and money market deposit accounts issued or offered by, the Administrative Agent, the ABL Agent, the UST Tranche A Agent, the UST Tranche B Agent or any domestic office of any commercial bank organized under the laws of the United States of America or any State thereof that has a combined capital and surplus and undivided profits of not less than $500,000,000 and that issues (or the parent of which issues) commercial paper rated at least “Prime 1” (or the then equivalent grade) by Moody’s or “A 1” (or the then equivalent grade) by S&amp;P;</w:t>
      </w:r>
    </w:p>
    <w:p>
      <w:pPr>
        <w:spacing w:after="0" w:line="178" w:lineRule="exact"/>
        <w:rPr>
          <w:rFonts w:ascii="Arial" w:cs="Arial" w:eastAsia="Arial" w:hAnsi="Arial"/>
          <w:sz w:val="19"/>
          <w:szCs w:val="19"/>
          <w:color w:val="auto"/>
        </w:rPr>
      </w:pPr>
    </w:p>
    <w:p>
      <w:pPr>
        <w:ind w:firstLine="757"/>
        <w:spacing w:after="0" w:line="260" w:lineRule="auto"/>
        <w:tabs>
          <w:tab w:leader="none" w:pos="1202" w:val="left"/>
        </w:tabs>
        <w:numPr>
          <w:ilvl w:val="0"/>
          <w:numId w:val="22"/>
        </w:numPr>
        <w:rPr>
          <w:rFonts w:ascii="Arial" w:cs="Arial" w:eastAsia="Arial" w:hAnsi="Arial"/>
          <w:sz w:val="20"/>
          <w:szCs w:val="20"/>
          <w:color w:val="auto"/>
        </w:rPr>
      </w:pPr>
      <w:r>
        <w:rPr>
          <w:rFonts w:ascii="Arial" w:cs="Arial" w:eastAsia="Arial" w:hAnsi="Arial"/>
          <w:sz w:val="20"/>
          <w:szCs w:val="20"/>
          <w:color w:val="auto"/>
        </w:rPr>
        <w:t>fully collateralized repurchase agreements with a term of not more than 30 days for securities described in clause (b) above and entered into with a financial institution satisfying the criteria of clause (d) above;</w:t>
      </w:r>
    </w:p>
    <w:p>
      <w:pPr>
        <w:spacing w:after="0" w:line="176" w:lineRule="exact"/>
        <w:rPr>
          <w:rFonts w:ascii="Arial" w:cs="Arial" w:eastAsia="Arial" w:hAnsi="Arial"/>
          <w:sz w:val="20"/>
          <w:szCs w:val="20"/>
          <w:color w:val="auto"/>
        </w:rPr>
      </w:pPr>
    </w:p>
    <w:p>
      <w:pPr>
        <w:ind w:firstLine="757"/>
        <w:spacing w:after="0" w:line="287" w:lineRule="auto"/>
        <w:tabs>
          <w:tab w:leader="none" w:pos="1193" w:val="left"/>
        </w:tabs>
        <w:numPr>
          <w:ilvl w:val="0"/>
          <w:numId w:val="22"/>
        </w:numPr>
        <w:rPr>
          <w:rFonts w:ascii="Arial" w:cs="Arial" w:eastAsia="Arial" w:hAnsi="Arial"/>
          <w:sz w:val="19"/>
          <w:szCs w:val="19"/>
          <w:color w:val="auto"/>
        </w:rPr>
      </w:pPr>
      <w:r>
        <w:rPr>
          <w:rFonts w:ascii="Arial" w:cs="Arial" w:eastAsia="Arial" w:hAnsi="Arial"/>
          <w:sz w:val="19"/>
          <w:szCs w:val="19"/>
          <w:color w:val="auto"/>
        </w:rPr>
        <w:t>investments in “money market funds” within the meaning of Rule 2a-7 of the Investment Company Act of 1940, as amended, substantially all of whose assets are invested in investments of the type described in clauses (a) through (e) above; and</w:t>
      </w:r>
    </w:p>
    <w:p>
      <w:pPr>
        <w:spacing w:after="0" w:line="152" w:lineRule="exact"/>
        <w:rPr>
          <w:rFonts w:ascii="Arial" w:cs="Arial" w:eastAsia="Arial" w:hAnsi="Arial"/>
          <w:sz w:val="19"/>
          <w:szCs w:val="19"/>
          <w:color w:val="auto"/>
        </w:rPr>
      </w:pPr>
    </w:p>
    <w:p>
      <w:pPr>
        <w:jc w:val="both"/>
        <w:ind w:firstLine="757"/>
        <w:spacing w:after="0" w:line="291" w:lineRule="auto"/>
        <w:tabs>
          <w:tab w:leader="none" w:pos="12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short-term investments entered into in accordance with normal investment policies and practices of any Foreign Subsidiary consistent with past practices for cash management and constituting investments in governmental obligations and investment funds analogous to and having a credit risk not greater than investments of the type described in clauses (a) through (f) above.</w:t>
      </w:r>
    </w:p>
    <w:p>
      <w:pPr>
        <w:spacing w:after="0" w:line="15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 xml:space="preserve">Notwithstanding the foregoing, Cash Equivalents shall include amounts denominated in currencies other than set forth in clause (a) above;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amounts are converted into currencies listed in clause (a) within ten Business Days following the receipt of such amounts.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“Cash Interest Portion</w:t>
      </w:r>
      <w:r>
        <w:rPr>
          <w:rFonts w:ascii="Arial" w:cs="Arial" w:eastAsia="Arial" w:hAnsi="Arial"/>
          <w:sz w:val="20"/>
          <w:szCs w:val="20"/>
          <w:color w:val="auto"/>
        </w:rPr>
        <w:t>” shall have the meaning assigned to such term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2.06(d)</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Casualty Event</w:t>
      </w:r>
      <w:r>
        <w:rPr>
          <w:rFonts w:ascii="Arial" w:cs="Arial" w:eastAsia="Arial" w:hAnsi="Arial"/>
          <w:sz w:val="19"/>
          <w:szCs w:val="19"/>
          <w:color w:val="auto"/>
        </w:rPr>
        <w:t xml:space="preserve"> ” shall mean any event that gives rise to the receipt by the Borrower or any Restricted Subsidiary of any insurance proceeds or condemnation awards in respect of any equipment, fixed assets or Real Property (including any improvements thereon) to replace or repair such equipment, fixed assets or Real Property or as compensation for such condemnation event.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of Control</w:t>
      </w:r>
      <w:r>
        <w:rPr>
          <w:rFonts w:ascii="Arial" w:cs="Arial" w:eastAsia="Arial" w:hAnsi="Arial"/>
          <w:sz w:val="20"/>
          <w:szCs w:val="20"/>
          <w:color w:val="auto"/>
        </w:rPr>
        <w:t>” shall mean:</w:t>
      </w:r>
    </w:p>
    <w:p>
      <w:pPr>
        <w:spacing w:after="0" w:line="222" w:lineRule="exact"/>
        <w:rPr>
          <w:sz w:val="20"/>
          <w:szCs w:val="20"/>
          <w:color w:val="auto"/>
        </w:rPr>
      </w:pPr>
    </w:p>
    <w:p>
      <w:pPr>
        <w:jc w:val="both"/>
        <w:ind w:firstLine="757"/>
        <w:spacing w:after="0" w:line="260" w:lineRule="auto"/>
        <w:tabs>
          <w:tab w:leader="none" w:pos="1201"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acquisition of ownership, directly or indirectly, beneficially or of record, by any Person or group (within the meaning of the Securities Exchange Act of 1934 and the rules of the Securities and Exchange Commission thereunder as in effect on the date hereof), in each case, other than the United States federal government or any other Governmental Authority on behalf thereof (or, in each case, any agent, trustee or other Person on behalf thereof, including, for the avoidance of doubt, any voting trust and the trustee thereof created to hold the Equity Interests for the benefit of the United States federal government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2" w:name="page43"/>
    <w:bookmarkEnd w:id="42"/>
    <w:p>
      <w:pPr>
        <w:spacing w:after="0" w:line="260" w:lineRule="auto"/>
        <w:rPr>
          <w:sz w:val="20"/>
          <w:szCs w:val="20"/>
          <w:color w:val="auto"/>
        </w:rPr>
      </w:pPr>
      <w:r>
        <w:rPr>
          <w:rFonts w:ascii="Arial" w:cs="Arial" w:eastAsia="Arial" w:hAnsi="Arial"/>
          <w:sz w:val="20"/>
          <w:szCs w:val="20"/>
          <w:color w:val="auto"/>
        </w:rPr>
        <w:t>or any other Governmental Authority), of Equity Interests representing more than 35% of the aggregate ordinary voting power represented by the issued and outstanding Equity Interests of the Borrower;</w:t>
      </w:r>
    </w:p>
    <w:p>
      <w:pPr>
        <w:spacing w:after="0" w:line="177" w:lineRule="exact"/>
        <w:rPr>
          <w:sz w:val="20"/>
          <w:szCs w:val="20"/>
          <w:color w:val="auto"/>
        </w:rPr>
      </w:pPr>
    </w:p>
    <w:p>
      <w:pPr>
        <w:ind w:firstLine="757"/>
        <w:spacing w:after="0" w:line="316" w:lineRule="auto"/>
        <w:tabs>
          <w:tab w:leader="none" w:pos="11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occupation of a majority of the seats (other than vacant seats) on the board of directors of the Borrower by Persons who were neither (i) nominated or approved by the board of directors of the Borrower nor (ii) appointed by directors so nominated or approved; or</w:t>
      </w:r>
    </w:p>
    <w:p>
      <w:pPr>
        <w:spacing w:after="0" w:line="123" w:lineRule="exact"/>
        <w:rPr>
          <w:rFonts w:ascii="Arial" w:cs="Arial" w:eastAsia="Arial" w:hAnsi="Arial"/>
          <w:sz w:val="18"/>
          <w:szCs w:val="18"/>
          <w:color w:val="auto"/>
        </w:rPr>
      </w:pPr>
    </w:p>
    <w:p>
      <w:pPr>
        <w:jc w:val="both"/>
        <w:ind w:firstLine="757"/>
        <w:spacing w:after="0" w:line="253" w:lineRule="auto"/>
        <w:tabs>
          <w:tab w:leader="none" w:pos="1196"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w:t>
      </w:r>
      <w:r>
        <w:rPr>
          <w:rFonts w:ascii="Arial" w:cs="Arial" w:eastAsia="Arial" w:hAnsi="Arial"/>
          <w:sz w:val="20"/>
          <w:szCs w:val="20"/>
          <w:b w:val="1"/>
          <w:bCs w:val="1"/>
          <w:color w:val="auto"/>
        </w:rPr>
        <w:t>change of control</w:t>
      </w:r>
      <w:r>
        <w:rPr>
          <w:rFonts w:ascii="Arial" w:cs="Arial" w:eastAsia="Arial" w:hAnsi="Arial"/>
          <w:sz w:val="20"/>
          <w:szCs w:val="20"/>
          <w:color w:val="auto"/>
        </w:rPr>
        <w:t>” (or similar event) shall occur under (i) the ABL Facility Documentation or any Permitted Refinancing thereof or (ii) any other Indebtedness for borrowed money, with an aggregate principal amount (in the case of this clause (ii)) in excess of the Threshold Amount.</w:t>
      </w:r>
    </w:p>
    <w:p>
      <w:pPr>
        <w:spacing w:after="0" w:line="183"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that, notwithstanding anything in this definition to the contrary, in no event shall the Amendment No. 2 Transactions constitute a Change of Control.</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Charges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10.09</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w:t>
      </w:r>
      <w:r>
        <w:rPr>
          <w:rFonts w:ascii="Arial" w:cs="Arial" w:eastAsia="Arial" w:hAnsi="Arial"/>
          <w:sz w:val="16"/>
          <w:szCs w:val="16"/>
          <w:color w:val="auto"/>
        </w:rPr>
        <w:t xml:space="preserve"> ” when used in reference to (a) any Loan or Borrowing, refers to whether such Loan, or the Loans comprising such Borrowing, are Tranche B-2 Term Loans, Other Term Loans or Extended Term Loans, (b) any Commitment, refers to whether such Commitment is a Term Loan Commitment, Other Term Loan Commitment (and, in the case of an Other Term Loan Commitment, the Class of Term Loans to which such commitment relates), or a commitment in respect of Term Loans to be made pursuant to an Extension Offer and</w:t>
      </w:r>
    </w:p>
    <w:p>
      <w:pPr>
        <w:spacing w:after="0" w:line="2" w:lineRule="exact"/>
        <w:rPr>
          <w:sz w:val="20"/>
          <w:szCs w:val="20"/>
          <w:color w:val="auto"/>
        </w:rPr>
      </w:pPr>
    </w:p>
    <w:p>
      <w:pPr>
        <w:jc w:val="both"/>
        <w:ind w:firstLine="8"/>
        <w:spacing w:after="0" w:line="241" w:lineRule="auto"/>
        <w:tabs>
          <w:tab w:leader="none" w:pos="27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Lender, refers to whether such Lender has a Loan or Commitment with respect to a particular Class of Loans or Commitments. Other Term Loan Commitments, Other Term Loans and Extended Term Loans that have different terms and conditions, and each tranche of Extended Term Loans, shall be construed to be in different Classes.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shall mean the Internal Revenue Code of 1986, as amended from time to time.</w:t>
      </w:r>
    </w:p>
    <w:p>
      <w:pPr>
        <w:spacing w:after="0" w:line="216" w:lineRule="exact"/>
        <w:rPr>
          <w:sz w:val="20"/>
          <w:szCs w:val="20"/>
          <w:color w:val="auto"/>
        </w:rPr>
      </w:pPr>
    </w:p>
    <w:p>
      <w:pPr>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w:t>
      </w:r>
      <w:r>
        <w:rPr>
          <w:rFonts w:ascii="Arial" w:cs="Arial" w:eastAsia="Arial" w:hAnsi="Arial"/>
          <w:sz w:val="20"/>
          <w:szCs w:val="20"/>
          <w:color w:val="auto"/>
        </w:rPr>
        <w:t>” shall mean all the “</w:t>
      </w:r>
      <w:r>
        <w:rPr>
          <w:rFonts w:ascii="Arial" w:cs="Arial" w:eastAsia="Arial" w:hAnsi="Arial"/>
          <w:sz w:val="20"/>
          <w:szCs w:val="20"/>
          <w:b w:val="1"/>
          <w:bCs w:val="1"/>
          <w:color w:val="auto"/>
        </w:rPr>
        <w:t>Collateral</w:t>
      </w:r>
      <w:r>
        <w:rPr>
          <w:rFonts w:ascii="Arial" w:cs="Arial" w:eastAsia="Arial" w:hAnsi="Arial"/>
          <w:sz w:val="20"/>
          <w:szCs w:val="20"/>
          <w:color w:val="auto"/>
        </w:rPr>
        <w:t>” as defined in any Collateral Document and shall also include the Mortgaged Properties.</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 Agent</w:t>
      </w:r>
      <w:r>
        <w:rPr>
          <w:rFonts w:ascii="Arial" w:cs="Arial" w:eastAsia="Arial" w:hAnsi="Arial"/>
          <w:sz w:val="20"/>
          <w:szCs w:val="20"/>
          <w:color w:val="auto"/>
        </w:rPr>
        <w:t>” shall have the meaning assigned to such term in the introductory statement to this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 and Guarantee Requirement</w:t>
      </w:r>
      <w:r>
        <w:rPr>
          <w:rFonts w:ascii="Arial" w:cs="Arial" w:eastAsia="Arial" w:hAnsi="Arial"/>
          <w:sz w:val="20"/>
          <w:szCs w:val="20"/>
          <w:color w:val="auto"/>
        </w:rPr>
        <w:t>” shall mean, at any time, the requirement that:</w:t>
      </w:r>
    </w:p>
    <w:p>
      <w:pPr>
        <w:spacing w:after="0" w:line="222" w:lineRule="exact"/>
        <w:rPr>
          <w:sz w:val="20"/>
          <w:szCs w:val="20"/>
          <w:color w:val="auto"/>
        </w:rPr>
      </w:pPr>
    </w:p>
    <w:p>
      <w:pPr>
        <w:jc w:val="both"/>
        <w:ind w:firstLine="757"/>
        <w:spacing w:after="0" w:line="250" w:lineRule="auto"/>
        <w:tabs>
          <w:tab w:leader="none" w:pos="1217"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on the Restatement Effective Date the Administrative Agent and the Collateral Agent shall have received each Collateral Document to the extent required to be delivered on the Restatement Effective Date pursuant to </w:t>
      </w:r>
      <w:r>
        <w:rPr>
          <w:rFonts w:ascii="Arial" w:cs="Arial" w:eastAsia="Arial" w:hAnsi="Arial"/>
          <w:sz w:val="20"/>
          <w:szCs w:val="20"/>
          <w:u w:val="single" w:color="auto"/>
          <w:color w:val="auto"/>
        </w:rPr>
        <w:t>Section 4.02(d)</w:t>
      </w:r>
      <w:r>
        <w:rPr>
          <w:rFonts w:ascii="Arial" w:cs="Arial" w:eastAsia="Arial" w:hAnsi="Arial"/>
          <w:sz w:val="20"/>
          <w:szCs w:val="20"/>
          <w:color w:val="auto"/>
        </w:rPr>
        <w:t>, subject to the limitations and exceptions of this Agreement, duly executed by each Loan Party that is a party thereto;</w:t>
      </w:r>
    </w:p>
    <w:p>
      <w:pPr>
        <w:spacing w:after="0" w:line="185" w:lineRule="exact"/>
        <w:rPr>
          <w:rFonts w:ascii="Arial" w:cs="Arial" w:eastAsia="Arial" w:hAnsi="Arial"/>
          <w:sz w:val="20"/>
          <w:szCs w:val="20"/>
          <w:color w:val="auto"/>
        </w:rPr>
      </w:pPr>
    </w:p>
    <w:p>
      <w:pPr>
        <w:jc w:val="both"/>
        <w:ind w:firstLine="757"/>
        <w:spacing w:after="0" w:line="250" w:lineRule="auto"/>
        <w:tabs>
          <w:tab w:leader="none" w:pos="1205"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 each case subject to the limitations and exceptions set forth in this Agreement and the Collateral Documents, and to any action required to be taken by the Collateral Agent or the Administrative Agent to effectuate the same, the Obligations shall have been secured by:</w:t>
      </w:r>
    </w:p>
    <w:p>
      <w:pPr>
        <w:spacing w:after="0" w:line="185" w:lineRule="exact"/>
        <w:rPr>
          <w:rFonts w:ascii="Arial" w:cs="Arial" w:eastAsia="Arial" w:hAnsi="Arial"/>
          <w:sz w:val="20"/>
          <w:szCs w:val="20"/>
          <w:color w:val="auto"/>
        </w:rPr>
      </w:pPr>
    </w:p>
    <w:p>
      <w:pPr>
        <w:jc w:val="both"/>
        <w:ind w:left="1500" w:hanging="690"/>
        <w:spacing w:after="0" w:line="263" w:lineRule="auto"/>
        <w:tabs>
          <w:tab w:leader="none" w:pos="1521" w:val="left"/>
        </w:tabs>
        <w:numPr>
          <w:ilvl w:val="1"/>
          <w:numId w:val="26"/>
        </w:numPr>
        <w:rPr>
          <w:rFonts w:ascii="Arial" w:cs="Arial" w:eastAsia="Arial" w:hAnsi="Arial"/>
          <w:sz w:val="19"/>
          <w:szCs w:val="19"/>
          <w:color w:val="auto"/>
        </w:rPr>
      </w:pPr>
      <w:r>
        <w:rPr>
          <w:rFonts w:ascii="Arial" w:cs="Arial" w:eastAsia="Arial" w:hAnsi="Arial"/>
          <w:sz w:val="19"/>
          <w:szCs w:val="19"/>
          <w:color w:val="auto"/>
        </w:rPr>
        <w:t xml:space="preserve">a perfected second priority security interest (subject to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 in all personal property of the Borrower and each Guarantor consisting of all accounts receivable, cash and Cash Equivalents, deposit accounts (other than First Lien Term Priority Accounts and UST Tranche B Joint Accounts) and supporting obligations and books and records related to the foregoing and, in each case, proceeds thereof;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3" w:name="page44"/>
    <w:bookmarkEnd w:id="43"/>
    <w:p>
      <w:pPr>
        <w:ind w:left="1500" w:hanging="690"/>
        <w:spacing w:after="0" w:line="260" w:lineRule="auto"/>
        <w:tabs>
          <w:tab w:leader="none" w:pos="1520" w:val="left"/>
        </w:tabs>
        <w:numPr>
          <w:ilvl w:val="1"/>
          <w:numId w:val="27"/>
        </w:numPr>
        <w:rPr>
          <w:rFonts w:ascii="Arial" w:cs="Arial" w:eastAsia="Arial" w:hAnsi="Arial"/>
          <w:sz w:val="20"/>
          <w:szCs w:val="20"/>
          <w:color w:val="auto"/>
        </w:rPr>
      </w:pPr>
      <w:r>
        <w:rPr>
          <w:rFonts w:ascii="Arial" w:cs="Arial" w:eastAsia="Arial" w:hAnsi="Arial"/>
          <w:sz w:val="20"/>
          <w:szCs w:val="20"/>
          <w:color w:val="auto"/>
        </w:rPr>
        <w:t xml:space="preserve">a perfected first priority pledge (subject to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 of all Equity Interests directly held by the Borrower or any Guarantor;</w:t>
      </w:r>
    </w:p>
    <w:p>
      <w:pPr>
        <w:spacing w:after="0" w:line="176" w:lineRule="exact"/>
        <w:rPr>
          <w:rFonts w:ascii="Arial" w:cs="Arial" w:eastAsia="Arial" w:hAnsi="Arial"/>
          <w:sz w:val="20"/>
          <w:szCs w:val="20"/>
          <w:color w:val="auto"/>
        </w:rPr>
      </w:pPr>
    </w:p>
    <w:p>
      <w:pPr>
        <w:jc w:val="both"/>
        <w:ind w:left="1500" w:hanging="690"/>
        <w:spacing w:after="0" w:line="276" w:lineRule="auto"/>
        <w:tabs>
          <w:tab w:leader="none" w:pos="1542"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with respect to each Material Real Property, (1) a first priority mortgage, deed of trust or deed to secure debt (as applicable) (subject to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on such Material Real Property pursuant to Mortgages that satisfy the requirements of clause (c)(i) below and (2) a perfected first priority security interest (subject to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in all personal property relating to such Material Real Property and all fixtures thereon, provided, that, to the extent the opinion delivered to Collateral Agent confirms that the filing of the applicable Mortgage itself perfects Collateral Agent’s first priority security interest in such fixtures, no separate fixture filing shall be required; and</w:t>
      </w:r>
    </w:p>
    <w:p>
      <w:pPr>
        <w:spacing w:after="0" w:line="164" w:lineRule="exact"/>
        <w:rPr>
          <w:rFonts w:ascii="Arial" w:cs="Arial" w:eastAsia="Arial" w:hAnsi="Arial"/>
          <w:sz w:val="18"/>
          <w:szCs w:val="18"/>
          <w:color w:val="auto"/>
        </w:rPr>
      </w:pPr>
    </w:p>
    <w:p>
      <w:pPr>
        <w:jc w:val="both"/>
        <w:ind w:left="1500" w:hanging="690"/>
        <w:spacing w:after="0" w:line="270" w:lineRule="auto"/>
        <w:tabs>
          <w:tab w:leader="none" w:pos="1501" w:val="left"/>
        </w:tabs>
        <w:numPr>
          <w:ilvl w:val="1"/>
          <w:numId w:val="27"/>
        </w:numPr>
        <w:rPr>
          <w:rFonts w:ascii="Arial" w:cs="Arial" w:eastAsia="Arial" w:hAnsi="Arial"/>
          <w:sz w:val="18"/>
          <w:szCs w:val="18"/>
          <w:color w:val="auto"/>
        </w:rPr>
      </w:pPr>
      <w:r>
        <w:rPr>
          <w:rFonts w:ascii="Arial" w:cs="Arial" w:eastAsia="Arial" w:hAnsi="Arial"/>
          <w:sz w:val="18"/>
          <w:szCs w:val="18"/>
          <w:color w:val="auto"/>
        </w:rPr>
        <w:t>within one hundred twenty (120) days following the repayment in full of the CDA First Lien Obligations (or, if the proviso to this clause (iv) applies, the date the Requisite CDA Consent is obtained, as applicable), a first priority mortgage, deed of trust or deed to secure debt (as applicable) on each Pension Real Property (such mortgage, deed of trust or deed, a “</w:t>
      </w:r>
      <w:r>
        <w:rPr>
          <w:rFonts w:ascii="Arial" w:cs="Arial" w:eastAsia="Arial" w:hAnsi="Arial"/>
          <w:sz w:val="18"/>
          <w:szCs w:val="18"/>
          <w:b w:val="1"/>
          <w:bCs w:val="1"/>
          <w:color w:val="auto"/>
        </w:rPr>
        <w:t>Pension Property Mortgage</w:t>
      </w:r>
      <w:r>
        <w:rPr>
          <w:rFonts w:ascii="Arial" w:cs="Arial" w:eastAsia="Arial" w:hAnsi="Arial"/>
          <w:sz w:val="18"/>
          <w:szCs w:val="18"/>
          <w:color w:val="auto"/>
        </w:rPr>
        <w:t xml:space="preserve">”) pursuant to Mortgages that satisfy the requirements of clause (c)(i) below (subject to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a perfected first priority security interest (subject to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in all personal property relating to such Pension Real Property and all fixtures thereon;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Pension Property Mortgage is prohibited under the terms of the Contribution Deferral Agreement (as in effect as of the date hereof), the Loan Parties shall use commercially reasonable efforts to obtain the necessary consents under the Contribution Deferral Agreement to permit such Pension Property Mortgage (the “</w:t>
      </w:r>
      <w:r>
        <w:rPr>
          <w:rFonts w:ascii="Arial" w:cs="Arial" w:eastAsia="Arial" w:hAnsi="Arial"/>
          <w:sz w:val="18"/>
          <w:szCs w:val="18"/>
          <w:u w:val="single" w:color="auto"/>
          <w:color w:val="auto"/>
        </w:rPr>
        <w:t>Requisite CDA Consent</w:t>
      </w:r>
      <w:r>
        <w:rPr>
          <w:rFonts w:ascii="Arial" w:cs="Arial" w:eastAsia="Arial" w:hAnsi="Arial"/>
          <w:sz w:val="18"/>
          <w:szCs w:val="18"/>
          <w:color w:val="auto"/>
        </w:rPr>
        <w:t xml:space="preserve">”) and if after using such commercially reasonable efforts, such consent is not obtained, the Loan Parties shall not be required to deliver such Pension Property Mortgage until all obligations under the Contribution Deferral Agreement to the extent permitted under </w:t>
      </w:r>
      <w:r>
        <w:rPr>
          <w:rFonts w:ascii="Arial" w:cs="Arial" w:eastAsia="Arial" w:hAnsi="Arial"/>
          <w:sz w:val="18"/>
          <w:szCs w:val="18"/>
          <w:u w:val="single" w:color="auto"/>
          <w:color w:val="auto"/>
        </w:rPr>
        <w:t>Section 7.03(u)</w:t>
      </w:r>
      <w:r>
        <w:rPr>
          <w:rFonts w:ascii="Arial" w:cs="Arial" w:eastAsia="Arial" w:hAnsi="Arial"/>
          <w:sz w:val="18"/>
          <w:szCs w:val="18"/>
          <w:color w:val="auto"/>
        </w:rPr>
        <w:t xml:space="preserve"> shall have been paid in full;</w:t>
      </w:r>
    </w:p>
    <w:p>
      <w:pPr>
        <w:spacing w:after="0" w:line="175" w:lineRule="exact"/>
        <w:rPr>
          <w:rFonts w:ascii="Arial" w:cs="Arial" w:eastAsia="Arial" w:hAnsi="Arial"/>
          <w:sz w:val="18"/>
          <w:szCs w:val="18"/>
          <w:color w:val="auto"/>
        </w:rPr>
      </w:pPr>
    </w:p>
    <w:p>
      <w:pPr>
        <w:jc w:val="both"/>
        <w:ind w:left="1500" w:hanging="690"/>
        <w:spacing w:after="0" w:line="257" w:lineRule="auto"/>
        <w:tabs>
          <w:tab w:leader="none" w:pos="1529" w:val="left"/>
        </w:tabs>
        <w:numPr>
          <w:ilvl w:val="1"/>
          <w:numId w:val="27"/>
        </w:numPr>
        <w:rPr>
          <w:rFonts w:ascii="Arial" w:cs="Arial" w:eastAsia="Arial" w:hAnsi="Arial"/>
          <w:sz w:val="19"/>
          <w:szCs w:val="19"/>
          <w:color w:val="auto"/>
        </w:rPr>
      </w:pPr>
      <w:r>
        <w:rPr>
          <w:rFonts w:ascii="Arial" w:cs="Arial" w:eastAsia="Arial" w:hAnsi="Arial"/>
          <w:sz w:val="19"/>
          <w:szCs w:val="19"/>
          <w:color w:val="auto"/>
        </w:rPr>
        <w:t xml:space="preserve">subject to clause (vi) below, a perfected first priority security interest (subject to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 in substantially all other personal property (other than UST Tranche B Priority Accounts (as defined in the ABL Intercreditor Agreement)) of the Borrower and each Guarantor, including First Lien Term Priority Accounts, UST Tranche B Joint Accounts, investment property, contracts, patents, copyrights, trademarks and other general intangibles (subject to a license in favor of the ABL Agent and/or the UST Tranche A Agent and/or the UST Tranche B Agent, as applicable, to use intellectual property, subject to the ABL Intercreditor Agreement), commercial tort claims, letter of credit rights, intercompany notes and proceeds of the foregoing; and</w:t>
      </w:r>
    </w:p>
    <w:p>
      <w:pPr>
        <w:spacing w:after="0" w:line="184" w:lineRule="exact"/>
        <w:rPr>
          <w:rFonts w:ascii="Arial" w:cs="Arial" w:eastAsia="Arial" w:hAnsi="Arial"/>
          <w:sz w:val="19"/>
          <w:szCs w:val="19"/>
          <w:color w:val="auto"/>
        </w:rPr>
      </w:pPr>
    </w:p>
    <w:p>
      <w:pPr>
        <w:jc w:val="both"/>
        <w:ind w:left="1500" w:hanging="690"/>
        <w:spacing w:after="0" w:line="250" w:lineRule="auto"/>
        <w:tabs>
          <w:tab w:leader="none" w:pos="1528" w:val="left"/>
        </w:tabs>
        <w:numPr>
          <w:ilvl w:val="1"/>
          <w:numId w:val="27"/>
        </w:numPr>
        <w:rPr>
          <w:rFonts w:ascii="Arial" w:cs="Arial" w:eastAsia="Arial" w:hAnsi="Arial"/>
          <w:sz w:val="20"/>
          <w:szCs w:val="20"/>
          <w:color w:val="auto"/>
        </w:rPr>
      </w:pPr>
      <w:r>
        <w:rPr>
          <w:rFonts w:ascii="Arial" w:cs="Arial" w:eastAsia="Arial" w:hAnsi="Arial"/>
          <w:sz w:val="20"/>
          <w:szCs w:val="20"/>
          <w:color w:val="auto"/>
        </w:rPr>
        <w:t xml:space="preserve">(1) a perfected first priority security interest (subject to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in all UST Tranche B Joint Collateral and (2) a perfected second priority security interest in all UST Tranche B Priority Collateral (subject to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firstLine="757"/>
        <w:spacing w:after="0" w:line="244" w:lineRule="auto"/>
        <w:tabs>
          <w:tab w:leader="none" w:pos="1208" w:val="left"/>
        </w:tabs>
        <w:numPr>
          <w:ilvl w:val="0"/>
          <w:numId w:val="28"/>
        </w:numPr>
        <w:rPr>
          <w:rFonts w:ascii="Arial" w:cs="Arial" w:eastAsia="Arial" w:hAnsi="Arial"/>
          <w:sz w:val="20"/>
          <w:szCs w:val="20"/>
          <w:color w:val="auto"/>
        </w:rPr>
      </w:pPr>
      <w:r>
        <w:rPr>
          <w:rFonts w:ascii="Arial" w:cs="Arial" w:eastAsia="Arial" w:hAnsi="Arial"/>
          <w:sz w:val="20"/>
          <w:szCs w:val="20"/>
          <w:color w:val="auto"/>
        </w:rPr>
        <w:t xml:space="preserve">subject to the limitations and exceptions set forth in this Agreement and the Collateral Documents, to the extent a security interest in and mortgage lien on any Material Real Property (or, solely with respect to clause (b)(iv) above, any Pension Real Property) is required under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w:t>
      </w:r>
      <w:r>
        <w:rPr>
          <w:rFonts w:ascii="Arial" w:cs="Arial" w:eastAsia="Arial" w:hAnsi="Arial"/>
          <w:sz w:val="20"/>
          <w:szCs w:val="20"/>
          <w:u w:val="single" w:color="auto"/>
          <w:color w:val="auto"/>
        </w:rPr>
        <w:t>6.11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6.13</w:t>
      </w:r>
      <w:r>
        <w:rPr>
          <w:rFonts w:ascii="Arial" w:cs="Arial" w:eastAsia="Arial" w:hAnsi="Arial"/>
          <w:sz w:val="20"/>
          <w:szCs w:val="20"/>
          <w:color w:val="auto"/>
        </w:rPr>
        <w:t xml:space="preserve"> (together with any Material Real Property that is subject to a Mortgage on the Restatement Effective Date pursuant to </w:t>
      </w:r>
      <w:r>
        <w:rPr>
          <w:rFonts w:ascii="Arial" w:cs="Arial" w:eastAsia="Arial" w:hAnsi="Arial"/>
          <w:sz w:val="20"/>
          <w:szCs w:val="20"/>
          <w:u w:val="single" w:color="auto"/>
          <w:color w:val="auto"/>
        </w:rPr>
        <w:t>clause (b)(iii)</w:t>
      </w:r>
      <w:r>
        <w:rPr>
          <w:rFonts w:ascii="Arial" w:cs="Arial" w:eastAsia="Arial" w:hAnsi="Arial"/>
          <w:sz w:val="20"/>
          <w:szCs w:val="20"/>
          <w:color w:val="auto"/>
        </w:rPr>
        <w:t xml:space="preserve"> above, each, a “</w:t>
      </w:r>
      <w:r>
        <w:rPr>
          <w:rFonts w:ascii="Arial" w:cs="Arial" w:eastAsia="Arial" w:hAnsi="Arial"/>
          <w:sz w:val="20"/>
          <w:szCs w:val="20"/>
          <w:b w:val="1"/>
          <w:bCs w:val="1"/>
          <w:color w:val="auto"/>
        </w:rPr>
        <w:t>Mortgaged Property</w:t>
      </w:r>
      <w:r>
        <w:rPr>
          <w:rFonts w:ascii="Arial" w:cs="Arial" w:eastAsia="Arial" w:hAnsi="Arial"/>
          <w:sz w:val="20"/>
          <w:szCs w:val="20"/>
          <w:color w:val="auto"/>
        </w:rPr>
        <w:t>”), the Administrative Agent and the Collateral Agent shall have received: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4" w:name="page45"/>
    <w:bookmarkEnd w:id="44"/>
    <w:p>
      <w:pPr>
        <w:jc w:val="both"/>
        <w:ind w:left="690" w:hanging="690"/>
        <w:spacing w:after="0" w:line="272" w:lineRule="auto"/>
        <w:tabs>
          <w:tab w:leader="none" w:pos="7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counterparts of a Mortgage with respect to such Real Property duly executed and delivered by the record owner of such property in form suitable for filing or recording in all filing or recording offices that the Collateral Agent may reasonably deem necessary or desirable in order to create a valid and subsisting perfected Lien on the property and/or rights described therein in favor of the Collateral Agent for the benefit of the Secured Parties, and evidence that all filing and recording taxes and fees have been paid or otherwise provided for in a manner reasonably satisfactory to the Collateral Agent and the Required Lenders (it being understood that if a mortgage tax will be owed on the entire amount of the indebtedness evidenced hereby, then the amount secured by the Mortgage shall be limited to 120% (or, in the case of Real Property located in the state of New York, 100%) of the fair market value of the property at the time the Mortgage is entered into if such limitation results in such mortgage tax being calculated based upon such fair market value);</w:t>
      </w:r>
    </w:p>
    <w:p>
      <w:pPr>
        <w:spacing w:after="0" w:line="170" w:lineRule="exact"/>
        <w:rPr>
          <w:rFonts w:ascii="Arial" w:cs="Arial" w:eastAsia="Arial" w:hAnsi="Arial"/>
          <w:sz w:val="18"/>
          <w:szCs w:val="18"/>
          <w:color w:val="auto"/>
        </w:rPr>
      </w:pPr>
    </w:p>
    <w:p>
      <w:pPr>
        <w:jc w:val="both"/>
        <w:ind w:left="690" w:hanging="690"/>
        <w:spacing w:after="0" w:line="269" w:lineRule="auto"/>
        <w:tabs>
          <w:tab w:leader="none" w:pos="7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fully paid policies of title insurance (or marked-up title insurance commitments having the effect of policies of title insurance) with respect to such Material Real Property issued by the Title Company or another nationally recognized title insurance company reasonably acceptable to the Collateral Agent in form and in an amount reasonably acceptable to the Collateral Agent (not to exceed 100% of the fair market value of such Material Real Property (or interest therein, as applicable) covered thereby), insuring the Mortgages to be valid, subsisting Liens on the property described therein, free and clear of all Liens other than Liens permitted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(such policies, “</w:t>
      </w:r>
      <w:r>
        <w:rPr>
          <w:rFonts w:ascii="Arial" w:cs="Arial" w:eastAsia="Arial" w:hAnsi="Arial"/>
          <w:sz w:val="18"/>
          <w:szCs w:val="18"/>
          <w:b w:val="1"/>
          <w:bCs w:val="1"/>
          <w:color w:val="auto"/>
        </w:rPr>
        <w:t>Mortgage Policies</w:t>
      </w:r>
      <w:r>
        <w:rPr>
          <w:rFonts w:ascii="Arial" w:cs="Arial" w:eastAsia="Arial" w:hAnsi="Arial"/>
          <w:sz w:val="18"/>
          <w:szCs w:val="18"/>
          <w:color w:val="auto"/>
        </w:rPr>
        <w:t>”), each of which shall (A) to the extent reasonably necessary, include such reinsurance arrangements (with provisions for direct access, if reasonably necessary) as shall be reasonably acceptable to the Collateral Agent, (B) contain a “tie-in” or “cluster” endorsement, if available under applicable law (i.e., policies which insure against losses regardless of location or allocated value of the insured property up to a stated maximum coverage amount), (C) have been supplemented by such endorsements (or where such endorsements are not available, customary opinions of special counsel, architects or other professionals reasonably acceptable to the Collateral Agent and the Required Lenders) as shall be reasonably requested by the Collateral Agent or the Required Lenders (including endorsements on matters relating to usury, first loss, last dollar, zoning, contiguity, revolving credit (if available after the applicable Loan Party uses commercially reasonable efforts), doing business, public road access, variable rate, environmental lien, subdivision, mortgage recording tax, separate tax lot and so-called comprehensive coverage over covenants and restrictions);</w:t>
      </w:r>
    </w:p>
    <w:p>
      <w:pPr>
        <w:spacing w:after="0" w:line="176" w:lineRule="exact"/>
        <w:rPr>
          <w:rFonts w:ascii="Arial" w:cs="Arial" w:eastAsia="Arial" w:hAnsi="Arial"/>
          <w:sz w:val="18"/>
          <w:szCs w:val="18"/>
          <w:color w:val="auto"/>
        </w:rPr>
      </w:pPr>
    </w:p>
    <w:p>
      <w:pPr>
        <w:jc w:val="both"/>
        <w:ind w:left="690" w:hanging="690"/>
        <w:spacing w:after="0" w:line="276" w:lineRule="auto"/>
        <w:tabs>
          <w:tab w:leader="none" w:pos="11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either (1) an American Land Title Association/National Society for Professional Surveyors (ALTA/NSPS) form of survey for which all charges have been paid, dated a date, containing a certification and otherwise being in form and substance reasonably satisfactory to the Collateral Agent (a “</w:t>
      </w:r>
      <w:r>
        <w:rPr>
          <w:rFonts w:ascii="Arial" w:cs="Arial" w:eastAsia="Arial" w:hAnsi="Arial"/>
          <w:sz w:val="18"/>
          <w:szCs w:val="18"/>
          <w:b w:val="1"/>
          <w:bCs w:val="1"/>
          <w:color w:val="auto"/>
        </w:rPr>
        <w:t>Survey</w:t>
      </w:r>
      <w:r>
        <w:rPr>
          <w:rFonts w:ascii="Arial" w:cs="Arial" w:eastAsia="Arial" w:hAnsi="Arial"/>
          <w:sz w:val="18"/>
          <w:szCs w:val="18"/>
          <w:color w:val="auto"/>
        </w:rPr>
        <w:t>”) or (2) such documentation (“</w:t>
      </w:r>
      <w:r>
        <w:rPr>
          <w:rFonts w:ascii="Arial" w:cs="Arial" w:eastAsia="Arial" w:hAnsi="Arial"/>
          <w:sz w:val="18"/>
          <w:szCs w:val="18"/>
          <w:b w:val="1"/>
          <w:bCs w:val="1"/>
          <w:color w:val="auto"/>
        </w:rPr>
        <w:t>Other Survey</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Documentation</w:t>
      </w:r>
      <w:r>
        <w:rPr>
          <w:rFonts w:ascii="Arial" w:cs="Arial" w:eastAsia="Arial" w:hAnsi="Arial"/>
          <w:sz w:val="18"/>
          <w:szCs w:val="18"/>
          <w:color w:val="auto"/>
        </w:rPr>
        <w:t>”) as may be required by the Title Company to omit the standard survey exception to coverage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 Policy with respect to such Material Real Property and issue affirmative endorsements reasonably requested by the Collateral Agent, including “same as” survey and comprehensive endorsements;</w:t>
      </w:r>
    </w:p>
    <w:p>
      <w:pPr>
        <w:spacing w:after="0" w:line="164" w:lineRule="exact"/>
        <w:rPr>
          <w:rFonts w:ascii="Arial" w:cs="Arial" w:eastAsia="Arial" w:hAnsi="Arial"/>
          <w:sz w:val="18"/>
          <w:szCs w:val="18"/>
          <w:color w:val="auto"/>
        </w:rPr>
      </w:pPr>
    </w:p>
    <w:p>
      <w:pPr>
        <w:jc w:val="both"/>
        <w:ind w:left="690" w:hanging="635"/>
        <w:spacing w:after="0" w:line="246" w:lineRule="auto"/>
        <w:tabs>
          <w:tab w:leader="none" w:pos="1095" w:val="left"/>
        </w:tabs>
        <w:numPr>
          <w:ilvl w:val="1"/>
          <w:numId w:val="29"/>
        </w:numPr>
        <w:rPr>
          <w:rFonts w:ascii="Arial" w:cs="Arial" w:eastAsia="Arial" w:hAnsi="Arial"/>
          <w:sz w:val="20"/>
          <w:szCs w:val="20"/>
          <w:color w:val="auto"/>
        </w:rPr>
      </w:pPr>
      <w:r>
        <w:rPr>
          <w:rFonts w:ascii="Arial" w:cs="Arial" w:eastAsia="Arial" w:hAnsi="Arial"/>
          <w:sz w:val="20"/>
          <w:szCs w:val="20"/>
          <w:color w:val="auto"/>
        </w:rPr>
        <w:t>a customary legal opinion, addressed to the Collateral Agent and the Secured Parties with respect to the Mortgage on such Material Real Property; provided, however, with respect to any Material Real Property as of the Restatement Effective Date, Borrower shall only be required to deliver a legal opinion if such Material Real Property is located in a Required Opinion State; and</w:t>
      </w:r>
    </w:p>
    <w:p>
      <w:pPr>
        <w:spacing w:after="0" w:line="186" w:lineRule="exact"/>
        <w:rPr>
          <w:sz w:val="20"/>
          <w:szCs w:val="20"/>
          <w:color w:val="auto"/>
        </w:rPr>
      </w:pPr>
    </w:p>
    <w:p>
      <w:pPr>
        <w:ind w:left="471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157480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366" w:right="339" w:bottom="1440" w:gutter="0" w:footer="0" w:header="0"/>
        </w:sectPr>
      </w:pPr>
    </w:p>
    <w:bookmarkStart w:id="45" w:name="page46"/>
    <w:bookmarkEnd w:id="45"/>
    <w:p>
      <w:pPr>
        <w:jc w:val="both"/>
        <w:ind w:left="1500" w:hanging="690"/>
        <w:spacing w:after="0" w:line="270" w:lineRule="auto"/>
        <w:tabs>
          <w:tab w:leader="none" w:pos="1514"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order to comply with the Flood Laws, the following documents: (A) a completed standard “life of loan” flood hazard determination form (a “</w:t>
      </w:r>
      <w:r>
        <w:rPr>
          <w:rFonts w:ascii="Arial" w:cs="Arial" w:eastAsia="Arial" w:hAnsi="Arial"/>
          <w:sz w:val="18"/>
          <w:szCs w:val="18"/>
          <w:b w:val="1"/>
          <w:bCs w:val="1"/>
          <w:color w:val="auto"/>
        </w:rPr>
        <w:t>Flood Determination Form</w:t>
      </w:r>
      <w:r>
        <w:rPr>
          <w:rFonts w:ascii="Arial" w:cs="Arial" w:eastAsia="Arial" w:hAnsi="Arial"/>
          <w:sz w:val="18"/>
          <w:szCs w:val="18"/>
          <w:color w:val="auto"/>
        </w:rPr>
        <w:t>”); (B) if any of the material improvement(s) to the improved Material Real Property is located in a special flood hazard area, a notification thereof to the Borrower (“</w:t>
      </w:r>
      <w:r>
        <w:rPr>
          <w:rFonts w:ascii="Arial" w:cs="Arial" w:eastAsia="Arial" w:hAnsi="Arial"/>
          <w:sz w:val="18"/>
          <w:szCs w:val="18"/>
          <w:b w:val="1"/>
          <w:bCs w:val="1"/>
          <w:color w:val="auto"/>
        </w:rPr>
        <w:t>Borrower Notice</w:t>
      </w:r>
      <w:r>
        <w:rPr>
          <w:rFonts w:ascii="Arial" w:cs="Arial" w:eastAsia="Arial" w:hAnsi="Arial"/>
          <w:sz w:val="18"/>
          <w:szCs w:val="18"/>
          <w:color w:val="auto"/>
        </w:rPr>
        <w:t>”) and, if applicable, notification to the Borrower that flood insurance coverage under the National Flood Insurance Program (“</w:t>
      </w:r>
      <w:r>
        <w:rPr>
          <w:rFonts w:ascii="Arial" w:cs="Arial" w:eastAsia="Arial" w:hAnsi="Arial"/>
          <w:sz w:val="18"/>
          <w:szCs w:val="18"/>
          <w:b w:val="1"/>
          <w:bCs w:val="1"/>
          <w:color w:val="auto"/>
        </w:rPr>
        <w:t>NFIP</w:t>
      </w:r>
      <w:r>
        <w:rPr>
          <w:rFonts w:ascii="Arial" w:cs="Arial" w:eastAsia="Arial" w:hAnsi="Arial"/>
          <w:sz w:val="18"/>
          <w:szCs w:val="18"/>
          <w:color w:val="auto"/>
        </w:rPr>
        <w:t>”) is not available because the community in which the property is located does not participate in the NFIP; (C) documentation evidencing the Borrower’s receipt of the Borrower Notice (e.g., a countersigned Borrower Notice or return receipt of certified U.S. Mail or overnight delivery); and (D) if the Borrower Notice is required to be given and flood insurance is available in the community in which such Material Real Property is located, a copy of one of the following: the flood insurance policy, the Borrower’s application for a flood insurance policy plus proof of premium payment, a declaration page confirming that flood insurance has been issued or such other evidence of flood insurance reasonably satisfactory to the Required Lenders, Administrative Agent and the Collateral Agent (any of the foregoing being “</w:t>
      </w:r>
      <w:r>
        <w:rPr>
          <w:rFonts w:ascii="Arial" w:cs="Arial" w:eastAsia="Arial" w:hAnsi="Arial"/>
          <w:sz w:val="18"/>
          <w:szCs w:val="18"/>
          <w:b w:val="1"/>
          <w:bCs w:val="1"/>
          <w:color w:val="auto"/>
        </w:rPr>
        <w:t>Evidence of Flood Insurance</w:t>
      </w:r>
      <w:r>
        <w:rPr>
          <w:rFonts w:ascii="Arial" w:cs="Arial" w:eastAsia="Arial" w:hAnsi="Arial"/>
          <w:sz w:val="18"/>
          <w:szCs w:val="18"/>
          <w:color w:val="auto"/>
        </w:rPr>
        <w:t>”)(the foregoing, collectively, the “</w:t>
      </w:r>
      <w:r>
        <w:rPr>
          <w:rFonts w:ascii="Arial" w:cs="Arial" w:eastAsia="Arial" w:hAnsi="Arial"/>
          <w:sz w:val="18"/>
          <w:szCs w:val="18"/>
          <w:b w:val="1"/>
          <w:bCs w:val="1"/>
          <w:color w:val="auto"/>
        </w:rPr>
        <w:t>Mortgage Policy Conditions</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firstLine="757"/>
        <w:spacing w:after="0" w:line="257" w:lineRule="auto"/>
        <w:tabs>
          <w:tab w:leader="none" w:pos="1064"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after the Restatement Effective Date, each Restricted Subsidiary of the Borrower that is not an Excluded Subsidiary shall become a Guarantor and signatory to this Agreement pursuant to a joinder agreement in accordance with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6.13</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the foregoing provisions, any Subsidiary of the Borrower that would otherwise constitute an Excluded Subsidiary that Guarantees any ABL Facility Indebtedness, any UST Tranche A Facility Indebtedness, any UST Tranche B Facility Indebtedness, any Junior Financing, Permitted Additional Debt, or any Permitted Refinancing of any Indebtedness thereof, or that is a borrower under the ABL Facility (or any Permitted Refinancing thereof), the UST Tranche A Facility (or any Permitted Refinancing thereof) or the UST Tranche B Facility (or any Permitted Refinancing thereof) shall be a Guarantor hereunder for so long as it Guarantees such Indebtedness (or is a borrower with respect thereto); and</w:t>
      </w:r>
    </w:p>
    <w:p>
      <w:pPr>
        <w:spacing w:after="0" w:line="180" w:lineRule="exact"/>
        <w:rPr>
          <w:rFonts w:ascii="Arial" w:cs="Arial" w:eastAsia="Arial" w:hAnsi="Arial"/>
          <w:sz w:val="19"/>
          <w:szCs w:val="19"/>
          <w:color w:val="auto"/>
        </w:rPr>
      </w:pPr>
    </w:p>
    <w:p>
      <w:pPr>
        <w:ind w:firstLine="757"/>
        <w:spacing w:after="0" w:line="316" w:lineRule="auto"/>
        <w:tabs>
          <w:tab w:leader="none" w:pos="10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after the Restatement Effective Date, YRC Freight Canada Company and Reimer Holding B.V. shall become a Guarantor and signatory to this Agreement pursuant to a joinder agreement in accordance with, and take the other actions specified in, </w:t>
      </w:r>
      <w:r>
        <w:rPr>
          <w:rFonts w:ascii="Arial" w:cs="Arial" w:eastAsia="Arial" w:hAnsi="Arial"/>
          <w:sz w:val="18"/>
          <w:szCs w:val="18"/>
          <w:u w:val="single" w:color="auto"/>
          <w:color w:val="auto"/>
        </w:rPr>
        <w:t>Schedule 6.13(a)</w:t>
      </w:r>
      <w:r>
        <w:rPr>
          <w:rFonts w:ascii="Arial" w:cs="Arial" w:eastAsia="Arial" w:hAnsi="Arial"/>
          <w:sz w:val="18"/>
          <w:szCs w:val="18"/>
          <w:color w:val="auto"/>
        </w:rPr>
        <w:t>.</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Notwithstanding the foregoing provisions of this definition or anything in this Agreement or any other Loan Document to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contrary:</w:t>
      </w:r>
    </w:p>
    <w:p>
      <w:pPr>
        <w:spacing w:after="0" w:line="200" w:lineRule="exact"/>
        <w:rPr>
          <w:sz w:val="20"/>
          <w:szCs w:val="20"/>
          <w:color w:val="auto"/>
        </w:rPr>
      </w:pPr>
    </w:p>
    <w:p>
      <w:pPr>
        <w:jc w:val="both"/>
        <w:ind w:firstLine="757"/>
        <w:spacing w:after="0" w:line="255" w:lineRule="auto"/>
        <w:tabs>
          <w:tab w:leader="none" w:pos="1201"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the foregoing definition shall not require, unless otherwise stated in this clause (A), the creation or perfection of pledges of, security interests in, Mortgages on, the obtaining of title insurance with respect to or the taking of any other actions with respect to: (i) any fee owned Real Property that is not Material Real Property (other than Pension Property Mortgages solely to the extent required to be delivered pursuant to clause (b)(iv) of this definition) and any Leasehold Property (it being understood there shall be no requirement to obtain any landlord waivers, estoppels or collateral access letters), (ii) motor vehicles (other than tractors, trucks, trailers and other rolling stock) consisting of an employee or light vehicle and other assets subject to certificates of title with an individual fair market value of less than $40,000,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fair market value of all assets excluded from the Collateral and Guarantee Requirement pursuant to this sub-clause (ii) of this clause (A), together with the aggregate book value of all assets excluded from the Collateral and Guarantee Requirement pursuant to sub-clause (xiv) of this clause (A), shall not exceed $5,000,000 in the aggregate at any time outstanding, (iii) letter of credit rights (other than to the extent consisting of supporting obligations that can be perfected solely by the filing of a UCC financing statement) of an amount less than $5,000,000 and commercial tort claims where the amount of damages claimed by the applicable Loan Party is less than $5,000,000, (iv) any governmental licenses or state or local franchises, charters and authorizations, to the extent security interests in such licenses,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6" w:name="page47"/>
    <w:bookmarkEnd w:id="46"/>
    <w:p>
      <w:pPr>
        <w:jc w:val="both"/>
        <w:spacing w:after="0" w:line="272" w:lineRule="auto"/>
        <w:rPr>
          <w:sz w:val="20"/>
          <w:szCs w:val="20"/>
          <w:color w:val="auto"/>
        </w:rPr>
      </w:pPr>
      <w:r>
        <w:rPr>
          <w:rFonts w:ascii="Arial" w:cs="Arial" w:eastAsia="Arial" w:hAnsi="Arial"/>
          <w:sz w:val="18"/>
          <w:szCs w:val="18"/>
          <w:color w:val="auto"/>
        </w:rPr>
        <w:t>franchises, charters or authorizations are prohibited or restricted thereby (except to the extent such prohibition or restriction is rendered ineffective under the UCC or other applicable law), (v) Collateral in which pledges or security interests are prohibited or restricted by applicable law or require the consent of any governmental authority or third party, which consent has not been obtained, (vi) Margin Stock,</w:t>
      </w:r>
    </w:p>
    <w:p>
      <w:pPr>
        <w:spacing w:after="0" w:line="1" w:lineRule="exact"/>
        <w:rPr>
          <w:sz w:val="20"/>
          <w:szCs w:val="20"/>
          <w:color w:val="auto"/>
        </w:rPr>
      </w:pPr>
    </w:p>
    <w:p>
      <w:pPr>
        <w:jc w:val="both"/>
        <w:ind w:firstLine="8"/>
        <w:spacing w:after="0" w:line="267" w:lineRule="auto"/>
        <w:tabs>
          <w:tab w:leader="none" w:pos="3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Equity Interests in a bona fide joint venture formed after the Restatement Effective Date with any Person that is not an Affiliate of any Loan Party (but only to the extent that the organizational documents of such Subsidiaries or agreements with other equity holders prohibit or restrict the pledge thereof without the consent of the other equity holders under restrictions that are enforceable under the UCC or other applicable law and such consent has not been obtained), (viii) Equity Interests of (or held as assets by) Immaterial Subsidiaries, or captive insurance Subsidiaries, (ix) any lease, license or agreement or any property to the extent a grant of a security interest therein would violate or invalidate such lease, license or agreement or similar arrangement or create a right of termination in favor of any other party thereto after giving effect to the applicable anti-assignment provisions of the UCC or other applicable law, other than proceeds and receivables thereof, the assignment of which is deemed effective under the UCC or other applicable law, notwithstanding such prohibition, (x) any assets or rights subject to a purchase money security interest, Capitalized Lease or similar arrangement, other than in each case, the UST Tranche B Priority Collateral and UST Tranche B Joint Collateral, (xi) Treasury Only Collateral, (xii) any assets to the extent a security interest in such assets could result in adverse Tax consequences as reasonably determined by the Borrower, in consultation with the Administrative Agent (provided that the Borrower shall give notice of such determination to the Required Lenders and, at the request of the Required Lenders, shall consult with the Required Lenders), (xiii)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(xiv) any equipment or other collateral with a net book value in an aggregate amount not to exceed $5,000,000 for all such equipment or other collateral (other than to the extent consisting of supporting obligations that can be perfected solely by the filing of a UCC financing statement);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fair market value of all assets excluded from the Collateral and Guarantee Requirement pursuant to this sub-clause (xiv), together with the aggregate net book value of all assets excluded from the Collateral and Guarantee Requirement pursuant to sub-clause (ii) of this clause (A), shall not exceed $5,000,000 in the aggregate at any time outstanding, and (xv) other assets not specifically included in the Collateral in circumstances where the cost of obtaining a security interest in such assets exceeds the practical benefit to the Lenders afforded thereby as reasonably determined by the Administrative Agent in consultation with the Borrower.</w:t>
      </w:r>
    </w:p>
    <w:p>
      <w:pPr>
        <w:spacing w:after="0" w:line="177" w:lineRule="exact"/>
        <w:rPr>
          <w:rFonts w:ascii="Arial" w:cs="Arial" w:eastAsia="Arial" w:hAnsi="Arial"/>
          <w:sz w:val="18"/>
          <w:szCs w:val="18"/>
          <w:color w:val="auto"/>
        </w:rPr>
      </w:pPr>
    </w:p>
    <w:p>
      <w:pPr>
        <w:jc w:val="both"/>
        <w:ind w:firstLine="757"/>
        <w:spacing w:after="0" w:line="270" w:lineRule="auto"/>
        <w:tabs>
          <w:tab w:leader="none" w:pos="11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(i) the foregoing definition shall not require perfection by “</w:t>
      </w:r>
      <w:r>
        <w:rPr>
          <w:rFonts w:ascii="Arial" w:cs="Arial" w:eastAsia="Arial" w:hAnsi="Arial"/>
          <w:sz w:val="18"/>
          <w:szCs w:val="18"/>
          <w:b w:val="1"/>
          <w:bCs w:val="1"/>
          <w:color w:val="auto"/>
        </w:rPr>
        <w:t>control</w:t>
      </w:r>
      <w:r>
        <w:rPr>
          <w:rFonts w:ascii="Arial" w:cs="Arial" w:eastAsia="Arial" w:hAnsi="Arial"/>
          <w:sz w:val="18"/>
          <w:szCs w:val="18"/>
          <w:color w:val="auto"/>
        </w:rPr>
        <w:t>” except with respect to (1) Equity Interests or Indebtedness represented or evidenced by certificates or instruments and (2) deposit accounts and security accounts (which are required to be subject to Control Agreements pursuant to Section 3.04 of the Security Agreement), other than Excluded Accounts; (ii) perfection by possession or control shall not be required with respect to (x) any intercompany notes in an aggregate principal amount not to exceed $5,000,000 and (y) any other notes or other evidence of Indebtedness in an aggregate principal amount not to exceed $5,000,000; (iii) except in the case of (A) Canadian Subsidiaries, (B) Dutch Subsidiaries and (C) other Foreign Subsidiaries that are not Excluded Foreign Subsidiaries, no actions in any non-U.S. jurisdiction or required by the laws of any non-U.S. jurisdiction shall be required in order to create any security interests in assets located or titled outside of the United States (including the Equity Interests of any Foreign Subsidiary) or to perfect such security interests (it being understood that there shall be no security agreements or pledge agreements governed under the laws of any non-U.S. jurisdiction); and (iv) except to the extent that perfection and priority may be achieved (w) by the filing of a financing statement under the Uniform Commercial Code with respect to the Borrower or a Guarantor, (x) with respect to Real Property and the recordation of Mortgages in respect thereof, as contemplated by clauses (b)(iii) and (c) above, (y) with respect to Equity Interests or Indebtedness, by the delivery of certificates or instruments representing or evidencing such Equity Interests or Indebtedness along with appropriate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7" w:name="page48"/>
    <w:bookmarkEnd w:id="47"/>
    <w:p>
      <w:pPr>
        <w:spacing w:after="0" w:line="316" w:lineRule="auto"/>
        <w:rPr>
          <w:sz w:val="20"/>
          <w:szCs w:val="20"/>
          <w:color w:val="auto"/>
        </w:rPr>
      </w:pPr>
      <w:r>
        <w:rPr>
          <w:rFonts w:ascii="Arial" w:cs="Arial" w:eastAsia="Arial" w:hAnsi="Arial"/>
          <w:sz w:val="18"/>
          <w:szCs w:val="18"/>
          <w:color w:val="auto"/>
        </w:rPr>
        <w:t>undated instruments of transfer executed in blank or (z) by notation of liens on certificate of title, the Loan Documents shall not contain any requirements as to perfection or priority with respect to any assets or property described in clause (A) above and this clause (B);</w:t>
      </w:r>
    </w:p>
    <w:p>
      <w:pPr>
        <w:spacing w:after="0" w:line="130" w:lineRule="exact"/>
        <w:rPr>
          <w:sz w:val="20"/>
          <w:szCs w:val="20"/>
          <w:color w:val="auto"/>
        </w:rPr>
      </w:pPr>
    </w:p>
    <w:p>
      <w:pPr>
        <w:jc w:val="both"/>
        <w:ind w:firstLine="757"/>
        <w:spacing w:after="0" w:line="271" w:lineRule="auto"/>
        <w:tabs>
          <w:tab w:leader="none" w:pos="11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Collateral Agent in its reasonable discretion may grant extensions of time for the creation or perfection of security interests in, and Mortgages on, or obtaining of title insurance or taking of other actions with respect to, particular assets (including extensions beyond the Restatement Effective Date) or any other compliance with the requirements of this definition (or any similar requirements set forth herein or in any other Loan Documents) where it reasonably determines, in consultation with the Borrower, that such creation or perfection of security interests or Mortgages, or such obtaining of title insurance or taking of other actions, or any other compliance with the requirements of this definition cannot be accomplished without undue delay, burden or expense by the time or times at which such act would otherwise be required by this Agreement or any Collateral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Collateral Agent shall have received on or prior to the Restatement Effective Date, (i) UCC financing statements in appropriate form for filing under the UCC in the jurisdiction of incorporation or organization of each Loan Party, (ii) any certificates or instruments representing or evidencing Equity Interests of each direct wholly owned Subsidiary of the Borrower or any Guarantor, in each case accompanied by undated instruments of transfer and stock powers endorsed in blank and (iii) Mortgages and Mortgage Policies for each Material Real Property; and</w:t>
      </w:r>
    </w:p>
    <w:p>
      <w:pPr>
        <w:spacing w:after="0" w:line="169" w:lineRule="exact"/>
        <w:rPr>
          <w:rFonts w:ascii="Arial" w:cs="Arial" w:eastAsia="Arial" w:hAnsi="Arial"/>
          <w:sz w:val="18"/>
          <w:szCs w:val="18"/>
          <w:color w:val="auto"/>
        </w:rPr>
      </w:pPr>
    </w:p>
    <w:p>
      <w:pPr>
        <w:ind w:firstLine="757"/>
        <w:spacing w:after="0" w:line="260" w:lineRule="auto"/>
        <w:tabs>
          <w:tab w:leader="none" w:pos="1201" w:val="left"/>
        </w:tabs>
        <w:numPr>
          <w:ilvl w:val="0"/>
          <w:numId w:val="34"/>
        </w:numPr>
        <w:rPr>
          <w:rFonts w:ascii="Arial" w:cs="Arial" w:eastAsia="Arial" w:hAnsi="Arial"/>
          <w:sz w:val="20"/>
          <w:szCs w:val="20"/>
          <w:color w:val="auto"/>
        </w:rPr>
      </w:pPr>
      <w:r>
        <w:rPr>
          <w:rFonts w:ascii="Arial" w:cs="Arial" w:eastAsia="Arial" w:hAnsi="Arial"/>
          <w:sz w:val="20"/>
          <w:szCs w:val="20"/>
          <w:color w:val="auto"/>
        </w:rPr>
        <w:t>Liens required to be granted from time to time pursuant to the Collateral and Guarantee Requirement shall be subject to the exceptions and limitations set forth in this Agreement and the Collateral Documents.</w:t>
      </w:r>
    </w:p>
    <w:p>
      <w:pPr>
        <w:spacing w:after="0" w:line="17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 Documents</w:t>
      </w:r>
      <w:r>
        <w:rPr>
          <w:rFonts w:ascii="Arial" w:cs="Arial" w:eastAsia="Arial" w:hAnsi="Arial"/>
          <w:sz w:val="20"/>
          <w:szCs w:val="20"/>
          <w:color w:val="auto"/>
        </w:rPr>
        <w:t xml:space="preserve">” shall mean, collectively, the Security Agreement, each of the Mortgages, collateral assignments, security agreements, pledge agreements, intellectual property security agreements, Control Agreements or other similar agreements delivered to the Administrative Agent or the Collateral Agent pursuant to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 </w:t>
      </w:r>
      <w:r>
        <w:rPr>
          <w:rFonts w:ascii="Arial" w:cs="Arial" w:eastAsia="Arial" w:hAnsi="Arial"/>
          <w:sz w:val="20"/>
          <w:szCs w:val="20"/>
          <w:u w:val="single" w:color="auto"/>
          <w:color w:val="auto"/>
        </w:rPr>
        <w:t>Section 6.11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6.13</w:t>
      </w:r>
      <w:r>
        <w:rPr>
          <w:rFonts w:ascii="Arial" w:cs="Arial" w:eastAsia="Arial" w:hAnsi="Arial"/>
          <w:sz w:val="20"/>
          <w:szCs w:val="20"/>
          <w:color w:val="auto"/>
        </w:rPr>
        <w:t>, each of the other agreements, instruments or documents that creates or purports to create a Lien in favor of the Collateral Agent for the benefit of the Secured Parties and the ABL Intercreditor Agreement.</w:t>
      </w:r>
    </w:p>
    <w:p>
      <w:pPr>
        <w:spacing w:after="0" w:line="185"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Commitment</w:t>
      </w:r>
      <w:r>
        <w:rPr>
          <w:rFonts w:ascii="Arial" w:cs="Arial" w:eastAsia="Arial" w:hAnsi="Arial"/>
          <w:sz w:val="20"/>
          <w:szCs w:val="20"/>
          <w:color w:val="auto"/>
        </w:rPr>
        <w:t>” shall mean, with respect to any Lender, such Lender’s Term Loan Commitment (including pursuant to any Refinancing Amendment or Extension Amendment).</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Common stock</w:t>
      </w:r>
      <w:r>
        <w:rPr>
          <w:rFonts w:ascii="Arial" w:cs="Arial" w:eastAsia="Arial" w:hAnsi="Arial"/>
          <w:sz w:val="20"/>
          <w:szCs w:val="20"/>
          <w:color w:val="auto"/>
        </w:rPr>
        <w:t>” means the common stock, par value $0.01 per share, of Borrower.</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Communications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Compliance Certificate</w:t>
      </w:r>
      <w:r>
        <w:rPr>
          <w:rFonts w:ascii="Arial" w:cs="Arial" w:eastAsia="Arial" w:hAnsi="Arial"/>
          <w:sz w:val="20"/>
          <w:szCs w:val="20"/>
          <w:color w:val="auto"/>
        </w:rPr>
        <w:t xml:space="preserve">” shall mean a certificate substantially in the form of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Compton Sale</w:t>
      </w:r>
      <w:r>
        <w:rPr>
          <w:rFonts w:ascii="Arial" w:cs="Arial" w:eastAsia="Arial" w:hAnsi="Arial"/>
          <w:sz w:val="20"/>
          <w:szCs w:val="20"/>
          <w:color w:val="auto"/>
        </w:rPr>
        <w:t>” shall mean (i) the sale by USF Reddaway Inc. of the Real Property located at 575 E Weber Avenue, Compton, California 90222 to UTSI Finance, Inc., as buyer, for a purchase price of $80,000,000, (ii) the payment by Chicago Title Insurance Company directly to the Administrative Agent of all Net Proceeds therefrom, which Net Proceeds shall be in an aggregate amount not less than $73,000,000, and (iii) the application of all such Net Proceeds to prepay the Term Loans in accordance with Section 2.13(a)(ii) without giving effect to any thresholds or reinvestment rights, in each case, on or prior to the date that is four (4) Business Days after the Amendment No. 3 Closing Date (or such later date as may be agreed in writing by the Required Lenders in their sole and absolute discretion (which may be via e-mail)).</w:t>
      </w:r>
    </w:p>
    <w:p>
      <w:pPr>
        <w:spacing w:after="0" w:line="18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Conforming Changes</w:t>
      </w:r>
      <w:r>
        <w:rPr>
          <w:rFonts w:ascii="Arial" w:cs="Arial" w:eastAsia="Arial" w:hAnsi="Arial"/>
          <w:sz w:val="20"/>
          <w:szCs w:val="20"/>
          <w:color w:val="auto"/>
        </w:rPr>
        <w:t>” shall mean, with respect to either the use or administration of Adjusted Term SOFR or any other Benchmark or the use, administration, adoption or implementation of 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8" w:name="page49"/>
    <w:bookmarkEnd w:id="48"/>
    <w:p>
      <w:pPr>
        <w:jc w:val="both"/>
        <w:spacing w:after="0" w:line="271" w:lineRule="auto"/>
        <w:rPr>
          <w:sz w:val="20"/>
          <w:szCs w:val="20"/>
          <w:color w:val="auto"/>
        </w:rPr>
      </w:pPr>
      <w:r>
        <w:rPr>
          <w:rFonts w:ascii="Arial" w:cs="Arial" w:eastAsia="Arial" w:hAnsi="Arial"/>
          <w:sz w:val="18"/>
          <w:szCs w:val="18"/>
          <w:color w:val="auto"/>
        </w:rPr>
        <w:t>Benchmark Replacement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Borrower)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(in consultation with the Borrower)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EBITDA</w:t>
      </w:r>
      <w:r>
        <w:rPr>
          <w:rFonts w:ascii="Arial" w:cs="Arial" w:eastAsia="Arial" w:hAnsi="Arial"/>
          <w:sz w:val="20"/>
          <w:szCs w:val="20"/>
          <w:color w:val="auto"/>
        </w:rPr>
        <w:t>” shall mean, for any period, the Consolidated Net Income for such period, plus:</w:t>
      </w:r>
    </w:p>
    <w:p>
      <w:pPr>
        <w:spacing w:after="0" w:line="222" w:lineRule="exact"/>
        <w:rPr>
          <w:sz w:val="20"/>
          <w:szCs w:val="20"/>
          <w:color w:val="auto"/>
        </w:rPr>
      </w:pPr>
    </w:p>
    <w:p>
      <w:pPr>
        <w:ind w:firstLine="757"/>
        <w:spacing w:after="0" w:line="316" w:lineRule="auto"/>
        <w:tabs>
          <w:tab w:leader="none" w:pos="11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without duplication and to the extent deducted (and not added back or excluded) in arriving at such Consolidated Net Income (other than clauses (viii) or (xi)), the sum of the following amounts for such period with respect to Borrower and its Restricted Subsidiaries:</w:t>
      </w:r>
    </w:p>
    <w:p>
      <w:pPr>
        <w:spacing w:after="0" w:line="143" w:lineRule="exact"/>
        <w:rPr>
          <w:sz w:val="20"/>
          <w:szCs w:val="20"/>
          <w:color w:val="auto"/>
        </w:rPr>
      </w:pPr>
    </w:p>
    <w:p>
      <w:pPr>
        <w:jc w:val="both"/>
        <w:ind w:left="760" w:hanging="3"/>
        <w:spacing w:after="0" w:line="253" w:lineRule="auto"/>
        <w:tabs>
          <w:tab w:leader="none" w:pos="1092" w:val="left"/>
        </w:tabs>
        <w:numPr>
          <w:ilvl w:val="0"/>
          <w:numId w:val="36"/>
        </w:numPr>
        <w:rPr>
          <w:rFonts w:ascii="Arial" w:cs="Arial" w:eastAsia="Arial" w:hAnsi="Arial"/>
          <w:sz w:val="21"/>
          <w:szCs w:val="21"/>
          <w:color w:val="auto"/>
        </w:rPr>
      </w:pPr>
      <w:r>
        <w:rPr>
          <w:rFonts w:ascii="Arial" w:cs="Arial" w:eastAsia="Arial" w:hAnsi="Arial"/>
          <w:sz w:val="19"/>
          <w:szCs w:val="19"/>
          <w:color w:val="auto"/>
        </w:rPr>
        <w:t>total interest expense determined in accordance with GAAP and, to the extent not reflected in such total interest expense, any expenses or losses on hedging obligations or other derivative instruments entered into for the purpose of hedging interest rate risk, net of interest income and gains on such hedging obligations or other derivative obligations, letter of credit fees, costs of surety bonds in connection with financing activities and any bank fees and financing fees (including commitment, underwriting, funding, “rollover” and similar fees and commissions, discounts, yields and other fees, charges and amounts incurred in connection with the issuance or incurrence of Indebtedness and all commissions, discounts and other fees and charges owed with respect to letters of credit and bankers’ acceptance financing and net costs under Swap Contracts entered into for the purpose of hedging interest or commodity rate risk) and annual agency, unused line, facility or similar fees paid under definitive documentation related to Indebtedness (whether amortized or immediately expensed),</w:t>
      </w:r>
    </w:p>
    <w:p>
      <w:pPr>
        <w:spacing w:after="0" w:line="197" w:lineRule="exact"/>
        <w:rPr>
          <w:rFonts w:ascii="Arial" w:cs="Arial" w:eastAsia="Arial" w:hAnsi="Arial"/>
          <w:sz w:val="21"/>
          <w:szCs w:val="21"/>
          <w:color w:val="auto"/>
        </w:rPr>
      </w:pPr>
    </w:p>
    <w:p>
      <w:pPr>
        <w:ind w:left="760" w:hanging="3"/>
        <w:spacing w:after="0" w:line="303" w:lineRule="auto"/>
        <w:tabs>
          <w:tab w:leader="none" w:pos="1083" w:val="left"/>
        </w:tabs>
        <w:numPr>
          <w:ilvl w:val="0"/>
          <w:numId w:val="36"/>
        </w:numPr>
        <w:rPr>
          <w:rFonts w:ascii="Arial" w:cs="Arial" w:eastAsia="Arial" w:hAnsi="Arial"/>
          <w:sz w:val="19"/>
          <w:szCs w:val="19"/>
          <w:color w:val="auto"/>
        </w:rPr>
      </w:pPr>
      <w:r>
        <w:rPr>
          <w:rFonts w:ascii="Arial" w:cs="Arial" w:eastAsia="Arial" w:hAnsi="Arial"/>
          <w:sz w:val="18"/>
          <w:szCs w:val="18"/>
          <w:color w:val="auto"/>
        </w:rPr>
        <w:t>provision for taxes based on income, profits or capital gains of the Borrower and the Restricted Subsidiaries, including, without limitation, federal, state, local, franchise and similar taxes and foreign withholding taxes paid or accrued during such period,</w:t>
      </w:r>
    </w:p>
    <w:p>
      <w:pPr>
        <w:spacing w:after="0" w:line="148" w:lineRule="exact"/>
        <w:rPr>
          <w:rFonts w:ascii="Arial" w:cs="Arial" w:eastAsia="Arial" w:hAnsi="Arial"/>
          <w:sz w:val="19"/>
          <w:szCs w:val="19"/>
          <w:color w:val="auto"/>
        </w:rPr>
      </w:pPr>
    </w:p>
    <w:p>
      <w:pPr>
        <w:ind w:left="1140" w:hanging="383"/>
        <w:spacing w:after="0"/>
        <w:tabs>
          <w:tab w:leader="none" w:pos="1140" w:val="left"/>
        </w:tabs>
        <w:numPr>
          <w:ilvl w:val="0"/>
          <w:numId w:val="36"/>
        </w:numPr>
        <w:rPr>
          <w:rFonts w:ascii="Arial" w:cs="Arial" w:eastAsia="Arial" w:hAnsi="Arial"/>
          <w:sz w:val="22"/>
          <w:szCs w:val="22"/>
          <w:color w:val="auto"/>
        </w:rPr>
      </w:pPr>
      <w:r>
        <w:rPr>
          <w:rFonts w:ascii="Arial" w:cs="Arial" w:eastAsia="Arial" w:hAnsi="Arial"/>
          <w:sz w:val="20"/>
          <w:szCs w:val="20"/>
          <w:color w:val="auto"/>
        </w:rPr>
        <w:t>depreciation and amortization,</w:t>
      </w:r>
    </w:p>
    <w:p>
      <w:pPr>
        <w:spacing w:after="0" w:line="208" w:lineRule="exact"/>
        <w:rPr>
          <w:rFonts w:ascii="Arial" w:cs="Arial" w:eastAsia="Arial" w:hAnsi="Arial"/>
          <w:sz w:val="22"/>
          <w:szCs w:val="22"/>
          <w:color w:val="auto"/>
        </w:rPr>
      </w:pPr>
    </w:p>
    <w:p>
      <w:pPr>
        <w:ind w:left="760" w:hanging="3"/>
        <w:spacing w:after="0" w:line="254" w:lineRule="auto"/>
        <w:tabs>
          <w:tab w:leader="none" w:pos="1121" w:val="left"/>
        </w:tabs>
        <w:numPr>
          <w:ilvl w:val="0"/>
          <w:numId w:val="36"/>
        </w:numPr>
        <w:rPr>
          <w:rFonts w:ascii="Arial" w:cs="Arial" w:eastAsia="Arial" w:hAnsi="Arial"/>
          <w:sz w:val="21"/>
          <w:szCs w:val="21"/>
          <w:color w:val="auto"/>
        </w:rPr>
      </w:pPr>
      <w:r>
        <w:rPr>
          <w:rFonts w:ascii="Arial" w:cs="Arial" w:eastAsia="Arial" w:hAnsi="Arial"/>
          <w:sz w:val="19"/>
          <w:szCs w:val="19"/>
          <w:color w:val="auto"/>
        </w:rPr>
        <w:t xml:space="preserve">extraordinary, unusual or non-recurring charges, expenses or losses,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added to “Consolidated EBITDA” pursuant to this clause (a)(iv) in any period, together with the aggregate amount added to Consolidated EBITDA pursuant to clause (a)(vi) of the definition of “Consolidated EBITDA”, shall not exceed in the aggregate 10.0% of Consolidated EBITDA for such period (as calculated prior to giving effect to any such adjustments),</w:t>
      </w:r>
    </w:p>
    <w:p>
      <w:pPr>
        <w:spacing w:after="0" w:line="198" w:lineRule="exact"/>
        <w:rPr>
          <w:rFonts w:ascii="Arial" w:cs="Arial" w:eastAsia="Arial" w:hAnsi="Arial"/>
          <w:sz w:val="21"/>
          <w:szCs w:val="21"/>
          <w:color w:val="auto"/>
        </w:rPr>
      </w:pPr>
    </w:p>
    <w:p>
      <w:pPr>
        <w:jc w:val="both"/>
        <w:ind w:left="760" w:hanging="3"/>
        <w:spacing w:after="0" w:line="306" w:lineRule="auto"/>
        <w:tabs>
          <w:tab w:leader="none" w:pos="1121" w:val="left"/>
        </w:tabs>
        <w:numPr>
          <w:ilvl w:val="0"/>
          <w:numId w:val="36"/>
        </w:numPr>
        <w:rPr>
          <w:rFonts w:ascii="Arial" w:cs="Arial" w:eastAsia="Arial" w:hAnsi="Arial"/>
          <w:sz w:val="18"/>
          <w:szCs w:val="18"/>
          <w:color w:val="auto"/>
        </w:rPr>
      </w:pPr>
      <w:r>
        <w:rPr>
          <w:rFonts w:ascii="Arial" w:cs="Arial" w:eastAsia="Arial" w:hAnsi="Arial"/>
          <w:sz w:val="17"/>
          <w:szCs w:val="17"/>
          <w:color w:val="auto"/>
        </w:rPr>
        <w:t>non-cash expenses, charges and losses (including reserves, impairment charges or asset write-offs, write-offs of deferred financing fees, losses from investments recorded using the equity method, purchase accounting adjustments and stock-based awards compensation expense), in each case other than (A) any non-cash charge representing amortization of a prepaid cash item that was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9" w:name="page50"/>
    <w:bookmarkEnd w:id="49"/>
    <w:p>
      <w:pPr>
        <w:jc w:val="both"/>
        <w:ind w:left="3" w:firstLine="269"/>
        <w:spacing w:after="0" w:line="243" w:lineRule="auto"/>
        <w:rPr>
          <w:sz w:val="20"/>
          <w:szCs w:val="20"/>
          <w:color w:val="auto"/>
        </w:rPr>
      </w:pPr>
      <w:r>
        <w:rPr>
          <w:rFonts w:ascii="Arial" w:cs="Arial" w:eastAsia="Arial" w:hAnsi="Arial"/>
          <w:sz w:val="20"/>
          <w:szCs w:val="20"/>
          <w:color w:val="auto"/>
        </w:rPr>
        <w:t xml:space="preserve">paid and not expensed in a prior period and (B) any non-cash charge relating to write-offs, write-downs or reserves with respect to accounts receivable in the normal course or inventory;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any of the non-cash charges referred to in this clause (v) represents an accrual or reserve for potential cash items in any future period, (1) the Borrower may determine not to add back such non-cash charge in the current period and (2) to the extent the Borrower does decide to add back such non-cash charge, the cash payment in respect thereof in such future period shall be subtracted from Consolidated EBITDA in such future period to the extent paid,</w:t>
      </w:r>
    </w:p>
    <w:p>
      <w:pPr>
        <w:spacing w:after="0" w:line="209" w:lineRule="exact"/>
        <w:rPr>
          <w:sz w:val="20"/>
          <w:szCs w:val="20"/>
          <w:color w:val="auto"/>
        </w:rPr>
      </w:pPr>
    </w:p>
    <w:p>
      <w:pPr>
        <w:ind w:left="3" w:right="40" w:hanging="3"/>
        <w:spacing w:after="0" w:line="294" w:lineRule="auto"/>
        <w:tabs>
          <w:tab w:leader="none" w:pos="365" w:val="left"/>
        </w:tabs>
        <w:numPr>
          <w:ilvl w:val="0"/>
          <w:numId w:val="37"/>
        </w:numPr>
        <w:rPr>
          <w:rFonts w:ascii="Arial" w:cs="Arial" w:eastAsia="Arial" w:hAnsi="Arial"/>
          <w:sz w:val="18"/>
          <w:szCs w:val="18"/>
          <w:color w:val="auto"/>
        </w:rPr>
      </w:pPr>
      <w:r>
        <w:rPr>
          <w:rFonts w:ascii="Arial" w:cs="Arial" w:eastAsia="Arial" w:hAnsi="Arial"/>
          <w:sz w:val="17"/>
          <w:szCs w:val="17"/>
          <w:color w:val="auto"/>
        </w:rPr>
        <w:t xml:space="preserve">restructuring costs and charges, integration costs, retention, recruiting, relocation and signing bonuses and expenses, and severance costs (including, for the avoidance of doubt, any bonuses payable in connection with the IBT Transactions);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amount added to “Consolidated EBITDA” pursuant to this clause (a)(vi) in any period, together with the aggregate amount added to Consolidated EBITDA pursuant to clause (a)(iv) of the definition of “Consolidated EBITDA”, shall not exceed in the aggregate 10.0% of Consolidated EBITDA for such period (as calculated prior to giving effect to any such adjustments),</w:t>
      </w:r>
    </w:p>
    <w:p>
      <w:pPr>
        <w:spacing w:after="0" w:line="165" w:lineRule="exact"/>
        <w:rPr>
          <w:rFonts w:ascii="Arial" w:cs="Arial" w:eastAsia="Arial" w:hAnsi="Arial"/>
          <w:sz w:val="18"/>
          <w:szCs w:val="18"/>
          <w:color w:val="auto"/>
        </w:rPr>
      </w:pPr>
    </w:p>
    <w:p>
      <w:pPr>
        <w:jc w:val="both"/>
        <w:ind w:left="3" w:hanging="3"/>
        <w:spacing w:after="0" w:line="238" w:lineRule="auto"/>
        <w:tabs>
          <w:tab w:leader="none" w:pos="461" w:val="left"/>
        </w:tabs>
        <w:numPr>
          <w:ilvl w:val="0"/>
          <w:numId w:val="37"/>
        </w:numPr>
        <w:rPr>
          <w:rFonts w:ascii="Arial" w:cs="Arial" w:eastAsia="Arial" w:hAnsi="Arial"/>
          <w:sz w:val="22"/>
          <w:szCs w:val="22"/>
          <w:color w:val="auto"/>
        </w:rPr>
      </w:pPr>
      <w:r>
        <w:rPr>
          <w:rFonts w:ascii="Arial" w:cs="Arial" w:eastAsia="Arial" w:hAnsi="Arial"/>
          <w:sz w:val="20"/>
          <w:szCs w:val="20"/>
          <w:color w:val="auto"/>
        </w:rPr>
        <w:t xml:space="preserve">Transaction Expenses, and any fees, costs and expenses in connection with any amendment, negotiation, modification, restatement, waiver, forbearance or other transaction in connection with the Amendment No. 2 Transactions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aggregate amount added to “Consolidated EBITDA” pursuant to this clause (a)(vii) with respect to the Amendment No. 2 Transactions shall not exceed $20,000,000,</w:t>
      </w:r>
    </w:p>
    <w:p>
      <w:pPr>
        <w:spacing w:after="0" w:line="212" w:lineRule="exact"/>
        <w:rPr>
          <w:rFonts w:ascii="Arial" w:cs="Arial" w:eastAsia="Arial" w:hAnsi="Arial"/>
          <w:sz w:val="22"/>
          <w:szCs w:val="22"/>
          <w:color w:val="auto"/>
        </w:rPr>
      </w:pPr>
    </w:p>
    <w:p>
      <w:pPr>
        <w:jc w:val="both"/>
        <w:ind w:left="3" w:hanging="3"/>
        <w:spacing w:after="0" w:line="268" w:lineRule="auto"/>
        <w:tabs>
          <w:tab w:leader="none" w:pos="522" w:val="left"/>
        </w:tabs>
        <w:numPr>
          <w:ilvl w:val="0"/>
          <w:numId w:val="37"/>
        </w:numPr>
        <w:rPr>
          <w:rFonts w:ascii="Arial" w:cs="Arial" w:eastAsia="Arial" w:hAnsi="Arial"/>
          <w:sz w:val="19"/>
          <w:szCs w:val="19"/>
          <w:color w:val="auto"/>
        </w:rPr>
      </w:pPr>
      <w:r>
        <w:rPr>
          <w:rFonts w:ascii="Arial" w:cs="Arial" w:eastAsia="Arial" w:hAnsi="Arial"/>
          <w:sz w:val="18"/>
          <w:szCs w:val="18"/>
          <w:color w:val="auto"/>
        </w:rPr>
        <w:t>pro forma cost savings for acquisitions (including the commencement of activities constituting such business), material dispositions (including the termination or discontinuance of activities constituting such business) of business entities or properties or assets, constituting a division or line of business of any business entity, division or line of business that is the subject of any such acquisition or disposition and operational changes and operational initiatives (collectively, “</w:t>
      </w:r>
      <w:r>
        <w:rPr>
          <w:rFonts w:ascii="Arial" w:cs="Arial" w:eastAsia="Arial" w:hAnsi="Arial"/>
          <w:sz w:val="18"/>
          <w:szCs w:val="18"/>
          <w:b w:val="1"/>
          <w:bCs w:val="1"/>
          <w:color w:val="auto"/>
        </w:rPr>
        <w:t>Cost Savings</w:t>
      </w:r>
      <w:r>
        <w:rPr>
          <w:rFonts w:ascii="Arial" w:cs="Arial" w:eastAsia="Arial" w:hAnsi="Arial"/>
          <w:sz w:val="18"/>
          <w:szCs w:val="18"/>
          <w:color w:val="auto"/>
        </w:rPr>
        <w:t xml:space="preserve">”), scheduled to be executed and realized (in the good faith determination of a Senior Financial Officer of the Borrower) in connection with any such transaction permitted hereunder, net of the amount of actual Cost Savings realized from such actions during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Cost Savings are factually supportable and specifically identified, (B) such Cost Savings are scheduled to be executed and realized within twelve (12) months after the consummation of such transaction, (C) the Administrative Agent and the Required Lenders shall have received a certificate of a Senior Financial Officer of the Borrower, certifying the foregoing requirements and accompanied by a reasonably detailed statement or schedule of such Cost Savings; (D) the actions responsible for any expected Cost Savings are actually taken within twelve (12) months of the consummation of the relevant transaction, (E) any projected Cost Savings in respect of actions which are not actually taken within such twelve (12)-month period or have not been realized within such (12)-month period may no longer be added back in calculating Consolidated EBITDA pursuant to this clause (viii) for the applicable periods, (F) such Cost Savings are not duplicative of any other adjustments to Consolidated EBITDA pursuant to this definition and (G) the aggregate amount added to Consolidated EBITDA pursuant to this clause (a)(viii) in any period, together with the aggregate amount of all adjustments pursuant to </w:t>
      </w:r>
      <w:r>
        <w:rPr>
          <w:rFonts w:ascii="Arial" w:cs="Arial" w:eastAsia="Arial" w:hAnsi="Arial"/>
          <w:sz w:val="18"/>
          <w:szCs w:val="18"/>
          <w:u w:val="single" w:color="auto"/>
          <w:color w:val="auto"/>
        </w:rPr>
        <w:t>Section 1.10(c)</w:t>
      </w:r>
      <w:r>
        <w:rPr>
          <w:rFonts w:ascii="Arial" w:cs="Arial" w:eastAsia="Arial" w:hAnsi="Arial"/>
          <w:sz w:val="18"/>
          <w:szCs w:val="18"/>
          <w:color w:val="auto"/>
        </w:rPr>
        <w:t>, shall not exceed in the aggregate 5.0% of Consolidated EBITDA for such period (as calculated prior to giving effect to any such adjustments),</w:t>
      </w:r>
    </w:p>
    <w:p>
      <w:pPr>
        <w:spacing w:after="0" w:line="186" w:lineRule="exact"/>
        <w:rPr>
          <w:rFonts w:ascii="Arial" w:cs="Arial" w:eastAsia="Arial" w:hAnsi="Arial"/>
          <w:sz w:val="19"/>
          <w:szCs w:val="19"/>
          <w:color w:val="auto"/>
        </w:rPr>
      </w:pPr>
    </w:p>
    <w:p>
      <w:pPr>
        <w:ind w:left="363" w:hanging="363"/>
        <w:spacing w:after="0"/>
        <w:tabs>
          <w:tab w:leader="none" w:pos="363" w:val="left"/>
        </w:tabs>
        <w:numPr>
          <w:ilvl w:val="0"/>
          <w:numId w:val="37"/>
        </w:numPr>
        <w:rPr>
          <w:rFonts w:ascii="Arial" w:cs="Arial" w:eastAsia="Arial" w:hAnsi="Arial"/>
          <w:sz w:val="22"/>
          <w:szCs w:val="22"/>
          <w:color w:val="auto"/>
        </w:rPr>
      </w:pPr>
      <w:r>
        <w:rPr>
          <w:rFonts w:ascii="Arial" w:cs="Arial" w:eastAsia="Arial" w:hAnsi="Arial"/>
          <w:sz w:val="20"/>
          <w:szCs w:val="20"/>
          <w:color w:val="auto"/>
        </w:rPr>
        <w:t>[reserved],</w:t>
      </w:r>
    </w:p>
    <w:p>
      <w:pPr>
        <w:spacing w:after="0" w:line="208" w:lineRule="exact"/>
        <w:rPr>
          <w:rFonts w:ascii="Arial" w:cs="Arial" w:eastAsia="Arial" w:hAnsi="Arial"/>
          <w:sz w:val="22"/>
          <w:szCs w:val="22"/>
          <w:color w:val="auto"/>
        </w:rPr>
      </w:pPr>
    </w:p>
    <w:p>
      <w:pPr>
        <w:jc w:val="both"/>
        <w:ind w:left="3" w:hanging="3"/>
        <w:spacing w:after="0" w:line="238" w:lineRule="auto"/>
        <w:tabs>
          <w:tab w:leader="none" w:pos="357" w:val="left"/>
        </w:tabs>
        <w:numPr>
          <w:ilvl w:val="0"/>
          <w:numId w:val="37"/>
        </w:numPr>
        <w:rPr>
          <w:rFonts w:ascii="Arial" w:cs="Arial" w:eastAsia="Arial" w:hAnsi="Arial"/>
          <w:sz w:val="22"/>
          <w:szCs w:val="22"/>
          <w:color w:val="auto"/>
        </w:rPr>
      </w:pPr>
      <w:r>
        <w:rPr>
          <w:rFonts w:ascii="Arial" w:cs="Arial" w:eastAsia="Arial" w:hAnsi="Arial"/>
          <w:sz w:val="20"/>
          <w:szCs w:val="20"/>
          <w:color w:val="auto"/>
        </w:rPr>
        <w:t>other transaction specific accruals, costs, charges, fees and expenses (including legal, tax, structuring and other costs and expenses) related to the Transactions, acquisitions, investments, restricted payments, dispositions or issuances, amendments, waivers or modifications of debt or</w:t>
      </w:r>
    </w:p>
    <w:p>
      <w:pPr>
        <w:spacing w:after="0" w:line="193" w:lineRule="exact"/>
        <w:rPr>
          <w:sz w:val="20"/>
          <w:szCs w:val="20"/>
          <w:color w:val="auto"/>
        </w:rPr>
      </w:pPr>
    </w:p>
    <w:p>
      <w:pPr>
        <w:ind w:left="4763"/>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157480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66" w:right="339" w:bottom="1440" w:gutter="0" w:footer="0" w:header="0"/>
        </w:sectPr>
      </w:pPr>
    </w:p>
    <w:bookmarkStart w:id="50" w:name="page51"/>
    <w:bookmarkEnd w:id="50"/>
    <w:p>
      <w:pPr>
        <w:jc w:val="both"/>
        <w:ind w:left="760" w:firstLine="269"/>
        <w:spacing w:after="0" w:line="246" w:lineRule="auto"/>
        <w:rPr>
          <w:sz w:val="20"/>
          <w:szCs w:val="20"/>
          <w:color w:val="auto"/>
        </w:rPr>
      </w:pPr>
      <w:r>
        <w:rPr>
          <w:rFonts w:ascii="Arial" w:cs="Arial" w:eastAsia="Arial" w:hAnsi="Arial"/>
          <w:sz w:val="20"/>
          <w:szCs w:val="20"/>
          <w:color w:val="auto"/>
        </w:rPr>
        <w:t>equity (whether or not consummated) reasonably expected to be permitted under this Agreement or the consummation of which would result in the repayment in full of the Obligations (other than unasserted contingent indemnity and reimbursement obligations) (it being understood and agreed that this clause (a)(x) shall not permit adjustments of the type specified in clauses (a)(iv), (vi) or (viii)),</w:t>
      </w:r>
    </w:p>
    <w:p>
      <w:pPr>
        <w:spacing w:after="0" w:line="205" w:lineRule="exact"/>
        <w:rPr>
          <w:sz w:val="20"/>
          <w:szCs w:val="20"/>
          <w:color w:val="auto"/>
        </w:rPr>
      </w:pPr>
    </w:p>
    <w:p>
      <w:pPr>
        <w:jc w:val="both"/>
        <w:ind w:left="760" w:hanging="3"/>
        <w:spacing w:after="0" w:line="298" w:lineRule="auto"/>
        <w:tabs>
          <w:tab w:leader="none" w:pos="1124" w:val="left"/>
        </w:tabs>
        <w:numPr>
          <w:ilvl w:val="0"/>
          <w:numId w:val="38"/>
        </w:numPr>
        <w:rPr>
          <w:rFonts w:ascii="Arial" w:cs="Arial" w:eastAsia="Arial" w:hAnsi="Arial"/>
          <w:sz w:val="18"/>
          <w:szCs w:val="18"/>
          <w:color w:val="auto"/>
        </w:rPr>
      </w:pPr>
      <w:r>
        <w:rPr>
          <w:rFonts w:ascii="Arial" w:cs="Arial" w:eastAsia="Arial" w:hAnsi="Arial"/>
          <w:sz w:val="17"/>
          <w:szCs w:val="17"/>
          <w:color w:val="auto"/>
        </w:rPr>
        <w:t xml:space="preserve">to the extent not already included in Consolidated Net Income, proceeds of business interruption insurance (other than business interruption insurance relating to COVID 19 (or any related virus) or any related events) received or reasonably expected to be received within 365 days after the end of such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expected proceeds that are not actually received in such 365 day period shall be deducted from Consolidated EBITDA in the fiscal quarter immediately following such 365 day period,</w:t>
      </w:r>
    </w:p>
    <w:p>
      <w:pPr>
        <w:spacing w:after="0" w:line="162" w:lineRule="exact"/>
        <w:rPr>
          <w:rFonts w:ascii="Arial" w:cs="Arial" w:eastAsia="Arial" w:hAnsi="Arial"/>
          <w:sz w:val="18"/>
          <w:szCs w:val="18"/>
          <w:color w:val="auto"/>
        </w:rPr>
      </w:pPr>
    </w:p>
    <w:p>
      <w:pPr>
        <w:jc w:val="both"/>
        <w:ind w:left="760" w:hanging="3"/>
        <w:spacing w:after="0" w:line="238" w:lineRule="auto"/>
        <w:tabs>
          <w:tab w:leader="none" w:pos="1210" w:val="left"/>
        </w:tabs>
        <w:numPr>
          <w:ilvl w:val="0"/>
          <w:numId w:val="38"/>
        </w:numPr>
        <w:rPr>
          <w:rFonts w:ascii="Arial" w:cs="Arial" w:eastAsia="Arial" w:hAnsi="Arial"/>
          <w:sz w:val="22"/>
          <w:szCs w:val="22"/>
          <w:color w:val="auto"/>
        </w:rPr>
      </w:pPr>
      <w:r>
        <w:rPr>
          <w:rFonts w:ascii="Arial" w:cs="Arial" w:eastAsia="Arial" w:hAnsi="Arial"/>
          <w:sz w:val="20"/>
          <w:szCs w:val="20"/>
          <w:color w:val="auto"/>
        </w:rPr>
        <w:t xml:space="preserve">charges, losses or expenses to the extent indemnified or insured or reimbursed or reasonably expected to be indemnified, insured or reimbursed by a third party within 365 days after the end of such period;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such expected amounts that are not actually received in such 365 day period shall be deducted from Consolidated EBITDA in the fiscal quarter immediately following such 365 day period,</w:t>
      </w:r>
    </w:p>
    <w:p>
      <w:pPr>
        <w:spacing w:after="0" w:line="212" w:lineRule="exact"/>
        <w:rPr>
          <w:rFonts w:ascii="Arial" w:cs="Arial" w:eastAsia="Arial" w:hAnsi="Arial"/>
          <w:sz w:val="22"/>
          <w:szCs w:val="22"/>
          <w:color w:val="auto"/>
        </w:rPr>
      </w:pPr>
    </w:p>
    <w:p>
      <w:pPr>
        <w:ind w:left="760" w:hanging="3"/>
        <w:spacing w:after="0" w:line="238" w:lineRule="auto"/>
        <w:tabs>
          <w:tab w:leader="none" w:pos="1259" w:val="left"/>
        </w:tabs>
        <w:numPr>
          <w:ilvl w:val="0"/>
          <w:numId w:val="38"/>
        </w:numPr>
        <w:rPr>
          <w:rFonts w:ascii="Arial" w:cs="Arial" w:eastAsia="Arial" w:hAnsi="Arial"/>
          <w:sz w:val="22"/>
          <w:szCs w:val="22"/>
          <w:color w:val="auto"/>
        </w:rPr>
      </w:pPr>
      <w:r>
        <w:rPr>
          <w:rFonts w:ascii="Arial" w:cs="Arial" w:eastAsia="Arial" w:hAnsi="Arial"/>
          <w:sz w:val="20"/>
          <w:szCs w:val="20"/>
          <w:color w:val="auto"/>
        </w:rPr>
        <w:t>the amount of any minority interest expense attributable to minority interests of third parties in the positive income of any non-wholly owned Restricted Subsidiary,</w:t>
      </w:r>
    </w:p>
    <w:p>
      <w:pPr>
        <w:spacing w:after="0" w:line="206" w:lineRule="exact"/>
        <w:rPr>
          <w:rFonts w:ascii="Arial" w:cs="Arial" w:eastAsia="Arial" w:hAnsi="Arial"/>
          <w:sz w:val="22"/>
          <w:szCs w:val="22"/>
          <w:color w:val="auto"/>
        </w:rPr>
      </w:pPr>
    </w:p>
    <w:p>
      <w:pPr>
        <w:ind w:left="1220" w:hanging="463"/>
        <w:spacing w:after="0"/>
        <w:tabs>
          <w:tab w:leader="none" w:pos="1220" w:val="left"/>
        </w:tabs>
        <w:numPr>
          <w:ilvl w:val="0"/>
          <w:numId w:val="38"/>
        </w:numPr>
        <w:rPr>
          <w:rFonts w:ascii="Arial" w:cs="Arial" w:eastAsia="Arial" w:hAnsi="Arial"/>
          <w:sz w:val="22"/>
          <w:szCs w:val="22"/>
          <w:color w:val="auto"/>
        </w:rPr>
      </w:pPr>
      <w:r>
        <w:rPr>
          <w:rFonts w:ascii="Arial" w:cs="Arial" w:eastAsia="Arial" w:hAnsi="Arial"/>
          <w:sz w:val="20"/>
          <w:szCs w:val="20"/>
          <w:color w:val="auto"/>
        </w:rPr>
        <w:t>any net loss from disposed, abandoned or discontinued operations,</w:t>
      </w:r>
    </w:p>
    <w:p>
      <w:pPr>
        <w:spacing w:after="0" w:line="206" w:lineRule="exact"/>
        <w:rPr>
          <w:rFonts w:ascii="Arial" w:cs="Arial" w:eastAsia="Arial" w:hAnsi="Arial"/>
          <w:sz w:val="22"/>
          <w:szCs w:val="22"/>
          <w:color w:val="auto"/>
        </w:rPr>
      </w:pPr>
    </w:p>
    <w:p>
      <w:pPr>
        <w:ind w:left="1160" w:hanging="403"/>
        <w:spacing w:after="0"/>
        <w:tabs>
          <w:tab w:leader="none" w:pos="1160" w:val="left"/>
        </w:tabs>
        <w:numPr>
          <w:ilvl w:val="0"/>
          <w:numId w:val="38"/>
        </w:numPr>
        <w:rPr>
          <w:rFonts w:ascii="Arial" w:cs="Arial" w:eastAsia="Arial" w:hAnsi="Arial"/>
          <w:sz w:val="22"/>
          <w:szCs w:val="22"/>
          <w:color w:val="auto"/>
        </w:rPr>
      </w:pPr>
      <w:r>
        <w:rPr>
          <w:rFonts w:ascii="Arial" w:cs="Arial" w:eastAsia="Arial" w:hAnsi="Arial"/>
          <w:sz w:val="20"/>
          <w:szCs w:val="20"/>
          <w:color w:val="auto"/>
        </w:rPr>
        <w:t>[reserved],</w:t>
      </w:r>
    </w:p>
    <w:p>
      <w:pPr>
        <w:spacing w:after="0" w:line="208" w:lineRule="exact"/>
        <w:rPr>
          <w:rFonts w:ascii="Arial" w:cs="Arial" w:eastAsia="Arial" w:hAnsi="Arial"/>
          <w:sz w:val="22"/>
          <w:szCs w:val="22"/>
          <w:color w:val="auto"/>
        </w:rPr>
      </w:pPr>
    </w:p>
    <w:p>
      <w:pPr>
        <w:ind w:left="760" w:hanging="3"/>
        <w:spacing w:after="0" w:line="238" w:lineRule="auto"/>
        <w:tabs>
          <w:tab w:leader="none" w:pos="1267" w:val="left"/>
        </w:tabs>
        <w:numPr>
          <w:ilvl w:val="0"/>
          <w:numId w:val="38"/>
        </w:numPr>
        <w:rPr>
          <w:rFonts w:ascii="Arial" w:cs="Arial" w:eastAsia="Arial" w:hAnsi="Arial"/>
          <w:sz w:val="22"/>
          <w:szCs w:val="22"/>
          <w:color w:val="auto"/>
        </w:rPr>
      </w:pPr>
      <w:r>
        <w:rPr>
          <w:rFonts w:ascii="Arial" w:cs="Arial" w:eastAsia="Arial" w:hAnsi="Arial"/>
          <w:sz w:val="20"/>
          <w:szCs w:val="20"/>
          <w:color w:val="auto"/>
        </w:rPr>
        <w:t>net realized losses under any Swap Contract or embedded derivatives that require similar accounting treatment and the application of Accounting Standard Codification Topic 815 and related pronouncements,</w:t>
      </w:r>
    </w:p>
    <w:p>
      <w:pPr>
        <w:spacing w:after="0" w:line="206" w:lineRule="exact"/>
        <w:rPr>
          <w:rFonts w:ascii="Arial" w:cs="Arial" w:eastAsia="Arial" w:hAnsi="Arial"/>
          <w:sz w:val="22"/>
          <w:szCs w:val="22"/>
          <w:color w:val="auto"/>
        </w:rPr>
      </w:pPr>
    </w:p>
    <w:p>
      <w:pPr>
        <w:ind w:left="1280" w:hanging="523"/>
        <w:spacing w:after="0"/>
        <w:tabs>
          <w:tab w:leader="none" w:pos="1280" w:val="left"/>
        </w:tabs>
        <w:numPr>
          <w:ilvl w:val="0"/>
          <w:numId w:val="38"/>
        </w:numPr>
        <w:rPr>
          <w:rFonts w:ascii="Arial" w:cs="Arial" w:eastAsia="Arial" w:hAnsi="Arial"/>
          <w:sz w:val="22"/>
          <w:szCs w:val="22"/>
          <w:color w:val="auto"/>
        </w:rPr>
      </w:pPr>
      <w:r>
        <w:rPr>
          <w:rFonts w:ascii="Arial" w:cs="Arial" w:eastAsia="Arial" w:hAnsi="Arial"/>
          <w:sz w:val="20"/>
          <w:szCs w:val="20"/>
          <w:color w:val="auto"/>
        </w:rPr>
        <w:t>the cumulative effect of a change in accounting principles,</w:t>
      </w:r>
    </w:p>
    <w:p>
      <w:pPr>
        <w:spacing w:after="0" w:line="208" w:lineRule="exact"/>
        <w:rPr>
          <w:rFonts w:ascii="Arial" w:cs="Arial" w:eastAsia="Arial" w:hAnsi="Arial"/>
          <w:sz w:val="22"/>
          <w:szCs w:val="22"/>
          <w:color w:val="auto"/>
        </w:rPr>
      </w:pPr>
    </w:p>
    <w:p>
      <w:pPr>
        <w:ind w:left="760" w:hanging="3"/>
        <w:spacing w:after="0" w:line="238" w:lineRule="auto"/>
        <w:tabs>
          <w:tab w:leader="none" w:pos="1360" w:val="left"/>
        </w:tabs>
        <w:numPr>
          <w:ilvl w:val="0"/>
          <w:numId w:val="38"/>
        </w:numPr>
        <w:rPr>
          <w:rFonts w:ascii="Arial" w:cs="Arial" w:eastAsia="Arial" w:hAnsi="Arial"/>
          <w:sz w:val="22"/>
          <w:szCs w:val="22"/>
          <w:color w:val="auto"/>
        </w:rPr>
      </w:pPr>
      <w:r>
        <w:rPr>
          <w:rFonts w:ascii="Arial" w:cs="Arial" w:eastAsia="Arial" w:hAnsi="Arial"/>
          <w:sz w:val="20"/>
          <w:szCs w:val="20"/>
          <w:color w:val="auto"/>
        </w:rPr>
        <w:t>realized non-cash foreign exchange losses resulting from the impact of foreign currency changes on the valuation of assets or liabilities on the balance sheet of the Borrower and its Restricted Subsidiaries,</w:t>
      </w:r>
    </w:p>
    <w:p>
      <w:pPr>
        <w:spacing w:after="0" w:line="206" w:lineRule="exact"/>
        <w:rPr>
          <w:rFonts w:ascii="Arial" w:cs="Arial" w:eastAsia="Arial" w:hAnsi="Arial"/>
          <w:sz w:val="22"/>
          <w:szCs w:val="22"/>
          <w:color w:val="auto"/>
        </w:rPr>
      </w:pPr>
    </w:p>
    <w:p>
      <w:pPr>
        <w:ind w:left="1220" w:hanging="463"/>
        <w:spacing w:after="0"/>
        <w:tabs>
          <w:tab w:leader="none" w:pos="1220" w:val="left"/>
        </w:tabs>
        <w:numPr>
          <w:ilvl w:val="0"/>
          <w:numId w:val="38"/>
        </w:numPr>
        <w:rPr>
          <w:rFonts w:ascii="Arial" w:cs="Arial" w:eastAsia="Arial" w:hAnsi="Arial"/>
          <w:sz w:val="22"/>
          <w:szCs w:val="22"/>
          <w:color w:val="auto"/>
        </w:rPr>
      </w:pPr>
      <w:r>
        <w:rPr>
          <w:rFonts w:ascii="Arial" w:cs="Arial" w:eastAsia="Arial" w:hAnsi="Arial"/>
          <w:sz w:val="20"/>
          <w:szCs w:val="20"/>
          <w:color w:val="auto"/>
        </w:rPr>
        <w:t>any losses attributable to Dispositions of Real Property,</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u w:val="single" w:color="auto"/>
          <w:color w:val="auto"/>
        </w:rPr>
        <w:t>less</w:t>
      </w:r>
      <w:r>
        <w:rPr>
          <w:rFonts w:ascii="Arial" w:cs="Arial" w:eastAsia="Arial" w:hAnsi="Arial"/>
          <w:sz w:val="18"/>
          <w:szCs w:val="18"/>
          <w:color w:val="auto"/>
        </w:rPr>
        <w:t xml:space="preserve"> (b) without duplication and to the extent included in arriving at such Consolidated Net Income, (i) non-cash gains (excluding any non-cash gain to the extent it represents the reversal of an accrual or reserve for a potential cash item that reduced Consolidated EBITDA in any prior period) and all other non-cash items of income for such period, (ii) any gains and income from investments recorded using the equity method, (iii) extraordinary, unusual or non-recurring gains, (iv) non-cash gains representing adjustments to pension assets, (v) any gains attributable to Dispositions of Real Property and (vi) any gains arising out of transactions of the types described in clauses (a)(xii), (xiii), (xiv), (xv) and (xvi)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any gain representing the reversal of any non-cash charge referred to in clause (a)(v)(B) above for a prior period shall be added (together with, without duplication, any amounts received in respect thereof to the extent not increasing Consolidated Net Income) to Consolidated EBITDA in any subsequent period to such extent so reversed (or received).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1" w:name="page52"/>
    <w:bookmarkEnd w:id="51"/>
    <w:p>
      <w:pPr>
        <w:jc w:val="both"/>
        <w:spacing w:after="0" w:line="246" w:lineRule="auto"/>
        <w:rPr>
          <w:sz w:val="20"/>
          <w:szCs w:val="20"/>
          <w:color w:val="auto"/>
        </w:rPr>
      </w:pPr>
      <w:r>
        <w:rPr>
          <w:rFonts w:ascii="Arial" w:cs="Arial" w:eastAsia="Arial" w:hAnsi="Arial"/>
          <w:sz w:val="20"/>
          <w:szCs w:val="20"/>
          <w:color w:val="auto"/>
        </w:rPr>
        <w:t>Notwithstanding the foregoing, Consolidated Net Income and Consolidated EBITDA shall be calculated to exclude any amounts otherwise increasing or included in Consolidated Net Income and/or Consolidated EBITDA relating to (x) business interruption insurance relating to COVID 19 (or any related virus) or any related events or (y) any assistance programs provided by Governmental Agencies (or the equivalent).</w:t>
      </w:r>
    </w:p>
    <w:p>
      <w:pPr>
        <w:spacing w:after="0" w:line="18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Income</w:t>
      </w:r>
      <w:r>
        <w:rPr>
          <w:rFonts w:ascii="Arial" w:cs="Arial" w:eastAsia="Arial" w:hAnsi="Arial"/>
          <w:sz w:val="18"/>
          <w:szCs w:val="18"/>
          <w:color w:val="auto"/>
        </w:rPr>
        <w:t xml:space="preserve">” shall mean, with reference to any period, the net income (or loss) of the Borrower and its Subsidiaries for such period determined on a consolidated basis in accordance with GAAP on a consolidated basis (without duplication) for such period (without deduction for minority interests);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determining Consolidated Net Income, (a) the net income of any other Person which is not a Subsidiary of the Borrower or is accounted for by the Borrower by the equity method of accounting shall be included only to the extent of the payment of cash dividends or cash distributions by such other Person to the Borrower or a Guarantor that could be made during such period;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for purposes of calculating the Cumulative Credit for purposes of </w:t>
      </w:r>
      <w:r>
        <w:rPr>
          <w:rFonts w:ascii="Arial" w:cs="Arial" w:eastAsia="Arial" w:hAnsi="Arial"/>
          <w:sz w:val="18"/>
          <w:szCs w:val="18"/>
          <w:u w:val="single" w:color="auto"/>
          <w:color w:val="auto"/>
        </w:rPr>
        <w:t>Section 7.06(e)(y)</w:t>
      </w:r>
      <w:r>
        <w:rPr>
          <w:rFonts w:ascii="Arial" w:cs="Arial" w:eastAsia="Arial" w:hAnsi="Arial"/>
          <w:sz w:val="18"/>
          <w:szCs w:val="18"/>
          <w:color w:val="auto"/>
        </w:rPr>
        <w:t>, such income shall only be included (directly or indirectly) to the extent such cash dividends or other cash distributions are actually received from such other Person by the Borrower or a Guarantor, (b) the net income of any Subsidiary of the Borrower shall be excluded to the extent that the declaration or payment of cash dividends or similar cash distributions by that Subsidiary of that net income is not at the date of determination permitted by operation of its charter or any agreement, instrument or law applicable to such Subsidiary (other than (i) restrictions that have been waived or otherwise released, (ii) restrictions pursuant to the Loan Documents, the ABL Facility Documentation, the UST Tranche A Facility Documentation, the UST Tranche B Facility Documentation, the Treasury Equity Documents and (iii) restrictions arising pursuant to an agreement or instrument if the encumbrances and restrictions contained in any such agreement or instrument taken as a whole are not materially less favorable to the Secured Parties than the encumbrances and restrictions contained in the Loan Documents (as determined by the Borrower in good faith)), and (c) the income or loss of any Person accrued prior to the date it becomes a Subsidiary or is merged into or consolidated with the Borrower or any Subsidiary or the date that such Person’s assets are acquired by the Borrower or any Subsidiary shall be excluded.</w:t>
      </w:r>
    </w:p>
    <w:p>
      <w:pPr>
        <w:spacing w:after="0" w:line="17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Total Assets</w:t>
      </w:r>
      <w:r>
        <w:rPr>
          <w:rFonts w:ascii="Arial" w:cs="Arial" w:eastAsia="Arial" w:hAnsi="Arial"/>
          <w:sz w:val="20"/>
          <w:szCs w:val="20"/>
          <w:color w:val="auto"/>
        </w:rPr>
        <w:t xml:space="preserve">” shall mean the total assets of the Borrower and its Restricted Subsidiaries, determined on a consolidated basis in accordance with GAAP, as shown on the consolidated balance sheet of the Borrower for the most recently completed fiscal quarter for which financial statements have been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77"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Debt</w:t>
      </w:r>
      <w:r>
        <w:rPr>
          <w:rFonts w:ascii="Arial" w:cs="Arial" w:eastAsia="Arial" w:hAnsi="Arial"/>
          <w:sz w:val="18"/>
          <w:szCs w:val="18"/>
          <w:color w:val="auto"/>
        </w:rPr>
        <w:t xml:space="preserve">” shall mean, as of any date of determination, the aggregate principal amount of Indebtedness of the Borrower and its Restricted Subsidiaries (on a consolidated basis) outstanding on such date, in an amount that would be reflected on a balance sheet prepared as of such date on a consolidated basis in accordance with GAAP as long as such amount is no less than the aggregate face amount of such Indebtedness on such date, consisting of Indebtedness for borrowed money, Attributable Indebtedness or purchase money Indebtedness, debt obligations evidenced by bonds, debentures, promissory notes, loan agreements or similar instruments, and all Guarantees of any of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Consolidated Total Debt shall not include Indebtedness in respect of letters of credit, bankers’ acceptances and other similar contingent obligations, except to the extent of unreimbursed amounts thereunder, and (ii) Consolidated Total Debt shall not include obligations under Swap Contracts permitted hereunder.</w:t>
      </w:r>
    </w:p>
    <w:p>
      <w:pPr>
        <w:spacing w:after="0" w:line="16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Working Capital</w:t>
      </w:r>
      <w:r>
        <w:rPr>
          <w:rFonts w:ascii="Arial" w:cs="Arial" w:eastAsia="Arial" w:hAnsi="Arial"/>
          <w:sz w:val="20"/>
          <w:szCs w:val="20"/>
          <w:color w:val="auto"/>
        </w:rPr>
        <w:t>” shall mean, with respect to the Borrower and its Restricted Subsidiaries on a consolidated basis at any date of determination, Current Assets at such date of determination minus Current Liabilities at such date of determination; provided, that, increases or decreases in Consolidated Working Capital shall be calculated without regard to any changes in Current Assets or Current Liabilities as a result of (a) any reclassification in accordance with GAAP of assets or liabilities, as applicable, between current and noncurrent or (b) the effects of purchase accounting.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2" w:name="page53"/>
    <w:bookmarkEnd w:id="52"/>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Contractual Obligation</w:t>
      </w:r>
      <w:r>
        <w:rPr>
          <w:rFonts w:ascii="Arial" w:cs="Arial" w:eastAsia="Arial" w:hAnsi="Arial"/>
          <w:sz w:val="20"/>
          <w:szCs w:val="20"/>
          <w:color w:val="auto"/>
        </w:rPr>
        <w:t>” shall mean, as to any Person, any provision of any security issued by such Person or of any agreement, instrument or other undertaking to which such Person is a party or by which it or any of its property is bound.</w:t>
      </w:r>
    </w:p>
    <w:p>
      <w:pPr>
        <w:spacing w:after="0" w:line="16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Contribution Deferral Agreement</w:t>
      </w:r>
      <w:r>
        <w:rPr>
          <w:rFonts w:ascii="Arial" w:cs="Arial" w:eastAsia="Arial" w:hAnsi="Arial"/>
          <w:sz w:val="20"/>
          <w:szCs w:val="20"/>
          <w:color w:val="auto"/>
        </w:rPr>
        <w:t>” means that certain Second Amended and Restated Contribution Deferral Agreement, dated as of January 31, 2014, by and between YRC Inc., USF Holland LLC (f/k/a USF Holland Inc.), New Penn Motor Express LLC (f/k/a New Penn Motor Express, Inc.), USF Reddaway Inc., certain other of the Subsidiaries of the Borrower, the Trustees for the Central States, Southeast and Southwest Areas Pension Fund, the Pension Fund Entities and each other pension fund from time to time party thereto and Wilmington Trust Company, all as the same may be amended, amended and restated, restated, supplemented or otherwise modified in accordance with the terms hereof.</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w:t>
      </w:r>
      <w:r>
        <w:rPr>
          <w:rFonts w:ascii="Arial" w:cs="Arial" w:eastAsia="Arial" w:hAnsi="Arial"/>
          <w:sz w:val="20"/>
          <w:szCs w:val="20"/>
          <w:color w:val="auto"/>
        </w:rPr>
        <w:t>” shall have the meaning specified in the definition of “Affiliate”.</w:t>
      </w:r>
    </w:p>
    <w:p>
      <w:pPr>
        <w:spacing w:after="0" w:line="21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 Agreement</w:t>
      </w:r>
      <w:r>
        <w:rPr>
          <w:rFonts w:ascii="Arial" w:cs="Arial" w:eastAsia="Arial" w:hAnsi="Arial"/>
          <w:sz w:val="20"/>
          <w:szCs w:val="20"/>
          <w:color w:val="auto"/>
        </w:rPr>
        <w:t>” means an agreement, in form and substance reasonably satisfactory to the Required Lenders, which provides for the Collateral Agent to have “control” (for purposes of this definition, as defined in Section 9 104 of the UCC of the State of New York or Section 8-106 of the UCC of the State of New York, as applicable) of Cash Collateral Accounts, Deposit Accounts or Securities Accounts, as applicable.</w:t>
      </w:r>
    </w:p>
    <w:p>
      <w:pPr>
        <w:spacing w:after="0" w:line="183"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Agreement Refinancing Indebtedness</w:t>
      </w:r>
      <w:r>
        <w:rPr>
          <w:rFonts w:ascii="Arial" w:cs="Arial" w:eastAsia="Arial" w:hAnsi="Arial"/>
          <w:sz w:val="18"/>
          <w:szCs w:val="18"/>
          <w:color w:val="auto"/>
        </w:rPr>
        <w:t>” shall mean Permitted Additional Debt or Indebtedness incurred pursuant to a Refinancing Amendment, in each case, issued, incurred or otherwise obtained (including by means of the extension or renewal of existing Indebtedness) in exchange for, or to extend, renew, replace, restructure or refinance, in whole or part, existing Term Loans (including any successive Credit Agreement Refinancing Indebtedness) (“</w:t>
      </w:r>
      <w:r>
        <w:rPr>
          <w:rFonts w:ascii="Arial" w:cs="Arial" w:eastAsia="Arial" w:hAnsi="Arial"/>
          <w:sz w:val="18"/>
          <w:szCs w:val="18"/>
          <w:b w:val="1"/>
          <w:bCs w:val="1"/>
          <w:color w:val="auto"/>
        </w:rPr>
        <w:t>Refinanced Debt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extending, renewing, replacing, restructuring or refinancing Indebtedness is in an original aggregate principal amount (or accreted value, if applicable) not greater than the aggregate principal amount (or accreted value, if applicable) of the Refinanced Debt, except by an amount equal to accrued but unpaid interest, premiums and fees payable by the terms of such Indebtedness and reasonable fees, expenses, original issue discount and upfront fees incurred in connection with such exchange, modification, refinancing, refunding, renewal, restructuring, replacement or extension, (ii) such Refinanced Debt shall be repaid, defeased or satisfied and discharged with 100% of the Net Proceeds of the applicable Credit Agreement Refinancing Indebtedness and all accrued, due and payable interest, fees and premiums (if any) in connection therewith shall be paid promptly upon receipt of the proceeds of such Credit Agreement Refinancing Indebtedness, (iii) such Indebtedness does not have an earlier maturity and has a Weighted Average Life to Maturity equal to or greater than the Refinanced Debt; and (iv) and, in the case of any high yield notes constituting Credit Agreement Refinancing Indebtedness, such Indebtedness will not have mandatory prepayment provisions (other than related to customary asset sale and change of control and similar offers and AHYDO “catch up” payments) that would result in mandatory prepayment of such Indebtedness prior to the Refinanced Debt.</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 Extension</w:t>
      </w:r>
      <w:r>
        <w:rPr>
          <w:rFonts w:ascii="Arial" w:cs="Arial" w:eastAsia="Arial" w:hAnsi="Arial"/>
          <w:sz w:val="20"/>
          <w:szCs w:val="20"/>
          <w:color w:val="auto"/>
        </w:rPr>
        <w:t>” shall mean a Borrowing.</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Cumulative Credit</w:t>
      </w:r>
      <w:r>
        <w:rPr>
          <w:rFonts w:ascii="Arial" w:cs="Arial" w:eastAsia="Arial" w:hAnsi="Arial"/>
          <w:sz w:val="20"/>
          <w:szCs w:val="20"/>
          <w:color w:val="auto"/>
        </w:rPr>
        <w:t>” shall mean, at any date, an amount, not less than zero in the aggregate, determined on a cumulative basis equal to, without duplication:</w:t>
      </w:r>
    </w:p>
    <w:p>
      <w:pPr>
        <w:spacing w:after="0" w:line="180" w:lineRule="exact"/>
        <w:rPr>
          <w:sz w:val="20"/>
          <w:szCs w:val="20"/>
          <w:color w:val="auto"/>
        </w:rPr>
      </w:pPr>
    </w:p>
    <w:p>
      <w:pPr>
        <w:ind w:left="2040" w:hanging="535"/>
        <w:spacing w:after="0"/>
        <w:tabs>
          <w:tab w:leader="none" w:pos="2040" w:val="left"/>
        </w:tabs>
        <w:numPr>
          <w:ilvl w:val="0"/>
          <w:numId w:val="39"/>
        </w:numPr>
        <w:rPr>
          <w:rFonts w:ascii="Arial" w:cs="Arial" w:eastAsia="Arial" w:hAnsi="Arial"/>
          <w:sz w:val="22"/>
          <w:szCs w:val="22"/>
          <w:color w:val="auto"/>
        </w:rPr>
      </w:pPr>
      <w:r>
        <w:rPr>
          <w:rFonts w:ascii="Arial" w:cs="Arial" w:eastAsia="Arial" w:hAnsi="Arial"/>
          <w:sz w:val="20"/>
          <w:szCs w:val="20"/>
          <w:color w:val="auto"/>
        </w:rPr>
        <w:t xml:space="preserve">the Cumulative Retained Excess Cash Flow Amount at such time, </w:t>
      </w:r>
      <w:r>
        <w:rPr>
          <w:rFonts w:ascii="Arial" w:cs="Arial" w:eastAsia="Arial" w:hAnsi="Arial"/>
          <w:sz w:val="20"/>
          <w:szCs w:val="20"/>
          <w:u w:val="single" w:color="auto"/>
          <w:color w:val="auto"/>
        </w:rPr>
        <w:t>plus</w:t>
      </w:r>
    </w:p>
    <w:p>
      <w:pPr>
        <w:spacing w:after="0" w:line="208" w:lineRule="exact"/>
        <w:rPr>
          <w:rFonts w:ascii="Arial" w:cs="Arial" w:eastAsia="Arial" w:hAnsi="Arial"/>
          <w:sz w:val="22"/>
          <w:szCs w:val="22"/>
          <w:color w:val="auto"/>
        </w:rPr>
      </w:pPr>
    </w:p>
    <w:p>
      <w:pPr>
        <w:ind w:left="1500" w:right="120" w:firstLine="5"/>
        <w:spacing w:after="0" w:line="238" w:lineRule="auto"/>
        <w:tabs>
          <w:tab w:leader="none" w:pos="2039" w:val="left"/>
        </w:tabs>
        <w:numPr>
          <w:ilvl w:val="0"/>
          <w:numId w:val="39"/>
        </w:numPr>
        <w:rPr>
          <w:rFonts w:ascii="Arial" w:cs="Arial" w:eastAsia="Arial" w:hAnsi="Arial"/>
          <w:sz w:val="22"/>
          <w:szCs w:val="22"/>
          <w:color w:val="auto"/>
        </w:rPr>
      </w:pPr>
      <w:r>
        <w:rPr>
          <w:rFonts w:ascii="Arial" w:cs="Arial" w:eastAsia="Arial" w:hAnsi="Arial"/>
          <w:sz w:val="20"/>
          <w:szCs w:val="20"/>
          <w:color w:val="auto"/>
        </w:rPr>
        <w:t xml:space="preserve">the cumulative amount of cash and Cash Equivalent proceeds from the sale of Equity Interests of the Borrower or of any direct or indirect parent of the Borrower after the Restatement Effective Date to the extent Not Otherwise Applied, </w:t>
      </w:r>
      <w:r>
        <w:rPr>
          <w:rFonts w:ascii="Arial" w:cs="Arial" w:eastAsia="Arial" w:hAnsi="Arial"/>
          <w:sz w:val="20"/>
          <w:szCs w:val="20"/>
          <w:u w:val="single" w:color="auto"/>
          <w:color w:val="auto"/>
        </w:rPr>
        <w:t>plus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ind w:left="1500" w:firstLine="5"/>
        <w:spacing w:after="0" w:line="238" w:lineRule="auto"/>
        <w:tabs>
          <w:tab w:leader="none" w:pos="2039" w:val="left"/>
        </w:tabs>
        <w:numPr>
          <w:ilvl w:val="0"/>
          <w:numId w:val="40"/>
        </w:numPr>
        <w:rPr>
          <w:rFonts w:ascii="Arial" w:cs="Arial" w:eastAsia="Arial" w:hAnsi="Arial"/>
          <w:sz w:val="22"/>
          <w:szCs w:val="22"/>
          <w:color w:val="auto"/>
        </w:rPr>
      </w:pPr>
      <w:r>
        <w:rPr>
          <w:rFonts w:ascii="Arial" w:cs="Arial" w:eastAsia="Arial" w:hAnsi="Arial"/>
          <w:sz w:val="20"/>
          <w:szCs w:val="20"/>
          <w:color w:val="auto"/>
        </w:rPr>
        <w:t xml:space="preserve">the aggregate amount of Declined Proceeds at such time that have been retained by the Borrower in accordance with </w:t>
      </w:r>
      <w:r>
        <w:rPr>
          <w:rFonts w:ascii="Arial" w:cs="Arial" w:eastAsia="Arial" w:hAnsi="Arial"/>
          <w:sz w:val="20"/>
          <w:szCs w:val="20"/>
          <w:u w:val="single" w:color="auto"/>
          <w:color w:val="auto"/>
        </w:rPr>
        <w:t>Section 2.13(d)</w:t>
      </w:r>
      <w:r>
        <w:rPr>
          <w:rFonts w:ascii="Arial" w:cs="Arial" w:eastAsia="Arial" w:hAnsi="Arial"/>
          <w:sz w:val="20"/>
          <w:szCs w:val="20"/>
          <w:color w:val="auto"/>
        </w:rPr>
        <w:t xml:space="preserve">, </w:t>
      </w:r>
      <w:r>
        <w:rPr>
          <w:rFonts w:ascii="Arial" w:cs="Arial" w:eastAsia="Arial" w:hAnsi="Arial"/>
          <w:sz w:val="20"/>
          <w:szCs w:val="20"/>
          <w:u w:val="single" w:color="auto"/>
          <w:color w:val="auto"/>
        </w:rPr>
        <w:t>plus</w:t>
      </w:r>
    </w:p>
    <w:p>
      <w:pPr>
        <w:spacing w:after="0" w:line="209" w:lineRule="exact"/>
        <w:rPr>
          <w:rFonts w:ascii="Arial" w:cs="Arial" w:eastAsia="Arial" w:hAnsi="Arial"/>
          <w:sz w:val="22"/>
          <w:szCs w:val="22"/>
          <w:color w:val="auto"/>
        </w:rPr>
      </w:pPr>
    </w:p>
    <w:p>
      <w:pPr>
        <w:jc w:val="both"/>
        <w:ind w:left="1500" w:firstLine="5"/>
        <w:spacing w:after="0" w:line="274" w:lineRule="auto"/>
        <w:tabs>
          <w:tab w:leader="none" w:pos="2039" w:val="left"/>
        </w:tabs>
        <w:numPr>
          <w:ilvl w:val="0"/>
          <w:numId w:val="40"/>
        </w:numPr>
        <w:rPr>
          <w:rFonts w:ascii="Arial" w:cs="Arial" w:eastAsia="Arial" w:hAnsi="Arial"/>
          <w:sz w:val="19"/>
          <w:szCs w:val="19"/>
          <w:color w:val="auto"/>
        </w:rPr>
      </w:pPr>
      <w:r>
        <w:rPr>
          <w:rFonts w:ascii="Arial" w:cs="Arial" w:eastAsia="Arial" w:hAnsi="Arial"/>
          <w:sz w:val="18"/>
          <w:szCs w:val="18"/>
          <w:color w:val="auto"/>
        </w:rPr>
        <w:t xml:space="preserve">to the extent not already included in the Cumulative Retained Excess Cash Flow Amount, an amount equal to any returns in cash and Cash Equivalents (including dividends, interest, distributions, returns of principal, profits on sale, repayments, income and similar amounts) actually received by the Borrower or any Restricted Subsidiary after the Restatement Effective Date in respect of any Investments made pursuant to </w:t>
      </w:r>
      <w:r>
        <w:rPr>
          <w:rFonts w:ascii="Arial" w:cs="Arial" w:eastAsia="Arial" w:hAnsi="Arial"/>
          <w:sz w:val="18"/>
          <w:szCs w:val="18"/>
          <w:u w:val="single" w:color="auto"/>
          <w:color w:val="auto"/>
        </w:rPr>
        <w:t>Section 7.02(p)(y)</w:t>
      </w:r>
      <w:r>
        <w:rPr>
          <w:rFonts w:ascii="Arial" w:cs="Arial" w:eastAsia="Arial" w:hAnsi="Arial"/>
          <w:sz w:val="18"/>
          <w:szCs w:val="18"/>
          <w:color w:val="auto"/>
        </w:rPr>
        <w:t xml:space="preserve">,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each case that such amount does not exceed the amount of the original Investment made pursuant to </w:t>
      </w:r>
      <w:r>
        <w:rPr>
          <w:rFonts w:ascii="Arial" w:cs="Arial" w:eastAsia="Arial" w:hAnsi="Arial"/>
          <w:sz w:val="18"/>
          <w:szCs w:val="18"/>
          <w:u w:val="single" w:color="auto"/>
          <w:color w:val="auto"/>
        </w:rPr>
        <w:t>Section 7.02(p)(y)</w:t>
      </w:r>
      <w:r>
        <w:rPr>
          <w:rFonts w:ascii="Arial" w:cs="Arial" w:eastAsia="Arial" w:hAnsi="Arial"/>
          <w:sz w:val="18"/>
          <w:szCs w:val="18"/>
          <w:color w:val="auto"/>
        </w:rPr>
        <w:t xml:space="preserve">; </w:t>
      </w:r>
      <w:r>
        <w:rPr>
          <w:rFonts w:ascii="Arial" w:cs="Arial" w:eastAsia="Arial" w:hAnsi="Arial"/>
          <w:sz w:val="18"/>
          <w:szCs w:val="18"/>
          <w:u w:val="single" w:color="auto"/>
          <w:color w:val="auto"/>
        </w:rPr>
        <w:t>minus</w:t>
      </w:r>
    </w:p>
    <w:p>
      <w:pPr>
        <w:spacing w:after="0" w:line="182" w:lineRule="exact"/>
        <w:rPr>
          <w:rFonts w:ascii="Arial" w:cs="Arial" w:eastAsia="Arial" w:hAnsi="Arial"/>
          <w:sz w:val="19"/>
          <w:szCs w:val="19"/>
          <w:color w:val="auto"/>
        </w:rPr>
      </w:pPr>
    </w:p>
    <w:p>
      <w:pPr>
        <w:ind w:left="1500" w:firstLine="5"/>
        <w:spacing w:after="0" w:line="238" w:lineRule="auto"/>
        <w:tabs>
          <w:tab w:leader="none" w:pos="2039" w:val="left"/>
        </w:tabs>
        <w:numPr>
          <w:ilvl w:val="0"/>
          <w:numId w:val="40"/>
        </w:numPr>
        <w:rPr>
          <w:rFonts w:ascii="Arial" w:cs="Arial" w:eastAsia="Arial" w:hAnsi="Arial"/>
          <w:sz w:val="22"/>
          <w:szCs w:val="22"/>
          <w:color w:val="auto"/>
        </w:rPr>
      </w:pPr>
      <w:r>
        <w:rPr>
          <w:rFonts w:ascii="Arial" w:cs="Arial" w:eastAsia="Arial" w:hAnsi="Arial"/>
          <w:sz w:val="20"/>
          <w:szCs w:val="20"/>
          <w:color w:val="auto"/>
        </w:rPr>
        <w:t xml:space="preserve">any amount of the Cumulative Credit used to make Investments pursuant to </w:t>
      </w:r>
      <w:r>
        <w:rPr>
          <w:rFonts w:ascii="Arial" w:cs="Arial" w:eastAsia="Arial" w:hAnsi="Arial"/>
          <w:sz w:val="20"/>
          <w:szCs w:val="20"/>
          <w:u w:val="single" w:color="auto"/>
          <w:color w:val="auto"/>
        </w:rPr>
        <w:t>Section 7.02(p)(y)</w:t>
      </w:r>
      <w:r>
        <w:rPr>
          <w:rFonts w:ascii="Arial" w:cs="Arial" w:eastAsia="Arial" w:hAnsi="Arial"/>
          <w:sz w:val="20"/>
          <w:szCs w:val="20"/>
          <w:color w:val="auto"/>
        </w:rPr>
        <w:t xml:space="preserve"> after the Restatement Effective Date and prior to such time, </w:t>
      </w:r>
      <w:r>
        <w:rPr>
          <w:rFonts w:ascii="Arial" w:cs="Arial" w:eastAsia="Arial" w:hAnsi="Arial"/>
          <w:sz w:val="20"/>
          <w:szCs w:val="20"/>
          <w:u w:val="single" w:color="auto"/>
          <w:color w:val="auto"/>
        </w:rPr>
        <w:t>minus</w:t>
      </w:r>
    </w:p>
    <w:p>
      <w:pPr>
        <w:spacing w:after="0" w:line="209" w:lineRule="exact"/>
        <w:rPr>
          <w:rFonts w:ascii="Arial" w:cs="Arial" w:eastAsia="Arial" w:hAnsi="Arial"/>
          <w:sz w:val="22"/>
          <w:szCs w:val="22"/>
          <w:color w:val="auto"/>
        </w:rPr>
      </w:pPr>
    </w:p>
    <w:p>
      <w:pPr>
        <w:ind w:left="1500" w:firstLine="5"/>
        <w:spacing w:after="0" w:line="303" w:lineRule="auto"/>
        <w:tabs>
          <w:tab w:leader="none" w:pos="2039" w:val="left"/>
        </w:tabs>
        <w:numPr>
          <w:ilvl w:val="0"/>
          <w:numId w:val="40"/>
        </w:numPr>
        <w:rPr>
          <w:rFonts w:ascii="Arial" w:cs="Arial" w:eastAsia="Arial" w:hAnsi="Arial"/>
          <w:sz w:val="19"/>
          <w:szCs w:val="19"/>
          <w:color w:val="auto"/>
        </w:rPr>
      </w:pPr>
      <w:r>
        <w:rPr>
          <w:rFonts w:ascii="Arial" w:cs="Arial" w:eastAsia="Arial" w:hAnsi="Arial"/>
          <w:sz w:val="18"/>
          <w:szCs w:val="18"/>
          <w:color w:val="auto"/>
        </w:rPr>
        <w:t xml:space="preserve">any amount of the Cumulative Credit used to pay dividends or make distributions or other Restricted Payments pursuant to </w:t>
      </w:r>
      <w:r>
        <w:rPr>
          <w:rFonts w:ascii="Arial" w:cs="Arial" w:eastAsia="Arial" w:hAnsi="Arial"/>
          <w:sz w:val="18"/>
          <w:szCs w:val="18"/>
          <w:u w:val="single" w:color="auto"/>
          <w:color w:val="auto"/>
        </w:rPr>
        <w:t>Section 7.06(d)(ii)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7.06(e)(y)</w:t>
      </w:r>
      <w:r>
        <w:rPr>
          <w:rFonts w:ascii="Arial" w:cs="Arial" w:eastAsia="Arial" w:hAnsi="Arial"/>
          <w:sz w:val="18"/>
          <w:szCs w:val="18"/>
          <w:color w:val="auto"/>
        </w:rPr>
        <w:t xml:space="preserve"> after the Restatement Effective Date and prior to such time, </w:t>
      </w:r>
      <w:r>
        <w:rPr>
          <w:rFonts w:ascii="Arial" w:cs="Arial" w:eastAsia="Arial" w:hAnsi="Arial"/>
          <w:sz w:val="18"/>
          <w:szCs w:val="18"/>
          <w:u w:val="single" w:color="auto"/>
          <w:color w:val="auto"/>
        </w:rPr>
        <w:t>minus</w:t>
      </w:r>
    </w:p>
    <w:p>
      <w:pPr>
        <w:spacing w:after="0" w:line="151" w:lineRule="exact"/>
        <w:rPr>
          <w:rFonts w:ascii="Arial" w:cs="Arial" w:eastAsia="Arial" w:hAnsi="Arial"/>
          <w:sz w:val="19"/>
          <w:szCs w:val="19"/>
          <w:color w:val="auto"/>
        </w:rPr>
      </w:pPr>
    </w:p>
    <w:p>
      <w:pPr>
        <w:jc w:val="both"/>
        <w:ind w:left="1500" w:firstLine="5"/>
        <w:spacing w:after="0" w:line="238" w:lineRule="auto"/>
        <w:tabs>
          <w:tab w:leader="none" w:pos="2039" w:val="left"/>
        </w:tabs>
        <w:numPr>
          <w:ilvl w:val="0"/>
          <w:numId w:val="40"/>
        </w:numPr>
        <w:rPr>
          <w:rFonts w:ascii="Arial" w:cs="Arial" w:eastAsia="Arial" w:hAnsi="Arial"/>
          <w:sz w:val="22"/>
          <w:szCs w:val="22"/>
          <w:color w:val="auto"/>
        </w:rPr>
      </w:pPr>
      <w:r>
        <w:rPr>
          <w:rFonts w:ascii="Arial" w:cs="Arial" w:eastAsia="Arial" w:hAnsi="Arial"/>
          <w:sz w:val="20"/>
          <w:szCs w:val="20"/>
          <w:color w:val="auto"/>
        </w:rPr>
        <w:t xml:space="preserve">any amount of the Cumulative Credit used to make payments or distributions in respect of Permitted Additional Debt or Junior Financing (or any Permitted Refinancing thereof) pursuant to </w:t>
      </w:r>
      <w:r>
        <w:rPr>
          <w:rFonts w:ascii="Arial" w:cs="Arial" w:eastAsia="Arial" w:hAnsi="Arial"/>
          <w:sz w:val="20"/>
          <w:szCs w:val="20"/>
          <w:u w:val="single" w:color="auto"/>
          <w:color w:val="auto"/>
        </w:rPr>
        <w:t>Section 7.13(a)(vi)</w:t>
      </w:r>
      <w:r>
        <w:rPr>
          <w:rFonts w:ascii="Arial" w:cs="Arial" w:eastAsia="Arial" w:hAnsi="Arial"/>
          <w:sz w:val="20"/>
          <w:szCs w:val="20"/>
          <w:color w:val="auto"/>
        </w:rPr>
        <w:t xml:space="preserve"> after the Restatement Effective Date and prior to such time.</w:t>
      </w:r>
    </w:p>
    <w:p>
      <w:pPr>
        <w:spacing w:after="0" w:line="19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Notwithstanding anything to the contrary in this Agreement, during the Specified Amendment No. 1 Period and from and after the Amendment No. 3 Effective Date, the Cumulative Credit shall be unavailable for use under this Agreement and shall be disregarded in any calculation of or reference to any other term or provision herein.</w:t>
      </w:r>
    </w:p>
    <w:p>
      <w:pPr>
        <w:spacing w:after="0" w:line="180"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Cumulative Retained Excess Cash Flow Amount</w:t>
      </w:r>
      <w:r>
        <w:rPr>
          <w:rFonts w:ascii="Arial" w:cs="Arial" w:eastAsia="Arial" w:hAnsi="Arial"/>
          <w:sz w:val="19"/>
          <w:szCs w:val="19"/>
          <w:color w:val="auto"/>
        </w:rPr>
        <w:t xml:space="preserve">” shall mean, at any date, an amount, not less than zero in any fiscal year, determined on a cumulative basis equal to the aggregate cumulative sum of the Retained Percentage of Excess Cash Flow for all Excess Cash Flow Periods ending after the Restatement Effective Date and prior to such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purposes of </w:t>
      </w:r>
      <w:r>
        <w:rPr>
          <w:rFonts w:ascii="Arial" w:cs="Arial" w:eastAsia="Arial" w:hAnsi="Arial"/>
          <w:sz w:val="19"/>
          <w:szCs w:val="19"/>
          <w:u w:val="single" w:color="auto"/>
          <w:color w:val="auto"/>
        </w:rPr>
        <w:t>Section 7.06(e)(y)</w:t>
      </w:r>
      <w:r>
        <w:rPr>
          <w:rFonts w:ascii="Arial" w:cs="Arial" w:eastAsia="Arial" w:hAnsi="Arial"/>
          <w:sz w:val="19"/>
          <w:szCs w:val="19"/>
          <w:color w:val="auto"/>
        </w:rPr>
        <w:t xml:space="preserve"> , (a) the Cumulative Retained Excess Cash Flow Amount shall only be available if the Total Leverage Ratio at the time of the making of such Investment, Restricted Payment or prepayment, redemption, purchase, defeasance or other payment, as the case may be, calculated on a Pro Forma Basis, is less than or equal to 3.75 to 1.00 and (b) the Cumulative Retained Excess Cash Flow Amount shall be reduced by the amount of Excess Cash Flow attributable to Foreign Subsidiaries to the extent and for so long as such Excess Cash Flow is excluded from Excess Cash Flow prepayments pursuant to </w:t>
      </w:r>
      <w:r>
        <w:rPr>
          <w:rFonts w:ascii="Arial" w:cs="Arial" w:eastAsia="Arial" w:hAnsi="Arial"/>
          <w:sz w:val="19"/>
          <w:szCs w:val="19"/>
          <w:u w:val="single" w:color="auto"/>
          <w:color w:val="auto"/>
        </w:rPr>
        <w:t>Section 2.13(f)</w:t>
      </w:r>
      <w:r>
        <w:rPr>
          <w:rFonts w:ascii="Arial" w:cs="Arial" w:eastAsia="Arial" w:hAnsi="Arial"/>
          <w:sz w:val="19"/>
          <w:szCs w:val="19"/>
          <w:color w:val="auto"/>
        </w:rPr>
        <w:t>.</w:t>
      </w:r>
    </w:p>
    <w:p>
      <w:pPr>
        <w:spacing w:after="0" w:line="17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Current Assets</w:t>
      </w:r>
      <w:r>
        <w:rPr>
          <w:rFonts w:ascii="Arial" w:cs="Arial" w:eastAsia="Arial" w:hAnsi="Arial"/>
          <w:sz w:val="20"/>
          <w:szCs w:val="20"/>
          <w:color w:val="auto"/>
        </w:rPr>
        <w:t>” shall mean, with respect to the Borrower and the Restricted Subsidiaries on a consolidated basis at any date of determination, all assets that would, in accordance with GAAP, be classified on a consolidated balance sheet of the Borrower and its Restricted Subsidiaries as current assets at such date of determination, other than (a) cash and Cash Equivalents, (b) amounts related to current or deferred Taxes based on income or profits, (c) assets held for sale, (d) loans (permitted) to third parties, (e) pension assets, (f) deferred bank fees, and (g) derivative financial instruments.</w:t>
      </w:r>
    </w:p>
    <w:p>
      <w:pPr>
        <w:spacing w:after="0" w:line="185"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Current Liabilities</w:t>
      </w:r>
      <w:r>
        <w:rPr>
          <w:rFonts w:ascii="Arial" w:cs="Arial" w:eastAsia="Arial" w:hAnsi="Arial"/>
          <w:sz w:val="19"/>
          <w:szCs w:val="19"/>
          <w:color w:val="auto"/>
        </w:rPr>
        <w:t>” shall mean, with respect to the Borrower and the Restricted Subsidiaries on a consolidated basis at any date of determination, all liabilities that would, in accordance with GAAP, be classified on a consolidated balance sheet of the Borrower and its Restricted Subsidiaries as current liabilities at such date of determination, other than, without duplication (and to the extent otherwise included therein) (a) the current portion of any Indebtedness, (b) accruals of interest expense (excluding interest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54" w:name="page55"/>
    <w:bookmarkEnd w:id="54"/>
    <w:p>
      <w:pPr>
        <w:jc w:val="both"/>
        <w:spacing w:after="0" w:line="250" w:lineRule="auto"/>
        <w:rPr>
          <w:sz w:val="20"/>
          <w:szCs w:val="20"/>
          <w:color w:val="auto"/>
        </w:rPr>
      </w:pPr>
      <w:r>
        <w:rPr>
          <w:rFonts w:ascii="Arial" w:cs="Arial" w:eastAsia="Arial" w:hAnsi="Arial"/>
          <w:sz w:val="20"/>
          <w:szCs w:val="20"/>
          <w:color w:val="auto"/>
        </w:rPr>
        <w:t>expense that is past due and unpaid), (c) accruals for current or deferred Taxes based on income or profits, (d) accruals of any costs or expenses related to restructuring reserves, (e) the current portion of pension liabilities and (f) revolving loans, swing line loans and letter of credit obligations under the ABL Facility or any other revolving credit facility.</w:t>
      </w:r>
    </w:p>
    <w:p>
      <w:pPr>
        <w:spacing w:after="0" w:line="18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Custodial Administration Agreement”</w:t>
      </w:r>
      <w:r>
        <w:rPr>
          <w:rFonts w:ascii="Arial" w:cs="Arial" w:eastAsia="Arial" w:hAnsi="Arial"/>
          <w:sz w:val="19"/>
          <w:szCs w:val="19"/>
          <w:color w:val="auto"/>
        </w:rPr>
        <w:t xml:space="preserve"> shall mean the Amended and Restated Custodial Administration Agreement, dated as of the Restatement Effective Date, by and among the Borrower, the Subsidiaries from time to time parties thereto, VINtek, Inc., as custodial administrator, the Collateral Agent, as administrative and collateral agent for the benefit of the Secured Parties, the ABL Agent, as administrative and collateral agent for the benefit of the ABL Secured Parties, the UST Tranche A Agent, as administrative and collateral agent for the benefit of the UST Tranche A Secured Parties, the UST Tranche B Agent, as administrative and collateral agent for the benefit of the UST Tranche B Secured Parties and the Collateral Agent, as collateral agent for the benefit of the Secured Parties, the UST Tranche A Secured Parties, the UST Tranche B Secured Parties and the ABL Secured Parties.</w:t>
      </w:r>
    </w:p>
    <w:p>
      <w:pPr>
        <w:spacing w:after="0" w:line="172"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Simple SOFR</w:t>
      </w:r>
      <w:r>
        <w:rPr>
          <w:rFonts w:ascii="Arial" w:cs="Arial" w:eastAsia="Arial" w:hAnsi="Arial"/>
          <w:sz w:val="18"/>
          <w:szCs w:val="18"/>
          <w:color w:val="auto"/>
        </w:rPr>
        <w:t>” shall mean, for any day, SOFR, with the conventions for this rate (which will include a lookback) being established by the Administrative Agent acting at the direction of the Required Lenders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 in consultation with the Borrower.</w:t>
      </w:r>
    </w:p>
    <w:p>
      <w:pPr>
        <w:spacing w:after="0" w:line="156"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shall mean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Declined Proceeds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2.13(d)</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Default</w:t>
      </w:r>
      <w:r>
        <w:rPr>
          <w:rFonts w:ascii="Arial" w:cs="Arial" w:eastAsia="Arial" w:hAnsi="Arial"/>
          <w:sz w:val="20"/>
          <w:szCs w:val="20"/>
          <w:color w:val="auto"/>
        </w:rPr>
        <w:t>” shall mean any event or condition that constitutes an Event of Default or that, with the giving of any notice, the passage of any grace period, or both, without cure or waiver hereunder, would be an Event of Default.</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Deposit Account</w:t>
      </w:r>
      <w:r>
        <w:rPr>
          <w:rFonts w:ascii="Arial" w:cs="Arial" w:eastAsia="Arial" w:hAnsi="Arial"/>
          <w:sz w:val="20"/>
          <w:szCs w:val="20"/>
          <w:color w:val="auto"/>
        </w:rPr>
        <w:t>” means a demand, time, savings, passbook or like account with a bank, savings and loan association, credit union or like organization, other than an account evidenced by a negotiable certificate of deposit.</w:t>
      </w:r>
    </w:p>
    <w:p>
      <w:pPr>
        <w:spacing w:after="0" w:line="16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Disposition</w:t>
      </w:r>
      <w:r>
        <w:rPr>
          <w:rFonts w:ascii="Arial" w:cs="Arial" w:eastAsia="Arial" w:hAnsi="Arial"/>
          <w:sz w:val="20"/>
          <w:szCs w:val="20"/>
          <w:color w:val="auto"/>
        </w:rPr>
        <w:t>” or “</w:t>
      </w:r>
      <w:r>
        <w:rPr>
          <w:rFonts w:ascii="Arial" w:cs="Arial" w:eastAsia="Arial" w:hAnsi="Arial"/>
          <w:sz w:val="20"/>
          <w:szCs w:val="20"/>
          <w:b w:val="1"/>
          <w:bCs w:val="1"/>
          <w:color w:val="auto"/>
        </w:rPr>
        <w:t>Dispose</w:t>
      </w:r>
      <w:r>
        <w:rPr>
          <w:rFonts w:ascii="Arial" w:cs="Arial" w:eastAsia="Arial" w:hAnsi="Arial"/>
          <w:sz w:val="20"/>
          <w:szCs w:val="20"/>
          <w:color w:val="auto"/>
        </w:rPr>
        <w:t>” shall mean the sale, transfer, license, lease or other disposition (including any sale and leaseback transaction and any sale or issuance of Equity Interests in a Restricted Subsidiary) of any property by any Person, including any sale, assignment, transfer or other disposal, with or without recourse, of any notes or accounts receivable or any rights and claims associated therewith.</w:t>
      </w:r>
    </w:p>
    <w:p>
      <w:pPr>
        <w:spacing w:after="0" w:line="183"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Disqualified Equity Interests</w:t>
      </w:r>
      <w:r>
        <w:rPr>
          <w:rFonts w:ascii="Arial" w:cs="Arial" w:eastAsia="Arial" w:hAnsi="Arial"/>
          <w:sz w:val="20"/>
          <w:szCs w:val="20"/>
          <w:color w:val="auto"/>
        </w:rPr>
        <w:t>” shall mean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(b) is redeemable at the option of the holder thereof (other than solely for Qualified Equity Interests), in whole or in part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(c) provides for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5" w:name="page56"/>
    <w:bookmarkEnd w:id="55"/>
    <w:p>
      <w:pPr>
        <w:jc w:val="both"/>
        <w:spacing w:after="0" w:line="276" w:lineRule="auto"/>
        <w:rPr>
          <w:sz w:val="20"/>
          <w:szCs w:val="20"/>
          <w:color w:val="auto"/>
        </w:rPr>
      </w:pPr>
      <w:r>
        <w:rPr>
          <w:rFonts w:ascii="Arial" w:cs="Arial" w:eastAsia="Arial" w:hAnsi="Arial"/>
          <w:sz w:val="18"/>
          <w:szCs w:val="18"/>
          <w:color w:val="auto"/>
        </w:rPr>
        <w:t xml:space="preserve">scheduled payments of dividends in cash, or (d) is or becomes convertible into or exchangeable for Indebtedness or any other Equity Interests that would constitute Disqualified Equity Interests, in each case, prior to the date that is ninety-one (91) days after the then Latest Maturity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Equity Interests are issued pursuant to, or in accordance with a plan for the benefit of employees of the Borrower or the Restricted Subsidiaries or by any such plan to such employees, such Equity Interests shall not constitute Disqualified Equity Interests solely because they may be required to be repurchased by the Borrower or its Restricted Subsidiaries in order to satisfy applicable statutory or regulatory obligations or as a result of such employee’s termination, death or disability.</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Dollars</w:t>
      </w:r>
      <w:r>
        <w:rPr>
          <w:rFonts w:ascii="Arial" w:cs="Arial" w:eastAsia="Arial" w:hAnsi="Arial"/>
          <w:sz w:val="20"/>
          <w:szCs w:val="20"/>
          <w:color w:val="auto"/>
        </w:rPr>
        <w:t>” or “</w:t>
      </w:r>
      <w:r>
        <w:rPr>
          <w:rFonts w:ascii="Arial" w:cs="Arial" w:eastAsia="Arial" w:hAnsi="Arial"/>
          <w:sz w:val="20"/>
          <w:szCs w:val="20"/>
          <w:b w:val="1"/>
          <w:bCs w:val="1"/>
          <w:color w:val="auto"/>
        </w:rPr>
        <w:t>$</w:t>
      </w:r>
      <w:r>
        <w:rPr>
          <w:rFonts w:ascii="Arial" w:cs="Arial" w:eastAsia="Arial" w:hAnsi="Arial"/>
          <w:sz w:val="20"/>
          <w:szCs w:val="20"/>
          <w:color w:val="auto"/>
        </w:rPr>
        <w:t>” shall mean lawful money of the United States of America.</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Domestic Subsidiary</w:t>
      </w:r>
      <w:r>
        <w:rPr>
          <w:rFonts w:ascii="Arial" w:cs="Arial" w:eastAsia="Arial" w:hAnsi="Arial"/>
          <w:sz w:val="20"/>
          <w:szCs w:val="20"/>
          <w:color w:val="auto"/>
        </w:rPr>
        <w:t>” shall mean any Subsidiary that is organized under the Laws of the United States, any state thereof or the District of Columbia.</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Dutch Auction</w:t>
      </w:r>
      <w:r>
        <w:rPr>
          <w:rFonts w:ascii="Arial" w:cs="Arial" w:eastAsia="Arial" w:hAnsi="Arial"/>
          <w:sz w:val="20"/>
          <w:szCs w:val="20"/>
          <w:color w:val="auto"/>
        </w:rPr>
        <w:t xml:space="preserve">” shall mean an auction conducted by the Borrower in order to purchase Term Loans as contemplated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10.04(k)</w:t>
      </w:r>
      <w:r>
        <w:rPr>
          <w:rFonts w:ascii="Arial" w:cs="Arial" w:eastAsia="Arial" w:hAnsi="Arial"/>
          <w:sz w:val="20"/>
          <w:szCs w:val="20"/>
          <w:color w:val="auto"/>
        </w:rPr>
        <w:t xml:space="preserve">, in accordance in all material respects with the procedures set forth in </w:t>
      </w:r>
      <w:r>
        <w:rPr>
          <w:rFonts w:ascii="Arial" w:cs="Arial" w:eastAsia="Arial" w:hAnsi="Arial"/>
          <w:sz w:val="20"/>
          <w:szCs w:val="20"/>
          <w:u w:val="single" w:color="auto"/>
          <w:color w:val="auto"/>
        </w:rPr>
        <w:t>Exhibit K</w:t>
      </w:r>
      <w:r>
        <w:rPr>
          <w:rFonts w:ascii="Arial" w:cs="Arial" w:eastAsia="Arial" w:hAnsi="Arial"/>
          <w:sz w:val="20"/>
          <w:szCs w:val="20"/>
          <w:color w:val="auto"/>
        </w:rPr>
        <w:t>.</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Dutch Subsidiary</w:t>
      </w:r>
      <w:r>
        <w:rPr>
          <w:rFonts w:ascii="Arial" w:cs="Arial" w:eastAsia="Arial" w:hAnsi="Arial"/>
          <w:sz w:val="19"/>
          <w:szCs w:val="19"/>
          <w:color w:val="auto"/>
        </w:rPr>
        <w:t>” shall mean any Subsidiary that is organized under the Laws of the Netherlands or any state or province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19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Eligible Assignee</w:t>
      </w:r>
      <w:r>
        <w:rPr>
          <w:rFonts w:ascii="Arial" w:cs="Arial" w:eastAsia="Arial" w:hAnsi="Arial"/>
          <w:sz w:val="20"/>
          <w:szCs w:val="20"/>
          <w:color w:val="auto"/>
        </w:rPr>
        <w:t xml:space="preserve">” shall mean (i) a Lender, (ii) an Affiliate of a Lender, (iii) a Related Fund of a Lender, and (iv) any other Person (other than a natural person) approved by the Administrative Agent;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notwithstanding the foregoing, “</w:t>
      </w:r>
      <w:r>
        <w:rPr>
          <w:rFonts w:ascii="Arial" w:cs="Arial" w:eastAsia="Arial" w:hAnsi="Arial"/>
          <w:sz w:val="20"/>
          <w:szCs w:val="20"/>
          <w:b w:val="1"/>
          <w:bCs w:val="1"/>
          <w:color w:val="auto"/>
        </w:rPr>
        <w:t>Eligible Assignee</w:t>
      </w:r>
      <w:r>
        <w:rPr>
          <w:rFonts w:ascii="Arial" w:cs="Arial" w:eastAsia="Arial" w:hAnsi="Arial"/>
          <w:sz w:val="20"/>
          <w:szCs w:val="20"/>
          <w:color w:val="auto"/>
        </w:rPr>
        <w:t xml:space="preserve">” shall not include the Borrower or any other Controlled Affiliate of the Borrower (it being understood that assignments to the Borrower may only be made pursuant to </w:t>
      </w:r>
      <w:r>
        <w:rPr>
          <w:rFonts w:ascii="Arial" w:cs="Arial" w:eastAsia="Arial" w:hAnsi="Arial"/>
          <w:sz w:val="20"/>
          <w:szCs w:val="20"/>
          <w:u w:val="single" w:color="auto"/>
          <w:color w:val="auto"/>
        </w:rPr>
        <w:t>Section 10.04(k)</w:t>
      </w:r>
      <w:r>
        <w:rPr>
          <w:rFonts w:ascii="Arial" w:cs="Arial" w:eastAsia="Arial" w:hAnsi="Arial"/>
          <w:sz w:val="20"/>
          <w:szCs w:val="20"/>
          <w:color w:val="auto"/>
        </w:rPr>
        <w:t>).</w:t>
      </w:r>
    </w:p>
    <w:p>
      <w:pPr>
        <w:spacing w:after="0" w:line="18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Laws</w:t>
      </w:r>
      <w:r>
        <w:rPr>
          <w:rFonts w:ascii="Arial" w:cs="Arial" w:eastAsia="Arial" w:hAnsi="Arial"/>
          <w:sz w:val="20"/>
          <w:szCs w:val="20"/>
          <w:color w:val="auto"/>
        </w:rPr>
        <w:t>” shall mean all federal, state, local and foreign laws (including common law), treaties, regulations, rules, ordinances, codes, decrees, judgments, directives, orders (including consent orders), and agreements in each case, relating to protection of the environment, natural resources, human health and safety (with respect to exposure to hazardous or toxic substances or wastes) or the presence, Release of, or exposure to, hazardous or toxic substances or wastes, or the generation, manufacture, processing, distribution, use, treatment, storage, transport, recycling or handling of, or the arrangement for such activities with respect to, hazardous or toxic substances or wastes.</w:t>
      </w:r>
    </w:p>
    <w:p>
      <w:pPr>
        <w:spacing w:after="0" w:line="18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Liability</w:t>
      </w:r>
      <w:r>
        <w:rPr>
          <w:rFonts w:ascii="Arial" w:cs="Arial" w:eastAsia="Arial" w:hAnsi="Arial"/>
          <w:sz w:val="19"/>
          <w:szCs w:val="19"/>
          <w:color w:val="auto"/>
        </w:rPr>
        <w:t>” shall mean all liabilities, obligations, damages, losses, claims, actions, suits, judgments, orders, fines, penalties, fees, expenses and costs (including administrative oversight costs, capital and operating costs, injunctive relief, costs associated with financial assurance, permitting or closure requirements, natural resource damages and investigation or remediation costs), whether contingent or otherwise, arising out of or relating to (a) compliance or non-compliance with any Environmental Law, (b) the generation, use, handling, transportation, storage, treatment or disposal of any Hazardous Materials, (c) exposure to any Hazardous Materials, (d) the Release of any Hazardous Materials or (e) any contract, agreement or other consensual arrangement pursuant to which liability is assumed or imposed with respect to any of the foregoing.</w:t>
      </w:r>
    </w:p>
    <w:p>
      <w:pPr>
        <w:spacing w:after="0" w:line="172"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Permit</w:t>
      </w:r>
      <w:r>
        <w:rPr>
          <w:rFonts w:ascii="Arial" w:cs="Arial" w:eastAsia="Arial" w:hAnsi="Arial"/>
          <w:sz w:val="20"/>
          <w:szCs w:val="20"/>
          <w:color w:val="auto"/>
        </w:rPr>
        <w:t>” means any permit, approval, identification number, license or other authorization required under any Environmental Law.</w:t>
      </w:r>
    </w:p>
    <w:p>
      <w:pPr>
        <w:spacing w:after="0" w:line="16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Equity Interests</w:t>
      </w:r>
      <w:r>
        <w:rPr>
          <w:rFonts w:ascii="Arial" w:cs="Arial" w:eastAsia="Arial" w:hAnsi="Arial"/>
          <w:sz w:val="20"/>
          <w:szCs w:val="20"/>
          <w:color w:val="auto"/>
        </w:rPr>
        <w:t>” shall mean, with respect to any Person, all of the shares, interests, rights, participations or other equivalents (however designated) of capital stock of (or other ownership or profit interests or units in) such Person and all of the warrants, options or other rights for the purchase, acquisition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6" w:name="page57"/>
    <w:bookmarkEnd w:id="56"/>
    <w:p>
      <w:pPr>
        <w:jc w:val="both"/>
        <w:spacing w:after="0" w:line="260" w:lineRule="auto"/>
        <w:rPr>
          <w:sz w:val="20"/>
          <w:szCs w:val="20"/>
          <w:color w:val="auto"/>
        </w:rPr>
      </w:pPr>
      <w:r>
        <w:rPr>
          <w:rFonts w:ascii="Arial" w:cs="Arial" w:eastAsia="Arial" w:hAnsi="Arial"/>
          <w:sz w:val="20"/>
          <w:szCs w:val="20"/>
          <w:color w:val="auto"/>
        </w:rPr>
        <w:t>or exchange from such Person of any of the foregoing (including through convertible securities) but excluding in each case any debt security that is convertible into, or exchanged for, Equity Interests.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w:t>
      </w:r>
      <w:r>
        <w:rPr>
          <w:rFonts w:ascii="Arial" w:cs="Arial" w:eastAsia="Arial" w:hAnsi="Arial"/>
          <w:sz w:val="20"/>
          <w:szCs w:val="20"/>
          <w:color w:val="auto"/>
        </w:rPr>
        <w:t>” shall mean the Employee Retirement Income Security Act of 1974, as amended from time to time.</w:t>
      </w:r>
    </w:p>
    <w:p>
      <w:pPr>
        <w:spacing w:after="0" w:line="21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 Affiliate</w:t>
      </w:r>
      <w:r>
        <w:rPr>
          <w:rFonts w:ascii="Arial" w:cs="Arial" w:eastAsia="Arial" w:hAnsi="Arial"/>
          <w:sz w:val="20"/>
          <w:szCs w:val="20"/>
          <w:color w:val="auto"/>
        </w:rPr>
        <w:t>” shall mean any Person, any trade or business (whether or not incorporated) that, together with a Loan Party or any Restricted Subsidiary, is or, within the six year period immediately preceding the Original Closing Date, was treated as a single employer under Section 414(b) or (c) of the Code, or, solely for purposes of Section 302 of ERISA and Section 412 of the Code, is treated as a single employer under Section 414 of the Code.</w:t>
      </w:r>
    </w:p>
    <w:p>
      <w:pPr>
        <w:spacing w:after="0" w:line="18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Event</w:t>
      </w:r>
      <w:r>
        <w:rPr>
          <w:rFonts w:ascii="Arial" w:cs="Arial" w:eastAsia="Arial" w:hAnsi="Arial"/>
          <w:sz w:val="18"/>
          <w:szCs w:val="18"/>
          <w:color w:val="auto"/>
        </w:rPr>
        <w:t>” shall mean (a) a Reportable Event; (b) the failure to satisfy the minimum funding standard with respect to a Plan within the meaning of Sections 412 or 430 of the Code or Sections 302 or 303 of ERISA, whether or not waived (unless such failure is corrected by the final due date for the plan year for which such failure occurred), (c) a determination that a Plan is, or is expected to be, in “at risk” status (as defined in Section 303(i)(4) of ERISA or Section 430(i)(4) of the Code); (d) the receipt by a Loan Party, any Restricted Subsidiary or any of their respective ERISA Affiliates of notice pursuant to Section 305(b)(3)(D) of ERISA that a Multiemployer Plan is or will be in “endangered status” or “critical status” (as defined in Section 305(b) of ERISA), or is, or is expected to be, “insolvent” (within the meaning of Section 4245 of ERISA); (e) the filing pursuant to Section 431 of the Code or Section 304 of ERISA of an application for the extension of any amortization period; (f) the failure to timely make a contribution required to be made with respect to any Plan or Multiemployer Plan; (g) the filing of a notice to terminate any Plan if such termination would require material additional contributions in order to be considered a standard termination within the meaning of Section 4041(b) of ERISA; (h) the filing under Section 4041(c) of ERISA of a notice of intent to terminate any Plan or the termination of any Plan under Section 4041(c) of ERISA; (i) the filing pursuant to Section 412(c) of the Code or Section 302(c) of ERISA of an application for a waiver of the minimum funding standard with respect to any Plan; (j) the incurrence by a Loan Party, any Restricted Subsidiary or any of their respective ERISA Affiliates of any liability under Title IV of ERISA with respect to the termination of any Plan; (k) the receipt by a Loan Party, any Restricted Subsidiary or any of their respective ERISA Affiliates from the PBGC or a plan administrator of any notice of an intention to terminate any Plan or Plans or to appoint a trustee to administer any Plan under Section 4042 of ERISA; (l) the receipt by a Loan Party, any Restricted Subsidiary or any of their respective ERISA Affiliates of any notice, or the receipt by any Multiemployer Plan from a Loan Party, any Restricted Subsidiary or any of their respective ERISA Affiliates of any notice, concerning the imposition of Withdrawal Liability; (m) the occurrence of any event or condition that would reasonably be expected to result in the termination of a Plan or the appointment of a trustee to administer a Plan; (o) the occurrence of a nonexempt prohibited transaction (within the meaning of Section 406 of ERISA or Section 4975 of the Code) with respect to any Plan which could result in liability to a Loan Party or any Restricted Subsidiary or with respect to which a Loan Party or any Restricted Subsidiary is a “disqualified person” (as defined in Section 4975 of the Code) or a “party in interest” (as defined in Section 3(14) of ERISA);</w:t>
      </w:r>
    </w:p>
    <w:p>
      <w:pPr>
        <w:spacing w:after="0" w:line="5" w:lineRule="exact"/>
        <w:rPr>
          <w:sz w:val="20"/>
          <w:szCs w:val="20"/>
          <w:color w:val="auto"/>
        </w:rPr>
      </w:pPr>
    </w:p>
    <w:p>
      <w:pPr>
        <w:ind w:firstLine="8"/>
        <w:spacing w:after="0" w:line="297" w:lineRule="auto"/>
        <w:tabs>
          <w:tab w:leader="none" w:pos="28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incurrence of any liability with respect to any Plan or Multiemployer Plan under Title IV of ERISA (other than premiums due and not delinquent under Section 4007 of ERISA); or (q) engagement in any transaction that could be subject to Sections 4069 or 4212(c) of ERISA.</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Event of Default</w:t>
      </w:r>
      <w:r>
        <w:rPr>
          <w:rFonts w:ascii="Arial" w:cs="Arial" w:eastAsia="Arial" w:hAnsi="Arial"/>
          <w:sz w:val="20"/>
          <w:szCs w:val="20"/>
          <w:color w:val="auto"/>
        </w:rPr>
        <w:t>” shall have the meaning assigned to such term in Article 8.</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Excess Cash Flow</w:t>
      </w:r>
      <w:r>
        <w:rPr>
          <w:rFonts w:ascii="Arial" w:cs="Arial" w:eastAsia="Arial" w:hAnsi="Arial"/>
          <w:sz w:val="20"/>
          <w:szCs w:val="20"/>
          <w:color w:val="auto"/>
        </w:rPr>
        <w:t>” shall mean, for any period, an amount equal to:</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 the sum, without duplication,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7" w:name="page58"/>
    <w:bookmarkEnd w:id="57"/>
    <w:p>
      <w:pPr>
        <w:ind w:left="1180" w:hanging="435"/>
        <w:spacing w:after="0"/>
        <w:tabs>
          <w:tab w:leader="none" w:pos="11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Consolidated Net Income for such period,</w:t>
      </w:r>
    </w:p>
    <w:p>
      <w:pPr>
        <w:spacing w:after="0" w:line="215" w:lineRule="exact"/>
        <w:rPr>
          <w:rFonts w:ascii="Arial" w:cs="Arial" w:eastAsia="Arial" w:hAnsi="Arial"/>
          <w:sz w:val="20"/>
          <w:szCs w:val="20"/>
          <w:color w:val="auto"/>
        </w:rPr>
      </w:pPr>
    </w:p>
    <w:p>
      <w:pPr>
        <w:ind w:left="1200" w:hanging="455"/>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amount equal to the amount of all non-cash charges to the extent deducted in arriving at such Consolidated Net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Income,</w:t>
      </w:r>
    </w:p>
    <w:p>
      <w:pPr>
        <w:spacing w:after="0" w:line="200" w:lineRule="exact"/>
        <w:rPr>
          <w:sz w:val="20"/>
          <w:szCs w:val="20"/>
          <w:color w:val="auto"/>
        </w:rPr>
      </w:pPr>
    </w:p>
    <w:p>
      <w:pPr>
        <w:ind w:firstLine="745"/>
        <w:spacing w:after="0" w:line="260" w:lineRule="auto"/>
        <w:tabs>
          <w:tab w:leader="none" w:pos="1197" w:val="left"/>
        </w:tabs>
        <w:numPr>
          <w:ilvl w:val="0"/>
          <w:numId w:val="43"/>
        </w:numPr>
        <w:rPr>
          <w:rFonts w:ascii="Arial" w:cs="Arial" w:eastAsia="Arial" w:hAnsi="Arial"/>
          <w:sz w:val="20"/>
          <w:szCs w:val="20"/>
          <w:color w:val="auto"/>
        </w:rPr>
      </w:pPr>
      <w:r>
        <w:rPr>
          <w:rFonts w:ascii="Arial" w:cs="Arial" w:eastAsia="Arial" w:hAnsi="Arial"/>
          <w:sz w:val="20"/>
          <w:szCs w:val="20"/>
          <w:color w:val="auto"/>
        </w:rPr>
        <w:t>decreases in Consolidated Working Capital for such period (other than any such decreases arising from acquisitions or dispositions by the Borrower and its Restricted Subsidiaries completed during such period),</w:t>
      </w:r>
    </w:p>
    <w:p>
      <w:pPr>
        <w:spacing w:after="0" w:line="176" w:lineRule="exact"/>
        <w:rPr>
          <w:rFonts w:ascii="Arial" w:cs="Arial" w:eastAsia="Arial" w:hAnsi="Arial"/>
          <w:sz w:val="20"/>
          <w:szCs w:val="20"/>
          <w:color w:val="auto"/>
        </w:rPr>
      </w:pPr>
    </w:p>
    <w:p>
      <w:pPr>
        <w:ind w:firstLine="745"/>
        <w:spacing w:after="0" w:line="260" w:lineRule="auto"/>
        <w:tabs>
          <w:tab w:leader="none" w:pos="1189" w:val="left"/>
        </w:tabs>
        <w:numPr>
          <w:ilvl w:val="0"/>
          <w:numId w:val="43"/>
        </w:numPr>
        <w:rPr>
          <w:rFonts w:ascii="Arial" w:cs="Arial" w:eastAsia="Arial" w:hAnsi="Arial"/>
          <w:sz w:val="20"/>
          <w:szCs w:val="20"/>
          <w:color w:val="auto"/>
        </w:rPr>
      </w:pPr>
      <w:r>
        <w:rPr>
          <w:rFonts w:ascii="Arial" w:cs="Arial" w:eastAsia="Arial" w:hAnsi="Arial"/>
          <w:sz w:val="20"/>
          <w:szCs w:val="20"/>
          <w:color w:val="auto"/>
        </w:rPr>
        <w:t>cash receipts in respect of Swap Contracts during such period to the extent such receipts were not otherwise included in arriving at such Consolidated Net Income,</w:t>
      </w:r>
    </w:p>
    <w:p>
      <w:pPr>
        <w:spacing w:after="0" w:line="176" w:lineRule="exact"/>
        <w:rPr>
          <w:rFonts w:ascii="Arial" w:cs="Arial" w:eastAsia="Arial" w:hAnsi="Arial"/>
          <w:sz w:val="20"/>
          <w:szCs w:val="20"/>
          <w:color w:val="auto"/>
        </w:rPr>
      </w:pPr>
    </w:p>
    <w:p>
      <w:pPr>
        <w:ind w:firstLine="745"/>
        <w:spacing w:after="0" w:line="260" w:lineRule="auto"/>
        <w:tabs>
          <w:tab w:leader="none" w:pos="1191"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amount of tax expense deducted in determining Consolidated Net Income for such period to the extent it exceeds the amount of cash taxes paid in such period,</w:t>
      </w:r>
    </w:p>
    <w:p>
      <w:pPr>
        <w:spacing w:after="0" w:line="176" w:lineRule="exact"/>
        <w:rPr>
          <w:rFonts w:ascii="Arial" w:cs="Arial" w:eastAsia="Arial" w:hAnsi="Arial"/>
          <w:sz w:val="20"/>
          <w:szCs w:val="20"/>
          <w:color w:val="auto"/>
        </w:rPr>
      </w:pPr>
    </w:p>
    <w:p>
      <w:pPr>
        <w:jc w:val="both"/>
        <w:ind w:firstLine="745"/>
        <w:spacing w:after="0" w:line="250" w:lineRule="auto"/>
        <w:tabs>
          <w:tab w:leader="none" w:pos="1198"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 amount equal to the aggregate net non-cash loss on Dispositions by the Borrower and its Restricted Subsidiaries during such period (other than Dispositions in the ordinary course of business) to the extent deducted in arriving at such Consolidated Net Income,</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minus</w:t>
      </w:r>
    </w:p>
    <w:p>
      <w:pPr>
        <w:spacing w:after="0" w:line="21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(b) the sum, without duplication, of:</w:t>
      </w:r>
    </w:p>
    <w:p>
      <w:pPr>
        <w:spacing w:after="0" w:line="216" w:lineRule="exact"/>
        <w:rPr>
          <w:sz w:val="20"/>
          <w:szCs w:val="20"/>
          <w:color w:val="auto"/>
        </w:rPr>
      </w:pPr>
    </w:p>
    <w:p>
      <w:pPr>
        <w:ind w:left="1180" w:hanging="435"/>
        <w:spacing w:after="0"/>
        <w:tabs>
          <w:tab w:leader="none" w:pos="11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an amount equal to the amount of all non-cash credits included in arriving at such Consolidated Net Income,</w:t>
      </w:r>
    </w:p>
    <w:p>
      <w:pPr>
        <w:spacing w:after="0" w:line="227" w:lineRule="exact"/>
        <w:rPr>
          <w:rFonts w:ascii="Arial" w:cs="Arial" w:eastAsia="Arial" w:hAnsi="Arial"/>
          <w:sz w:val="19"/>
          <w:szCs w:val="19"/>
          <w:color w:val="auto"/>
        </w:rPr>
      </w:pPr>
    </w:p>
    <w:p>
      <w:pPr>
        <w:ind w:firstLine="745"/>
        <w:spacing w:after="0" w:line="260" w:lineRule="auto"/>
        <w:tabs>
          <w:tab w:leader="none" w:pos="1195"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amount of Capital Expenditures made in cash during such period (or committed to be made within 90 days after the end of such period) to the extent financed with Internally Generated Cash,</w:t>
      </w:r>
    </w:p>
    <w:p>
      <w:pPr>
        <w:spacing w:after="0" w:line="176" w:lineRule="exact"/>
        <w:rPr>
          <w:rFonts w:ascii="Arial" w:cs="Arial" w:eastAsia="Arial" w:hAnsi="Arial"/>
          <w:sz w:val="20"/>
          <w:szCs w:val="20"/>
          <w:color w:val="auto"/>
        </w:rPr>
      </w:pPr>
    </w:p>
    <w:p>
      <w:pPr>
        <w:jc w:val="both"/>
        <w:ind w:firstLine="745"/>
        <w:spacing w:after="0" w:line="250" w:lineRule="auto"/>
        <w:tabs>
          <w:tab w:leader="none" w:pos="1194"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aggregate amount of payments made in cash during such period (or committed to be paid in cash within 90 days after the end of such period) (other than Capital Expenditures) and capitalized in accordance with GAAP to the extent financed with Internally Generated Cash,</w:t>
      </w:r>
    </w:p>
    <w:p>
      <w:pPr>
        <w:spacing w:after="0" w:line="185" w:lineRule="exact"/>
        <w:rPr>
          <w:rFonts w:ascii="Arial" w:cs="Arial" w:eastAsia="Arial" w:hAnsi="Arial"/>
          <w:sz w:val="20"/>
          <w:szCs w:val="20"/>
          <w:color w:val="auto"/>
        </w:rPr>
      </w:pPr>
    </w:p>
    <w:p>
      <w:pPr>
        <w:jc w:val="both"/>
        <w:ind w:firstLine="745"/>
        <w:spacing w:after="0" w:line="271" w:lineRule="auto"/>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aggregate amount of all principal payments of Indebtedness of the Borrower and its Restricted Subsidiaries during such period, in each case to the extent financed with Internally Generated Cash (including (A) the principal component of payments in respect of Capitalized Leases and (B) voluntary prepayments or buybacks of Term Loans made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10.04(k)</w:t>
      </w:r>
      <w:r>
        <w:rPr>
          <w:rFonts w:ascii="Arial" w:cs="Arial" w:eastAsia="Arial" w:hAnsi="Arial"/>
          <w:sz w:val="18"/>
          <w:szCs w:val="18"/>
          <w:color w:val="auto"/>
        </w:rPr>
        <w:t xml:space="preserve"> (in an amount equal to the discounted amount actually paid in respect of the principal amount of such Term Loans), but excluding (W) all voluntary prepayments of Term Loans (other than voluntary prepayments made pursuant to </w:t>
      </w:r>
      <w:r>
        <w:rPr>
          <w:rFonts w:ascii="Arial" w:cs="Arial" w:eastAsia="Arial" w:hAnsi="Arial"/>
          <w:sz w:val="18"/>
          <w:szCs w:val="18"/>
          <w:u w:val="single" w:color="auto"/>
          <w:color w:val="auto"/>
        </w:rPr>
        <w:t>Section 10.04(k)</w:t>
      </w:r>
      <w:r>
        <w:rPr>
          <w:rFonts w:ascii="Arial" w:cs="Arial" w:eastAsia="Arial" w:hAnsi="Arial"/>
          <w:sz w:val="18"/>
          <w:szCs w:val="18"/>
          <w:color w:val="auto"/>
        </w:rPr>
        <w:t xml:space="preserve">), (X) all prepayments of Indebtedness on the Restatement Effective Date in connection with the Refinancing Transactions, (Y) all prepayments, redemptions or repurchases in respect of (i) Permitted Junior Priority Additional Debt (or any Permitted Refinancing thereof), except to the extent permitted under </w:t>
      </w:r>
      <w:r>
        <w:rPr>
          <w:rFonts w:ascii="Arial" w:cs="Arial" w:eastAsia="Arial" w:hAnsi="Arial"/>
          <w:sz w:val="18"/>
          <w:szCs w:val="18"/>
          <w:u w:val="single" w:color="auto"/>
          <w:color w:val="auto"/>
        </w:rPr>
        <w:t>Section 7.13(a)</w:t>
      </w:r>
      <w:r>
        <w:rPr>
          <w:rFonts w:ascii="Arial" w:cs="Arial" w:eastAsia="Arial" w:hAnsi="Arial"/>
          <w:sz w:val="18"/>
          <w:szCs w:val="18"/>
          <w:color w:val="auto"/>
        </w:rPr>
        <w:t xml:space="preserve"> and (ii) Junior Financing, except to the extent permitted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7.13(a)</w:t>
      </w:r>
      <w:r>
        <w:rPr>
          <w:rFonts w:ascii="Arial" w:cs="Arial" w:eastAsia="Arial" w:hAnsi="Arial"/>
          <w:sz w:val="18"/>
          <w:szCs w:val="18"/>
          <w:color w:val="auto"/>
        </w:rPr>
        <w:t xml:space="preserve"> and (Z) all prepayments of loans under the ABL Facility or any other revolving credit facility made during such period unless there is a corresponding permanent commitment reduction in connection therewith (it being agreed that any amount excluded pursuant to clause (W), (X), (Y) or (Z) may not be deducted under any other clause of this definition),</w:t>
      </w:r>
    </w:p>
    <w:p>
      <w:pPr>
        <w:spacing w:after="0" w:line="165"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157480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6" w:right="339" w:bottom="1440" w:gutter="0" w:footer="0" w:header="0"/>
        </w:sectPr>
      </w:pPr>
    </w:p>
    <w:bookmarkStart w:id="58" w:name="page59"/>
    <w:bookmarkEnd w:id="58"/>
    <w:p>
      <w:pPr>
        <w:jc w:val="both"/>
        <w:ind w:left="760" w:firstLine="745"/>
        <w:spacing w:after="0" w:line="250" w:lineRule="auto"/>
        <w:tabs>
          <w:tab w:leader="none" w:pos="1956" w:val="left"/>
        </w:tabs>
        <w:numPr>
          <w:ilvl w:val="0"/>
          <w:numId w:val="45"/>
        </w:numPr>
        <w:rPr>
          <w:rFonts w:ascii="Arial" w:cs="Arial" w:eastAsia="Arial" w:hAnsi="Arial"/>
          <w:sz w:val="20"/>
          <w:szCs w:val="20"/>
          <w:color w:val="auto"/>
        </w:rPr>
      </w:pPr>
      <w:r>
        <w:rPr>
          <w:rFonts w:ascii="Arial" w:cs="Arial" w:eastAsia="Arial" w:hAnsi="Arial"/>
          <w:sz w:val="20"/>
          <w:szCs w:val="20"/>
          <w:color w:val="auto"/>
        </w:rPr>
        <w:t>an amount equal to the aggregate net non-cash gain on Dispositions by the Borrower and its Restricted Subsidiaries during such period (other than Dispositions in the ordinary course of business) to the extent included in arriving at such Consolidated Net Income,</w:t>
      </w:r>
    </w:p>
    <w:p>
      <w:pPr>
        <w:spacing w:after="0" w:line="185" w:lineRule="exact"/>
        <w:rPr>
          <w:rFonts w:ascii="Arial" w:cs="Arial" w:eastAsia="Arial" w:hAnsi="Arial"/>
          <w:sz w:val="20"/>
          <w:szCs w:val="20"/>
          <w:color w:val="auto"/>
        </w:rPr>
      </w:pPr>
    </w:p>
    <w:p>
      <w:pPr>
        <w:ind w:left="760" w:firstLine="745"/>
        <w:spacing w:after="0" w:line="260" w:lineRule="auto"/>
        <w:tabs>
          <w:tab w:leader="none" w:pos="1948"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increases in Consolidated Working Capital for such period (other than any such increases arising from acquisitions or dispositions by the Borrower and its Restricted Subsidiaries during such period),</w:t>
      </w:r>
    </w:p>
    <w:p>
      <w:pPr>
        <w:spacing w:after="0" w:line="176" w:lineRule="exact"/>
        <w:rPr>
          <w:rFonts w:ascii="Arial" w:cs="Arial" w:eastAsia="Arial" w:hAnsi="Arial"/>
          <w:sz w:val="20"/>
          <w:szCs w:val="20"/>
          <w:color w:val="auto"/>
        </w:rPr>
      </w:pPr>
    </w:p>
    <w:p>
      <w:pPr>
        <w:jc w:val="both"/>
        <w:ind w:left="760" w:firstLine="745"/>
        <w:spacing w:after="0" w:line="250" w:lineRule="auto"/>
        <w:tabs>
          <w:tab w:leader="none" w:pos="1958" w:val="left"/>
        </w:tabs>
        <w:numPr>
          <w:ilvl w:val="0"/>
          <w:numId w:val="45"/>
        </w:numPr>
        <w:rPr>
          <w:rFonts w:ascii="Arial" w:cs="Arial" w:eastAsia="Arial" w:hAnsi="Arial"/>
          <w:sz w:val="20"/>
          <w:szCs w:val="20"/>
          <w:color w:val="auto"/>
        </w:rPr>
      </w:pPr>
      <w:r>
        <w:rPr>
          <w:rFonts w:ascii="Arial" w:cs="Arial" w:eastAsia="Arial" w:hAnsi="Arial"/>
          <w:sz w:val="20"/>
          <w:szCs w:val="20"/>
          <w:color w:val="auto"/>
        </w:rPr>
        <w:t>cash payments by the Borrower and its Restricted Subsidiaries during such period in respect of long-term liabilities of the Borrower and its Restricted Subsidiaries other than Indebtedness and that were made with Internally Generated Cash and were not deducted or were excluded in calculating Consolidated Net Income,</w:t>
      </w:r>
    </w:p>
    <w:p>
      <w:pPr>
        <w:spacing w:after="0" w:line="185" w:lineRule="exact"/>
        <w:rPr>
          <w:rFonts w:ascii="Arial" w:cs="Arial" w:eastAsia="Arial" w:hAnsi="Arial"/>
          <w:sz w:val="20"/>
          <w:szCs w:val="20"/>
          <w:color w:val="auto"/>
        </w:rPr>
      </w:pPr>
    </w:p>
    <w:p>
      <w:pPr>
        <w:jc w:val="both"/>
        <w:ind w:left="760" w:firstLine="745"/>
        <w:spacing w:after="0" w:line="328" w:lineRule="auto"/>
        <w:tabs>
          <w:tab w:leader="none" w:pos="1954"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amount of Investments and acquisitions made during such period (or committed to be made within 90 days after the end of such period) in cash pursuant to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7.02(a)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(net of the cash return on any such Investments received during such period, except to the extent such return was included in the determination of Consolidated Net Income) to the extent that such Investments and acquisitions were not expensed and were financed with Internally Generated Cash,</w:t>
      </w:r>
    </w:p>
    <w:p>
      <w:pPr>
        <w:spacing w:after="0" w:line="128" w:lineRule="exact"/>
        <w:rPr>
          <w:rFonts w:ascii="Arial" w:cs="Arial" w:eastAsia="Arial" w:hAnsi="Arial"/>
          <w:sz w:val="16"/>
          <w:szCs w:val="16"/>
          <w:color w:val="auto"/>
        </w:rPr>
      </w:pPr>
    </w:p>
    <w:p>
      <w:pPr>
        <w:jc w:val="both"/>
        <w:ind w:left="760" w:firstLine="745"/>
        <w:spacing w:after="0" w:line="291" w:lineRule="auto"/>
        <w:tabs>
          <w:tab w:leader="none" w:pos="19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of cash taxes paid in such period (or reasonably expected to be paid within 90 days of the end of such period) to the extent they exceed the amount of tax expense deducted in determining Consolidated Net Income for such period (which amounts shall be included in the calculation of Excess Cash Flow for the period in which they are expensed),</w:t>
      </w:r>
    </w:p>
    <w:p>
      <w:pPr>
        <w:spacing w:after="0" w:line="151" w:lineRule="exact"/>
        <w:rPr>
          <w:rFonts w:ascii="Arial" w:cs="Arial" w:eastAsia="Arial" w:hAnsi="Arial"/>
          <w:sz w:val="18"/>
          <w:szCs w:val="18"/>
          <w:color w:val="auto"/>
        </w:rPr>
      </w:pPr>
    </w:p>
    <w:p>
      <w:pPr>
        <w:ind w:left="760" w:firstLine="745"/>
        <w:spacing w:after="0" w:line="260" w:lineRule="auto"/>
        <w:tabs>
          <w:tab w:leader="none" w:pos="1974" w:val="left"/>
        </w:tabs>
        <w:numPr>
          <w:ilvl w:val="0"/>
          <w:numId w:val="45"/>
        </w:numPr>
        <w:rPr>
          <w:rFonts w:ascii="Arial" w:cs="Arial" w:eastAsia="Arial" w:hAnsi="Arial"/>
          <w:sz w:val="20"/>
          <w:szCs w:val="20"/>
          <w:color w:val="auto"/>
        </w:rPr>
      </w:pPr>
      <w:r>
        <w:rPr>
          <w:rFonts w:ascii="Arial" w:cs="Arial" w:eastAsia="Arial" w:hAnsi="Arial"/>
          <w:sz w:val="20"/>
          <w:szCs w:val="20"/>
          <w:color w:val="auto"/>
        </w:rPr>
        <w:t>cash expenditures in respect of Swap Contracts during such fiscal year to the extent such expenditures were not deducted or were excluded in arriving at such Consolidated Net Income, and</w:t>
      </w:r>
    </w:p>
    <w:p>
      <w:pPr>
        <w:spacing w:after="0" w:line="176" w:lineRule="exact"/>
        <w:rPr>
          <w:rFonts w:ascii="Arial" w:cs="Arial" w:eastAsia="Arial" w:hAnsi="Arial"/>
          <w:sz w:val="20"/>
          <w:szCs w:val="20"/>
          <w:color w:val="auto"/>
        </w:rPr>
      </w:pPr>
    </w:p>
    <w:p>
      <w:pPr>
        <w:ind w:left="760" w:firstLine="745"/>
        <w:spacing w:after="0" w:line="260" w:lineRule="auto"/>
        <w:tabs>
          <w:tab w:leader="none" w:pos="1965"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the aggregate amount of Restricted Payments made in cash permitted by </w:t>
      </w:r>
      <w:r>
        <w:rPr>
          <w:rFonts w:ascii="Arial" w:cs="Arial" w:eastAsia="Arial" w:hAnsi="Arial"/>
          <w:sz w:val="20"/>
          <w:szCs w:val="20"/>
          <w:u w:val="single" w:color="auto"/>
          <w:color w:val="auto"/>
        </w:rPr>
        <w:t>Section 7.06(d)(i)</w:t>
      </w:r>
      <w:r>
        <w:rPr>
          <w:rFonts w:ascii="Arial" w:cs="Arial" w:eastAsia="Arial" w:hAnsi="Arial"/>
          <w:sz w:val="20"/>
          <w:szCs w:val="20"/>
          <w:color w:val="auto"/>
        </w:rPr>
        <w:t xml:space="preserve"> during such period (or committed to be made or paid in cash within the next 90 days after the end of such period).</w:t>
      </w:r>
    </w:p>
    <w:p>
      <w:pPr>
        <w:spacing w:after="0" w:line="17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Notwithstanding anything in the definition of any term used in the definition of Excess Cash Flow to the contrary, (i) all components of Excess Cash Flow shall be computed for the Borrower and its Restricted Subsidiaries on a consolidated basis and (ii) for purposes of calculating Excess Cash Flow for any period with respect to each Permitted Acquisition or other Investment of all or substantially all of the assets of another Person or business line permitted hereby consummated during such Excess Cash Flow Period and for the purposes of calculating Consolidated Working Capital, the (A) total assets of a target of such Permitted Acquisition or other Investment of all or substantially all of the assets of another Person or business line permitted hereby (other than cash and Cash Equivalents), as calculated as at the date of consummation of the applicable Permitted Acquisition or other Investment of all or substantially all of the assets of another Person or business line permitted hereby, which may properly be classified as current assets on a consolidated balance sheet of Borrower and its Restricted Subsidiaries in accordance with GAAP (assuming, for the purpose of this clause (A), that such Permitted Acquisition or other Investment of all or substantially all of the assets of another Person or business line permitted hereby has been consummated) and (B) the total liabilities of Borrower and its Restricted Subsidiaries, as calculated as at the date of consummation of the applicable Permitted Acquisition or other Investment of all or substantially all of the assets of another Person or business line permitted hereby, which may properly be classified as current liabilities (other than the current portion of any long term liabilities and accrued interest thereon) on a consolidated balance sheet of Borrower and its Restricted Subsidiaries in accordance with GAAP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9" w:name="page60"/>
    <w:bookmarkEnd w:id="59"/>
    <w:p>
      <w:pPr>
        <w:jc w:val="both"/>
        <w:spacing w:after="0" w:line="274" w:lineRule="auto"/>
        <w:rPr>
          <w:sz w:val="20"/>
          <w:szCs w:val="20"/>
          <w:color w:val="auto"/>
        </w:rPr>
      </w:pPr>
      <w:r>
        <w:rPr>
          <w:rFonts w:ascii="Arial" w:cs="Arial" w:eastAsia="Arial" w:hAnsi="Arial"/>
          <w:sz w:val="18"/>
          <w:szCs w:val="18"/>
          <w:color w:val="auto"/>
        </w:rPr>
        <w:t>(assuming, for the purpose of this clause (B), that such Permitted Acquisition or other Investment of all or substantially all of the assets of another Person or business line permitted hereby has been consummated), shall, in the case of both immediately preceding clauses (A) and (B), be calculated as the difference between the Consolidated Working Capital at the end of the applicable period from the date of consummation of the Permitted Acquisition or other Investment of all or substantially all of the assets of another Person or business line permitted hereby. To the extent any amounts that are committed to be made or paid or are reasonably expected to be paid are deducted as permitted by clause (b) of the definition of Excess Cash Flow in respect of any period, such amounts shall not be deducted again for purposes of calculating Excess Cash Flow for the period in which such amounts are actually paid.</w:t>
      </w:r>
    </w:p>
    <w:p>
      <w:pPr>
        <w:spacing w:after="0" w:line="16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 Period</w:t>
      </w:r>
      <w:r>
        <w:rPr>
          <w:rFonts w:ascii="Arial" w:cs="Arial" w:eastAsia="Arial" w:hAnsi="Arial"/>
          <w:sz w:val="18"/>
          <w:szCs w:val="18"/>
          <w:color w:val="auto"/>
        </w:rPr>
        <w:t xml:space="preserve">” shall mean each fiscal year of the Borrower commencing with the fiscal year ending December 31, 2019, but in all cases for purposes of calculating the Cumulative Retained Excess Cash Flow Amount shall only include such fiscal years for which financial statements and a Compliance Certificate have been delivered in accordance with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6.02(a)</w:t>
      </w:r>
      <w:r>
        <w:rPr>
          <w:rFonts w:ascii="Arial" w:cs="Arial" w:eastAsia="Arial" w:hAnsi="Arial"/>
          <w:sz w:val="18"/>
          <w:szCs w:val="18"/>
          <w:color w:val="auto"/>
        </w:rPr>
        <w:t xml:space="preserve"> , respectively, and for which any prepayments required by </w:t>
      </w:r>
      <w:r>
        <w:rPr>
          <w:rFonts w:ascii="Arial" w:cs="Arial" w:eastAsia="Arial" w:hAnsi="Arial"/>
          <w:sz w:val="18"/>
          <w:szCs w:val="18"/>
          <w:u w:val="single" w:color="auto"/>
          <w:color w:val="auto"/>
        </w:rPr>
        <w:t>Section 2.13(a)(i)</w:t>
      </w:r>
      <w:r>
        <w:rPr>
          <w:rFonts w:ascii="Arial" w:cs="Arial" w:eastAsia="Arial" w:hAnsi="Arial"/>
          <w:sz w:val="18"/>
          <w:szCs w:val="18"/>
          <w:color w:val="auto"/>
        </w:rPr>
        <w:t xml:space="preserve"> (if any) have been made (it being understood that the Retained Percentage of Excess Cash Flow for any Excess Cash Flow Period shall be included in the Cumulative Retained Excess Cash Flow Amount regardless of whether a prepayment is required by </w:t>
      </w:r>
      <w:r>
        <w:rPr>
          <w:rFonts w:ascii="Arial" w:cs="Arial" w:eastAsia="Arial" w:hAnsi="Arial"/>
          <w:sz w:val="18"/>
          <w:szCs w:val="18"/>
          <w:u w:val="single" w:color="auto"/>
          <w:color w:val="auto"/>
        </w:rPr>
        <w:t>Section 2.13(a)(i)</w:t>
      </w:r>
      <w:r>
        <w:rPr>
          <w:rFonts w:ascii="Arial" w:cs="Arial" w:eastAsia="Arial" w:hAnsi="Arial"/>
          <w:sz w:val="18"/>
          <w:szCs w:val="18"/>
          <w:color w:val="auto"/>
        </w:rPr>
        <w:t xml:space="preserve">, except to the extent that a prepayment is not made in reliance on </w:t>
      </w:r>
      <w:r>
        <w:rPr>
          <w:rFonts w:ascii="Arial" w:cs="Arial" w:eastAsia="Arial" w:hAnsi="Arial"/>
          <w:sz w:val="18"/>
          <w:szCs w:val="18"/>
          <w:u w:val="single" w:color="auto"/>
          <w:color w:val="auto"/>
        </w:rPr>
        <w:t>Section 2.13(f)</w:t>
      </w:r>
      <w:r>
        <w:rPr>
          <w:rFonts w:ascii="Arial" w:cs="Arial" w:eastAsia="Arial" w:hAnsi="Arial"/>
          <w:sz w:val="18"/>
          <w:szCs w:val="18"/>
          <w:color w:val="auto"/>
        </w:rPr>
        <w:t xml:space="preserve"> , in which case the Cumulative Retained Excess Cash Flow Amount shall be reduced by the Retained Percentage of the Excess Cash Flow for which the Applicable ECF Percentage has not been applied to make a prepayment pursuant to </w:t>
      </w:r>
      <w:r>
        <w:rPr>
          <w:rFonts w:ascii="Arial" w:cs="Arial" w:eastAsia="Arial" w:hAnsi="Arial"/>
          <w:sz w:val="18"/>
          <w:szCs w:val="18"/>
          <w:u w:val="single" w:color="auto"/>
          <w:color w:val="auto"/>
        </w:rPr>
        <w:t>Section 2.13(a)(i))</w:t>
      </w:r>
      <w:r>
        <w:rPr>
          <w:rFonts w:ascii="Arial" w:cs="Arial" w:eastAsia="Arial" w:hAnsi="Arial"/>
          <w:sz w:val="18"/>
          <w:szCs w:val="18"/>
          <w:color w:val="auto"/>
        </w:rPr>
        <w: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shall mean the Securities Exchange Act of 1934, as amended.</w:t>
      </w:r>
    </w:p>
    <w:p>
      <w:pPr>
        <w:spacing w:after="0" w:line="21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Account</w:t>
      </w:r>
      <w:r>
        <w:rPr>
          <w:rFonts w:ascii="Arial" w:cs="Arial" w:eastAsia="Arial" w:hAnsi="Arial"/>
          <w:sz w:val="20"/>
          <w:szCs w:val="20"/>
          <w:color w:val="auto"/>
        </w:rPr>
        <w:t>” means (i) any Deposit Account specifically and exclusively used for payroll, payroll taxes and other employee wage and benefit payments to or for the benefit of Loan Parties’ salaried employees, (ii) any petty cash account to the extent the balance therein does not exceed (x) $1,000,000 in the aggregate for more than five (5) Business Days, and/or (y) $5,000,000 in the aggregate for more than one (1) Business Day, (iii) any zero-balance account, (iv) any account specifically and exclusively used to maintain cash collateral required pursuant to the ABL Credit Agreement, (v) any escrow account, (vi) the UST Tranche A Controlled Account and (vii) the UST Tranche B Controlled Account.</w:t>
      </w:r>
    </w:p>
    <w:p>
      <w:pPr>
        <w:spacing w:after="0" w:line="18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Foreign Subsidiary</w:t>
      </w:r>
      <w:r>
        <w:rPr>
          <w:rFonts w:ascii="Arial" w:cs="Arial" w:eastAsia="Arial" w:hAnsi="Arial"/>
          <w:sz w:val="18"/>
          <w:szCs w:val="18"/>
          <w:color w:val="auto"/>
        </w:rPr>
        <w:t xml:space="preserve">” shall mean any Foreign Subsidiary (other than any Canadian Subsidiary or Dutch Subsidiary) of the Borrower that does not individually have total assets or revenues (for the period of four fiscal quarters most recently ended) that exceed 3.0% of the Borrower’s total assets or revenues as of the end of each fiscal quarter (in the case of revenues, for the period of four fiscal quarters ending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assets or revenues (for the period of four fiscal quarters most recently ended) of such Subsidiaries shall not at any time exceed 7.0% of the Borrower’s total assets or revenues as of the end of each fiscal quarter (in the case of revenues, for the period of four fiscal quarters ending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further that if, as of the date the financial statements for any fiscal quarter of the Borrower are delivered or required to be delivered hereunder, the consolidated assets or revenues of all Excluded Foreign Subsidiaries shall have, as of the last day of such fiscal quarter, exceeded the limits set forth above, then within sixty</w:t>
      </w:r>
    </w:p>
    <w:p>
      <w:pPr>
        <w:spacing w:after="0" w:line="2" w:lineRule="exact"/>
        <w:rPr>
          <w:sz w:val="20"/>
          <w:szCs w:val="20"/>
          <w:color w:val="auto"/>
        </w:rPr>
      </w:pPr>
    </w:p>
    <w:p>
      <w:pPr>
        <w:jc w:val="both"/>
        <w:ind w:firstLine="8"/>
        <w:spacing w:after="0"/>
        <w:tabs>
          <w:tab w:leader="none" w:pos="396" w:val="left"/>
        </w:tabs>
        <w:numPr>
          <w:ilvl w:val="0"/>
          <w:numId w:val="46"/>
        </w:numPr>
        <w:rPr>
          <w:rFonts w:ascii="Arial" w:cs="Arial" w:eastAsia="Arial" w:hAnsi="Arial"/>
          <w:sz w:val="20"/>
          <w:szCs w:val="20"/>
          <w:color w:val="auto"/>
        </w:rPr>
      </w:pPr>
      <w:r>
        <w:rPr>
          <w:rFonts w:ascii="Arial" w:cs="Arial" w:eastAsia="Arial" w:hAnsi="Arial"/>
          <w:sz w:val="20"/>
          <w:szCs w:val="20"/>
          <w:color w:val="auto"/>
        </w:rPr>
        <w:t xml:space="preserve">days (or such later date as agreed by the Administrative Agent and the Required Lenders in their reasonable discretion) after the date such financial statements are so delivered (or so required to be delivered), the Borrower shall cause one or more Foreign Subsidiaries to comply with </w:t>
      </w:r>
      <w:r>
        <w:rPr>
          <w:rFonts w:ascii="Arial" w:cs="Arial" w:eastAsia="Arial" w:hAnsi="Arial"/>
          <w:sz w:val="20"/>
          <w:szCs w:val="20"/>
          <w:u w:val="single" w:color="auto"/>
          <w:color w:val="auto"/>
        </w:rPr>
        <w:t>Section 6.11</w:t>
      </w:r>
      <w:r>
        <w:rPr>
          <w:rFonts w:ascii="Arial" w:cs="Arial" w:eastAsia="Arial" w:hAnsi="Arial"/>
          <w:sz w:val="20"/>
          <w:szCs w:val="20"/>
          <w:color w:val="auto"/>
        </w:rPr>
        <w:t xml:space="preserve"> such that, as a result thereof, the consolidated assets and revenues of all Excluded Foreign Subsidiaries do not exceed such limits. For the avoidance of doubt, no Canadian Subsidiary or Dutch Subsidiary shall constitute an Excluded Foreign Subsidiary.</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Property</w:t>
      </w:r>
      <w:r>
        <w:rPr>
          <w:rFonts w:ascii="Arial" w:cs="Arial" w:eastAsia="Arial" w:hAnsi="Arial"/>
          <w:sz w:val="20"/>
          <w:szCs w:val="20"/>
          <w:color w:val="auto"/>
        </w:rPr>
        <w:t>” shall have the meaning assigned to such term in the Security Agreement.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0" w:name="page61"/>
    <w:bookmarkEnd w:id="60"/>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Real Property</w:t>
      </w:r>
      <w:r>
        <w:rPr>
          <w:rFonts w:ascii="Arial" w:cs="Arial" w:eastAsia="Arial" w:hAnsi="Arial"/>
          <w:sz w:val="20"/>
          <w:szCs w:val="20"/>
          <w:color w:val="auto"/>
        </w:rPr>
        <w:t>” shall mean any Real Property set forth on Schedule 1.01(a).</w:t>
      </w:r>
    </w:p>
    <w:p>
      <w:pPr>
        <w:spacing w:after="0" w:line="216"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Subsidiary</w:t>
      </w:r>
      <w:r>
        <w:rPr>
          <w:rFonts w:ascii="Arial" w:cs="Arial" w:eastAsia="Arial" w:hAnsi="Arial"/>
          <w:sz w:val="18"/>
          <w:szCs w:val="18"/>
          <w:color w:val="auto"/>
        </w:rPr>
        <w:t xml:space="preserve">” shall mean (a) any bona fide joint venture formed after the Restatement Effective Date with any Person that is not an Affiliate of any Loan Party, (b) any Immaterial Subsidiary, (c) any Subsidiary that is prohibited by applicable Law whether or not existing on the Restatement Effective Date or Contractual Obligations existing on the Restatement Effective Date (or, in the case of any newly acquired Subsidiary, in existence at the time of acquisition but not entered into in contemplation thereof) from Guaranteeing the Obligations or if Guaranteeing the Obligations would require governmental (including regulatory) consent, approval, license or authorization (unless such contractual obligation is waived or otherwise removed or such consent, approval, license or authorization has been obtained), (d) any other Subsidiary with respect to which, in the reasonable judgment of the Administrative Agent (at the direction of the Required Lenders), in consultation with the Borrower, the burden or cost or other consequences (other than adverse tax consequences) of providing a Guarantee of the Obligations shall be excessive in view of the benefits to be obtained by the Lenders therefrom, (e) any other Subsidiary with respect to which, in the reasonable judgment of the Borrower, the tax consequences of providing a Guarantee could be adverse in consultation the Administrative Agent (provided that the Borrower shall give notice of such determination to the Required Lenders and, at the request of the Required Lenders, shall consult with the Required Lenders), (f) any Excluded Foreign Subsidiary of the Borrower, and (g) any captive insurance company or non-profit Subsidiary; provided that no Person shall be an Excluded Subsidiary to the extent it guarantees or pledges any of its assets to secure, directly or indirectly, any other Indebtedness of any Loan Party in excess of the Threshold Amount; provided, further, that in the event that any Excluded Subsidiary guarantees or otherwise becomes an obligor under any Indebtedness, the aggregate principal amount of which exceeds the Threshold Amount, then such Excluded Subsidiary shall, notwithstanding the foregoing, no longer constitute an Excluded Subsidiary, and shall become a Loan Party hereunder. If any Guarantor becomes an Excluded Subsidiary pursuant to clause (a) of the definition of Excluded Subsidiary, such Guarantor shall only be permitted to be released from its Guarantee so long as the fair market value of any and all Investments then held by the Loan Parties in such Person are permitted as an Investment under </w:t>
      </w:r>
      <w:r>
        <w:rPr>
          <w:rFonts w:ascii="Arial" w:cs="Arial" w:eastAsia="Arial" w:hAnsi="Arial"/>
          <w:sz w:val="18"/>
          <w:szCs w:val="18"/>
          <w:u w:val="single" w:color="auto"/>
          <w:color w:val="auto"/>
        </w:rPr>
        <w:t>Section 7.02(c)(iii)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7.02(p)</w:t>
      </w:r>
      <w:r>
        <w:rPr>
          <w:rFonts w:ascii="Arial" w:cs="Arial" w:eastAsia="Arial" w:hAnsi="Arial"/>
          <w:sz w:val="18"/>
          <w:szCs w:val="18"/>
          <w:color w:val="auto"/>
        </w:rPr>
        <w:t xml:space="preserve"> at the time such Person becomes an Excluded Subsidiary pursuant to clause (a) of the definition of “Excluded Subsidiary”.</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Credit Agreement</w:t>
      </w:r>
      <w:r>
        <w:rPr>
          <w:rFonts w:ascii="Arial" w:cs="Arial" w:eastAsia="Arial" w:hAnsi="Arial"/>
          <w:sz w:val="20"/>
          <w:szCs w:val="20"/>
          <w:color w:val="auto"/>
        </w:rPr>
        <w:t>” shall have the meaning assigned to such term in the recitals.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Eurodollar Term Loans</w:t>
      </w:r>
      <w:r>
        <w:rPr>
          <w:rFonts w:ascii="Arial" w:cs="Arial" w:eastAsia="Arial" w:hAnsi="Arial"/>
          <w:sz w:val="20"/>
          <w:szCs w:val="20"/>
          <w:color w:val="auto"/>
        </w:rPr>
        <w:t>” shall have the meaning assigned to such term in Amendment No. 3.</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Loan Documents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1.14</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Exit Fee</w:t>
      </w:r>
      <w:r>
        <w:rPr>
          <w:rFonts w:ascii="Arial" w:cs="Arial" w:eastAsia="Arial" w:hAnsi="Arial"/>
          <w:sz w:val="20"/>
          <w:szCs w:val="20"/>
          <w:color w:val="auto"/>
        </w:rPr>
        <w:t>” shall have the meaning assigned to such term in Section 2.05(c).</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Extended Term Loans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2.19(a)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Extension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2.19(a)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Extension Amendment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2.19(c)</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Extension Offer</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2.19(a)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shall mean the Tranche B-2 Term Loans, the Extended Term Loans or the Other Term Loans, as the context may require.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FATCA</w:t>
      </w:r>
      <w:r>
        <w:rPr>
          <w:rFonts w:ascii="Arial" w:cs="Arial" w:eastAsia="Arial" w:hAnsi="Arial"/>
          <w:sz w:val="20"/>
          <w:szCs w:val="20"/>
          <w:color w:val="auto"/>
        </w:rPr>
        <w:t>” shall mean Sections 1471 through 1474 of the Code, as in effect on the Restatement Effective Date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85"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Effective Rate</w:t>
      </w:r>
      <w:r>
        <w:rPr>
          <w:rFonts w:ascii="Arial" w:cs="Arial" w:eastAsia="Arial" w:hAnsi="Arial"/>
          <w:sz w:val="18"/>
          <w:szCs w:val="18"/>
          <w:color w:val="auto"/>
        </w:rPr>
        <w:t>” shall mean, for any day,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the day for such transactions received by the Administrative Agent from three Federal funds brokers of recognized standing selected by it.</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Fee Letter</w:t>
      </w:r>
      <w:r>
        <w:rPr>
          <w:rFonts w:ascii="Arial" w:cs="Arial" w:eastAsia="Arial" w:hAnsi="Arial"/>
          <w:sz w:val="19"/>
          <w:szCs w:val="19"/>
          <w:color w:val="auto"/>
        </w:rPr>
        <w:t>” shall mean the Fee Letter dated as of the Restatement Effective Date by and between the Borrower and Apollo.</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Fees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2.05</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Lien Term Priority Accounts</w:t>
      </w:r>
      <w:r>
        <w:rPr>
          <w:rFonts w:ascii="Arial" w:cs="Arial" w:eastAsia="Arial" w:hAnsi="Arial"/>
          <w:sz w:val="20"/>
          <w:szCs w:val="20"/>
          <w:color w:val="auto"/>
        </w:rPr>
        <w:t>” shall have the meaning assigned to the term “Non-UST Tranche B Priority Accounts” in the ABL Intercreditor Agreement.</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Lien Term Priority Collateral</w:t>
      </w:r>
      <w:r>
        <w:rPr>
          <w:rFonts w:ascii="Arial" w:cs="Arial" w:eastAsia="Arial" w:hAnsi="Arial"/>
          <w:sz w:val="20"/>
          <w:szCs w:val="20"/>
          <w:color w:val="auto"/>
        </w:rPr>
        <w:t>” shall have the meaning assigned to the term “Non-UST Tranche B Term Priority Collateral” in the ABL Intercreditor Agreement.</w:t>
      </w:r>
    </w:p>
    <w:p>
      <w:pPr>
        <w:spacing w:after="0" w:line="163" w:lineRule="exact"/>
        <w:rPr>
          <w:sz w:val="20"/>
          <w:szCs w:val="20"/>
          <w:color w:val="auto"/>
        </w:rPr>
      </w:pPr>
    </w:p>
    <w:p>
      <w:pPr>
        <w:jc w:val="both"/>
        <w:ind w:firstLine="81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Flood Laws</w:t>
      </w:r>
      <w:r>
        <w:rPr>
          <w:rFonts w:ascii="Arial" w:cs="Arial" w:eastAsia="Arial" w:hAnsi="Arial"/>
          <w:sz w:val="20"/>
          <w:szCs w:val="20"/>
          <w:color w:val="auto"/>
        </w:rPr>
        <w:t>” shall mean the National Flood Insurance Reform Act of 1994 and related legislation (including the regulations of the Board).</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Floor</w:t>
      </w:r>
      <w:r>
        <w:rPr>
          <w:rFonts w:ascii="Arial" w:cs="Arial" w:eastAsia="Arial" w:hAnsi="Arial"/>
          <w:sz w:val="20"/>
          <w:szCs w:val="20"/>
          <w:color w:val="auto"/>
        </w:rPr>
        <w:t>” shall mean the rate per annum of interest equal to one percent (1.00%).</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Forecast Date</w:t>
      </w:r>
      <w:r>
        <w:rPr>
          <w:rFonts w:ascii="Arial" w:cs="Arial" w:eastAsia="Arial" w:hAnsi="Arial"/>
          <w:sz w:val="20"/>
          <w:szCs w:val="20"/>
          <w:color w:val="auto"/>
        </w:rPr>
        <w:t>” shall have the meaning assigned to such term in Amendment No. 1.</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Foreign Disposition</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2.13(f)</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Foreign Subsidiary</w:t>
      </w:r>
      <w:r>
        <w:rPr>
          <w:rFonts w:ascii="Arial" w:cs="Arial" w:eastAsia="Arial" w:hAnsi="Arial"/>
          <w:sz w:val="20"/>
          <w:szCs w:val="20"/>
          <w:color w:val="auto"/>
        </w:rPr>
        <w:t>” shall mean any direct or indirect Subsidiary of the Borrower which is not a Domestic Subsidiary.</w:t>
      </w:r>
    </w:p>
    <w:p>
      <w:pPr>
        <w:spacing w:after="0" w:line="21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xml:space="preserve">” shall mean generally accepted accounting principles in the United States of America, as in effect from time to time, subject to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Borrower notifies the Administrative Agent that the Borrower requests an amendment to any provision hereof to eliminate the effect of any change occurring after the Restatement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shall mean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without limitation, the U.S. Treasury).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Granting Lender</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10.04(i)</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shall mean, as to any Person, without duplication, (a) any obligation, contingent or otherwise, of such Person guaranteeing or having the economic effect of guaranteeing any Indebtedness or other monetary obligation payable or performable by another Person (the “</w:t>
      </w:r>
      <w:r>
        <w:rPr>
          <w:rFonts w:ascii="Arial" w:cs="Arial" w:eastAsia="Arial" w:hAnsi="Arial"/>
          <w:sz w:val="18"/>
          <w:szCs w:val="18"/>
          <w:b w:val="1"/>
          <w:bCs w:val="1"/>
          <w:color w:val="auto"/>
        </w:rPr>
        <w:t>primary obligor</w:t>
      </w:r>
      <w:r>
        <w:rPr>
          <w:rFonts w:ascii="Arial" w:cs="Arial" w:eastAsia="Arial" w:hAnsi="Arial"/>
          <w:sz w:val="18"/>
          <w:szCs w:val="18"/>
          <w:color w:val="auto"/>
        </w:rPr>
        <w:t xml:space="preserve">”)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or performance of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 thereof (in whole or in part), or (b) any Lien on any assets of such Person securing any Indebtedness of any other Person, whether or not such Indebtedness is assumed by such Person (or any right, contingent or otherwise, of any holder of such Indebtedness to obtain any such Lien);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“Guarantee” shall not include (i) endorsements for collection or deposit, in either case in the ordinary course of business, (ii) customary and reasonable indemnity obligations in effect on the Restatement Effective Date or entered into in connection with any acquisition or disposition of assets permitted under this Agreement (other than such obligations with respect to Indebtedness) or (iii) product warranties.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8"/>
          <w:szCs w:val="18"/>
          <w:b w:val="1"/>
          <w:bCs w:val="1"/>
          <w:color w:val="auto"/>
        </w:rPr>
        <w:t>Guarantee</w:t>
      </w:r>
      <w:r>
        <w:rPr>
          <w:rFonts w:ascii="Arial" w:cs="Arial" w:eastAsia="Arial" w:hAnsi="Arial"/>
          <w:sz w:val="18"/>
          <w:szCs w:val="18"/>
          <w:color w:val="auto"/>
        </w:rPr>
        <w:t>” as a verb has a corresponding meaning.</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Guaranteed Obligations</w:t>
      </w:r>
      <w:r>
        <w:rPr>
          <w:rFonts w:ascii="Arial" w:cs="Arial" w:eastAsia="Arial" w:hAnsi="Arial"/>
          <w:sz w:val="20"/>
          <w:szCs w:val="20"/>
          <w:color w:val="auto"/>
        </w:rPr>
        <w:t xml:space="preserve">” shall have the meaning specified in </w:t>
      </w:r>
      <w:r>
        <w:rPr>
          <w:rFonts w:ascii="Arial" w:cs="Arial" w:eastAsia="Arial" w:hAnsi="Arial"/>
          <w:sz w:val="20"/>
          <w:szCs w:val="20"/>
          <w:u w:val="single" w:color="auto"/>
          <w:color w:val="auto"/>
        </w:rPr>
        <w:t>Section 11.01</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Guarantors</w:t>
      </w:r>
      <w:r>
        <w:rPr>
          <w:rFonts w:ascii="Arial" w:cs="Arial" w:eastAsia="Arial" w:hAnsi="Arial"/>
          <w:sz w:val="19"/>
          <w:szCs w:val="19"/>
          <w:color w:val="auto"/>
        </w:rPr>
        <w:t xml:space="preserve">” shall mean (i) each Domestic Subsidiary of the Borrower as of the Restatement Effective Date (other than an Excluded Subsidiary), (ii) each Canadian Subsidiary and Dutch Subsidiary of the Borrower that issues a Guarantee of the Obligations after the Restatement Effective Date pursuant to </w:t>
      </w:r>
      <w:r>
        <w:rPr>
          <w:rFonts w:ascii="Arial" w:cs="Arial" w:eastAsia="Arial" w:hAnsi="Arial"/>
          <w:sz w:val="19"/>
          <w:szCs w:val="19"/>
          <w:u w:val="single" w:color="auto"/>
          <w:color w:val="auto"/>
        </w:rPr>
        <w:t>Schedule 6.13(a)</w:t>
      </w:r>
      <w:r>
        <w:rPr>
          <w:rFonts w:ascii="Arial" w:cs="Arial" w:eastAsia="Arial" w:hAnsi="Arial"/>
          <w:sz w:val="19"/>
          <w:szCs w:val="19"/>
          <w:color w:val="auto"/>
        </w:rPr>
        <w:t xml:space="preserve"> and (iii) each Subsidiary that issues a Guarantee of the Obligations after the Restatement Effective Date pursuant to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(which </w:t>
      </w:r>
      <w:r>
        <w:rPr>
          <w:rFonts w:ascii="Arial" w:cs="Arial" w:eastAsia="Arial" w:hAnsi="Arial"/>
          <w:sz w:val="19"/>
          <w:szCs w:val="19"/>
          <w:u w:val="single" w:color="auto"/>
          <w:color w:val="auto"/>
        </w:rPr>
        <w:t>Section 6.11</w:t>
      </w:r>
      <w:r>
        <w:rPr>
          <w:rFonts w:ascii="Arial" w:cs="Arial" w:eastAsia="Arial" w:hAnsi="Arial"/>
          <w:sz w:val="19"/>
          <w:szCs w:val="19"/>
          <w:color w:val="auto"/>
        </w:rPr>
        <w:t>, for the avoidance of doubt, does not require that any Excluded Subsidiary provide such a Guarantee) or otherwise. For avoidance of doubt, the Borrower may cause any Restricted Subsidiary that is not (and is not required to be) a Guarantor to Guarantee the Obligations by causing such Restricted Subsidiary to execute a joinder to this Agreement in form and substance reasonably satisfactory to the Administrative Agent, and any such Restricted Subsidiary shall be treated as a Guarantor hereunder for all purposes (each such Subsidiary, an “</w:t>
      </w:r>
      <w:r>
        <w:rPr>
          <w:rFonts w:ascii="Arial" w:cs="Arial" w:eastAsia="Arial" w:hAnsi="Arial"/>
          <w:sz w:val="19"/>
          <w:szCs w:val="19"/>
          <w:u w:val="single" w:color="auto"/>
          <w:color w:val="auto"/>
        </w:rPr>
        <w:t>Electing Guarantor</w:t>
      </w:r>
      <w:r>
        <w:rPr>
          <w:rFonts w:ascii="Arial" w:cs="Arial" w:eastAsia="Arial" w:hAnsi="Arial"/>
          <w:sz w:val="19"/>
          <w:szCs w:val="19"/>
          <w:color w:val="auto"/>
        </w:rPr>
        <w:t xml:space="preserve">”) and may also cause the Guaranty of any such Electing Guarantor, and any Liens securing such Guaranty, to be released upon providing written notice to the Administrative Agent and the Collateral Agent that such Electing Guarantor shall be treated as an Excluded Subsidiary to the extent consistent with the definition of Excluded Subsidiary. The Guarantors as of the Restatement Effective Date are (A) set forth on </w:t>
      </w:r>
      <w:r>
        <w:rPr>
          <w:rFonts w:ascii="Arial" w:cs="Arial" w:eastAsia="Arial" w:hAnsi="Arial"/>
          <w:sz w:val="19"/>
          <w:szCs w:val="19"/>
          <w:u w:val="single" w:color="auto"/>
          <w:color w:val="auto"/>
        </w:rPr>
        <w:t>Schedule 1.01(b)</w:t>
      </w:r>
      <w:r>
        <w:rPr>
          <w:rFonts w:ascii="Arial" w:cs="Arial" w:eastAsia="Arial" w:hAnsi="Arial"/>
          <w:sz w:val="19"/>
          <w:szCs w:val="19"/>
          <w:color w:val="auto"/>
        </w:rPr>
        <w:t xml:space="preserve"> and (B) not Electing Guarantors.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Guaranty</w:t>
      </w:r>
      <w:r>
        <w:rPr>
          <w:rFonts w:ascii="Arial" w:cs="Arial" w:eastAsia="Arial" w:hAnsi="Arial"/>
          <w:sz w:val="20"/>
          <w:szCs w:val="20"/>
          <w:color w:val="auto"/>
        </w:rPr>
        <w:t>” shall mean, collectively, the guaranty of the Obligations by the Guarantors pursuant to this Agreement.</w:t>
      </w:r>
    </w:p>
    <w:p>
      <w:pPr>
        <w:spacing w:after="0" w:line="21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Hazardous Materials</w:t>
      </w:r>
      <w:r>
        <w:rPr>
          <w:rFonts w:ascii="Arial" w:cs="Arial" w:eastAsia="Arial" w:hAnsi="Arial"/>
          <w:sz w:val="20"/>
          <w:szCs w:val="20"/>
          <w:color w:val="auto"/>
        </w:rPr>
        <w:t>” shall mean (a) any petroleum products, distillates or byproducts and all other hydrocarbons, coal ash, radon gas, asbestos, urea formaldehyde foam insulation, polychlorinated biphenyls, chlorofluorocarbons and all other ozone-depleting substances and (b) any chemical, material, substance or waste that is prohibited, limited or regulated by or pursuant to any Environmental Law.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IBT</w:t>
      </w:r>
      <w:r>
        <w:rPr>
          <w:rFonts w:ascii="Arial" w:cs="Arial" w:eastAsia="Arial" w:hAnsi="Arial"/>
          <w:sz w:val="20"/>
          <w:szCs w:val="20"/>
          <w:color w:val="auto"/>
        </w:rPr>
        <w:t>” shall mean the International Brotherhood of Teamsters.</w:t>
      </w:r>
    </w:p>
    <w:p>
      <w:pPr>
        <w:spacing w:after="0" w:line="2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IBT Agreement</w:t>
      </w:r>
      <w:r>
        <w:rPr>
          <w:rFonts w:ascii="Arial" w:cs="Arial" w:eastAsia="Arial" w:hAnsi="Arial"/>
          <w:sz w:val="20"/>
          <w:szCs w:val="20"/>
          <w:color w:val="auto"/>
        </w:rPr>
        <w:t>” shall mean that certain National Master Freight Agreement, effective April 1, 2019, among the IBT, YRC Inc. (formerly, Yellow Transportation, Inc. and Roadway Express, Inc.), USF Holland LLC and New Penn Motor Express LLC, as amended, restated, modified, supplemented, extended, renewed or replaced from time to time.</w:t>
      </w:r>
    </w:p>
    <w:p>
      <w:pPr>
        <w:spacing w:after="0" w:line="17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IBT Extension Agreement</w:t>
      </w:r>
      <w:r>
        <w:rPr>
          <w:rFonts w:ascii="Arial" w:cs="Arial" w:eastAsia="Arial" w:hAnsi="Arial"/>
          <w:sz w:val="20"/>
          <w:szCs w:val="20"/>
          <w:color w:val="auto"/>
        </w:rPr>
        <w:t>” shall mean that certain Extension of the Agreement for the Restructuring of the YRC Worldwide Inc. Operating Companies, by and among YRC Inc., USF Holland, Inc., New Penn Motor Express, Inc., USF Reddaway and the Teamsters National Freight Industry Negotiating Committee of the IBT.</w:t>
      </w:r>
    </w:p>
    <w:p>
      <w:pPr>
        <w:spacing w:after="0" w:line="17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IBT Transactions</w:t>
      </w:r>
      <w:r>
        <w:rPr>
          <w:rFonts w:ascii="Arial" w:cs="Arial" w:eastAsia="Arial" w:hAnsi="Arial"/>
          <w:sz w:val="20"/>
          <w:szCs w:val="20"/>
          <w:color w:val="auto"/>
        </w:rPr>
        <w:t>” shall mean the modification and extension through March 31, 2024 or any date thereafter, including pursuant to a subsequent modification, extension, approval and ratification, of the IBT Agreement, and the approval and ratification of the IBT Extension Agreement by the members of the IBT in accordance in all material respects with all applicable laws, rules, regulations and other requirements relating thereto.</w:t>
      </w:r>
    </w:p>
    <w:p>
      <w:pPr>
        <w:spacing w:after="0" w:line="183"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Immaterial Subsidiary</w:t>
      </w:r>
      <w:r>
        <w:rPr>
          <w:rFonts w:ascii="Arial" w:cs="Arial" w:eastAsia="Arial" w:hAnsi="Arial"/>
          <w:sz w:val="18"/>
          <w:szCs w:val="18"/>
          <w:color w:val="auto"/>
        </w:rPr>
        <w:t xml:space="preserve">” shall mean any Subsidiary of the Borrower that does not individually have total assets or revenues (for the period of four fiscal quarters most recently ended) that exceed 1.0% of the Borrower’s total assets or revenues as of the end of each fiscal quarter (in the case of revenues, for the period of four fiscal quarters ending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assets or revenues (for the period of four fiscal quarters most recently ended) of such Subsidiaries shall not at any time exceed 2.5% of the Borrower’s total assets or revenues as of the end of each fiscal quarter (in the case of revenues, for the period of four fiscal quarters ending on such date);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if, as of the date the financial statements for any fiscal quarter of the Borrower are delivered or required to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the consolidated assets or revenues of all Restricted Subsidiaries so designated by the Borrower as “</w:t>
      </w:r>
      <w:r>
        <w:rPr>
          <w:rFonts w:ascii="Arial" w:cs="Arial" w:eastAsia="Arial" w:hAnsi="Arial"/>
          <w:sz w:val="18"/>
          <w:szCs w:val="18"/>
          <w:u w:val="single" w:color="auto"/>
          <w:color w:val="auto"/>
        </w:rPr>
        <w:t>Immaterial Subsidiaries</w:t>
      </w:r>
      <w:r>
        <w:rPr>
          <w:rFonts w:ascii="Arial" w:cs="Arial" w:eastAsia="Arial" w:hAnsi="Arial"/>
          <w:sz w:val="18"/>
          <w:szCs w:val="18"/>
          <w:color w:val="auto"/>
        </w:rPr>
        <w:t>” shall have, as of the last day of such fiscal quarter, exceeded the limits set forth above, then within 10 Business Days (or such later date as agreed by the Administrative Agent and the Required Lenders in their reasonable discretion) after the date such financial statements are so delivered (or so required to be delivered), the Borrower shall redesignate one or more Immaterial Subsidiaries, in each case in a written notice to the Required Lenders and Administrative Agent, such that, as a result thereof, the consolidated assets and revenues of all Restricted Subsidiaries that are still designated as “</w:t>
      </w:r>
      <w:r>
        <w:rPr>
          <w:rFonts w:ascii="Arial" w:cs="Arial" w:eastAsia="Arial" w:hAnsi="Arial"/>
          <w:sz w:val="18"/>
          <w:szCs w:val="18"/>
          <w:u w:val="single" w:color="auto"/>
          <w:color w:val="auto"/>
        </w:rPr>
        <w:t>Immaterial Subsidiaries</w:t>
      </w:r>
      <w:r>
        <w:rPr>
          <w:rFonts w:ascii="Arial" w:cs="Arial" w:eastAsia="Arial" w:hAnsi="Arial"/>
          <w:sz w:val="18"/>
          <w:szCs w:val="18"/>
          <w:color w:val="auto"/>
        </w:rPr>
        <w:t xml:space="preserve">” do not exceed such limits. Upon any such Restricted Subsidiary ceasing to be an Immaterial Subsidiary pursuant to the preceding sentence, such Restricted Subsidiary, to the extent not otherwise qualifying as an Excluded Subsidiary, shall comply with </w:t>
      </w:r>
      <w:r>
        <w:rPr>
          <w:rFonts w:ascii="Arial" w:cs="Arial" w:eastAsia="Arial" w:hAnsi="Arial"/>
          <w:sz w:val="18"/>
          <w:szCs w:val="18"/>
          <w:u w:val="single" w:color="auto"/>
          <w:color w:val="auto"/>
        </w:rPr>
        <w:t>Section 6.11</w:t>
      </w:r>
      <w:r>
        <w:rPr>
          <w:rFonts w:ascii="Arial" w:cs="Arial" w:eastAsia="Arial" w:hAnsi="Arial"/>
          <w:sz w:val="18"/>
          <w:szCs w:val="18"/>
          <w:color w:val="auto"/>
        </w:rPr>
        <w:t>, to the extent applicable.</w:t>
      </w:r>
    </w:p>
    <w:p>
      <w:pPr>
        <w:spacing w:after="0" w:line="169"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Indebtedness</w:t>
      </w:r>
      <w:r>
        <w:rPr>
          <w:rFonts w:ascii="Arial" w:cs="Arial" w:eastAsia="Arial" w:hAnsi="Arial"/>
          <w:sz w:val="20"/>
          <w:szCs w:val="20"/>
          <w:color w:val="auto"/>
        </w:rPr>
        <w:t>” shall mean, as to any Person at a particular time, without duplication and without reference to what constitutes indebtedness or a liability in accordance with GAAP, all of the following:</w:t>
      </w:r>
    </w:p>
    <w:p>
      <w:pPr>
        <w:spacing w:after="0" w:line="169" w:lineRule="exact"/>
        <w:rPr>
          <w:sz w:val="20"/>
          <w:szCs w:val="20"/>
          <w:color w:val="auto"/>
        </w:rPr>
      </w:pPr>
    </w:p>
    <w:p>
      <w:pPr>
        <w:ind w:firstLine="757"/>
        <w:spacing w:after="0" w:line="260" w:lineRule="auto"/>
        <w:tabs>
          <w:tab w:leader="none" w:pos="1035" w:val="left"/>
        </w:tabs>
        <w:numPr>
          <w:ilvl w:val="0"/>
          <w:numId w:val="47"/>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76" w:lineRule="exact"/>
        <w:rPr>
          <w:rFonts w:ascii="Arial" w:cs="Arial" w:eastAsia="Arial" w:hAnsi="Arial"/>
          <w:sz w:val="20"/>
          <w:szCs w:val="20"/>
          <w:color w:val="auto"/>
        </w:rPr>
      </w:pPr>
    </w:p>
    <w:p>
      <w:pPr>
        <w:jc w:val="both"/>
        <w:ind w:firstLine="757"/>
        <w:spacing w:after="0" w:line="250" w:lineRule="auto"/>
        <w:tabs>
          <w:tab w:leader="none" w:pos="1075"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w:t>
      </w:r>
    </w:p>
    <w:p>
      <w:pPr>
        <w:spacing w:after="0" w:line="185" w:lineRule="exact"/>
        <w:rPr>
          <w:rFonts w:ascii="Arial" w:cs="Arial" w:eastAsia="Arial" w:hAnsi="Arial"/>
          <w:sz w:val="20"/>
          <w:szCs w:val="20"/>
          <w:color w:val="auto"/>
        </w:rPr>
      </w:pPr>
    </w:p>
    <w:p>
      <w:pPr>
        <w:ind w:left="1240" w:hanging="483"/>
        <w:spacing w:after="0"/>
        <w:tabs>
          <w:tab w:leader="none" w:pos="12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net obligations of such Person under any Swap Contract;</w:t>
      </w:r>
    </w:p>
    <w:p>
      <w:pPr>
        <w:spacing w:after="0" w:line="215" w:lineRule="exact"/>
        <w:rPr>
          <w:rFonts w:ascii="Arial" w:cs="Arial" w:eastAsia="Arial" w:hAnsi="Arial"/>
          <w:sz w:val="20"/>
          <w:szCs w:val="20"/>
          <w:color w:val="auto"/>
        </w:rPr>
      </w:pPr>
    </w:p>
    <w:p>
      <w:pPr>
        <w:ind w:left="1040" w:hanging="283"/>
        <w:spacing w:after="0"/>
        <w:tabs>
          <w:tab w:leader="none" w:pos="10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purchase price of property or services;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jc w:val="both"/>
        <w:ind w:firstLine="757"/>
        <w:spacing w:after="0" w:line="246" w:lineRule="auto"/>
        <w:tabs>
          <w:tab w:leader="none" w:pos="1239"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indebtedness (excluding prepaid interest thereon) described in clauses (a) through (d) and (f) through (h)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191" w:lineRule="exact"/>
        <w:rPr>
          <w:rFonts w:ascii="Arial" w:cs="Arial" w:eastAsia="Arial" w:hAnsi="Arial"/>
          <w:sz w:val="20"/>
          <w:szCs w:val="20"/>
          <w:color w:val="auto"/>
        </w:rPr>
      </w:pPr>
    </w:p>
    <w:p>
      <w:pPr>
        <w:ind w:left="1200" w:hanging="443"/>
        <w:spacing w:after="0"/>
        <w:tabs>
          <w:tab w:leader="none" w:pos="12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all Attributable Indebtedness;</w:t>
      </w:r>
    </w:p>
    <w:p>
      <w:pPr>
        <w:spacing w:after="0" w:line="215" w:lineRule="exact"/>
        <w:rPr>
          <w:rFonts w:ascii="Arial" w:cs="Arial" w:eastAsia="Arial" w:hAnsi="Arial"/>
          <w:sz w:val="20"/>
          <w:szCs w:val="20"/>
          <w:color w:val="auto"/>
        </w:rPr>
      </w:pPr>
    </w:p>
    <w:p>
      <w:pPr>
        <w:jc w:val="both"/>
        <w:ind w:firstLine="757"/>
        <w:spacing w:after="0" w:line="250" w:lineRule="auto"/>
        <w:tabs>
          <w:tab w:leader="none" w:pos="1043" w:val="left"/>
        </w:tabs>
        <w:numPr>
          <w:ilvl w:val="0"/>
          <w:numId w:val="48"/>
        </w:numPr>
        <w:rPr>
          <w:rFonts w:ascii="Arial" w:cs="Arial" w:eastAsia="Arial" w:hAnsi="Arial"/>
          <w:sz w:val="20"/>
          <w:szCs w:val="20"/>
          <w:color w:val="auto"/>
        </w:rPr>
      </w:pPr>
      <w:r>
        <w:rPr>
          <w:rFonts w:ascii="Arial" w:cs="Arial" w:eastAsia="Arial" w:hAnsi="Arial"/>
          <w:sz w:val="20"/>
          <w:szCs w:val="20"/>
          <w:color w:val="auto"/>
        </w:rPr>
        <w:t>all obligations of such Person to purchase, redeem, retire or otherwise acquire for value any Disqualified Equity Interests (but solely to the extent required to occur on or prior to the Latest Maturity Date (other than as a result of a change of control, asset sale or similar event)); and</w:t>
      </w:r>
    </w:p>
    <w:p>
      <w:pPr>
        <w:spacing w:after="0" w:line="185" w:lineRule="exact"/>
        <w:rPr>
          <w:rFonts w:ascii="Arial" w:cs="Arial" w:eastAsia="Arial" w:hAnsi="Arial"/>
          <w:sz w:val="20"/>
          <w:szCs w:val="20"/>
          <w:color w:val="auto"/>
        </w:rPr>
      </w:pPr>
    </w:p>
    <w:p>
      <w:pPr>
        <w:ind w:left="1040" w:hanging="283"/>
        <w:spacing w:after="0"/>
        <w:tabs>
          <w:tab w:leader="none" w:pos="10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to the extent not otherwise included above, all Guarantees of such Person in respect of any of the foregoing.</w:t>
      </w:r>
    </w:p>
    <w:p>
      <w:pPr>
        <w:spacing w:after="0" w:line="21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For all purposes hereof, the Indebtedness of any Person (i) shall include the Indebtedness of any partnership or joint venture (other than a joint venture that is itself a corporation or limited liability company) in which such Person is a general partner or joint venturer, except to the extent such Person’s liability for such Indebtedness is otherwise expressly contractually limited and only to the extent such Indebtedness would be included in the calculation of Consolidated Total Debt and (ii) shall exclude (A) trade accounts payable in the ordinary course of business, (B) any earn-out obligation until such earn-out obligation has become due and payable, (C) any current and undeferred pension contributions or health and welfare contributions due from such Person and/or its applicable Subsidiaries to any Pension Fund Entity, (D) liabilities accrued in the ordinary course, (E) deferred revenues, liabilities associated with customer prepayments and deposits and any such obligations incurred under ERISA, and other accrued obligations (including transfer pricing), in each case incurred in the ordinary course of business, (F) operating leases, (G) customary obligations under employment agreements and deferred compensation and (H) deferred tax liabilities. The amount of any net obligation under any Swap Contract on any date shall be deemed to be the Swap Termination Value thereof as of such date. The amount of Indebtedness of any Person for purposes of clause (e) that is limited in recourse to the property encumbered thereby shall be deemed to be equal to the lesser of (i) the aggregate unpaid amount of such Indebtedness and (ii) the fair market value of the property encumbered thereby as determined by such Person in good faith.</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Indemnified Taxes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3.01(a)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Indemnitee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10.05(b)</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Information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10.16</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Budget</w:t>
      </w:r>
      <w:r>
        <w:rPr>
          <w:rFonts w:ascii="Arial" w:cs="Arial" w:eastAsia="Arial" w:hAnsi="Arial"/>
          <w:sz w:val="20"/>
          <w:szCs w:val="20"/>
          <w:color w:val="auto"/>
        </w:rPr>
        <w:t xml:space="preserve"> ” shall mean the initial 13-week consolidated weekly operating budget of the Borrower and its Subsidiaries setting forth projected operating receipts, vendor disbursements, net operating cash flow and Liquidity for the periods described therein prepared by management of the Borrower, covering the period commencing on or about the Amendment No. 3 Effective Date in form and substance acceptable to the Required Lenders.</w:t>
      </w:r>
    </w:p>
    <w:p>
      <w:pPr>
        <w:spacing w:after="0" w:line="18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 Security Agreement</w:t>
      </w:r>
      <w:r>
        <w:rPr>
          <w:rFonts w:ascii="Arial" w:cs="Arial" w:eastAsia="Arial" w:hAnsi="Arial"/>
          <w:sz w:val="20"/>
          <w:szCs w:val="20"/>
          <w:color w:val="auto"/>
        </w:rPr>
        <w:t>” shall have the meaning assigned to such term “Grant of Security Interest” in the Security Agreement.</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Intercompany Note</w:t>
      </w:r>
      <w:r>
        <w:rPr>
          <w:rFonts w:ascii="Arial" w:cs="Arial" w:eastAsia="Arial" w:hAnsi="Arial"/>
          <w:sz w:val="20"/>
          <w:szCs w:val="20"/>
          <w:color w:val="auto"/>
        </w:rPr>
        <w:t>” shall mean (i) for existing promissory notes as of the Restatement Effective Date, each promissory note (or amended and restated promissory note) with subordination language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5" w:name="page66"/>
    <w:bookmarkEnd w:id="65"/>
    <w:p>
      <w:pPr>
        <w:jc w:val="both"/>
        <w:spacing w:after="0" w:line="260" w:lineRule="auto"/>
        <w:rPr>
          <w:sz w:val="20"/>
          <w:szCs w:val="20"/>
          <w:color w:val="auto"/>
        </w:rPr>
      </w:pPr>
      <w:r>
        <w:rPr>
          <w:rFonts w:ascii="Arial" w:cs="Arial" w:eastAsia="Arial" w:hAnsi="Arial"/>
          <w:sz w:val="20"/>
          <w:szCs w:val="20"/>
          <w:color w:val="auto"/>
        </w:rPr>
        <w:t xml:space="preserve">reasonably acceptable to the Required Lenders and (ii) for promissory notes issued after the Restatement Effective Date, a promissory note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171"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Intercreditor Agreement”</w:t>
      </w:r>
      <w:r>
        <w:rPr>
          <w:rFonts w:ascii="Arial" w:cs="Arial" w:eastAsia="Arial" w:hAnsi="Arial"/>
          <w:sz w:val="20"/>
          <w:szCs w:val="20"/>
          <w:color w:val="auto"/>
        </w:rPr>
        <w:t xml:space="preserve"> shall include all permitted intercreditor agreements (including the ABL Intercreditor Agreement and any Junior Lien Intercreditor Agreement).</w:t>
      </w:r>
    </w:p>
    <w:p>
      <w:pPr>
        <w:spacing w:after="0" w:line="163"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shall mean (a) with respect to any ABR Loan, the last Business Day of each March, June, September and December, and (b) with respect to any SOFR Loan, the last day of the Interest Period applicable to the Borrowing of which such Loan is a part and, in the case of a SOFR Borrowing with an Interest Period of more than three months’ duration, each day that would have been an Interest Payment Date had successive Interest Periods of three months’ duration been applicable to such Borrowing.</w:t>
      </w:r>
    </w:p>
    <w:p>
      <w:pPr>
        <w:spacing w:after="0" w:line="15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Period</w:t>
      </w:r>
      <w:r>
        <w:rPr>
          <w:rFonts w:ascii="Arial" w:cs="Arial" w:eastAsia="Arial" w:hAnsi="Arial"/>
          <w:sz w:val="19"/>
          <w:szCs w:val="19"/>
          <w:color w:val="auto"/>
        </w:rPr>
        <w:t xml:space="preserve">” shall mean, with respect to any SOFR Borrowing, the period commencing on the date of such Borrowing and ending on the numerically corresponding day (or, if there is no numerically corresponding day, on the last Business Day) in the calendar month that is 1, 3 or 6 months thereafter, as the Borrower may elect; </w:t>
      </w:r>
      <w:r>
        <w:rPr>
          <w:rFonts w:ascii="Arial" w:cs="Arial" w:eastAsia="Arial" w:hAnsi="Arial"/>
          <w:sz w:val="19"/>
          <w:szCs w:val="19"/>
          <w:i w:val="1"/>
          <w:iCs w:val="1"/>
          <w:color w:val="auto"/>
        </w:rPr>
        <w:t>provided, however</w:t>
      </w:r>
      <w:r>
        <w:rPr>
          <w:rFonts w:ascii="Arial" w:cs="Arial" w:eastAsia="Arial" w:hAnsi="Arial"/>
          <w:sz w:val="19"/>
          <w:szCs w:val="19"/>
          <w:color w:val="auto"/>
        </w:rPr>
        <w:t>,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 (c) no Interest Period for any Loan shall extend beyond the maturity date of such Loan. Interest shall accrue from and including the first day of an Interest Period to but excluding the last day of such Interest Period. For purposes hereof, the date of a Borrowing initially shall be the date on which such Borrowing is made and thereafter shall be the effective date of the most recent conversion or continuation of such Borrowing.</w:t>
      </w:r>
    </w:p>
    <w:p>
      <w:pPr>
        <w:spacing w:after="0" w:line="17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Internally Generated Cash</w:t>
      </w:r>
      <w:r>
        <w:rPr>
          <w:rFonts w:ascii="Arial" w:cs="Arial" w:eastAsia="Arial" w:hAnsi="Arial"/>
          <w:sz w:val="19"/>
          <w:szCs w:val="19"/>
          <w:color w:val="auto"/>
        </w:rPr>
        <w:t>” shall mean cash resulting from operations of the Borrower and the Restricted Subsidiaries and not constituting (x) proceeds of the issuance of (or contributions in respect of) Equity Interests, (y) proceeds of Dispositions (other than in the ordinary course of business) and Casualty Events or (z) proceeds of the incurrence of Indebtedness.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shall mean, as to any Person, any direct or indirect acquisition or investment by such Person, whether by means of</w:t>
      </w:r>
    </w:p>
    <w:p>
      <w:pPr>
        <w:spacing w:after="0" w:line="45" w:lineRule="exact"/>
        <w:rPr>
          <w:sz w:val="20"/>
          <w:szCs w:val="20"/>
          <w:color w:val="auto"/>
        </w:rPr>
      </w:pPr>
    </w:p>
    <w:p>
      <w:pPr>
        <w:jc w:val="both"/>
        <w:ind w:firstLine="8"/>
        <w:spacing w:after="0" w:line="268" w:lineRule="auto"/>
        <w:tabs>
          <w:tab w:leader="none" w:pos="313"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related transactions) of all or substantially all of the property and assets or business of another Person or assets constituting a business unit, line of business or division of such Person. For purposes of covenant compliance, (i) the amount of any Investment shall equal (A) the amount actually invested, without adjustment for subsequent increases or decreases in the value of such Investment </w:t>
      </w:r>
      <w:r>
        <w:rPr>
          <w:rFonts w:ascii="Arial" w:cs="Arial" w:eastAsia="Arial" w:hAnsi="Arial"/>
          <w:sz w:val="18"/>
          <w:szCs w:val="18"/>
          <w:u w:val="single" w:color="auto"/>
          <w:color w:val="auto"/>
        </w:rPr>
        <w:t>minus</w:t>
      </w:r>
      <w:r>
        <w:rPr>
          <w:rFonts w:ascii="Arial" w:cs="Arial" w:eastAsia="Arial" w:hAnsi="Arial"/>
          <w:sz w:val="18"/>
          <w:szCs w:val="18"/>
          <w:color w:val="auto"/>
        </w:rPr>
        <w:t>, except for purposes of calculating the Cumulative Credit, (B) the aggregate amount of dividends, distributions or other payments received in cash in respect of such Investment (including by way of a sale or other disposition of such Investment) but not in excess of the original amount invested and (ii) the fair market value of any and all Investments (which for the avoidance of doubt shall include all debt, equity and other items described in the foregoing provisions of this definition) held by any Loan Party in any Guarantor that becomes an Excluded Subsidiary pursuant to clause (a) of the definition of “Excluded Subsidiary” shall be deemed to be an Investment incurred on the date such Guarantor becomes an Excluded Subsidiary pursuant to clause (a) of the definition of “Excluded Subsidiary”.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6" w:name="page67"/>
    <w:bookmarkEnd w:id="66"/>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Junior Financing</w:t>
      </w:r>
      <w:r>
        <w:rPr>
          <w:rFonts w:ascii="Arial" w:cs="Arial" w:eastAsia="Arial" w:hAnsi="Arial"/>
          <w:sz w:val="20"/>
          <w:szCs w:val="20"/>
          <w:color w:val="auto"/>
        </w:rPr>
        <w:t>” shall mean any unsecured Indebtedness incurred by the Borrower or a Guarantor in the form of one or more series of unsecured notes or loans having an outstanding aggregate principal amount of not less than the Threshold Amount and any Subordinated Indebtedness (for greater certainty, not including the ABL Facility Indebtedness, the UST Tranche A Facility Indebtedness or the UST Tranche B Facility Indebtedness).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Junior Financing Documentation</w:t>
      </w:r>
      <w:r>
        <w:rPr>
          <w:rFonts w:ascii="Arial" w:cs="Arial" w:eastAsia="Arial" w:hAnsi="Arial"/>
          <w:sz w:val="20"/>
          <w:szCs w:val="20"/>
          <w:color w:val="auto"/>
        </w:rPr>
        <w:t>” shall mean any documentation governing any Junior Financing.</w:t>
      </w:r>
    </w:p>
    <w:p>
      <w:pPr>
        <w:spacing w:after="0" w:line="2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Junior Lien Intercreditor Agreement</w:t>
      </w:r>
      <w:r>
        <w:rPr>
          <w:rFonts w:ascii="Arial" w:cs="Arial" w:eastAsia="Arial" w:hAnsi="Arial"/>
          <w:sz w:val="20"/>
          <w:szCs w:val="20"/>
          <w:color w:val="auto"/>
        </w:rPr>
        <w:t>” shall mean a “junior lien” intercreditor agreement among the Collateral Agent and one or more Junior Lien Representatives for holders of Permitted Junior Priority Additional Debt, in form and substance reasonably satisfactory to the Required Lenders and the Borrower.</w:t>
      </w:r>
    </w:p>
    <w:p>
      <w:pPr>
        <w:spacing w:after="0" w:line="17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Junior Lien Representative</w:t>
      </w:r>
      <w:r>
        <w:rPr>
          <w:rFonts w:ascii="Arial" w:cs="Arial" w:eastAsia="Arial" w:hAnsi="Arial"/>
          <w:sz w:val="19"/>
          <w:szCs w:val="19"/>
          <w:color w:val="auto"/>
        </w:rPr>
        <w:t>” shall mean, with respect to any series of Permitted Junior Priority Additional Debt,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Latest Maturity Date</w:t>
      </w:r>
      <w:r>
        <w:rPr>
          <w:rFonts w:ascii="Arial" w:cs="Arial" w:eastAsia="Arial" w:hAnsi="Arial"/>
          <w:sz w:val="20"/>
          <w:szCs w:val="20"/>
          <w:color w:val="auto"/>
        </w:rPr>
        <w:t>” shall mean, at any date of determination, the latest maturity or expiration date applicable to any Loan hereunder at such time, including the latest maturity or expiration date of any Tranche B-2 Term Loan, any Other Term Loan or any Extended Term Loan, in each case as extended in accordance with this Agreement from time to time.</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Laws</w:t>
      </w:r>
      <w:r>
        <w:rPr>
          <w:rFonts w:ascii="Arial" w:cs="Arial" w:eastAsia="Arial" w:hAnsi="Arial"/>
          <w:sz w:val="20"/>
          <w:szCs w:val="20"/>
          <w:color w:val="auto"/>
        </w:rPr>
        <w:t>” shall mean, collectively, all international, foreign, federal, state and local laws (including common law),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requirements, and agreements with, any Governmental Authority.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Leasehold Property</w:t>
      </w:r>
      <w:r>
        <w:rPr>
          <w:rFonts w:ascii="Arial" w:cs="Arial" w:eastAsia="Arial" w:hAnsi="Arial"/>
          <w:sz w:val="19"/>
          <w:szCs w:val="19"/>
          <w:color w:val="auto"/>
        </w:rPr>
        <w:t>” shall mean any leasehold interest of any Loan Party as lessee under any lease of Real Property.</w:t>
      </w:r>
    </w:p>
    <w:p>
      <w:pPr>
        <w:spacing w:after="0" w:line="22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Lender</w:t>
      </w:r>
      <w:r>
        <w:rPr>
          <w:rFonts w:ascii="Arial" w:cs="Arial" w:eastAsia="Arial" w:hAnsi="Arial"/>
          <w:sz w:val="20"/>
          <w:szCs w:val="20"/>
          <w:color w:val="auto"/>
        </w:rPr>
        <w:t xml:space="preserve">” shall mean each lender from time to time party hereto. For avoidance of doubt, each Additional Lender is a Lender to the extent any such Person has executed and delivered a Refinancing Amendment, as the case may be, and to the extent such Refinancing Amendment shall have become effective in accordance with the terms hereof and thereof. As of the Restatement Effective Date,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w:t>
      </w:r>
      <w:r>
        <w:rPr>
          <w:rFonts w:ascii="Arial" w:cs="Arial" w:eastAsia="Arial" w:hAnsi="Arial"/>
          <w:sz w:val="20"/>
          <w:szCs w:val="20"/>
          <w:u w:val="single" w:color="auto"/>
          <w:color w:val="auto"/>
        </w:rPr>
        <w:t>2.01</w:t>
      </w:r>
      <w:r>
        <w:rPr>
          <w:rFonts w:ascii="Arial" w:cs="Arial" w:eastAsia="Arial" w:hAnsi="Arial"/>
          <w:sz w:val="20"/>
          <w:szCs w:val="20"/>
          <w:color w:val="auto"/>
        </w:rPr>
        <w:t xml:space="preserve"> sets forth the name of each Lender.</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Lender Indemnitees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10.05(b)</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shall mean any mortgage, deed of trust, pledge, hypothecation, collateral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Capitalized Lease or financing lease having substantially the same economic effect as any of the foregoing).</w:t>
      </w:r>
    </w:p>
    <w:p>
      <w:pPr>
        <w:spacing w:after="0" w:line="15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Liquidity</w:t>
      </w:r>
      <w:r>
        <w:rPr>
          <w:rFonts w:ascii="Arial" w:cs="Arial" w:eastAsia="Arial" w:hAnsi="Arial"/>
          <w:sz w:val="20"/>
          <w:szCs w:val="20"/>
          <w:color w:val="auto"/>
        </w:rPr>
        <w:t>” shall mean, as of any date of determination, the sum of (A) unrestricted cash and Cash Equivalents of the Loan Parties as of such date held in deposit and securities accounts covered by Control Agreements in favor of the Collateral Agent (plus, (i) cash and Cash Equivalents in Deposit Accounts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p>
      <w:pPr>
        <w:jc w:val="both"/>
        <w:spacing w:after="0" w:line="257" w:lineRule="auto"/>
        <w:rPr>
          <w:sz w:val="20"/>
          <w:szCs w:val="20"/>
          <w:color w:val="auto"/>
        </w:rPr>
      </w:pPr>
      <w:r>
        <w:rPr>
          <w:rFonts w:ascii="Arial" w:cs="Arial" w:eastAsia="Arial" w:hAnsi="Arial"/>
          <w:sz w:val="19"/>
          <w:szCs w:val="19"/>
          <w:color w:val="auto"/>
        </w:rPr>
        <w:t>specifically and exclusively used for payroll, payroll taxes and other employee wage and benefit payments to or for the benefit of the Loan Parties’ salaried employees and (ii) cash and Cash Equivalents applied by the Loan Parties for cash deposits in connection with trade contracts, in an aggregate amount for clauses (i) and (ii) not to exceed $7,500,000 as of such date) and (B) the aggregate amount of “Availability” under the ABL Credit Agreement (as such term is defined in the ABL Credit Agreement as in effect as of the Amendment No. 3 Effective Date and without giving effect to proviso in such definition) so long the conditions for utilizing have been satisfied (including compliance with any borrowing base thereunder) other than with respect to the delivery of a borrowing request or similar funding notice, which the Borrower is permitted to deliver. For the avoidance of doubt, Liquidity shall not include cash and Cash Equivalents held in the UST Tranche A Controlled Account or the UST Tranche B Controlled Account.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Liquidity Report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6.02(m)</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w:t>
      </w:r>
      <w:r>
        <w:rPr>
          <w:rFonts w:ascii="Arial" w:cs="Arial" w:eastAsia="Arial" w:hAnsi="Arial"/>
          <w:sz w:val="20"/>
          <w:szCs w:val="20"/>
          <w:color w:val="auto"/>
        </w:rPr>
        <w:t>” shall mean any Term Loan.</w:t>
      </w:r>
    </w:p>
    <w:p>
      <w:pPr>
        <w:spacing w:after="0" w:line="21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 Documents</w:t>
      </w:r>
      <w:r>
        <w:rPr>
          <w:rFonts w:ascii="Arial" w:cs="Arial" w:eastAsia="Arial" w:hAnsi="Arial"/>
          <w:sz w:val="20"/>
          <w:szCs w:val="20"/>
          <w:color w:val="auto"/>
        </w:rPr>
        <w:t xml:space="preserve">” shall mean this Agreement (including, without limitation, any amendments to and consents and waivers under this Agreement), the Collateral Documents, the Custodial Administration Agreement, the Fee Letter, the Administrative Fee Letter, each Refinancing Amendment, each Extension Offer and each amendment of any Loan Document in connection therewith, and the Term Notes, if any, executed and delivered pursuant to </w:t>
      </w:r>
      <w:r>
        <w:rPr>
          <w:rFonts w:ascii="Arial" w:cs="Arial" w:eastAsia="Arial" w:hAnsi="Arial"/>
          <w:sz w:val="20"/>
          <w:szCs w:val="20"/>
          <w:u w:val="single" w:color="auto"/>
          <w:color w:val="auto"/>
        </w:rPr>
        <w:t>Section 2.04(e)</w:t>
      </w:r>
      <w:r>
        <w:rPr>
          <w:rFonts w:ascii="Arial" w:cs="Arial" w:eastAsia="Arial" w:hAnsi="Arial"/>
          <w:sz w:val="20"/>
          <w:szCs w:val="20"/>
          <w:color w:val="auto"/>
        </w:rPr>
        <w:t>.</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 Parties</w:t>
      </w:r>
      <w:r>
        <w:rPr>
          <w:rFonts w:ascii="Arial" w:cs="Arial" w:eastAsia="Arial" w:hAnsi="Arial"/>
          <w:sz w:val="20"/>
          <w:szCs w:val="20"/>
          <w:color w:val="auto"/>
        </w:rPr>
        <w:t>” shall mean, collectively, the Borrower and each Guarantor.</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Margin Stock</w:t>
      </w:r>
      <w:r>
        <w:rPr>
          <w:rFonts w:ascii="Arial" w:cs="Arial" w:eastAsia="Arial" w:hAnsi="Arial"/>
          <w:sz w:val="20"/>
          <w:szCs w:val="20"/>
          <w:color w:val="auto"/>
        </w:rPr>
        <w:t>” shall have the meaning assigned to such term in Regulation U.</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Master Agreement</w:t>
      </w:r>
      <w:r>
        <w:rPr>
          <w:rFonts w:ascii="Arial" w:cs="Arial" w:eastAsia="Arial" w:hAnsi="Arial"/>
          <w:sz w:val="20"/>
          <w:szCs w:val="20"/>
          <w:color w:val="auto"/>
        </w:rPr>
        <w:t>” shall have the meaning specified in the definition of “</w:t>
      </w:r>
      <w:r>
        <w:rPr>
          <w:rFonts w:ascii="Arial" w:cs="Arial" w:eastAsia="Arial" w:hAnsi="Arial"/>
          <w:sz w:val="20"/>
          <w:szCs w:val="20"/>
          <w:b w:val="1"/>
          <w:bCs w:val="1"/>
          <w:color w:val="auto"/>
        </w:rPr>
        <w:t>Swap Contract</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Adverse Effect</w:t>
      </w:r>
      <w:r>
        <w:rPr>
          <w:rFonts w:ascii="Arial" w:cs="Arial" w:eastAsia="Arial" w:hAnsi="Arial"/>
          <w:sz w:val="20"/>
          <w:szCs w:val="20"/>
          <w:color w:val="auto"/>
        </w:rPr>
        <w:t xml:space="preserve">” shall mean a (a) material adverse effect on the business, operations, assets, liabilities (actual or contingent), operating results or financial condition of the Borrower and its Restricted Subsidiaries, taken as a whole; (b) material adverse effect on the ability of the Loan Parties (taken as a whole) to fully and timely perform their payment obligations under the Loan Documents to which the Borrower or any of the Loan Parties is a party; or (c) material adverse effect on the rights and remedies available to the Lenders, the Administrative Agent or the Collateral Agent under any Loan Document (other than due to the action or inaction of any Agent or any Lender); </w:t>
      </w:r>
      <w:r>
        <w:rPr>
          <w:rFonts w:ascii="Arial" w:cs="Arial" w:eastAsia="Arial" w:hAnsi="Arial"/>
          <w:sz w:val="20"/>
          <w:szCs w:val="20"/>
          <w:i w:val="1"/>
          <w:iCs w:val="1"/>
          <w:color w:val="auto"/>
        </w:rPr>
        <w:t>provided</w:t>
      </w:r>
      <w:r>
        <w:rPr>
          <w:rFonts w:ascii="Arial" w:cs="Arial" w:eastAsia="Arial" w:hAnsi="Arial"/>
          <w:sz w:val="20"/>
          <w:szCs w:val="20"/>
          <w:color w:val="auto"/>
        </w:rPr>
        <w:t>, that with respect to the foregoing clause (a), the impacts of COVID 19 on the business, operations, assets, liabilities (actual or contingent), operating results or financial condition of Borrower and its Restricted Subsidiaries, taken as a whole, will be disregarded.</w:t>
      </w:r>
    </w:p>
    <w:p>
      <w:pPr>
        <w:spacing w:after="0" w:line="189"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Real Property</w:t>
      </w:r>
      <w:r>
        <w:rPr>
          <w:rFonts w:ascii="Arial" w:cs="Arial" w:eastAsia="Arial" w:hAnsi="Arial"/>
          <w:sz w:val="20"/>
          <w:szCs w:val="20"/>
          <w:color w:val="auto"/>
        </w:rPr>
        <w:t>” shall mean each Real Property that is (i) owned in fee by a Loan Party, (ii) located in the United States and (iii) not an Excluded Real Property.</w:t>
      </w:r>
    </w:p>
    <w:p>
      <w:pPr>
        <w:spacing w:after="0" w:line="16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Maturity Date</w:t>
      </w:r>
      <w:r>
        <w:rPr>
          <w:rFonts w:ascii="Arial" w:cs="Arial" w:eastAsia="Arial" w:hAnsi="Arial"/>
          <w:sz w:val="20"/>
          <w:szCs w:val="20"/>
          <w:color w:val="auto"/>
        </w:rPr>
        <w:t xml:space="preserve">” shall mean, (i) with respect to the Tranche B-2 Term Loans, June 30, 2024 (the “ </w:t>
      </w:r>
      <w:r>
        <w:rPr>
          <w:rFonts w:ascii="Arial" w:cs="Arial" w:eastAsia="Arial" w:hAnsi="Arial"/>
          <w:sz w:val="20"/>
          <w:szCs w:val="20"/>
          <w:b w:val="1"/>
          <w:bCs w:val="1"/>
          <w:color w:val="auto"/>
        </w:rPr>
        <w:t>Original Term Loan Maturity</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(ii) with respect to any tranche of Extended Term Loans, the final maturity date as specified in the applicable Extension Offer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accepted by the respective Lender or Lenders and (iii) with respect to any Other Term Loans, the final maturity date as specified in the applicable Refinancing Amendment;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any such day is not a Business Day, the applicable Maturity Date shall be the Business Day immediately succeeding such day.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Maximum Rate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10.09</w:t>
      </w:r>
      <w:r>
        <w:rPr>
          <w:rFonts w:ascii="Arial" w:cs="Arial" w:eastAsia="Arial" w:hAnsi="Arial"/>
          <w:sz w:val="20"/>
          <w:szCs w:val="20"/>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68" w:name="page69"/>
    <w:bookmarkEnd w:id="68"/>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Minimum Extension Condition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2.19(b)</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MNPI</w:t>
      </w:r>
      <w:r>
        <w:rPr>
          <w:rFonts w:ascii="Arial" w:cs="Arial" w:eastAsia="Arial" w:hAnsi="Arial"/>
          <w:sz w:val="18"/>
          <w:szCs w:val="18"/>
          <w:color w:val="auto"/>
        </w:rPr>
        <w:t>” shall mean material information concerning the Borrower, Subsidiary or Controlled Affiliate of any of the foregoing or their securities that has not been disseminated in a manner making it available to investors generally, within the meaning of Regulation FD under the Securities Act and the Exchange Act. For purposes of this definition, “material information” means information concerning the Borrower, the Subsidiaries or any Controlled Affiliate of any of the foregoing or any of their securities that could reasonably be expected to be material for purposes of the United States Federal and State securities laws and, where applicable, foreign securities laws.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Moody’s</w:t>
      </w:r>
      <w:r>
        <w:rPr>
          <w:rFonts w:ascii="Arial" w:cs="Arial" w:eastAsia="Arial" w:hAnsi="Arial"/>
          <w:sz w:val="20"/>
          <w:szCs w:val="20"/>
          <w:color w:val="auto"/>
        </w:rPr>
        <w:t>” shall mean Moody’s Investors Service, Inc., or any successor thereto.</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Mortgage Policies</w:t>
      </w:r>
      <w:r>
        <w:rPr>
          <w:rFonts w:ascii="Arial" w:cs="Arial" w:eastAsia="Arial" w:hAnsi="Arial"/>
          <w:sz w:val="20"/>
          <w:szCs w:val="20"/>
          <w:color w:val="auto"/>
        </w:rPr>
        <w:t>” shall have the meaning specified in the definition of “Collateral and Guarantee Requirement.”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Mortgaged Property</w:t>
      </w:r>
      <w:r>
        <w:rPr>
          <w:rFonts w:ascii="Arial" w:cs="Arial" w:eastAsia="Arial" w:hAnsi="Arial"/>
          <w:sz w:val="20"/>
          <w:szCs w:val="20"/>
          <w:color w:val="auto"/>
        </w:rPr>
        <w:t xml:space="preserve">” shall have the meaning specified in the definition of “Collateral and Guarantee Requirement.” The Mortgaged Properties as of the Restatement Effective Date are set forth on </w:t>
      </w:r>
      <w:r>
        <w:rPr>
          <w:rFonts w:ascii="Arial" w:cs="Arial" w:eastAsia="Arial" w:hAnsi="Arial"/>
          <w:sz w:val="20"/>
          <w:szCs w:val="20"/>
          <w:u w:val="single" w:color="auto"/>
          <w:color w:val="auto"/>
        </w:rPr>
        <w:t>Schedule 1.01(c)</w:t>
      </w:r>
      <w:r>
        <w:rPr>
          <w:rFonts w:ascii="Arial" w:cs="Arial" w:eastAsia="Arial" w:hAnsi="Arial"/>
          <w:sz w:val="20"/>
          <w:szCs w:val="20"/>
          <w:color w:val="auto"/>
        </w:rPr>
        <w:t>.</w:t>
      </w:r>
    </w:p>
    <w:p>
      <w:pPr>
        <w:spacing w:after="0" w:line="163"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Mortgages</w:t>
      </w:r>
      <w:r>
        <w:rPr>
          <w:rFonts w:ascii="Arial" w:cs="Arial" w:eastAsia="Arial" w:hAnsi="Arial"/>
          <w:sz w:val="19"/>
          <w:szCs w:val="19"/>
          <w:color w:val="auto"/>
        </w:rPr>
        <w:t xml:space="preserve">” shall mean, collectively, the mortgages, deeds of trust, trust deeds, hypothecs deeds to secure debt and similar instruments by the Loan Parties in favor or for the benefit of the Collateral Agent on behalf of the Secured Parties creating and evidencing a Lien on a Mortgaged Property in form and substance reasonably satisfactory to the Required Lenders, Collateral Agent and the Borrower, and any other mortgages executed and delivered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t>
      </w:r>
      <w:r>
        <w:rPr>
          <w:rFonts w:ascii="Arial" w:cs="Arial" w:eastAsia="Arial" w:hAnsi="Arial"/>
          <w:sz w:val="19"/>
          <w:szCs w:val="19"/>
          <w:u w:val="single" w:color="auto"/>
          <w:color w:val="auto"/>
        </w:rPr>
        <w:t>6.11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6.13</w:t>
      </w:r>
      <w:r>
        <w:rPr>
          <w:rFonts w:ascii="Arial" w:cs="Arial" w:eastAsia="Arial" w:hAnsi="Arial"/>
          <w:sz w:val="19"/>
          <w:szCs w:val="19"/>
          <w:color w:val="auto"/>
        </w:rPr>
        <w:t>.</w:t>
      </w:r>
    </w:p>
    <w:p>
      <w:pPr>
        <w:spacing w:after="0" w:line="16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Multiemployer Plan</w:t>
      </w:r>
      <w:r>
        <w:rPr>
          <w:rFonts w:ascii="Arial" w:cs="Arial" w:eastAsia="Arial" w:hAnsi="Arial"/>
          <w:sz w:val="20"/>
          <w:szCs w:val="20"/>
          <w:color w:val="auto"/>
        </w:rPr>
        <w:t>” shall mean any multiemployer plan as defined in Section 4001(a)(3) of ERISA subject to the provisions of Title IV of ERISA to which a Loan Party, any Restricted Subsidiary or any of their respective ERISA Affiliates is an “employer” as defined in Section 3(5) of ERISA.</w:t>
      </w:r>
    </w:p>
    <w:p>
      <w:pPr>
        <w:spacing w:after="0" w:line="177"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Equity Proceeds</w:t>
      </w:r>
      <w:r>
        <w:rPr>
          <w:rFonts w:ascii="Arial" w:cs="Arial" w:eastAsia="Arial" w:hAnsi="Arial"/>
          <w:sz w:val="18"/>
          <w:szCs w:val="18"/>
          <w:color w:val="auto"/>
        </w:rPr>
        <w:t>” shall mean 50% of the cash proceeds from the issuance or sale by the Borrower (or contributions in respect) of any Equity Interests issued after the Restatement Effective Date, net of all taxes paid or reasonably estimated to be payable as a result thereof and fees (including investment banking fees and discounts), commissions, costs and other expenses, in each case incurred in connection with such issuance or sale, provided, that, if the amount of any estimated taxes exceeds the amount of taxes actually required to be paid in cash, the aggregate amount of such excess shall constitute Net Proceeds at the time such taxes are actually paid.</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Net Proceeds</w:t>
      </w:r>
      <w:r>
        <w:rPr>
          <w:rFonts w:ascii="Arial" w:cs="Arial" w:eastAsia="Arial" w:hAnsi="Arial"/>
          <w:sz w:val="20"/>
          <w:szCs w:val="20"/>
          <w:color w:val="auto"/>
        </w:rPr>
        <w:t>” shall mean:</w:t>
      </w:r>
    </w:p>
    <w:p>
      <w:pPr>
        <w:spacing w:after="0" w:line="222" w:lineRule="exact"/>
        <w:rPr>
          <w:sz w:val="20"/>
          <w:szCs w:val="20"/>
          <w:color w:val="auto"/>
        </w:rPr>
      </w:pPr>
    </w:p>
    <w:p>
      <w:pPr>
        <w:jc w:val="both"/>
        <w:ind w:firstLine="757"/>
        <w:spacing w:after="0" w:line="246" w:lineRule="auto"/>
        <w:tabs>
          <w:tab w:leader="none" w:pos="1207" w:val="left"/>
        </w:tabs>
        <w:numPr>
          <w:ilvl w:val="0"/>
          <w:numId w:val="50"/>
        </w:numPr>
        <w:rPr>
          <w:rFonts w:ascii="Arial" w:cs="Arial" w:eastAsia="Arial" w:hAnsi="Arial"/>
          <w:sz w:val="20"/>
          <w:szCs w:val="20"/>
          <w:color w:val="auto"/>
        </w:rPr>
      </w:pPr>
      <w:r>
        <w:rPr>
          <w:rFonts w:ascii="Arial" w:cs="Arial" w:eastAsia="Arial" w:hAnsi="Arial"/>
          <w:sz w:val="20"/>
          <w:szCs w:val="20"/>
          <w:color w:val="auto"/>
        </w:rPr>
        <w:t>100% of the cash proceeds actually received by the Borrower or any Restricted Subsidiaries (including any cash payments received by way of deferred payment of principal pursuant to a note or installment receivable or purchase price adjustment receivable or otherwise and including casualty insurance settlements and condemnation and similar awards, but in each case only as and when received) from any Disposition or Casualty Event, net of the following:</w:t>
      </w:r>
    </w:p>
    <w:p>
      <w:pPr>
        <w:spacing w:after="0" w:line="191" w:lineRule="exact"/>
        <w:rPr>
          <w:rFonts w:ascii="Arial" w:cs="Arial" w:eastAsia="Arial" w:hAnsi="Arial"/>
          <w:sz w:val="20"/>
          <w:szCs w:val="20"/>
          <w:color w:val="auto"/>
        </w:rPr>
      </w:pPr>
    </w:p>
    <w:p>
      <w:pPr>
        <w:ind w:left="760" w:firstLine="401"/>
        <w:spacing w:after="0" w:line="260" w:lineRule="auto"/>
        <w:tabs>
          <w:tab w:leader="none" w:pos="1569" w:val="left"/>
        </w:tabs>
        <w:numPr>
          <w:ilvl w:val="1"/>
          <w:numId w:val="50"/>
        </w:numPr>
        <w:rPr>
          <w:rFonts w:ascii="Arial" w:cs="Arial" w:eastAsia="Arial" w:hAnsi="Arial"/>
          <w:sz w:val="20"/>
          <w:szCs w:val="20"/>
          <w:color w:val="auto"/>
        </w:rPr>
      </w:pPr>
      <w:r>
        <w:rPr>
          <w:rFonts w:ascii="Arial" w:cs="Arial" w:eastAsia="Arial" w:hAnsi="Arial"/>
          <w:sz w:val="20"/>
          <w:szCs w:val="20"/>
          <w:color w:val="auto"/>
        </w:rPr>
        <w:t>attorneys’ fees, accountants’ fees, investment banking fees, survey costs, title insurance premiums, and related search and recording charges, transfer taxes, deed or mortgage recording taxes,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jc w:val="both"/>
        <w:ind w:left="760" w:firstLine="403"/>
        <w:spacing w:after="0" w:line="243" w:lineRule="auto"/>
        <w:tabs>
          <w:tab w:leader="none" w:pos="1572" w:val="left"/>
        </w:tabs>
        <w:numPr>
          <w:ilvl w:val="0"/>
          <w:numId w:val="51"/>
        </w:numPr>
        <w:rPr>
          <w:rFonts w:ascii="Arial" w:cs="Arial" w:eastAsia="Arial" w:hAnsi="Arial"/>
          <w:sz w:val="20"/>
          <w:szCs w:val="20"/>
          <w:color w:val="auto"/>
        </w:rPr>
      </w:pPr>
      <w:r>
        <w:rPr>
          <w:rFonts w:ascii="Arial" w:cs="Arial" w:eastAsia="Arial" w:hAnsi="Arial"/>
          <w:sz w:val="20"/>
          <w:szCs w:val="20"/>
          <w:color w:val="auto"/>
        </w:rPr>
        <w:t>required debt payments and required payments (including principal amount, premium or penalty, if any, interest, fees and expenses and other amounts) of other obligations that are secured by the applicable asset or property (other than pursuant to the Loan Documents, the ABL Facility Documentation (other than in respect of ABL Priority Collateral), the UST Tranche A Facility Documentation, (other than in respect of the UST Tranche A Only Collateral), the UST Tranche B Facility Documentation, (other than in respect of the UST Tranche B Priority Collateral and the UST Tranche B Only Collateral) or any Permitted Junior Priority Additional Debt),</w:t>
      </w:r>
    </w:p>
    <w:p>
      <w:pPr>
        <w:spacing w:after="0" w:line="196" w:lineRule="exact"/>
        <w:rPr>
          <w:sz w:val="20"/>
          <w:szCs w:val="20"/>
          <w:color w:val="auto"/>
        </w:rPr>
      </w:pPr>
    </w:p>
    <w:p>
      <w:pPr>
        <w:ind w:left="1540" w:hanging="387"/>
        <w:spacing w:after="0"/>
        <w:tabs>
          <w:tab w:leader="none" w:pos="15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left="760" w:firstLine="401"/>
        <w:spacing w:after="0" w:line="269" w:lineRule="auto"/>
        <w:tabs>
          <w:tab w:leader="none" w:pos="1567" w:val="left"/>
        </w:tabs>
        <w:numPr>
          <w:ilvl w:val="0"/>
          <w:numId w:val="52"/>
        </w:numPr>
        <w:rPr>
          <w:rFonts w:ascii="Arial" w:cs="Arial" w:eastAsia="Arial" w:hAnsi="Arial"/>
          <w:sz w:val="19"/>
          <w:szCs w:val="19"/>
          <w:color w:val="auto"/>
        </w:rPr>
      </w:pPr>
      <w:r>
        <w:rPr>
          <w:rFonts w:ascii="Arial" w:cs="Arial" w:eastAsia="Arial" w:hAnsi="Arial"/>
          <w:sz w:val="19"/>
          <w:szCs w:val="19"/>
          <w:color w:val="auto"/>
        </w:rPr>
        <w:t>in the case of any Disposition or Casualty Event by a non-wholly owned Restricted Subsidiary, the pro rata portion of the Net Proceeds thereof (calculated without regard to this clause (iv)) attributable to minority interests and not available for distribution to or for the account of the Borrower or a wholly owned Restricted Subsidiary as a result thereof,</w:t>
      </w:r>
    </w:p>
    <w:p>
      <w:pPr>
        <w:spacing w:after="0" w:line="170" w:lineRule="exact"/>
        <w:rPr>
          <w:sz w:val="20"/>
          <w:szCs w:val="20"/>
          <w:color w:val="auto"/>
        </w:rPr>
      </w:pPr>
    </w:p>
    <w:p>
      <w:pPr>
        <w:jc w:val="both"/>
        <w:ind w:left="760" w:firstLine="420"/>
        <w:spacing w:after="0" w:line="269" w:lineRule="auto"/>
        <w:tabs>
          <w:tab w:leader="none" w:pos="1605" w:val="left"/>
        </w:tabs>
        <w:numPr>
          <w:ilvl w:val="0"/>
          <w:numId w:val="53"/>
        </w:numPr>
        <w:rPr>
          <w:rFonts w:ascii="Arial" w:cs="Arial" w:eastAsia="Arial" w:hAnsi="Arial"/>
          <w:sz w:val="19"/>
          <w:szCs w:val="19"/>
          <w:color w:val="auto"/>
        </w:rPr>
      </w:pPr>
      <w:r>
        <w:rPr>
          <w:rFonts w:ascii="Arial" w:cs="Arial" w:eastAsia="Arial" w:hAnsi="Arial"/>
          <w:sz w:val="19"/>
          <w:szCs w:val="19"/>
          <w:color w:val="auto"/>
        </w:rPr>
        <w:t>taxes paid or reasonably estimated to be payable as a result thereof (provided, that if the amount of any such estimated taxes exceeds the amount of taxes actually required to be paid in cash in respect of such Disposition or Casualty Event, the aggregate amount of such excess shall constitute Net Proceeds at the time such taxes are actually paid),</w:t>
      </w:r>
    </w:p>
    <w:p>
      <w:pPr>
        <w:spacing w:after="0" w:line="169" w:lineRule="exact"/>
        <w:rPr>
          <w:rFonts w:ascii="Arial" w:cs="Arial" w:eastAsia="Arial" w:hAnsi="Arial"/>
          <w:sz w:val="19"/>
          <w:szCs w:val="19"/>
          <w:color w:val="auto"/>
        </w:rPr>
      </w:pPr>
    </w:p>
    <w:p>
      <w:pPr>
        <w:jc w:val="both"/>
        <w:ind w:left="760" w:firstLine="421"/>
        <w:spacing w:after="0" w:line="276" w:lineRule="auto"/>
        <w:tabs>
          <w:tab w:leader="none" w:pos="160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 of any reasonable reserve established in accordance with GAAP against any adjustment to the sale price or any liabilities (other than any taxes deducted pursuant to clause (i) or (v) above) (x) related to any of the applicable assets and (y) retained by the Borrower or any of the Restricted Subsidiaries with respect to the assets subject to the Disposition or Casualty Event including, without limitation, liabilities related to environmental matters or against any indemnification obligations (however, the amount of any subsequent reduction of such reserve (other than in connection with a payment in respect of any such liability) shall be deemed to be Net Proceeds of such Disposition or Casualty Event occurring on the date of such reduction), and</w:t>
      </w:r>
    </w:p>
    <w:p>
      <w:pPr>
        <w:spacing w:after="0" w:line="165" w:lineRule="exact"/>
        <w:rPr>
          <w:sz w:val="20"/>
          <w:szCs w:val="20"/>
          <w:color w:val="auto"/>
        </w:rPr>
      </w:pPr>
    </w:p>
    <w:p>
      <w:pPr>
        <w:ind w:left="760" w:firstLine="442"/>
        <w:spacing w:after="0" w:line="287" w:lineRule="auto"/>
        <w:tabs>
          <w:tab w:leader="none" w:pos="2046" w:val="left"/>
        </w:tabs>
        <w:numPr>
          <w:ilvl w:val="0"/>
          <w:numId w:val="54"/>
        </w:numPr>
        <w:rPr>
          <w:rFonts w:ascii="Arial" w:cs="Arial" w:eastAsia="Arial" w:hAnsi="Arial"/>
          <w:sz w:val="19"/>
          <w:szCs w:val="19"/>
          <w:color w:val="auto"/>
        </w:rPr>
      </w:pPr>
      <w:r>
        <w:rPr>
          <w:rFonts w:ascii="Arial" w:cs="Arial" w:eastAsia="Arial" w:hAnsi="Arial"/>
          <w:sz w:val="19"/>
          <w:szCs w:val="19"/>
          <w:color w:val="auto"/>
        </w:rPr>
        <w:t>any funded escrow established pursuant to the documents evidencing any such sale or disposition to secure any indemnification obligations or adjustments to the purchase price associated with any such sale or disposition;</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no Event of Default exists such proceeds, other than Real Property Disposition Proceeds, may be applied by the Borrower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Restricted Subsidiary to acquire, maintain, develop, construct, improve, upgrade or repair assets useful in the business of the Borrower or its Restricted Subsidiaries or to make Permitted Acquisitions or any acquisition permitted hereunder of all or substantially all the assets of, or all the Equity Interests (other than directors’ qualifying shares) in, a Person or division or line of business of a Person (or any subsequent investment made in a Person, division or line of business previously acquired) that in each case become Collateral (or, in the case of the acquisition of the Equity Interests of a Person, such Person becomes a Loan Party under the Loan Documents), in each case within 270 days of such receipt, and such portion of such proceeds shall not constitute Net Proceeds except to the extent not, within 270 days of such receipt, so used or contractually committed with a third party to be so used (it being understood that if any portion of such proceeds are not so used within such 270 day period but within such 270 day period are contractually committed with a third party to be used, then upon the termination of such contract or if such Net Proceeds are not so used within the later of such 270 day period and 180 days from the entry into such contractual commitment, such remaining portion shall constitute Net Proceeds as of the date of such termination or expiry without giving effect to this proviso; it being understood that such proceeds shall constitute Net Proceeds if there is a Specified Default at the time of a proposed reinvestment unless such proposed reinvestment is made pursuant to a binding commitment with a third party entered into at a time when no Specified Default was continuing);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(i) except with respect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0" w:name="page71"/>
    <w:bookmarkEnd w:id="70"/>
    <w:p>
      <w:pPr>
        <w:jc w:val="both"/>
        <w:ind w:firstLine="8"/>
        <w:spacing w:after="0" w:line="270" w:lineRule="auto"/>
        <w:tabs>
          <w:tab w:leader="none" w:pos="2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Real Property Disposition Proceeds and (II) at any time during the Amendment No. 1 Specified Period, any other Net Proceeds, no proceeds realized in a single transaction or series of related transactions shall constitute Net Proceeds unless the aggregate net proceeds exceeds $7,500,000 in any fiscal year, commencing upon the expiration of the Amendment No. 1 Specified Period (and thereafter only net cash proceeds in excess of such amount shall constitute Net Proceeds under this clause (a)),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(i) shall no longer apply from and after the Amendment No. 3 Effective Date, (ii) during the Specified Rolling Stock Prepayment Period, all Net Proceeds from any Disposition of Specified Rolling Stock in excess of the Specified Rolling Stock Reinvestment Threshold in any fiscal year shall be applied to prepay the Term Loans in accordance with Section 2.13(a)(ii) without giving effect to any thresholds (other than such Specified Rolling Stock Reinvestment Threshold) or reinvestment rights, and (iii) pending reinvestment in accordance with this proviso, (A) proceeds from the Disposition of Rolling Stock constituting First Lien Term Priority Collateral shall, not later than the date that is five (5) Business Days after the end of the calendar month in which such Disposition is made, be deposited and maintained in a First Lien Term Priority Account and (B) proceeds from the Disposition of UST Tranche B Joint Collateral shall, not later than the date that is five (5) Business Days after the end of the calendar month in which such Disposition is made, be deposited in and maintained in a UST Tranche B Joint Account, and</w:t>
      </w:r>
    </w:p>
    <w:p>
      <w:pPr>
        <w:spacing w:after="0" w:line="175" w:lineRule="exact"/>
        <w:rPr>
          <w:rFonts w:ascii="Arial" w:cs="Arial" w:eastAsia="Arial" w:hAnsi="Arial"/>
          <w:sz w:val="18"/>
          <w:szCs w:val="18"/>
          <w:color w:val="auto"/>
        </w:rPr>
      </w:pPr>
    </w:p>
    <w:p>
      <w:pPr>
        <w:jc w:val="both"/>
        <w:ind w:firstLine="757"/>
        <w:spacing w:after="0" w:line="260" w:lineRule="auto"/>
        <w:tabs>
          <w:tab w:leader="none" w:pos="1043" w:val="left"/>
        </w:tabs>
        <w:numPr>
          <w:ilvl w:val="1"/>
          <w:numId w:val="55"/>
        </w:numPr>
        <w:rPr>
          <w:rFonts w:ascii="Arial" w:cs="Arial" w:eastAsia="Arial" w:hAnsi="Arial"/>
          <w:sz w:val="19"/>
          <w:szCs w:val="19"/>
          <w:color w:val="auto"/>
        </w:rPr>
      </w:pPr>
      <w:r>
        <w:rPr>
          <w:rFonts w:ascii="Arial" w:cs="Arial" w:eastAsia="Arial" w:hAnsi="Arial"/>
          <w:sz w:val="19"/>
          <w:szCs w:val="19"/>
          <w:color w:val="auto"/>
        </w:rPr>
        <w:t xml:space="preserve">100% of the cash proceeds from the incurrence, issuance or sale by the Borrower or any of the Restricted Subsidiaries of any Indebtedness, net of all taxes paid or reasonably estimated to be payable as a result thereof and fees (including investment banking fees and discounts), commissions, costs and other expenses, in each case incurred in connection with such issuance or sale, </w:t>
      </w:r>
      <w:r>
        <w:rPr>
          <w:rFonts w:ascii="Arial" w:cs="Arial" w:eastAsia="Arial" w:hAnsi="Arial"/>
          <w:sz w:val="19"/>
          <w:szCs w:val="19"/>
          <w:i w:val="1"/>
          <w:iCs w:val="1"/>
          <w:color w:val="auto"/>
        </w:rPr>
        <w:t>provided</w:t>
      </w:r>
      <w:r>
        <w:rPr>
          <w:rFonts w:ascii="Arial" w:cs="Arial" w:eastAsia="Arial" w:hAnsi="Arial"/>
          <w:sz w:val="19"/>
          <w:szCs w:val="19"/>
          <w:color w:val="auto"/>
        </w:rPr>
        <w:t>, that if the amount of any estimated taxes exceeds the amount of taxes actually required to be paid in cash, the aggregate amount of such excess shall constitute Net Proceeds at the time such taxes are actually paid.</w:t>
      </w:r>
    </w:p>
    <w:p>
      <w:pPr>
        <w:spacing w:after="0" w:line="180"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For purposes of calculating the amount of Net Proceeds, fees, commissions and other costs and expenses payable to the Borrower or the Restricted Subsidiaries shall be disregarded.</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Non-Consenting Lender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3.06(b)</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 Otherwise Applied</w:t>
      </w:r>
      <w:r>
        <w:rPr>
          <w:rFonts w:ascii="Arial" w:cs="Arial" w:eastAsia="Arial" w:hAnsi="Arial"/>
          <w:sz w:val="18"/>
          <w:szCs w:val="18"/>
          <w:color w:val="auto"/>
        </w:rPr>
        <w:t>” shall mean, with reference to any amount of net proceeds of any transaction or event, that such amount</w:t>
      </w:r>
    </w:p>
    <w:p>
      <w:pPr>
        <w:spacing w:after="0" w:line="45" w:lineRule="exact"/>
        <w:rPr>
          <w:sz w:val="20"/>
          <w:szCs w:val="20"/>
          <w:color w:val="auto"/>
        </w:rPr>
      </w:pPr>
    </w:p>
    <w:p>
      <w:pPr>
        <w:jc w:val="both"/>
        <w:ind w:firstLine="8"/>
        <w:spacing w:after="0" w:line="241" w:lineRule="auto"/>
        <w:tabs>
          <w:tab w:leader="none" w:pos="290"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was not required to be applied to prepay the Loans pursuant to </w:t>
      </w:r>
      <w:r>
        <w:rPr>
          <w:rFonts w:ascii="Arial" w:cs="Arial" w:eastAsia="Arial" w:hAnsi="Arial"/>
          <w:sz w:val="20"/>
          <w:szCs w:val="20"/>
          <w:u w:val="single" w:color="auto"/>
          <w:color w:val="auto"/>
        </w:rPr>
        <w:t>Section 2.13(a)</w:t>
      </w:r>
      <w:r>
        <w:rPr>
          <w:rFonts w:ascii="Arial" w:cs="Arial" w:eastAsia="Arial" w:hAnsi="Arial"/>
          <w:sz w:val="20"/>
          <w:szCs w:val="20"/>
          <w:color w:val="auto"/>
        </w:rPr>
        <w:t xml:space="preserve"> and (b) was not previously applied in determining the permissibility of a transaction under the Loan Documents where such permissibility was (or may have been) pursuant to </w:t>
      </w:r>
      <w:r>
        <w:rPr>
          <w:rFonts w:ascii="Arial" w:cs="Arial" w:eastAsia="Arial" w:hAnsi="Arial"/>
          <w:sz w:val="20"/>
          <w:szCs w:val="20"/>
          <w:u w:val="single" w:color="auto"/>
          <w:color w:val="auto"/>
        </w:rPr>
        <w:t>Section 7.02(p)(y)</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7.03(ee)</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7.06(e)(y)</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7.13(a)(vi)</w:t>
      </w:r>
      <w:r>
        <w:rPr>
          <w:rFonts w:ascii="Arial" w:cs="Arial" w:eastAsia="Arial" w:hAnsi="Arial"/>
          <w:sz w:val="20"/>
          <w:szCs w:val="20"/>
          <w:color w:val="auto"/>
        </w:rPr>
        <w:t>.</w:t>
      </w:r>
    </w:p>
    <w:p>
      <w:pPr>
        <w:spacing w:after="0" w:line="190"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shall mean all advances to, and debts, liabilities, obligations, covenants and duties of, any Loan Party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any Loan Party of any proceeding under any Debtor Relief Laws naming such Person as the debtor in such proceeding (or would accrue but for the operation of applicable Debtor Relief Laws), regardless of whether such interest and fees are allowed or allowable claims in such proceeding. Without limiting the generality of the foregoing, the Obligations of the Loan Parties under the Loan Documents include</w:t>
      </w:r>
    </w:p>
    <w:p>
      <w:pPr>
        <w:spacing w:after="0" w:line="2" w:lineRule="exact"/>
        <w:rPr>
          <w:sz w:val="20"/>
          <w:szCs w:val="20"/>
          <w:color w:val="auto"/>
        </w:rPr>
      </w:pPr>
    </w:p>
    <w:p>
      <w:pPr>
        <w:jc w:val="both"/>
        <w:ind w:firstLine="8"/>
        <w:spacing w:after="0" w:line="241" w:lineRule="auto"/>
        <w:tabs>
          <w:tab w:leader="none" w:pos="288"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obligation (including guarantee obligations) to pay principal, interest, reimbursement obligations, charges, expenses, fees, Attorney Costs, indemnities and other amounts payable by any Loan Party under any Loan Document and (b) the obligation of any Loan Party to reimburse any amount in respect of any of the foregoing that any Agent or Lender, in its sole discretion, may elect to pay or advance on behalf of such Loan Party.</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OFAC</w:t>
      </w:r>
      <w:r>
        <w:rPr>
          <w:rFonts w:ascii="Arial" w:cs="Arial" w:eastAsia="Arial" w:hAnsi="Arial"/>
          <w:sz w:val="20"/>
          <w:szCs w:val="20"/>
          <w:color w:val="auto"/>
        </w:rPr>
        <w:t>” shall have the meaning assigned to such term in the definition of “Blocked Person”.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1" w:name="page72"/>
    <w:bookmarkEnd w:id="71"/>
    <w:p>
      <w:pPr>
        <w:jc w:val="both"/>
        <w:ind w:firstLine="749"/>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Operational Advisor</w:t>
      </w:r>
      <w:r>
        <w:rPr>
          <w:rFonts w:ascii="Arial" w:cs="Arial" w:eastAsia="Arial" w:hAnsi="Arial"/>
          <w:sz w:val="20"/>
          <w:szCs w:val="20"/>
          <w:color w:val="auto"/>
        </w:rPr>
        <w:t xml:space="preserve">” means Alvarez and Marsal or another nationally-recognized, reputable financial planning and analysis firm reasonably acceptable to the Required Lenders and engaged by the Borrower pursuant to an engagement letter meeting the requirements set forth in </w:t>
      </w:r>
      <w:r>
        <w:rPr>
          <w:rFonts w:ascii="Arial" w:cs="Arial" w:eastAsia="Arial" w:hAnsi="Arial"/>
          <w:sz w:val="20"/>
          <w:szCs w:val="20"/>
          <w:u w:val="single" w:color="auto"/>
          <w:color w:val="auto"/>
        </w:rPr>
        <w:t>Section 6.13(c)</w:t>
      </w:r>
      <w:r>
        <w:rPr>
          <w:rFonts w:ascii="Arial" w:cs="Arial" w:eastAsia="Arial" w:hAnsi="Arial"/>
          <w:sz w:val="20"/>
          <w:szCs w:val="20"/>
          <w:color w:val="auto"/>
        </w:rPr>
        <w:t xml:space="preserve">. The term “Operational Advisor” shall include any replacement nationally-recognized, reputable financial planning and analysis firm selected by the Borrower and reasonably acceptable to the Required Lenders so long as the Borrower has provided to the Required Lenders a replacement engagement letter meeting the requirements set forth in </w:t>
      </w:r>
      <w:r>
        <w:rPr>
          <w:rFonts w:ascii="Arial" w:cs="Arial" w:eastAsia="Arial" w:hAnsi="Arial"/>
          <w:sz w:val="20"/>
          <w:szCs w:val="20"/>
          <w:u w:val="single" w:color="auto"/>
          <w:color w:val="auto"/>
        </w:rPr>
        <w:t>Section 6.13(c)</w:t>
      </w:r>
      <w:r>
        <w:rPr>
          <w:rFonts w:ascii="Arial" w:cs="Arial" w:eastAsia="Arial" w:hAnsi="Arial"/>
          <w:sz w:val="20"/>
          <w:szCs w:val="20"/>
          <w:color w:val="auto"/>
        </w:rPr>
        <w:t xml:space="preserve"> for such engagement letter prior to retaining such replacement Operational Advisor.</w:t>
      </w:r>
    </w:p>
    <w:p>
      <w:pPr>
        <w:spacing w:after="0" w:line="18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Organization Documents</w:t>
      </w:r>
      <w:r>
        <w:rPr>
          <w:rFonts w:ascii="Arial" w:cs="Arial" w:eastAsia="Arial" w:hAnsi="Arial"/>
          <w:sz w:val="20"/>
          <w:szCs w:val="20"/>
          <w:color w:val="auto"/>
        </w:rPr>
        <w:t>” shall mean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Original Closing Date</w:t>
      </w:r>
      <w:r>
        <w:rPr>
          <w:rFonts w:ascii="Arial" w:cs="Arial" w:eastAsia="Arial" w:hAnsi="Arial"/>
          <w:sz w:val="20"/>
          <w:szCs w:val="20"/>
          <w:color w:val="auto"/>
        </w:rPr>
        <w:t>” shall mean February 13, 2014.</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Original Term Loan Maturity Date</w:t>
      </w:r>
      <w:r>
        <w:rPr>
          <w:rFonts w:ascii="Arial" w:cs="Arial" w:eastAsia="Arial" w:hAnsi="Arial"/>
          <w:sz w:val="20"/>
          <w:szCs w:val="20"/>
          <w:color w:val="auto"/>
        </w:rPr>
        <w:t>” shall have the meaning assigned to such term in the definition of “Maturity Date”.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Survey Documentation</w:t>
      </w:r>
      <w:r>
        <w:rPr>
          <w:rFonts w:ascii="Arial" w:cs="Arial" w:eastAsia="Arial" w:hAnsi="Arial"/>
          <w:sz w:val="18"/>
          <w:szCs w:val="18"/>
          <w:color w:val="auto"/>
        </w:rPr>
        <w:t>” shall have the meaning specified in the definition of “Collateral and Guarantee Requirement”.</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Taxes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3.01(b)</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Term Loan Commitments</w:t>
      </w:r>
      <w:r>
        <w:rPr>
          <w:rFonts w:ascii="Arial" w:cs="Arial" w:eastAsia="Arial" w:hAnsi="Arial"/>
          <w:sz w:val="20"/>
          <w:szCs w:val="20"/>
          <w:color w:val="auto"/>
        </w:rPr>
        <w:t>” shall mean one or more Classes of term loan commitments hereunder that result from a Refinancing Amendment entered into after the Restatement Effective Date.</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Term Loans</w:t>
      </w:r>
      <w:r>
        <w:rPr>
          <w:rFonts w:ascii="Arial" w:cs="Arial" w:eastAsia="Arial" w:hAnsi="Arial"/>
          <w:sz w:val="20"/>
          <w:szCs w:val="20"/>
          <w:color w:val="auto"/>
        </w:rPr>
        <w:t>” shall mean one or more Classes of Term Loans that result from a Refinancing Amendment entered into after the Restatement Effective Date.</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Participant Register</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10.04(f)</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PBGC</w:t>
      </w:r>
      <w:r>
        <w:rPr>
          <w:rFonts w:ascii="Arial" w:cs="Arial" w:eastAsia="Arial" w:hAnsi="Arial"/>
          <w:sz w:val="20"/>
          <w:szCs w:val="20"/>
          <w:color w:val="auto"/>
        </w:rPr>
        <w:t>” shall mean the Pension Benefit Guaranty Corporation referred to and defined in ERISA and any successor entity performing similar functions.</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Pension Fund Entities</w:t>
      </w:r>
      <w:r>
        <w:rPr>
          <w:rFonts w:ascii="Arial" w:cs="Arial" w:eastAsia="Arial" w:hAnsi="Arial"/>
          <w:sz w:val="20"/>
          <w:szCs w:val="20"/>
          <w:color w:val="auto"/>
        </w:rPr>
        <w:t xml:space="preserve">” shall mean those entities identified on </w:t>
      </w:r>
      <w:r>
        <w:rPr>
          <w:rFonts w:ascii="Arial" w:cs="Arial" w:eastAsia="Arial" w:hAnsi="Arial"/>
          <w:sz w:val="20"/>
          <w:szCs w:val="20"/>
          <w:u w:val="single" w:color="auto"/>
          <w:color w:val="auto"/>
        </w:rPr>
        <w:t>Schedule 1.01(d)</w:t>
      </w:r>
      <w:r>
        <w:rPr>
          <w:rFonts w:ascii="Arial" w:cs="Arial" w:eastAsia="Arial" w:hAnsi="Arial"/>
          <w:sz w:val="20"/>
          <w:szCs w:val="20"/>
          <w:color w:val="auto"/>
        </w:rPr>
        <w:t xml:space="preserve"> hereto.</w:t>
      </w:r>
    </w:p>
    <w:p>
      <w:pPr>
        <w:spacing w:after="0" w:line="21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Contribution Cap</w:t>
      </w:r>
      <w:r>
        <w:rPr>
          <w:rFonts w:ascii="Arial" w:cs="Arial" w:eastAsia="Arial" w:hAnsi="Arial"/>
          <w:sz w:val="18"/>
          <w:szCs w:val="18"/>
          <w:color w:val="auto"/>
        </w:rPr>
        <w:t>” means, as of any date of determination, (i) for any such date of determination occurring from and after the Restatement Effective Date and on or prior to the first anniversary of the Restatement Effective Date, $150,000,000, (ii) for any such date of determination occurring after the first anniversary of the Restatement Effective Date but on or prior to the second anniversary of the Restatement Effective Date, $153,000,000, (iii) for any such date of determination occurring after the second anniversary of the Restatement Effective Date but on or prior to the third anniversary of the Restatement Effective Date, $156,060,000, (iv) for any such date of determination occurring after the third anniversary of the Restatement Effective Date but on or prior to the fourth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anniversary of the Restatement Effective Date, $159,181,200 and (v) for any such date of determination occurring thereafter, $162,364,824.</w:t>
      </w:r>
    </w:p>
    <w:p>
      <w:pPr>
        <w:spacing w:after="0" w:line="23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Pension Real Property</w:t>
      </w:r>
      <w:r>
        <w:rPr>
          <w:rFonts w:ascii="Arial" w:cs="Arial" w:eastAsia="Arial" w:hAnsi="Arial"/>
          <w:sz w:val="20"/>
          <w:szCs w:val="20"/>
          <w:color w:val="auto"/>
        </w:rPr>
        <w:t>” shall mean any Real Property which secured the obligations of the Borrower under the Contribution Deferral Agreement on a first lien basis on the Restatement Effective Date, as set forth on Schedule 1.01(a).</w:t>
      </w:r>
    </w:p>
    <w:p>
      <w:pPr>
        <w:spacing w:after="0" w:line="163"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Perfection Certificate</w:t>
      </w:r>
      <w:r>
        <w:rPr>
          <w:rFonts w:ascii="Arial" w:cs="Arial" w:eastAsia="Arial" w:hAnsi="Arial"/>
          <w:sz w:val="19"/>
          <w:szCs w:val="19"/>
          <w:color w:val="auto"/>
        </w:rPr>
        <w:t>” shall mean a certificate substantially in the form of Exhibit II to the Security Agreement or any other form reasonably approved by the Collateral Agent and the Borrower, as the same shall be supplemented from time to time.</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Periodic Term SOFR Determination Date</w:t>
      </w:r>
      <w:r>
        <w:rPr>
          <w:rFonts w:ascii="Arial" w:cs="Arial" w:eastAsia="Arial" w:hAnsi="Arial"/>
          <w:sz w:val="20"/>
          <w:szCs w:val="20"/>
          <w:color w:val="auto"/>
        </w:rPr>
        <w:t>” shall have the meaning specified in the definition of “Term SOFR”.</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Permits</w:t>
      </w:r>
      <w:r>
        <w:rPr>
          <w:rFonts w:ascii="Arial" w:cs="Arial" w:eastAsia="Arial" w:hAnsi="Arial"/>
          <w:sz w:val="20"/>
          <w:szCs w:val="20"/>
          <w:color w:val="auto"/>
        </w:rPr>
        <w:t>” shall mean all necessary certificates, licenses, permits, franchises, trade names, certificates of occupancy, consents and other approvals required under applicable Laws for the operation of any Real Property.</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Acquisition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7.02(h)</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Acquisition Provisions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2.17(c)</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Additional Debt</w:t>
      </w:r>
      <w:r>
        <w:rPr>
          <w:rFonts w:ascii="Arial" w:cs="Arial" w:eastAsia="Arial" w:hAnsi="Arial"/>
          <w:sz w:val="18"/>
          <w:szCs w:val="18"/>
          <w:color w:val="auto"/>
        </w:rPr>
        <w:t>” shall mean Indebtedness incurred by the Borrower or any Guarantor, which Indebtedness may be (x) in the form of one or more series of notes or in the form of bank loans and, in either case, secured by the Collateral on a junior basis to the Obligations (“</w:t>
      </w:r>
      <w:r>
        <w:rPr>
          <w:rFonts w:ascii="Arial" w:cs="Arial" w:eastAsia="Arial" w:hAnsi="Arial"/>
          <w:sz w:val="18"/>
          <w:szCs w:val="18"/>
          <w:b w:val="1"/>
          <w:bCs w:val="1"/>
          <w:color w:val="auto"/>
        </w:rPr>
        <w:t>Permitted Junior Priority Additional Debt</w:t>
      </w:r>
      <w:r>
        <w:rPr>
          <w:rFonts w:ascii="Arial" w:cs="Arial" w:eastAsia="Arial" w:hAnsi="Arial"/>
          <w:sz w:val="18"/>
          <w:szCs w:val="18"/>
          <w:color w:val="auto"/>
        </w:rPr>
        <w:t xml:space="preserve">”) or (y) in the form of one or more series of notes or in the form of bank loans and unsecured;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Indebtedness is not at any time guaranteed by any Subsidiaries other than Subsidiaries that are Guarantors, (ii) the other terms and conditions of such Indebtedness (excluding pricing, fees, rate floors and optional prepayment or redemption terms), if different from the Term Loans, are customary market terms for Indebtedness of such type but in no event shall such terms and conditions (taken as a whole) be materially more restrictive to the Borrower and its Subsidiaries than the terms and conditions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financial maintenance covenant on the then outstanding Term Loans shall be amended to provide the Lenders the benefit of any financial maintenance covenant of such Permitted Additional Debt that is in addition to or more restrictive in any material manner than the financial maintenance covenant on the then outstanding Term Loans)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certificate of a Responsible Officer delivered to the Administrative Agent at least five Business Days prior to the incurrence of such Indebtedness (or such shorter period as the Administrative Agent with the consent of the Required Lenders may agree in their sole discretion), together with a reasonably detailed description of the material terms and conditions of such Indebtedness or drafts of the documentation relating thereto, stating that the Borrower has determined in good faith that such terms and conditions satisfy the requirement of this clause (ii) shall be conclusive evidence that such terms and conditions satisfy such requirement unless the Administrative Agent or the Required Lenders notify the Borrower within such five Business Day period (or such shorter period as the Administrative Agent with the consent of the Required Lenders may agree in its sole discretion) that it disagrees with such determination (including a reasonable description of the basis upon which it disagrees)), (iii) [reserved], (iv) no Default shall exist immediately prior to or after giving effect to such incurrence subject to the Permitted Acquisition Provisions (if applicable) and (v) if such Indebtedness is Permitted Additional Debt that is secured, a Junior Representative acting on behalf of the holders of such Indebtedness shall have become party to or otherwise subject to the provisions of the Junior Lien Intercreditor Agreement. Permitted Additional Debt will include any Registered Equivalent Notes issued in exchange therefor.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3" w:name="page74"/>
    <w:bookmarkEnd w:id="73"/>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Junior Priority Additional Debt</w:t>
      </w:r>
      <w:r>
        <w:rPr>
          <w:rFonts w:ascii="Arial" w:cs="Arial" w:eastAsia="Arial" w:hAnsi="Arial"/>
          <w:sz w:val="20"/>
          <w:szCs w:val="20"/>
          <w:color w:val="auto"/>
        </w:rPr>
        <w:t>” shall have the meaning assigned to such term in the definition of “Permitted Additional Debt”.</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Refinancing</w:t>
      </w:r>
      <w:r>
        <w:rPr>
          <w:rFonts w:ascii="Arial" w:cs="Arial" w:eastAsia="Arial" w:hAnsi="Arial"/>
          <w:sz w:val="18"/>
          <w:szCs w:val="18"/>
          <w:color w:val="auto"/>
        </w:rPr>
        <w:t xml:space="preserve">” shall mean, with respect to any Person, any modification, refinancing, refunding, renewal, replacement or extension of any Indebtedness of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original aggregate principal amount (or accreted value, if applicable) does not exceed the aggregate principal amount (or accreted value, if applicable) of the Indebtedness so modified, refinanced, refunded, renewed, replaced or extended except (i) by an amount equal to accrued but unpaid interest, premiums and fees payable by the terms of such Indebtedness and reasonable fees, expenses, original issue discount and upfront fees incurred in connection with such modification, refinancing, refunding, renewal, replacement or extension and (ii) by an amount equal to any existing available commitments unutilized thereunder, (b) other than with respect to a Permitted Refinancing in respect of Indebtedness permitted pursuant to </w:t>
      </w:r>
      <w:r>
        <w:rPr>
          <w:rFonts w:ascii="Arial" w:cs="Arial" w:eastAsia="Arial" w:hAnsi="Arial"/>
          <w:sz w:val="18"/>
          <w:szCs w:val="18"/>
          <w:u w:val="single" w:color="auto"/>
          <w:color w:val="auto"/>
        </w:rPr>
        <w:t>Section 7.03(e)</w:t>
      </w:r>
      <w:r>
        <w:rPr>
          <w:rFonts w:ascii="Arial" w:cs="Arial" w:eastAsia="Arial" w:hAnsi="Arial"/>
          <w:sz w:val="18"/>
          <w:szCs w:val="18"/>
          <w:color w:val="auto"/>
        </w:rPr>
        <w:t xml:space="preserve"> , the Indebtedness resulting from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other than with respect to a Permitted Refinancing in respect of Indebtedness permitted pursuant to </w:t>
      </w:r>
      <w:r>
        <w:rPr>
          <w:rFonts w:ascii="Arial" w:cs="Arial" w:eastAsia="Arial" w:hAnsi="Arial"/>
          <w:sz w:val="18"/>
          <w:szCs w:val="18"/>
          <w:u w:val="single" w:color="auto"/>
          <w:color w:val="auto"/>
        </w:rPr>
        <w:t>Section 7.03(e)</w:t>
      </w:r>
      <w:r>
        <w:rPr>
          <w:rFonts w:ascii="Arial" w:cs="Arial" w:eastAsia="Arial" w:hAnsi="Arial"/>
          <w:sz w:val="18"/>
          <w:szCs w:val="18"/>
          <w:color w:val="auto"/>
        </w:rPr>
        <w:t xml:space="preserve">, at the time thereof, no Event of Default shall have occurred and be continuing, (d) if such Indebtedness being modified, refinanced, refunded, renewed, replaced or extended is Indebtedness permitted pursuant to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w:t>
      </w:r>
      <w:r>
        <w:rPr>
          <w:rFonts w:ascii="Arial" w:cs="Arial" w:eastAsia="Arial" w:hAnsi="Arial"/>
          <w:sz w:val="18"/>
          <w:szCs w:val="18"/>
          <w:u w:val="single" w:color="auto"/>
          <w:color w:val="auto"/>
        </w:rPr>
        <w:t>7.03(p)</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7.03(q)</w:t>
      </w:r>
      <w:r>
        <w:rPr>
          <w:rFonts w:ascii="Arial" w:cs="Arial" w:eastAsia="Arial" w:hAnsi="Arial"/>
          <w:sz w:val="18"/>
          <w:szCs w:val="18"/>
          <w:color w:val="auto"/>
        </w:rPr>
        <w:t>, or is otherwise a Junior Financing, (i) to the extent such Indebtedness being modified, refinanced, refunded, renewed, replaced or extended is subordinated in right of payment or in lien priority to the Obligations, the Indebtedness resulting from such modification, refinancing, refunding, renewal, replacement or extension is subordinated in right of payment or in lien priority, as applicable, to the Obligations on terms (taken as a whole) (x) at least as favorable to the Lenders as those contained in the documentation governing the Indebtedness being modified, refinanced, refunded, renewed, replaced or extended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certificate of a Responsible Officer delivered to the Administrative Agent at least five Business Days prior to the incurrence of such Indebtedness (or such shorter period as the Administrative Agent with the consent of the Required Lenders may agree in its sole discretion),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or the Required Lenders notify the Borrower within such five Business Day period that it disagrees with such determination (including a reasonable description of the basis upon which it disagrees)) or (y) otherwise reasonably acceptable to the Required Lenders)), and (ii) the obligors (including any guarantors) in respect of the Indebtedness resulting from such modification, refinancing, refunding, renewal, replacement or extension shall not include any Person other than the obligors (including any guarantors) of the Indebtedness being modified, refinanced, refunded, renewed, replaced or extended unless otherwise permitted hereby, (e) in the case of any Permitted Refinancing in respect of the ABL Facility, such Permitted Refinancing is a revolving working capital facility and is secured only by all or any portion of the collateral securing the ABL Facility (but not by any other assets) pursuant to one or more security agreements subject, in the case of assets constituting (or required to constitute) Collateral, to the ABL Intercreditor Agreement, (f) in the case of any Credit Agreement Refinancing Indebtedness, the Permitted Refinancing shall constitute Credit Agreement Refinancing Indebtedness, (g) in the case of any Permitted Refinancing in respect of UST Tranche A Facility Indebtedness, such Permitted Refinancing is secured only by all or any portion of the collateral securing the UST Tranche A Facility Indebtedness (but not by any other assets) and is subject to the ABL Intercreditor Agreement as “UST Tranche A Obligations”, (h) in the case of any Permitted Refinancing in respect of the UST Tranche B Facility Indebtedness, such Permitted Refinancing is secured only by all or any portion of the collateral securing the UST Tranche B Facility Indebtedness (but not by any other assets) and is subject to the ABL Intercreditor Agreement as “UST Tranche B Obligations” and (i) to the extent such Indebtedness being modified, refinanced, refunded, renewed, replaced or extended is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jc w:val="both"/>
        <w:spacing w:after="0" w:line="250" w:lineRule="auto"/>
        <w:rPr>
          <w:sz w:val="20"/>
          <w:szCs w:val="20"/>
          <w:color w:val="auto"/>
        </w:rPr>
      </w:pPr>
      <w:r>
        <w:rPr>
          <w:rFonts w:ascii="Arial" w:cs="Arial" w:eastAsia="Arial" w:hAnsi="Arial"/>
          <w:sz w:val="20"/>
          <w:szCs w:val="20"/>
          <w:color w:val="auto"/>
        </w:rPr>
        <w:t>unsecured, the Indebtedness resulting from such modification, refinancing, refunding, renewal, replacement or extension must be unsecured. When used with respect to any specified Indebtedness, “</w:t>
      </w:r>
      <w:r>
        <w:rPr>
          <w:rFonts w:ascii="Arial" w:cs="Arial" w:eastAsia="Arial" w:hAnsi="Arial"/>
          <w:sz w:val="20"/>
          <w:szCs w:val="20"/>
          <w:b w:val="1"/>
          <w:bCs w:val="1"/>
          <w:color w:val="auto"/>
        </w:rPr>
        <w:t>Permitted Refinancing</w:t>
      </w:r>
      <w:r>
        <w:rPr>
          <w:rFonts w:ascii="Arial" w:cs="Arial" w:eastAsia="Arial" w:hAnsi="Arial"/>
          <w:sz w:val="20"/>
          <w:szCs w:val="20"/>
          <w:color w:val="auto"/>
        </w:rPr>
        <w:t>” shall mean the Indebtedness incurred to effectuate a Permitted Refinancing of such specified Indebtedness.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Repricing Amendment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10.08(b)</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shall mean any natural person, corporation, limited liability company, trust, joint venture, association, company, partnership, Governmental Authority or other entity.</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PIK Interest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2.06(d)</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PIK Period</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2.06(d)</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any employee pension benefit plan within the meaning of Section 3(2) of ERISA (other than a Multiemployer Plan) subject to the provisions of Title IV of ERISA or Sections 412 and 430 of the Code or Sections 302 and 303 of ERISA and in respect of which a Loan Party, any Restricted Subsidiary or any of their respective ERISA Affiliates is, or if such plan were terminated would under Section 4069 of ERISA be deemed to be, or within the six year period immediately preceding the date hereof was, a “contributing sponsor” as defined in Section 4001(a)(13) of ERISA or an “employer” as defined in Section 3(5) of ERISA.</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Platform</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Prepayment Premium</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2.12(d)</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Prime Rate</w:t>
      </w:r>
      <w:r>
        <w:rPr>
          <w:rFonts w:ascii="Arial" w:cs="Arial" w:eastAsia="Arial" w:hAnsi="Arial"/>
          <w:sz w:val="20"/>
          <w:szCs w:val="20"/>
          <w:color w:val="auto"/>
        </w:rPr>
        <w:t>” shall mean, as of any day, the rate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w:t>
      </w:r>
    </w:p>
    <w:p>
      <w:pPr>
        <w:spacing w:after="0" w:line="18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 Forma Basis</w:t>
      </w:r>
      <w:r>
        <w:rPr>
          <w:rFonts w:ascii="Arial" w:cs="Arial" w:eastAsia="Arial" w:hAnsi="Arial"/>
          <w:sz w:val="20"/>
          <w:szCs w:val="20"/>
          <w:color w:val="auto"/>
        </w:rPr>
        <w:t xml:space="preserve">” shall mean, with respect to compliance with any test or covenant or calculation of any ratio hereunder, the determination or calculation of such test, covenant or ratio (including in connection with Specified Transactions)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1.10</w:t>
      </w:r>
      <w:r>
        <w:rPr>
          <w:rFonts w:ascii="Arial" w:cs="Arial" w:eastAsia="Arial" w:hAnsi="Arial"/>
          <w:sz w:val="20"/>
          <w:szCs w:val="20"/>
          <w:color w:val="auto"/>
        </w:rPr>
        <w:t>.</w:t>
      </w:r>
    </w:p>
    <w:p>
      <w:pPr>
        <w:spacing w:after="0" w:line="177" w:lineRule="exact"/>
        <w:rPr>
          <w:sz w:val="20"/>
          <w:szCs w:val="20"/>
          <w:color w:val="auto"/>
        </w:rPr>
      </w:pPr>
    </w:p>
    <w:p>
      <w:pPr>
        <w:jc w:val="both"/>
        <w:ind w:firstLine="81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 Rata Share</w:t>
      </w:r>
      <w:r>
        <w:rPr>
          <w:rFonts w:ascii="Arial" w:cs="Arial" w:eastAsia="Arial" w:hAnsi="Arial"/>
          <w:sz w:val="20"/>
          <w:szCs w:val="20"/>
          <w:color w:val="auto"/>
        </w:rPr>
        <w:t>” shall mean, with respect to each Lender at any time a fraction (expressed as a percentage, carried out to the ninth decimal place), the numerator of which is the amount of the Commitments (or, if Commitments have been terminated, the principal amount of the Loans) under the applicable Facility or Facilities of such Lender at such time and the denominator of which is the amount of the aggregate Commitments (or, if the Commitments have been terminated, the principal amount of the Loans) under the applicable Facility or Facilities at such time.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Projections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6.01(c)</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Public Lender</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Qualified Equity Interests</w:t>
      </w:r>
      <w:r>
        <w:rPr>
          <w:rFonts w:ascii="Arial" w:cs="Arial" w:eastAsia="Arial" w:hAnsi="Arial"/>
          <w:sz w:val="20"/>
          <w:szCs w:val="20"/>
          <w:color w:val="auto"/>
        </w:rPr>
        <w:t>” shall mean any Equity Interests that are not Disqualified Equity Interests.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5" w:name="page76"/>
    <w:bookmarkEnd w:id="75"/>
    <w:p>
      <w:pPr>
        <w:jc w:val="both"/>
        <w:ind w:firstLine="749"/>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shall mean, collectively, all right, title and interest (including any leasehold, mineral or other estate) in and to any and all parcels of or interests in real property owned or leased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5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Real Property Disposition Proceeds</w:t>
      </w:r>
      <w:r>
        <w:rPr>
          <w:rFonts w:ascii="Arial" w:cs="Arial" w:eastAsia="Arial" w:hAnsi="Arial"/>
          <w:sz w:val="20"/>
          <w:szCs w:val="20"/>
          <w:color w:val="auto"/>
        </w:rPr>
        <w:t>” shall mean any Net Proceeds realized from a Disposition of, or Sale and Leaseback Transaction with respect to, any Real Property, including, for the avoidance of doubt, (i) any Pension Real Property in each case, consummated on or after the Restatement Effective Date and (ii) any Specified Amendment No. 3 Real Property, in each case, consummated on or after the Amendment No. 3 Effective Date (other than, in each case, leases of Real Property entered into in the ordinary course of business (excluding Sale and Leaseback Transactions)).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Debt</w:t>
      </w:r>
      <w:r>
        <w:rPr>
          <w:rFonts w:ascii="Arial" w:cs="Arial" w:eastAsia="Arial" w:hAnsi="Arial"/>
          <w:sz w:val="20"/>
          <w:szCs w:val="20"/>
          <w:color w:val="auto"/>
        </w:rPr>
        <w:t>” shall have the meaning specified in the definition of “Credit Agreement Refinancing Indebtedness”.</w:t>
      </w:r>
    </w:p>
    <w:p>
      <w:pPr>
        <w:spacing w:after="0" w:line="21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Refinancing Amendment</w:t>
      </w:r>
      <w:r>
        <w:rPr>
          <w:rFonts w:ascii="Arial" w:cs="Arial" w:eastAsia="Arial" w:hAnsi="Arial"/>
          <w:sz w:val="20"/>
          <w:szCs w:val="20"/>
          <w:color w:val="auto"/>
        </w:rPr>
        <w:t xml:space="preserve">” shall mean an amendment to this Agreement executed by each of (a) the Borrower, (b) the Administrative Agent, (c) each Additional Lender that will make an Other Term Loan pursuant to such Refinancing Amendment and (d) each existing Lender that agrees to provide any portion of the Credit Agreement Refinancing Indebtedness being incurred pursuant thereto, in accordance with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Refinancing Transaction</w:t>
      </w:r>
      <w:r>
        <w:rPr>
          <w:rFonts w:ascii="Arial" w:cs="Arial" w:eastAsia="Arial" w:hAnsi="Arial"/>
          <w:sz w:val="20"/>
          <w:szCs w:val="20"/>
          <w:color w:val="auto"/>
        </w:rPr>
        <w:t>” shall have the meaning assigned to such term in the recitals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10.04(d)</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Equivalent Notes</w:t>
      </w:r>
      <w:r>
        <w:rPr>
          <w:rFonts w:ascii="Arial" w:cs="Arial" w:eastAsia="Arial" w:hAnsi="Arial"/>
          <w:sz w:val="20"/>
          <w:szCs w:val="20"/>
          <w:color w:val="auto"/>
        </w:rPr>
        <w:t>” shall mean,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7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Regulation T</w:t>
      </w:r>
      <w:r>
        <w:rPr>
          <w:rFonts w:ascii="Arial" w:cs="Arial" w:eastAsia="Arial" w:hAnsi="Arial"/>
          <w:sz w:val="20"/>
          <w:szCs w:val="20"/>
          <w:color w:val="auto"/>
        </w:rPr>
        <w:t>” shall mean Regulation T of the Board as from time to time in effect and all official rulings and interpretations thereunder or thereof.</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Regulation U</w:t>
      </w:r>
      <w:r>
        <w:rPr>
          <w:rFonts w:ascii="Arial" w:cs="Arial" w:eastAsia="Arial" w:hAnsi="Arial"/>
          <w:sz w:val="20"/>
          <w:szCs w:val="20"/>
          <w:color w:val="auto"/>
        </w:rPr>
        <w:t>” shall mean Regulation U of the Board as from time to time in effect and all official rulings and interpretations thereunder or thereof.</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Rejection Notice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2.13(d)</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Related Fund</w:t>
      </w:r>
      <w:r>
        <w:rPr>
          <w:rFonts w:ascii="Arial" w:cs="Arial" w:eastAsia="Arial" w:hAnsi="Arial"/>
          <w:sz w:val="20"/>
          <w:szCs w:val="20"/>
          <w:color w:val="auto"/>
        </w:rPr>
        <w:t>” shall mean, with respect to any Lender that is a fund or commingled investment vehicle that invests in loans, any other fund that invests in loans and is managed or advised by the same investment advisor/manager as such Lender or by an Affiliate of such investment advisor/manager.</w:t>
      </w:r>
    </w:p>
    <w:p>
      <w:pPr>
        <w:spacing w:after="0" w:line="17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Related Parties</w:t>
      </w:r>
      <w:r>
        <w:rPr>
          <w:rFonts w:ascii="Arial" w:cs="Arial" w:eastAsia="Arial" w:hAnsi="Arial"/>
          <w:sz w:val="20"/>
          <w:szCs w:val="20"/>
          <w:color w:val="auto"/>
        </w:rPr>
        <w:t>” shall mean, with respect to any specified Person, such Person’s Affiliates and the respective directors, trustees, officers, employees, agents and advisors of such Person and such Person’s Affiliates.</w:t>
      </w:r>
    </w:p>
    <w:p>
      <w:pPr>
        <w:spacing w:after="0" w:line="163" w:lineRule="exact"/>
        <w:rPr>
          <w:sz w:val="20"/>
          <w:szCs w:val="20"/>
          <w:color w:val="auto"/>
        </w:rPr>
      </w:pPr>
    </w:p>
    <w:p>
      <w:pPr>
        <w:jc w:val="both"/>
        <w:ind w:firstLine="749"/>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mean any release, spill, emission, leaking, dumping, injection, pouring, deposit, disposal, discharge, dispersal, leaching or migration into or through the environment or from, within or upon any vessel, vehicle, building, structure, facility or fixture.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Reportable Event</w:t>
      </w:r>
      <w:r>
        <w:rPr>
          <w:rFonts w:ascii="Arial" w:cs="Arial" w:eastAsia="Arial" w:hAnsi="Arial"/>
          <w:sz w:val="20"/>
          <w:szCs w:val="20"/>
          <w:color w:val="auto"/>
        </w:rPr>
        <w:t>” shall mean any of the events set forth in Section 4043(c) of ERISA or the regulations issued thereunder, other than events for which the thirty (30) day notice period has been waived with respect to a Plan.</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Request for Credit Extension</w:t>
      </w:r>
      <w:r>
        <w:rPr>
          <w:rFonts w:ascii="Arial" w:cs="Arial" w:eastAsia="Arial" w:hAnsi="Arial"/>
          <w:sz w:val="20"/>
          <w:szCs w:val="20"/>
          <w:color w:val="auto"/>
        </w:rPr>
        <w:t xml:space="preserve">” shall mean a request by the Borrower in accordance with the terms of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and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or such other form as shall be approved by the Administrative Agent.</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Class Lenders</w:t>
      </w:r>
      <w:r>
        <w:rPr>
          <w:rFonts w:ascii="Arial" w:cs="Arial" w:eastAsia="Arial" w:hAnsi="Arial"/>
          <w:sz w:val="20"/>
          <w:szCs w:val="20"/>
          <w:color w:val="auto"/>
        </w:rPr>
        <w:t>” shall mean, as of any date of determination, Lenders of a Class having more than 50% of the sum of the outstanding Loans and unused Commitments of the applicable Class.</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Lenders</w:t>
      </w:r>
      <w:r>
        <w:rPr>
          <w:rFonts w:ascii="Arial" w:cs="Arial" w:eastAsia="Arial" w:hAnsi="Arial"/>
          <w:sz w:val="20"/>
          <w:szCs w:val="20"/>
          <w:color w:val="auto"/>
        </w:rPr>
        <w:t>” shall mean, at any time, Lenders having Loans and unused Term Loan Commitments representing more than 50% of the sum of all Loans outstanding and unused Term Loan Commitments at such time.</w:t>
      </w:r>
    </w:p>
    <w:p>
      <w:pPr>
        <w:spacing w:after="0" w:line="16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Opinion State</w:t>
      </w:r>
      <w:r>
        <w:rPr>
          <w:rFonts w:ascii="Arial" w:cs="Arial" w:eastAsia="Arial" w:hAnsi="Arial"/>
          <w:sz w:val="20"/>
          <w:szCs w:val="20"/>
          <w:color w:val="auto"/>
        </w:rPr>
        <w:t xml:space="preserve"> ” shall mean each of the following states: Pennsylvania, California, Ohio, New York, Illinois, New Jersey, Texas, Michigan, Tennessee, North Carolina, Oregon, Georgia, Maryland, Indiana, Missouri, Wisconsin, South Carolina, Nevada, Minnesota and Utah.</w:t>
      </w:r>
    </w:p>
    <w:p>
      <w:pPr>
        <w:spacing w:after="0" w:line="177" w:lineRule="exact"/>
        <w:rPr>
          <w:sz w:val="20"/>
          <w:szCs w:val="20"/>
          <w:color w:val="auto"/>
        </w:rPr>
      </w:pPr>
    </w:p>
    <w:p>
      <w:pPr>
        <w:jc w:val="both"/>
        <w:ind w:firstLine="811"/>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Responsible Officer</w:t>
      </w:r>
      <w:r>
        <w:rPr>
          <w:rFonts w:ascii="Arial" w:cs="Arial" w:eastAsia="Arial" w:hAnsi="Arial"/>
          <w:sz w:val="19"/>
          <w:szCs w:val="19"/>
          <w:color w:val="auto"/>
        </w:rPr>
        <w:t>” shall mean the chief executive officer, president, vice president, chief financial officer, treasurer, assistant treasurer, director of treasury or other similar officer of a Loan Party and, as to any document delivered on the Restatement Effective Date, any secretary or assistant secretary of such Loan Party. Any document delivered hereunder that is signed by a Responsible Officer of a Loan Party shall be conclusively presumed by the recipient of such document to have been authorized by all necessary corporate, partnership and/or other action on the part of such Loan Party and such Responsible Officer shall be conclusively presumed by the recipient of such document to have acted on behalf of such Loan Party.</w:t>
      </w:r>
    </w:p>
    <w:p>
      <w:pPr>
        <w:spacing w:after="0" w:line="17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Restatement Effective Date</w:t>
      </w:r>
      <w:r>
        <w:rPr>
          <w:rFonts w:ascii="Arial" w:cs="Arial" w:eastAsia="Arial" w:hAnsi="Arial"/>
          <w:sz w:val="20"/>
          <w:szCs w:val="20"/>
          <w:color w:val="auto"/>
        </w:rPr>
        <w:t xml:space="preserve">” means the date on which the conditions specified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are satisfied (or waived in accordance with Article 9), which date is September 11, 2019.</w:t>
      </w:r>
    </w:p>
    <w:p>
      <w:pPr>
        <w:spacing w:after="0" w:line="163"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Payment</w:t>
      </w:r>
      <w:r>
        <w:rPr>
          <w:rFonts w:ascii="Arial" w:cs="Arial" w:eastAsia="Arial" w:hAnsi="Arial"/>
          <w:sz w:val="19"/>
          <w:szCs w:val="19"/>
          <w:color w:val="auto"/>
        </w:rPr>
        <w:t>” shall mean any dividend or other distribution (whether in cash, securities or other property) with respect to any Equity Interest of the Borrower or any Restricted Subsidiary, or any payment (whether in cash, securities or other property), including any sinking fund or similar deposit, on account of the purchase, redemption, retirement, defeasance, acquisition, cancellation or termination of any such Equity Interest of the Borrower or any Restricted Subsidiary, or on account of any return of capital to the Borrower’s or a Restricted Subsidiary’s stockholders, partners or members (or the equivalent Persons thereof).</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Subsidiary</w:t>
      </w:r>
      <w:r>
        <w:rPr>
          <w:rFonts w:ascii="Arial" w:cs="Arial" w:eastAsia="Arial" w:hAnsi="Arial"/>
          <w:sz w:val="20"/>
          <w:szCs w:val="20"/>
          <w:color w:val="auto"/>
        </w:rPr>
        <w:t>” shall mean each Subsidiary of the Borrower.</w:t>
      </w:r>
    </w:p>
    <w:p>
      <w:pPr>
        <w:spacing w:after="0" w:line="216" w:lineRule="exact"/>
        <w:rPr>
          <w:sz w:val="20"/>
          <w:szCs w:val="20"/>
          <w:color w:val="auto"/>
        </w:rPr>
      </w:pPr>
    </w:p>
    <w:p>
      <w:pPr>
        <w:ind w:right="800"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Retained Percentage</w:t>
      </w:r>
      <w:r>
        <w:rPr>
          <w:rFonts w:ascii="Arial" w:cs="Arial" w:eastAsia="Arial" w:hAnsi="Arial"/>
          <w:sz w:val="20"/>
          <w:szCs w:val="20"/>
          <w:color w:val="auto"/>
        </w:rPr>
        <w:t>” shall mean, with respect to any Excess Cash Flow Period (a) 100% minus (b) the Applicable ECF Percentage with respect to such Excess Cash Flow Period.</w:t>
      </w:r>
    </w:p>
    <w:p>
      <w:pPr>
        <w:spacing w:after="0" w:line="16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Rolling Stock</w:t>
      </w:r>
      <w:r>
        <w:rPr>
          <w:rFonts w:ascii="Arial" w:cs="Arial" w:eastAsia="Arial" w:hAnsi="Arial"/>
          <w:sz w:val="20"/>
          <w:szCs w:val="20"/>
          <w:color w:val="auto"/>
        </w:rPr>
        <w:t>” shall mean any vehicles, tractors, trucks, trailers, tank trailer and other trailers, or similar vehicles and trailers, railroad cars, locomotives, stacktrains and other rolling stock and accessories used on such railroad cars, locomotives or other rolling stock (including superstructures and racks).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S&amp;P</w:t>
      </w:r>
      <w:r>
        <w:rPr>
          <w:rFonts w:ascii="Arial" w:cs="Arial" w:eastAsia="Arial" w:hAnsi="Arial"/>
          <w:sz w:val="20"/>
          <w:szCs w:val="20"/>
          <w:color w:val="auto"/>
        </w:rPr>
        <w:t>” shall mean Standard &amp; Poor’s Ratings Service, or any successor thereto.</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Sale and Leaseback Transaction</w:t>
      </w:r>
      <w:r>
        <w:rPr>
          <w:rFonts w:ascii="Arial" w:cs="Arial" w:eastAsia="Arial" w:hAnsi="Arial"/>
          <w:sz w:val="20"/>
          <w:szCs w:val="20"/>
          <w:color w:val="auto"/>
        </w:rPr>
        <w:t>” shall mean any arrangement, directly or indirectly, whereby a seller or transferor shall sell or otherwise transfer any real or personal property and then or thereafter lease, or repurchase under an extended purchase contract, conditional sales or other title retention agreement, the same property.</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w:t>
      </w:r>
      <w:r>
        <w:rPr>
          <w:rFonts w:ascii="Arial" w:cs="Arial" w:eastAsia="Arial" w:hAnsi="Arial"/>
          <w:sz w:val="19"/>
          <w:szCs w:val="19"/>
          <w:color w:val="auto"/>
        </w:rPr>
        <w:t>” shall mean the Securities and Exchange Commission or any Governmental Authority that is the successor thereto.</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Secured Parties</w:t>
      </w:r>
      <w:r>
        <w:rPr>
          <w:rFonts w:ascii="Arial" w:cs="Arial" w:eastAsia="Arial" w:hAnsi="Arial"/>
          <w:sz w:val="20"/>
          <w:szCs w:val="20"/>
          <w:color w:val="auto"/>
        </w:rPr>
        <w:t>” shall have the meaning assigned to such term in the Security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Account</w:t>
      </w:r>
      <w:r>
        <w:rPr>
          <w:rFonts w:ascii="Arial" w:cs="Arial" w:eastAsia="Arial" w:hAnsi="Arial"/>
          <w:sz w:val="20"/>
          <w:szCs w:val="20"/>
          <w:color w:val="auto"/>
        </w:rPr>
        <w:t>” as defined in the UCC.</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Act</w:t>
      </w:r>
      <w:r>
        <w:rPr>
          <w:rFonts w:ascii="Arial" w:cs="Arial" w:eastAsia="Arial" w:hAnsi="Arial"/>
          <w:sz w:val="20"/>
          <w:szCs w:val="20"/>
          <w:color w:val="auto"/>
        </w:rPr>
        <w:t>” shall mean the Securities Act of 1933, as amended.</w:t>
      </w:r>
    </w:p>
    <w:p>
      <w:pPr>
        <w:spacing w:after="0" w:line="21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Security Agreement</w:t>
      </w:r>
      <w:r>
        <w:rPr>
          <w:rFonts w:ascii="Arial" w:cs="Arial" w:eastAsia="Arial" w:hAnsi="Arial"/>
          <w:sz w:val="20"/>
          <w:szCs w:val="20"/>
          <w:color w:val="auto"/>
        </w:rPr>
        <w:t>” shall mean, except as the context may otherwise require, both (a) the Amended and Restated Security Agreement dated as of the Restatement Effective Date among the Borrower, the Guarantors party thereto and the Collateral Agent and (b) the Amended and Restated Security and Collateral Agency Agreement, dated as of the date hereof, among the Collateral Agent, as collateral agent and term loan representative, the ABL Agent, as ABL representative, the UST Tranche A Agent, as collateral agent and treasury tranche A representative and the UST Tranche B Agent, as collateral agent and treasury tranche B representative and the Borrower and the other Loan Parties party thereto, as each of the same may be further amended, restated, modified, supplemented, extended, renewed, restructured or replaced.</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Security Agreement Supplement</w:t>
      </w:r>
      <w:r>
        <w:rPr>
          <w:rFonts w:ascii="Arial" w:cs="Arial" w:eastAsia="Arial" w:hAnsi="Arial"/>
          <w:sz w:val="20"/>
          <w:szCs w:val="20"/>
          <w:color w:val="auto"/>
        </w:rPr>
        <w:t>” shall have the meaning specified in the Security Agreement.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Senior Financial Officer</w:t>
      </w:r>
      <w:r>
        <w:rPr>
          <w:rFonts w:ascii="Arial" w:cs="Arial" w:eastAsia="Arial" w:hAnsi="Arial"/>
          <w:sz w:val="20"/>
          <w:szCs w:val="20"/>
          <w:color w:val="auto"/>
        </w:rPr>
        <w:t>” of any Person shall mean the chief financial officer, principal accounting officer, treasurer, controller or other similar officer of such Person.</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Single-Employer Plans</w:t>
      </w:r>
      <w:r>
        <w:rPr>
          <w:rFonts w:ascii="Arial" w:cs="Arial" w:eastAsia="Arial" w:hAnsi="Arial"/>
          <w:sz w:val="20"/>
          <w:szCs w:val="20"/>
          <w:color w:val="auto"/>
        </w:rPr>
        <w:t>” shall mean the Roadway LLC Pension Plan, the Yellow Corporation Pension Plan and the YRC Retiree Pension Plan or any other Plans sponsored or maintained by the Borrower or any Restricted Subsidiary.</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SOFR</w:t>
      </w:r>
      <w:r>
        <w:rPr>
          <w:rFonts w:ascii="Arial" w:cs="Arial" w:eastAsia="Arial" w:hAnsi="Arial"/>
          <w:sz w:val="20"/>
          <w:szCs w:val="20"/>
          <w:color w:val="auto"/>
        </w:rPr>
        <w:t>” shall mean a per annum rate equal to the secured overnight financing rate as administered by the Federal Reserve Bank of New York (or a successor administrator of the secured overnight financing rate).</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SOFR Administrator</w:t>
      </w:r>
      <w:r>
        <w:rPr>
          <w:rFonts w:ascii="Arial" w:cs="Arial" w:eastAsia="Arial" w:hAnsi="Arial"/>
          <w:sz w:val="20"/>
          <w:szCs w:val="20"/>
          <w:color w:val="auto"/>
        </w:rPr>
        <w:t>” shall mean the Federal Reserve Bank of New York (or a successor administrator of the secured overnight financing rate).</w:t>
      </w:r>
    </w:p>
    <w:p>
      <w:pPr>
        <w:spacing w:after="0" w:line="16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SOFR Loan</w:t>
      </w:r>
      <w:r>
        <w:rPr>
          <w:rFonts w:ascii="Arial" w:cs="Arial" w:eastAsia="Arial" w:hAnsi="Arial"/>
          <w:sz w:val="20"/>
          <w:szCs w:val="20"/>
          <w:color w:val="auto"/>
        </w:rPr>
        <w:t>” shall mean any Loan bearing interest at a rate determined by reference to Adjusted Term SOFR (other than pursuant to clause (c) of the definition of Alternate Base Rate).</w:t>
      </w:r>
    </w:p>
    <w:p>
      <w:pPr>
        <w:spacing w:after="0" w:line="163" w:lineRule="exact"/>
        <w:rPr>
          <w:sz w:val="20"/>
          <w:szCs w:val="20"/>
          <w:color w:val="auto"/>
        </w:rPr>
      </w:pPr>
    </w:p>
    <w:p>
      <w:pPr>
        <w:ind w:right="60"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Amendment No. 1 Period</w:t>
      </w:r>
      <w:r>
        <w:rPr>
          <w:rFonts w:ascii="Arial" w:cs="Arial" w:eastAsia="Arial" w:hAnsi="Arial"/>
          <w:sz w:val="20"/>
          <w:szCs w:val="20"/>
          <w:color w:val="auto"/>
        </w:rPr>
        <w:t>” shall mean the period commencing on the Amendment No. 1 Effective Date and ending on the first date after for which Consolidated EBITDA for a Test Period ending on the last day of a fiscal quarter ending on or after June 30, 2022 is greater than $200,000,000 and the Borrower shall have delivered a Compliance Certificate to the Administrative Agent showing such calculation in reasonable detail.</w:t>
      </w:r>
    </w:p>
    <w:p>
      <w:pPr>
        <w:spacing w:after="0" w:line="18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Amendment No. 3 Real Properties</w:t>
      </w:r>
      <w:r>
        <w:rPr>
          <w:rFonts w:ascii="Arial" w:cs="Arial" w:eastAsia="Arial" w:hAnsi="Arial"/>
          <w:sz w:val="18"/>
          <w:szCs w:val="18"/>
          <w:color w:val="auto"/>
        </w:rPr>
        <w:t>” shall mean each Real Property listed on Schedule 7.05(a) and Schedule 7.05(b).</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Default</w:t>
      </w:r>
      <w:r>
        <w:rPr>
          <w:rFonts w:ascii="Arial" w:cs="Arial" w:eastAsia="Arial" w:hAnsi="Arial"/>
          <w:sz w:val="20"/>
          <w:szCs w:val="20"/>
          <w:color w:val="auto"/>
        </w:rPr>
        <w:t xml:space="preserve">” shall mean an Event of Default under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(g)</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Rolling Stock</w:t>
      </w:r>
      <w:r>
        <w:rPr>
          <w:rFonts w:ascii="Arial" w:cs="Arial" w:eastAsia="Arial" w:hAnsi="Arial"/>
          <w:sz w:val="20"/>
          <w:szCs w:val="20"/>
          <w:color w:val="auto"/>
        </w:rPr>
        <w:t>” shall mean all Rolling Stock that does not constitute UST Tranche B Priority Collateral. For the avoidance of doubt, UST Tranche B Joint Collateral shall be Specified Rolling Stock.</w:t>
      </w:r>
    </w:p>
    <w:p>
      <w:pPr>
        <w:spacing w:after="0" w:line="16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Rolling Stock Prepayment Period</w:t>
      </w:r>
      <w:r>
        <w:rPr>
          <w:rFonts w:ascii="Arial" w:cs="Arial" w:eastAsia="Arial" w:hAnsi="Arial"/>
          <w:sz w:val="20"/>
          <w:szCs w:val="20"/>
          <w:color w:val="auto"/>
        </w:rPr>
        <w:t>” means the period commencing on the Amendment No. 2 Effective Date and ending on the first date after for which Consolidated EBITDA for a Test Period ending on the last day of a fiscal quarter ending on or after September 30, 2020 is greater than $200,000,000 and the Borrower shall have delivered a Compliance Certificate to the Administrative Agent showing such calculation in reasonable detail.</w:t>
      </w:r>
    </w:p>
    <w:p>
      <w:pPr>
        <w:spacing w:after="0" w:line="183"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Rolling Stock Reinvestment Threshold</w:t>
      </w:r>
      <w:r>
        <w:rPr>
          <w:rFonts w:ascii="Arial" w:cs="Arial" w:eastAsia="Arial" w:hAnsi="Arial"/>
          <w:sz w:val="18"/>
          <w:szCs w:val="18"/>
          <w:color w:val="auto"/>
        </w:rPr>
        <w:t>” means, with respect to Dispositions of Specified Rolling Stock in any fiscal year, the first $500,000 of Net Proceeds received by the Borrower and its Subsidiaries with respect to such Dispositions in such fiscal year to the extent such Net Proceeds are reinvested in accordance with the proviso to clause (a) of the definition of “Net Proceeds”.</w:t>
      </w:r>
    </w:p>
    <w:p>
      <w:pPr>
        <w:spacing w:after="0" w:line="144"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 shall mean any Investment that results in a Person becoming a Restricted Subsidiary, any Permitted Acquisition, any Disposition that results in a Restricted Subsidiary ceasing to be a Subsidiary of the Borrower, any Investment constituting an acquisition of assets constituting a business unit, line of business or division of another Person or any Disposition of a business unit, line of business or division of the Borrower or a Restricted Subsidiary, in each case consummated after the Restatement Effective Date and whether by merger, consolidation, amalgamation or otherwise, and any incurrence or repayment of Indebtedness or Restricted Payment, in each case, that by the terms of this Agreement requires a financial ratio or test to be calculated on a “Pro Forma Basis”.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SPV</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10.04(i)</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Subordinated Indebtedness</w:t>
      </w:r>
      <w:r>
        <w:rPr>
          <w:rFonts w:ascii="Arial" w:cs="Arial" w:eastAsia="Arial" w:hAnsi="Arial"/>
          <w:sz w:val="20"/>
          <w:szCs w:val="20"/>
          <w:color w:val="auto"/>
        </w:rPr>
        <w:t>” shall mean any Indebtedness that is, or is required to be, subordinated in right of payment to the Obligations (for greater certainty, not including the ABL Facility Indebtedness, the UST Tranche A Facility Indebtedness and the UST Tranche B Facility Indebtedness).</w:t>
      </w:r>
    </w:p>
    <w:p>
      <w:pPr>
        <w:spacing w:after="0" w:line="17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of a Person shall mean a corporation, partnership, joint venture, limited liability company or other business entity of which (i)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(ii) the management of which is otherwise Controlled, directly or indirectly, through one or more intermediaries, or both, by such Person. Unless otherwise specified, all references herein to a “</w:t>
      </w:r>
      <w:r>
        <w:rPr>
          <w:rFonts w:ascii="Arial" w:cs="Arial" w:eastAsia="Arial" w:hAnsi="Arial"/>
          <w:sz w:val="20"/>
          <w:szCs w:val="20"/>
          <w:b w:val="1"/>
          <w:bCs w:val="1"/>
          <w:color w:val="auto"/>
        </w:rPr>
        <w:t>Subsidiary</w:t>
      </w:r>
      <w:r>
        <w:rPr>
          <w:rFonts w:ascii="Arial" w:cs="Arial" w:eastAsia="Arial" w:hAnsi="Arial"/>
          <w:sz w:val="20"/>
          <w:szCs w:val="20"/>
          <w:color w:val="auto"/>
        </w:rPr>
        <w:t>” or to “</w:t>
      </w:r>
      <w:r>
        <w:rPr>
          <w:rFonts w:ascii="Arial" w:cs="Arial" w:eastAsia="Arial" w:hAnsi="Arial"/>
          <w:sz w:val="20"/>
          <w:szCs w:val="20"/>
          <w:b w:val="1"/>
          <w:bCs w:val="1"/>
          <w:color w:val="auto"/>
        </w:rPr>
        <w:t>Subsidiaries</w:t>
      </w:r>
      <w:r>
        <w:rPr>
          <w:rFonts w:ascii="Arial" w:cs="Arial" w:eastAsia="Arial" w:hAnsi="Arial"/>
          <w:sz w:val="20"/>
          <w:szCs w:val="20"/>
          <w:color w:val="auto"/>
        </w:rPr>
        <w:t>” shall refer to a Subsidiary or Subsidiaries of the Borrower.</w:t>
      </w:r>
    </w:p>
    <w:p>
      <w:pPr>
        <w:spacing w:after="0" w:line="184" w:lineRule="exact"/>
        <w:rPr>
          <w:sz w:val="20"/>
          <w:szCs w:val="20"/>
          <w:color w:val="auto"/>
        </w:rPr>
      </w:pPr>
    </w:p>
    <w:p>
      <w:pPr>
        <w:jc w:val="both"/>
        <w:ind w:firstLine="749"/>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Succession Agreement</w:t>
      </w:r>
      <w:r>
        <w:rPr>
          <w:rFonts w:ascii="Arial" w:cs="Arial" w:eastAsia="Arial" w:hAnsi="Arial"/>
          <w:sz w:val="18"/>
          <w:szCs w:val="18"/>
          <w:color w:val="auto"/>
        </w:rPr>
        <w:t>” means that certain Successor Agent Agreement dated as of the Restatement Effective Date, among Cortland Products Corp., as successor agent, Credit Suisse AG, as retiring agent, the Borrower and the Tranche B-2 Term Lenders.</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Successor Borrower</w:t>
      </w:r>
      <w:r>
        <w:rPr>
          <w:rFonts w:ascii="Arial" w:cs="Arial" w:eastAsia="Arial" w:hAnsi="Arial"/>
          <w:sz w:val="20"/>
          <w:szCs w:val="20"/>
          <w:color w:val="auto"/>
        </w:rPr>
        <w:t xml:space="preserve">” shall have the meaning specified in </w:t>
      </w:r>
      <w:r>
        <w:rPr>
          <w:rFonts w:ascii="Arial" w:cs="Arial" w:eastAsia="Arial" w:hAnsi="Arial"/>
          <w:sz w:val="20"/>
          <w:szCs w:val="20"/>
          <w:u w:val="single" w:color="auto"/>
          <w:color w:val="auto"/>
        </w:rPr>
        <w:t>Section 7.04(d)</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Survey</w:t>
      </w:r>
      <w:r>
        <w:rPr>
          <w:rFonts w:ascii="Arial" w:cs="Arial" w:eastAsia="Arial" w:hAnsi="Arial"/>
          <w:sz w:val="20"/>
          <w:szCs w:val="20"/>
          <w:color w:val="auto"/>
        </w:rPr>
        <w:t>” shall have the meaning assigned to such term in the definition of “Collateral and Guarantee Requirement”.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Swap Contract</w:t>
      </w:r>
      <w:r>
        <w:rPr>
          <w:rFonts w:ascii="Arial" w:cs="Arial" w:eastAsia="Arial" w:hAnsi="Arial"/>
          <w:sz w:val="20"/>
          <w:szCs w:val="20"/>
          <w:color w:val="auto"/>
        </w:rPr>
        <w:t>” shall mean (a) any and all rate swap transactions, basis swaps, credit derivative transactions, forward rate transactions, commodity swaps, commodity options, forward commodity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jc w:val="both"/>
        <w:spacing w:after="0" w:line="256" w:lineRule="auto"/>
        <w:rPr>
          <w:sz w:val="20"/>
          <w:szCs w:val="20"/>
          <w:color w:val="auto"/>
        </w:rPr>
      </w:pPr>
      <w:r>
        <w:rPr>
          <w:rFonts w:ascii="Arial" w:cs="Arial" w:eastAsia="Arial" w:hAnsi="Arial"/>
          <w:sz w:val="19"/>
          <w:szCs w:val="19"/>
          <w:color w:val="auto"/>
        </w:rPr>
        <w:t>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b w:val="1"/>
          <w:bCs w:val="1"/>
          <w:color w:val="auto"/>
        </w:rPr>
        <w:t>Master Agreement</w:t>
      </w:r>
      <w:r>
        <w:rPr>
          <w:rFonts w:ascii="Arial" w:cs="Arial" w:eastAsia="Arial" w:hAnsi="Arial"/>
          <w:sz w:val="19"/>
          <w:szCs w:val="19"/>
          <w:color w:val="auto"/>
        </w:rPr>
        <w:t>”), including any such obligations or liabilities under any Master Agreement.</w:t>
      </w:r>
    </w:p>
    <w:p>
      <w:pPr>
        <w:spacing w:after="0" w:line="17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Swap Termination Value</w:t>
      </w:r>
      <w:r>
        <w:rPr>
          <w:rFonts w:ascii="Arial" w:cs="Arial" w:eastAsia="Arial" w:hAnsi="Arial"/>
          <w:sz w:val="20"/>
          <w:szCs w:val="20"/>
          <w:color w:val="auto"/>
        </w:rPr>
        <w:t>” shall mean,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3.01(a)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Borrowing</w:t>
      </w:r>
      <w:r>
        <w:rPr>
          <w:rFonts w:ascii="Arial" w:cs="Arial" w:eastAsia="Arial" w:hAnsi="Arial"/>
          <w:sz w:val="20"/>
          <w:szCs w:val="20"/>
          <w:color w:val="auto"/>
        </w:rPr>
        <w:t>” shall mean a Borrowing comprised of Term Loans.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Lender</w:t>
      </w:r>
      <w:r>
        <w:rPr>
          <w:rFonts w:ascii="Arial" w:cs="Arial" w:eastAsia="Arial" w:hAnsi="Arial"/>
          <w:sz w:val="20"/>
          <w:szCs w:val="20"/>
          <w:color w:val="auto"/>
        </w:rPr>
        <w:t>” shall mean a Lender with a Term Loan Commitment or an outstanding Term Loan.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 Commitment</w:t>
      </w:r>
      <w:r>
        <w:rPr>
          <w:rFonts w:ascii="Arial" w:cs="Arial" w:eastAsia="Arial" w:hAnsi="Arial"/>
          <w:sz w:val="20"/>
          <w:szCs w:val="20"/>
          <w:color w:val="auto"/>
        </w:rPr>
        <w:t>” shall mean the Tranche B-2 Term Loan Commitment.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Loans</w:t>
      </w:r>
      <w:r>
        <w:rPr>
          <w:rFonts w:ascii="Arial" w:cs="Arial" w:eastAsia="Arial" w:hAnsi="Arial"/>
          <w:sz w:val="20"/>
          <w:szCs w:val="20"/>
          <w:color w:val="auto"/>
        </w:rPr>
        <w:t>” shall mean the Tranche B-2 Term Loans, Extended Term Loans and Other Term Loans.</w:t>
      </w:r>
    </w:p>
    <w:p>
      <w:pPr>
        <w:spacing w:after="0" w:line="2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Note</w:t>
      </w:r>
      <w:r>
        <w:rPr>
          <w:rFonts w:ascii="Arial" w:cs="Arial" w:eastAsia="Arial" w:hAnsi="Arial"/>
          <w:sz w:val="20"/>
          <w:szCs w:val="20"/>
          <w:color w:val="auto"/>
        </w:rPr>
        <w:t xml:space="preserve">” shall mean a promissory note of the Borrower payable to any Term Lender or its registered assigns, in substantially the form of </w:t>
      </w:r>
      <w:r>
        <w:rPr>
          <w:rFonts w:ascii="Arial" w:cs="Arial" w:eastAsia="Arial" w:hAnsi="Arial"/>
          <w:sz w:val="20"/>
          <w:szCs w:val="20"/>
          <w:u w:val="single" w:color="auto"/>
          <w:color w:val="auto"/>
        </w:rPr>
        <w:t>Exhibit J</w:t>
      </w:r>
      <w:r>
        <w:rPr>
          <w:rFonts w:ascii="Arial" w:cs="Arial" w:eastAsia="Arial" w:hAnsi="Arial"/>
          <w:sz w:val="20"/>
          <w:szCs w:val="20"/>
          <w:color w:val="auto"/>
        </w:rPr>
        <w:t xml:space="preserve"> hereto, evidencing the aggregate Indebtedness of the Borrower to such Term Lender resulting from the Term Loans made by such Term Lender.</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Priority Collateral</w:t>
      </w:r>
      <w:r>
        <w:rPr>
          <w:rFonts w:ascii="Arial" w:cs="Arial" w:eastAsia="Arial" w:hAnsi="Arial"/>
          <w:sz w:val="20"/>
          <w:szCs w:val="20"/>
          <w:color w:val="auto"/>
        </w:rPr>
        <w:t>” shall have the meaning assigned to such term in the ABL Intercreditor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SOFR</w:t>
      </w:r>
      <w:r>
        <w:rPr>
          <w:rFonts w:ascii="Arial" w:cs="Arial" w:eastAsia="Arial" w:hAnsi="Arial"/>
          <w:sz w:val="20"/>
          <w:szCs w:val="20"/>
          <w:color w:val="auto"/>
        </w:rPr>
        <w:t>” shall mean,</w:t>
      </w:r>
    </w:p>
    <w:p>
      <w:pPr>
        <w:spacing w:after="0" w:line="222" w:lineRule="exact"/>
        <w:rPr>
          <w:sz w:val="20"/>
          <w:szCs w:val="20"/>
          <w:color w:val="auto"/>
        </w:rPr>
      </w:pPr>
    </w:p>
    <w:p>
      <w:pPr>
        <w:jc w:val="both"/>
        <w:ind w:left="760" w:firstLine="745"/>
        <w:spacing w:after="0" w:line="256" w:lineRule="auto"/>
        <w:tabs>
          <w:tab w:leader="none" w:pos="2048" w:val="left"/>
        </w:tabs>
        <w:numPr>
          <w:ilvl w:val="0"/>
          <w:numId w:val="58"/>
        </w:numPr>
        <w:rPr>
          <w:rFonts w:ascii="Arial" w:cs="Arial" w:eastAsia="Arial" w:hAnsi="Arial"/>
          <w:sz w:val="19"/>
          <w:szCs w:val="19"/>
          <w:color w:val="auto"/>
        </w:rPr>
      </w:pPr>
      <w:r>
        <w:rPr>
          <w:rFonts w:ascii="Arial" w:cs="Arial" w:eastAsia="Arial" w:hAnsi="Arial"/>
          <w:sz w:val="19"/>
          <w:szCs w:val="19"/>
          <w:color w:val="auto"/>
        </w:rPr>
        <w:t>for any calculation with respect to a SOFR Loans, the Term SOFR Reference Rate for a tenor comparable to the applicable Interest Period on the day (such day, the “</w:t>
      </w:r>
      <w:r>
        <w:rPr>
          <w:rFonts w:ascii="Arial" w:cs="Arial" w:eastAsia="Arial" w:hAnsi="Arial"/>
          <w:sz w:val="19"/>
          <w:szCs w:val="19"/>
          <w:b w:val="1"/>
          <w:bCs w:val="1"/>
          <w:color w:val="auto"/>
        </w:rPr>
        <w:t>Periodic Term SOFR Determination Day</w:t>
      </w:r>
      <w:r>
        <w:rPr>
          <w:rFonts w:ascii="Arial" w:cs="Arial" w:eastAsia="Arial" w:hAnsi="Arial"/>
          <w:sz w:val="19"/>
          <w:szCs w:val="19"/>
          <w:color w:val="auto"/>
        </w:rPr>
        <w:t xml:space="preserve">”) that is two (2) U.S. Government Securities Business Days prior to the first day of such Interest Period, as such rate is published by the Term SOFR Administrator;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0" w:name="page81"/>
    <w:bookmarkEnd w:id="80"/>
    <w:p>
      <w:pPr>
        <w:ind w:left="760"/>
        <w:spacing w:after="0" w:line="260" w:lineRule="auto"/>
        <w:rPr>
          <w:sz w:val="20"/>
          <w:szCs w:val="20"/>
          <w:color w:val="auto"/>
        </w:rPr>
      </w:pPr>
      <w:r>
        <w:rPr>
          <w:rFonts w:ascii="Arial" w:cs="Arial" w:eastAsia="Arial" w:hAnsi="Arial"/>
          <w:sz w:val="20"/>
          <w:szCs w:val="20"/>
          <w:color w:val="auto"/>
        </w:rPr>
        <w:t>Securities Business Day is not more than three (3) U.S. Government Securities Business Days prior to such Periodic Term SOFR Determination Day; and</w:t>
      </w:r>
    </w:p>
    <w:p>
      <w:pPr>
        <w:spacing w:after="0" w:line="177" w:lineRule="exact"/>
        <w:rPr>
          <w:sz w:val="20"/>
          <w:szCs w:val="20"/>
          <w:color w:val="auto"/>
        </w:rPr>
      </w:pPr>
    </w:p>
    <w:p>
      <w:pPr>
        <w:jc w:val="both"/>
        <w:ind w:left="760" w:firstLine="745"/>
        <w:spacing w:after="0" w:line="255" w:lineRule="auto"/>
        <w:tabs>
          <w:tab w:leader="none" w:pos="2048" w:val="left"/>
        </w:tabs>
        <w:numPr>
          <w:ilvl w:val="0"/>
          <w:numId w:val="59"/>
        </w:numPr>
        <w:rPr>
          <w:rFonts w:ascii="Arial" w:cs="Arial" w:eastAsia="Arial" w:hAnsi="Arial"/>
          <w:sz w:val="19"/>
          <w:szCs w:val="19"/>
          <w:color w:val="auto"/>
        </w:rPr>
      </w:pPr>
      <w:r>
        <w:rPr>
          <w:rFonts w:ascii="Arial" w:cs="Arial" w:eastAsia="Arial" w:hAnsi="Arial"/>
          <w:sz w:val="19"/>
          <w:szCs w:val="19"/>
          <w:color w:val="auto"/>
        </w:rPr>
        <w:t>for any calculation with respect to ABR Loans on any day, the Term SOFR Reference Rate for a tenor of one month on the day (such day, the “</w:t>
      </w:r>
      <w:r>
        <w:rPr>
          <w:rFonts w:ascii="Arial" w:cs="Arial" w:eastAsia="Arial" w:hAnsi="Arial"/>
          <w:sz w:val="19"/>
          <w:szCs w:val="19"/>
          <w:b w:val="1"/>
          <w:bCs w:val="1"/>
          <w:color w:val="auto"/>
        </w:rPr>
        <w:t>Alternate Base Rate Term SOFR Determination Day</w:t>
      </w:r>
      <w:r>
        <w:rPr>
          <w:rFonts w:ascii="Arial" w:cs="Arial" w:eastAsia="Arial" w:hAnsi="Arial"/>
          <w:sz w:val="19"/>
          <w:szCs w:val="19"/>
          <w:color w:val="auto"/>
        </w:rPr>
        <w:t xml:space="preserve">”) that is two (2) U.S. Government Securities Business Days prior to such day, as such rate is published by the Term SOFR Administrator;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as of 5:00 p.m. (New York City time) on any Alternate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190" w:lineRule="exact"/>
        <w:rPr>
          <w:sz w:val="20"/>
          <w:szCs w:val="20"/>
          <w:color w:val="auto"/>
        </w:rPr>
      </w:pPr>
    </w:p>
    <w:p>
      <w:pPr>
        <w:ind w:left="760"/>
        <w:spacing w:after="0" w:line="260" w:lineRule="auto"/>
        <w:rPr>
          <w:sz w:val="20"/>
          <w:szCs w:val="20"/>
          <w:color w:val="auto"/>
        </w:rPr>
      </w:pPr>
      <w:r>
        <w:rPr>
          <w:rFonts w:ascii="Arial" w:cs="Arial" w:eastAsia="Arial" w:hAnsi="Arial"/>
          <w:sz w:val="20"/>
          <w:szCs w:val="20"/>
          <w:i w:val="1"/>
          <w:iCs w:val="1"/>
          <w:color w:val="auto"/>
        </w:rPr>
        <w:t>provided, further</w:t>
      </w:r>
      <w:r>
        <w:rPr>
          <w:rFonts w:ascii="Arial" w:cs="Arial" w:eastAsia="Arial" w:hAnsi="Arial"/>
          <w:sz w:val="20"/>
          <w:szCs w:val="20"/>
          <w:color w:val="auto"/>
        </w:rPr>
        <w:t>, that if Term SOFR determined as provided above (including pursuant to the proviso under clause (a) or clause (b)</w:t>
      </w:r>
      <w:r>
        <w:rPr>
          <w:rFonts w:ascii="Arial" w:cs="Arial" w:eastAsia="Arial" w:hAnsi="Arial"/>
          <w:sz w:val="20"/>
          <w:szCs w:val="20"/>
          <w:i w:val="1"/>
          <w:iCs w:val="1"/>
          <w:color w:val="auto"/>
        </w:rPr>
        <w:t xml:space="preserve"> </w:t>
      </w:r>
      <w:r>
        <w:rPr>
          <w:rFonts w:ascii="Arial" w:cs="Arial" w:eastAsia="Arial" w:hAnsi="Arial"/>
          <w:sz w:val="20"/>
          <w:szCs w:val="20"/>
          <w:color w:val="auto"/>
        </w:rPr>
        <w:t>above) shall ever be less than the Floor, then Term SOFR shall be deemed to be the Floor.</w:t>
      </w:r>
    </w:p>
    <w:p>
      <w:pPr>
        <w:spacing w:after="0" w:line="17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SOFR Administrator</w:t>
      </w:r>
      <w:r>
        <w:rPr>
          <w:rFonts w:ascii="Arial" w:cs="Arial" w:eastAsia="Arial" w:hAnsi="Arial"/>
          <w:sz w:val="20"/>
          <w:szCs w:val="20"/>
          <w:color w:val="auto"/>
        </w:rPr>
        <w:t>” shall mean CME Group Benchmark Administration Limited (CBA) (or a successor administrator of the Term SOFR Reference Rate selected by the Administrative Agent in its reasonable discretion).</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SOFR Reference Rate</w:t>
      </w:r>
      <w:r>
        <w:rPr>
          <w:rFonts w:ascii="Arial" w:cs="Arial" w:eastAsia="Arial" w:hAnsi="Arial"/>
          <w:sz w:val="20"/>
          <w:szCs w:val="20"/>
          <w:color w:val="auto"/>
        </w:rPr>
        <w:t>” shall mean the forward-looking term rate based on SOFR.</w:t>
      </w:r>
    </w:p>
    <w:p>
      <w:pPr>
        <w:spacing w:after="0" w:line="216" w:lineRule="exact"/>
        <w:rPr>
          <w:sz w:val="20"/>
          <w:szCs w:val="20"/>
          <w:color w:val="auto"/>
        </w:rPr>
      </w:pPr>
    </w:p>
    <w:p>
      <w:pPr>
        <w:jc w:val="both"/>
        <w:ind w:firstLine="749"/>
        <w:spacing w:after="0" w:line="34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Test Period</w:t>
      </w:r>
      <w:r>
        <w:rPr>
          <w:rFonts w:ascii="Arial" w:cs="Arial" w:eastAsia="Arial" w:hAnsi="Arial"/>
          <w:sz w:val="16"/>
          <w:szCs w:val="16"/>
          <w:color w:val="auto"/>
        </w:rPr>
        <w:t xml:space="preserve">” shall mean, for any date of determination under this Agreement, the most recent period as of such date of four consecutive fiscal quarters of the Borrower for which financial statements have been delivered (or were required to have been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6.01(b)</w:t>
      </w:r>
      <w:r>
        <w:rPr>
          <w:rFonts w:ascii="Arial" w:cs="Arial" w:eastAsia="Arial" w:hAnsi="Arial"/>
          <w:sz w:val="16"/>
          <w:szCs w:val="16"/>
          <w:color w:val="auto"/>
        </w:rPr>
        <w:t>, as applicable, or, prior to the first such requirement, the four fiscal quarter period ended June 30, 2019.</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Threshold Amount</w:t>
      </w:r>
      <w:r>
        <w:rPr>
          <w:rFonts w:ascii="Arial" w:cs="Arial" w:eastAsia="Arial" w:hAnsi="Arial"/>
          <w:sz w:val="20"/>
          <w:szCs w:val="20"/>
          <w:color w:val="auto"/>
        </w:rPr>
        <w:t>” shall mean $30,000,000.</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Title Company</w:t>
      </w:r>
      <w:r>
        <w:rPr>
          <w:rFonts w:ascii="Arial" w:cs="Arial" w:eastAsia="Arial" w:hAnsi="Arial"/>
          <w:sz w:val="20"/>
          <w:szCs w:val="20"/>
          <w:color w:val="auto"/>
        </w:rPr>
        <w:t>” shall mean Chicago Title Insurance Company.</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Total Leverage Ratio</w:t>
      </w:r>
      <w:r>
        <w:rPr>
          <w:rFonts w:ascii="Arial" w:cs="Arial" w:eastAsia="Arial" w:hAnsi="Arial"/>
          <w:sz w:val="20"/>
          <w:szCs w:val="20"/>
          <w:color w:val="auto"/>
        </w:rPr>
        <w:t>” shall mean, as of any date, the ratio of (a) Consolidated Total Debt as of such date to (b) Consolidated EBITDA for the Test Period applicable as of such date.</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2.19(a)</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B-2 Term Lender</w:t>
      </w:r>
      <w:r>
        <w:rPr>
          <w:rFonts w:ascii="Arial" w:cs="Arial" w:eastAsia="Arial" w:hAnsi="Arial"/>
          <w:sz w:val="20"/>
          <w:szCs w:val="20"/>
          <w:color w:val="auto"/>
        </w:rPr>
        <w:t>” shall mean a Lender with a Tranche B-2 Term Loan Commitment or an outstanding Tranche B-2 Term Loan.</w:t>
      </w:r>
    </w:p>
    <w:p>
      <w:pPr>
        <w:spacing w:after="0" w:line="16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B-2 Term Loan Commitment</w:t>
      </w:r>
      <w:r>
        <w:rPr>
          <w:rFonts w:ascii="Arial" w:cs="Arial" w:eastAsia="Arial" w:hAnsi="Arial"/>
          <w:sz w:val="20"/>
          <w:szCs w:val="20"/>
          <w:color w:val="auto"/>
        </w:rPr>
        <w:t>” shall mean, with respect to each Lender, the commitment, if any, of such Lender to make a Tranche B-2 Term Loan hereunder, expressed as an amount representing the maximum principal amount of the Tranche B-2 Term Loan to be made by such Lender hereunder. The initial aggregate amount of the Tranche B-2 Term Loan Commitments as of the Restatement Effective Date is $600,000,000.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1" w:name="page82"/>
    <w:bookmarkEnd w:id="81"/>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B-2 Term Loans</w:t>
      </w:r>
      <w:r>
        <w:rPr>
          <w:rFonts w:ascii="Arial" w:cs="Arial" w:eastAsia="Arial" w:hAnsi="Arial"/>
          <w:sz w:val="20"/>
          <w:szCs w:val="20"/>
          <w:color w:val="auto"/>
        </w:rPr>
        <w:t xml:space="preserve"> ” shall mean the term loans made by the Lenders on the Restatement Effective Date to the Borrower pursuant to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 For the avoidance of doubt, a Term Loan shall no longer be a “Tranche B-2 Term Loan” when it shall have become an “Extended Term Loan”.</w:t>
      </w:r>
    </w:p>
    <w:p>
      <w:pPr>
        <w:spacing w:after="0" w:line="17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Transaction Expenses</w:t>
      </w:r>
      <w:r>
        <w:rPr>
          <w:rFonts w:ascii="Arial" w:cs="Arial" w:eastAsia="Arial" w:hAnsi="Arial"/>
          <w:sz w:val="20"/>
          <w:szCs w:val="20"/>
          <w:color w:val="auto"/>
        </w:rPr>
        <w:t xml:space="preserve">” shall mean any costs, fees or expenses incurred or paid by the Borrower or any of its Subsidiaries in connection with the Transactions, this Agreement and the other Loan Documents;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amount of Transaction Expenses attributable to clause (b) of the definition of Transactions shall not exceed $250,000.</w:t>
      </w:r>
    </w:p>
    <w:p>
      <w:pPr>
        <w:spacing w:after="0" w:line="17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Transactions</w:t>
      </w:r>
      <w:r>
        <w:rPr>
          <w:rFonts w:ascii="Arial" w:cs="Arial" w:eastAsia="Arial" w:hAnsi="Arial"/>
          <w:sz w:val="20"/>
          <w:szCs w:val="20"/>
          <w:color w:val="auto"/>
        </w:rPr>
        <w:t>” shall mean, collectively, (a) the execution and delivery by the Loan Parties of the Loan Documents to which they are a party and the making of the Borrowings hereunder on the Restatement Effective Date, (b) the execution and delivery by the Borrower and the Subsidiaries party thereto of an amendment to the ABL Facility Documentation in connection with the matters described in clause (a), (c) the Refinancing Transactions and (d) the payment of the Transaction Expenses.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Transferred Guarantor</w:t>
      </w:r>
      <w:r>
        <w:rPr>
          <w:rFonts w:ascii="Arial" w:cs="Arial" w:eastAsia="Arial" w:hAnsi="Arial"/>
          <w:sz w:val="20"/>
          <w:szCs w:val="20"/>
          <w:color w:val="auto"/>
        </w:rPr>
        <w:t xml:space="preserve">” shall have the meaning specified in the </w:t>
      </w:r>
      <w:r>
        <w:rPr>
          <w:rFonts w:ascii="Arial" w:cs="Arial" w:eastAsia="Arial" w:hAnsi="Arial"/>
          <w:sz w:val="20"/>
          <w:szCs w:val="20"/>
          <w:u w:val="single" w:color="auto"/>
          <w:color w:val="auto"/>
        </w:rPr>
        <w:t>Section 11.10</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Treasury</w:t>
      </w:r>
      <w:r>
        <w:rPr>
          <w:rFonts w:ascii="Arial" w:cs="Arial" w:eastAsia="Arial" w:hAnsi="Arial"/>
          <w:sz w:val="20"/>
          <w:szCs w:val="20"/>
          <w:color w:val="auto"/>
        </w:rPr>
        <w:t>” means the United States Department of the Treasury.</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Treasury Equity</w:t>
      </w:r>
      <w:r>
        <w:rPr>
          <w:rFonts w:ascii="Arial" w:cs="Arial" w:eastAsia="Arial" w:hAnsi="Arial"/>
          <w:sz w:val="20"/>
          <w:szCs w:val="20"/>
          <w:color w:val="auto"/>
        </w:rPr>
        <w:t>” means the 15,943,753 shares of Common Stock of the Borrower issued and delivered pursuant to the UST Tranche A Credit Agreement and the UST Tranche B Credit Agreement, directly or indirectly, to the United States federal government or any Governmental Authority on behalf thereof (including, in each case, any agent, trust or Person on behalf thereof, including, for the avoidance of doubt, any voting trust and the trustee thereof created to hold the Treasury Equity for the benefit of the United States federal government or any other Governmental Authority).</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Treasury Equity Documents</w:t>
      </w:r>
      <w:r>
        <w:rPr>
          <w:rFonts w:ascii="Arial" w:cs="Arial" w:eastAsia="Arial" w:hAnsi="Arial"/>
          <w:sz w:val="20"/>
          <w:szCs w:val="20"/>
          <w:color w:val="auto"/>
        </w:rPr>
        <w:t>” means (i) the Share Issuance Agreement, dated as of June 30, 2020, between the Borrower and the Treasury, (ii) the Voting Trust Agreement, by and among the Borrower, Treasury and the trustee thereunder to be entered into on or before the Treasury Equity Issuance and (iii) the Registration Rights Agreement, by and between the Borrower and Treasury to be entered into on or before the Treasury Equity Issuance.</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Equity Issuance</w:t>
      </w:r>
      <w:r>
        <w:rPr>
          <w:rFonts w:ascii="Arial" w:cs="Arial" w:eastAsia="Arial" w:hAnsi="Arial"/>
          <w:sz w:val="18"/>
          <w:szCs w:val="18"/>
          <w:color w:val="auto"/>
        </w:rPr>
        <w:t>” shall mean the issuance of Treasury Equity in connection with the Amendment No. 2 Transactions.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Only Collateral</w:t>
      </w:r>
      <w:r>
        <w:rPr>
          <w:rFonts w:ascii="Arial" w:cs="Arial" w:eastAsia="Arial" w:hAnsi="Arial"/>
          <w:sz w:val="18"/>
          <w:szCs w:val="18"/>
          <w:color w:val="auto"/>
        </w:rPr>
        <w:t>” shall mean, collectively, the UST Tranche A Only Collateral and the UST Tranche B Only Collateral.</w:t>
      </w:r>
    </w:p>
    <w:p>
      <w:pPr>
        <w:spacing w:after="0" w:line="23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Type</w:t>
      </w:r>
      <w:r>
        <w:rPr>
          <w:rFonts w:ascii="Arial" w:cs="Arial" w:eastAsia="Arial" w:hAnsi="Arial"/>
          <w:sz w:val="20"/>
          <w:szCs w:val="20"/>
          <w:color w:val="auto"/>
        </w:rPr>
        <w:t>”, when used in respect of any Loan or Borrowing, shall refer to the Rate by reference to which interest on such Loan or on the Loans comprising such Borrowing is determined. For purposes hereof, the term “</w:t>
      </w:r>
      <w:r>
        <w:rPr>
          <w:rFonts w:ascii="Arial" w:cs="Arial" w:eastAsia="Arial" w:hAnsi="Arial"/>
          <w:sz w:val="20"/>
          <w:szCs w:val="20"/>
          <w:b w:val="1"/>
          <w:bCs w:val="1"/>
          <w:color w:val="auto"/>
        </w:rPr>
        <w:t>Rate</w:t>
      </w:r>
      <w:r>
        <w:rPr>
          <w:rFonts w:ascii="Arial" w:cs="Arial" w:eastAsia="Arial" w:hAnsi="Arial"/>
          <w:sz w:val="20"/>
          <w:szCs w:val="20"/>
          <w:color w:val="auto"/>
        </w:rPr>
        <w:t>” shall mean Adjusted Term SOFR and the Alternate Base Rate.</w:t>
      </w:r>
    </w:p>
    <w:p>
      <w:pPr>
        <w:spacing w:after="0" w:line="177" w:lineRule="exact"/>
        <w:rPr>
          <w:sz w:val="20"/>
          <w:szCs w:val="20"/>
          <w:color w:val="auto"/>
        </w:rPr>
      </w:pPr>
    </w:p>
    <w:p>
      <w:pPr>
        <w:jc w:val="both"/>
        <w:ind w:firstLine="802"/>
        <w:spacing w:after="0" w:line="32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Unaudited Financial Statements</w:t>
      </w:r>
      <w:r>
        <w:rPr>
          <w:rFonts w:ascii="Arial" w:cs="Arial" w:eastAsia="Arial" w:hAnsi="Arial"/>
          <w:sz w:val="18"/>
          <w:szCs w:val="18"/>
          <w:color w:val="auto"/>
        </w:rPr>
        <w:t>” shall mean the unaudited consolidated balance sheets and related statements of operations and cash flows of the Borrower and its consolidated Subsidiaries as at the end of and for the fiscal quarter ended June 30, 2019.</w:t>
      </w:r>
    </w:p>
    <w:p>
      <w:pPr>
        <w:spacing w:after="0" w:line="118" w:lineRule="exact"/>
        <w:rPr>
          <w:sz w:val="20"/>
          <w:szCs w:val="20"/>
          <w:color w:val="auto"/>
        </w:rPr>
      </w:pPr>
    </w:p>
    <w:p>
      <w:pPr>
        <w:jc w:val="both"/>
        <w:ind w:firstLine="81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Uniform Commercial Code</w:t>
      </w:r>
      <w:r>
        <w:rPr>
          <w:rFonts w:ascii="Arial" w:cs="Arial" w:eastAsia="Arial" w:hAnsi="Arial"/>
          <w:sz w:val="20"/>
          <w:szCs w:val="20"/>
          <w:color w:val="auto"/>
        </w:rPr>
        <w:t>” or “</w:t>
      </w:r>
      <w:r>
        <w:rPr>
          <w:rFonts w:ascii="Arial" w:cs="Arial" w:eastAsia="Arial" w:hAnsi="Arial"/>
          <w:sz w:val="20"/>
          <w:szCs w:val="20"/>
          <w:b w:val="1"/>
          <w:bCs w:val="1"/>
          <w:color w:val="auto"/>
        </w:rPr>
        <w:t>UCC</w:t>
      </w:r>
      <w:r>
        <w:rPr>
          <w:rFonts w:ascii="Arial" w:cs="Arial" w:eastAsia="Arial" w:hAnsi="Arial"/>
          <w:sz w:val="20"/>
          <w:szCs w:val="20"/>
          <w:color w:val="auto"/>
        </w:rPr>
        <w:t>” shall 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United States</w:t>
      </w:r>
      <w:r>
        <w:rPr>
          <w:rFonts w:ascii="Arial" w:cs="Arial" w:eastAsia="Arial" w:hAnsi="Arial"/>
          <w:sz w:val="20"/>
          <w:szCs w:val="20"/>
          <w:color w:val="auto"/>
        </w:rPr>
        <w:t>” and “</w:t>
      </w:r>
      <w:r>
        <w:rPr>
          <w:rFonts w:ascii="Arial" w:cs="Arial" w:eastAsia="Arial" w:hAnsi="Arial"/>
          <w:sz w:val="20"/>
          <w:szCs w:val="20"/>
          <w:b w:val="1"/>
          <w:bCs w:val="1"/>
          <w:color w:val="auto"/>
        </w:rPr>
        <w:t>U.S.</w:t>
      </w:r>
      <w:r>
        <w:rPr>
          <w:rFonts w:ascii="Arial" w:cs="Arial" w:eastAsia="Arial" w:hAnsi="Arial"/>
          <w:sz w:val="20"/>
          <w:szCs w:val="20"/>
          <w:color w:val="auto"/>
        </w:rPr>
        <w:t>” mean the United States of America.</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United States Tax Compliance Certificate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3.01(d)</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Government Securities Business Day</w:t>
      </w:r>
      <w:r>
        <w:rPr>
          <w:rFonts w:ascii="Arial" w:cs="Arial" w:eastAsia="Arial" w:hAnsi="Arial"/>
          <w:sz w:val="20"/>
          <w:szCs w:val="20"/>
          <w:color w:val="auto"/>
        </w:rPr>
        <w:t>”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7" w:lineRule="exact"/>
        <w:rPr>
          <w:sz w:val="20"/>
          <w:szCs w:val="20"/>
          <w:color w:val="auto"/>
        </w:rPr>
      </w:pPr>
    </w:p>
    <w:p>
      <w:pPr>
        <w:jc w:val="both"/>
        <w:ind w:firstLine="811"/>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USA PATRIOT Act</w:t>
      </w:r>
      <w:r>
        <w:rPr>
          <w:rFonts w:ascii="Arial" w:cs="Arial" w:eastAsia="Arial" w:hAnsi="Arial"/>
          <w:sz w:val="20"/>
          <w:szCs w:val="20"/>
          <w:color w:val="auto"/>
        </w:rPr>
        <w:t>” shall mean The Uniting and Strengthening America by Providing Appropriate Tools Required to Intercept and Obstruct Terrorism Act of 2001 (Title III of Pub. L. No. 107-56 (signed into law October 26, 2001)).</w:t>
      </w:r>
    </w:p>
    <w:p>
      <w:pPr>
        <w:spacing w:after="0" w:line="163" w:lineRule="exact"/>
        <w:rPr>
          <w:sz w:val="20"/>
          <w:szCs w:val="20"/>
          <w:color w:val="auto"/>
        </w:rPr>
      </w:pPr>
    </w:p>
    <w:p>
      <w:pPr>
        <w:ind w:right="220" w:firstLine="74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UST Tranche A Agent</w:t>
      </w:r>
      <w:r>
        <w:rPr>
          <w:rFonts w:ascii="Arial" w:cs="Arial" w:eastAsia="Arial" w:hAnsi="Arial"/>
          <w:sz w:val="19"/>
          <w:szCs w:val="19"/>
          <w:color w:val="auto"/>
        </w:rPr>
        <w:t>” shall mean, as the context may require, The Bank of New York Mellon, in its capacity as administrative agent and as collateral agent under the UST Tranche A Facility Documentation, such agents collectively or any permitted successor or assignee administrative agent or collateral agent under the UST Tranche A Facility Documentation.</w:t>
      </w:r>
    </w:p>
    <w:p>
      <w:pPr>
        <w:spacing w:after="0" w:line="162" w:lineRule="exact"/>
        <w:rPr>
          <w:sz w:val="20"/>
          <w:szCs w:val="20"/>
          <w:color w:val="auto"/>
        </w:rPr>
      </w:pPr>
    </w:p>
    <w:p>
      <w:pPr>
        <w:ind w:right="160"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UST Tranche A Controlled Account</w:t>
      </w:r>
      <w:r>
        <w:rPr>
          <w:rFonts w:ascii="Arial" w:cs="Arial" w:eastAsia="Arial" w:hAnsi="Arial"/>
          <w:sz w:val="20"/>
          <w:szCs w:val="20"/>
          <w:color w:val="auto"/>
        </w:rPr>
        <w:t>” shall have the meaning assigned to such term in the UST Tranche A Credit Agreement (as in effect as of the date hereof).</w:t>
      </w:r>
    </w:p>
    <w:p>
      <w:pPr>
        <w:spacing w:after="0" w:line="163" w:lineRule="exact"/>
        <w:rPr>
          <w:sz w:val="20"/>
          <w:szCs w:val="20"/>
          <w:color w:val="auto"/>
        </w:rPr>
      </w:pPr>
    </w:p>
    <w:p>
      <w:pPr>
        <w:ind w:right="60" w:firstLine="749"/>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UST Tranche A Credit Agreement</w:t>
      </w:r>
      <w:r>
        <w:rPr>
          <w:rFonts w:ascii="Arial" w:cs="Arial" w:eastAsia="Arial" w:hAnsi="Arial"/>
          <w:sz w:val="19"/>
          <w:szCs w:val="19"/>
          <w:color w:val="auto"/>
        </w:rPr>
        <w:t>” shall mean that certain UST Tranche A Term Loan Credit Agreement dated as of the Amendment No. 2 Effective Date, among the Borrower, the other subsidiaries of the Borrower party thereto, the lenders party thereto and the Tranche A Treasury Agent, and as the same may be further amended, restated, modified, supplemented, extended, renewed, restructured, refunded, replaced or refinanced from time to time in one or more agreements (in each case with the same or new lenders, institutional investors or agents and resulting in a financing that constitutes (or that would constitute if incurred as a new financing) a Permitted Refinancing of the UST Tranche A Facility Indebtedness), including any agreement extending the maturity thereof or otherwise restructuring all or any portion of the Indebtedness thereunder or increasing the amount loaned or issued thereunder or altering the maturity thereof), in each case as and to the extent permitted by this Agreement and, as applicable, the ABL Intercreditor Agreement and the Junior Lien Intercreditor Agreement.</w:t>
      </w:r>
    </w:p>
    <w:p>
      <w:pPr>
        <w:spacing w:after="0" w:line="176" w:lineRule="exact"/>
        <w:rPr>
          <w:sz w:val="20"/>
          <w:szCs w:val="20"/>
          <w:color w:val="auto"/>
        </w:rPr>
      </w:pPr>
    </w:p>
    <w:p>
      <w:pPr>
        <w:ind w:right="440"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UST Tranche A Facility</w:t>
      </w:r>
      <w:r>
        <w:rPr>
          <w:rFonts w:ascii="Arial" w:cs="Arial" w:eastAsia="Arial" w:hAnsi="Arial"/>
          <w:sz w:val="20"/>
          <w:szCs w:val="20"/>
          <w:color w:val="auto"/>
        </w:rPr>
        <w:t>” shall mean the credit facility made available to the Borrower pursuant to the UST Tranche A Credit Agreement.</w:t>
      </w:r>
    </w:p>
    <w:p>
      <w:pPr>
        <w:spacing w:after="0" w:line="163" w:lineRule="exact"/>
        <w:rPr>
          <w:sz w:val="20"/>
          <w:szCs w:val="20"/>
          <w:color w:val="auto"/>
        </w:rPr>
      </w:pPr>
    </w:p>
    <w:p>
      <w:pPr>
        <w:ind w:right="240"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UST Tranche A Facility Documentation</w:t>
      </w:r>
      <w:r>
        <w:rPr>
          <w:rFonts w:ascii="Arial" w:cs="Arial" w:eastAsia="Arial" w:hAnsi="Arial"/>
          <w:sz w:val="20"/>
          <w:szCs w:val="20"/>
          <w:color w:val="auto"/>
        </w:rPr>
        <w:t xml:space="preserve"> ” shall mean the UST Tranche A Credit Agreement and all security agreements, guarantees, pledge agreements and other agreements or instruments executed in connection therewith and including all “Loan Documents” (as defined in the UST Tranche A Credit Agreement) or similar term.</w:t>
      </w:r>
    </w:p>
    <w:p>
      <w:pPr>
        <w:spacing w:after="0" w:line="177" w:lineRule="exact"/>
        <w:rPr>
          <w:sz w:val="20"/>
          <w:szCs w:val="20"/>
          <w:color w:val="auto"/>
        </w:rPr>
      </w:pPr>
    </w:p>
    <w:p>
      <w:pPr>
        <w:ind w:right="100" w:firstLine="74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UST Tranche A Facility Indebtedness</w:t>
      </w:r>
      <w:r>
        <w:rPr>
          <w:rFonts w:ascii="Arial" w:cs="Arial" w:eastAsia="Arial" w:hAnsi="Arial"/>
          <w:sz w:val="19"/>
          <w:szCs w:val="19"/>
          <w:color w:val="auto"/>
        </w:rPr>
        <w:t>” shall mean Indebtedness of the Borrower or any Restricted Subsidiary outstanding under or secured by the UST Tranche A Facility Documentation, and in each case, all Permitted Refinancings thereof.</w:t>
      </w:r>
    </w:p>
    <w:p>
      <w:pPr>
        <w:spacing w:after="0" w:line="142" w:lineRule="exact"/>
        <w:rPr>
          <w:sz w:val="20"/>
          <w:szCs w:val="20"/>
          <w:color w:val="auto"/>
        </w:rPr>
      </w:pPr>
    </w:p>
    <w:p>
      <w:pPr>
        <w:ind w:right="100" w:firstLine="74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UST Tranche A Only Collateral</w:t>
      </w:r>
      <w:r>
        <w:rPr>
          <w:rFonts w:ascii="Arial" w:cs="Arial" w:eastAsia="Arial" w:hAnsi="Arial"/>
          <w:sz w:val="19"/>
          <w:szCs w:val="19"/>
          <w:color w:val="auto"/>
        </w:rPr>
        <w:t>” shall mean the UST Tranche A Controlled Account and all Money (as defined in the UCC) and all cash, checks, other negotiable instruments, funds and other evidences of loan proceeds properly held therein.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UST Tranche A Secured Parties</w:t>
      </w:r>
      <w:r>
        <w:rPr>
          <w:rFonts w:ascii="Arial" w:cs="Arial" w:eastAsia="Arial" w:hAnsi="Arial"/>
          <w:sz w:val="19"/>
          <w:szCs w:val="19"/>
          <w:color w:val="auto"/>
        </w:rPr>
        <w:t>” shall have the meaning assigned to such term in the ABL Intercreditor Agreement.</w:t>
      </w:r>
    </w:p>
    <w:p>
      <w:pPr>
        <w:spacing w:after="0" w:line="227" w:lineRule="exact"/>
        <w:rPr>
          <w:sz w:val="20"/>
          <w:szCs w:val="20"/>
          <w:color w:val="auto"/>
        </w:rPr>
      </w:pPr>
    </w:p>
    <w:p>
      <w:pPr>
        <w:ind w:right="160" w:firstLine="74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UST Tranche B Agent</w:t>
      </w:r>
      <w:r>
        <w:rPr>
          <w:rFonts w:ascii="Arial" w:cs="Arial" w:eastAsia="Arial" w:hAnsi="Arial"/>
          <w:sz w:val="19"/>
          <w:szCs w:val="19"/>
          <w:color w:val="auto"/>
        </w:rPr>
        <w:t>” shall mean, as the context may require, The Bank of New York Mellon, in its capacity as administrative agent and as collateral agent under the UST Tranche B Facility Documentation, such agents collectively or any permitted successor or assignee administrative agent or collateral agent under the UST Tranche B Facility Documentation.</w:t>
      </w:r>
    </w:p>
    <w:p>
      <w:pPr>
        <w:spacing w:after="0" w:line="162" w:lineRule="exact"/>
        <w:rPr>
          <w:sz w:val="20"/>
          <w:szCs w:val="20"/>
          <w:color w:val="auto"/>
        </w:rPr>
      </w:pPr>
    </w:p>
    <w:p>
      <w:pPr>
        <w:ind w:right="80"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UST Tranche B Controlled Account</w:t>
      </w:r>
      <w:r>
        <w:rPr>
          <w:rFonts w:ascii="Arial" w:cs="Arial" w:eastAsia="Arial" w:hAnsi="Arial"/>
          <w:sz w:val="20"/>
          <w:szCs w:val="20"/>
          <w:color w:val="auto"/>
        </w:rPr>
        <w:t>” shall have the meaning assigned to such term in the UST Tranche B Credit Agreement (as in effect as of the date hereof).</w:t>
      </w:r>
    </w:p>
    <w:p>
      <w:pPr>
        <w:spacing w:after="0" w:line="163" w:lineRule="exact"/>
        <w:rPr>
          <w:sz w:val="20"/>
          <w:szCs w:val="20"/>
          <w:color w:val="auto"/>
        </w:rPr>
      </w:pPr>
    </w:p>
    <w:p>
      <w:pPr>
        <w:ind w:firstLine="749"/>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UST Tranche B Credit Agreement</w:t>
      </w:r>
      <w:r>
        <w:rPr>
          <w:rFonts w:ascii="Arial" w:cs="Arial" w:eastAsia="Arial" w:hAnsi="Arial"/>
          <w:sz w:val="19"/>
          <w:szCs w:val="19"/>
          <w:color w:val="auto"/>
        </w:rPr>
        <w:t>” shall mean that certain UST Tranche B Term Loan Credit Agreement dated as of the Amendment No. 2 Effective Date, among the Borrower, the other subsidiaries of the Borrower party thereto, the lenders party thereto and the Tranche B Treasury Agent, and as the same may be further amended, restated, modified, supplemented, extended, renewed, restructured, refunded, replaced or refinanced from time to time in one or more agreements (in each case with the same or new lenders, institutional investors or agents and resulting in a financing that constitutes (or that would constitute if incurred as a new financing) a Permitted Refinancing of the UST Tranche B Facility Indebtedness), including any agreement extending the maturity thereof or otherwise restructuring all or any portion of the Indebtedness thereunder or increasing the amount loaned or issued thereunder or altering the maturity thereof), in each case as and to the extent permitted by this Agreement and, as applicable, the ABL Intercreditor Agreement and the Junior Lien Intercreditor Agreement.</w:t>
      </w:r>
    </w:p>
    <w:p>
      <w:pPr>
        <w:spacing w:after="0" w:line="176" w:lineRule="exact"/>
        <w:rPr>
          <w:sz w:val="20"/>
          <w:szCs w:val="20"/>
          <w:color w:val="auto"/>
        </w:rPr>
      </w:pPr>
    </w:p>
    <w:p>
      <w:pPr>
        <w:ind w:right="340"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UST Tranche B Facility</w:t>
      </w:r>
      <w:r>
        <w:rPr>
          <w:rFonts w:ascii="Arial" w:cs="Arial" w:eastAsia="Arial" w:hAnsi="Arial"/>
          <w:sz w:val="20"/>
          <w:szCs w:val="20"/>
          <w:color w:val="auto"/>
        </w:rPr>
        <w:t>” shall mean the credit facility made available to the Borrower pursuant to the UST Tranche B Credit Agreement.</w:t>
      </w:r>
    </w:p>
    <w:p>
      <w:pPr>
        <w:spacing w:after="0" w:line="163" w:lineRule="exact"/>
        <w:rPr>
          <w:sz w:val="20"/>
          <w:szCs w:val="20"/>
          <w:color w:val="auto"/>
        </w:rPr>
      </w:pPr>
    </w:p>
    <w:p>
      <w:pPr>
        <w:ind w:right="180"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UST Tranche B Facility Documentation</w:t>
      </w:r>
      <w:r>
        <w:rPr>
          <w:rFonts w:ascii="Arial" w:cs="Arial" w:eastAsia="Arial" w:hAnsi="Arial"/>
          <w:sz w:val="20"/>
          <w:szCs w:val="20"/>
          <w:color w:val="auto"/>
        </w:rPr>
        <w:t xml:space="preserve"> ” shall mean the UST Tranche B Credit Agreement and all security agreements, guarantees, pledge agreements and other agreements or instruments executed in connection therewith and including all “Loan Documents” (as defined in the UST Tranche B Credit Agreement) or similar term.</w:t>
      </w:r>
    </w:p>
    <w:p>
      <w:pPr>
        <w:spacing w:after="0" w:line="177" w:lineRule="exact"/>
        <w:rPr>
          <w:sz w:val="20"/>
          <w:szCs w:val="20"/>
          <w:color w:val="auto"/>
        </w:rPr>
      </w:pPr>
    </w:p>
    <w:p>
      <w:pPr>
        <w:ind w:right="20" w:firstLine="74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UST Tranche B Facility Indebtedness</w:t>
      </w:r>
      <w:r>
        <w:rPr>
          <w:rFonts w:ascii="Arial" w:cs="Arial" w:eastAsia="Arial" w:hAnsi="Arial"/>
          <w:sz w:val="19"/>
          <w:szCs w:val="19"/>
          <w:color w:val="auto"/>
        </w:rPr>
        <w:t>” shall mean Indebtedness of the Borrower or any Restricted Subsidiary outstanding under or secured by the UST Tranche B Facility Documentation, and in each case, all Permitted Refinancings thereof.</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UST Tranche B Joint Collateral</w:t>
      </w:r>
      <w:r>
        <w:rPr>
          <w:rFonts w:ascii="Arial" w:cs="Arial" w:eastAsia="Arial" w:hAnsi="Arial"/>
          <w:sz w:val="20"/>
          <w:szCs w:val="20"/>
          <w:color w:val="auto"/>
        </w:rPr>
        <w:t>” shall have the meaning assigned to such term in the ABL Intercreditor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UST Tranche B Joint Account</w:t>
      </w:r>
      <w:r>
        <w:rPr>
          <w:rFonts w:ascii="Arial" w:cs="Arial" w:eastAsia="Arial" w:hAnsi="Arial"/>
          <w:sz w:val="20"/>
          <w:szCs w:val="20"/>
          <w:color w:val="auto"/>
        </w:rPr>
        <w:t>” shall have the meaning assigned to such term in the ABL Intercreditor Agreement.</w:t>
      </w:r>
    </w:p>
    <w:p>
      <w:pPr>
        <w:spacing w:after="0" w:line="216" w:lineRule="exact"/>
        <w:rPr>
          <w:sz w:val="20"/>
          <w:szCs w:val="20"/>
          <w:color w:val="auto"/>
        </w:rPr>
      </w:pPr>
    </w:p>
    <w:p>
      <w:pPr>
        <w:ind w:right="20" w:firstLine="749"/>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UST Tranche B Only Collateral</w:t>
      </w:r>
      <w:r>
        <w:rPr>
          <w:rFonts w:ascii="Arial" w:cs="Arial" w:eastAsia="Arial" w:hAnsi="Arial"/>
          <w:sz w:val="19"/>
          <w:szCs w:val="19"/>
          <w:color w:val="auto"/>
        </w:rPr>
        <w:t>” shall mean the UST Tranche B Controlled Account and all Money (as defined in the UCC) and all cash, checks, other negotiable instruments, funds and other evidences of loan proceeds properly held therein.</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UST Tranche B Priority Collateral</w:t>
      </w:r>
      <w:r>
        <w:rPr>
          <w:rFonts w:ascii="Arial" w:cs="Arial" w:eastAsia="Arial" w:hAnsi="Arial"/>
          <w:sz w:val="19"/>
          <w:szCs w:val="19"/>
          <w:color w:val="auto"/>
        </w:rPr>
        <w:t>” shall have the meaning assigned to such term in the ABL Intercreditor Agreement.</w:t>
      </w:r>
    </w:p>
    <w:p>
      <w:pPr>
        <w:spacing w:after="0" w:line="227"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UST Tranche B Secured Parties</w:t>
      </w:r>
      <w:r>
        <w:rPr>
          <w:rFonts w:ascii="Arial" w:cs="Arial" w:eastAsia="Arial" w:hAnsi="Arial"/>
          <w:sz w:val="20"/>
          <w:szCs w:val="20"/>
          <w:color w:val="auto"/>
        </w:rPr>
        <w:t>” shall have the meaning assigned to such term in the ABL Intercreditor Agreement.</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84" w:name="page85"/>
    <w:bookmarkEnd w:id="84"/>
    <w:p>
      <w:pPr>
        <w:jc w:val="both"/>
        <w:ind w:firstLine="74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Weighted Average Life to Maturity</w:t>
      </w:r>
      <w:r>
        <w:rPr>
          <w:rFonts w:ascii="Arial" w:cs="Arial" w:eastAsia="Arial" w:hAnsi="Arial"/>
          <w:sz w:val="18"/>
          <w:szCs w:val="18"/>
          <w:color w:val="auto"/>
        </w:rPr>
        <w:t xml:space="preserve">” shall mean, when applied to any Indebtedness at any date, the number of years obtained by dividing: (i) the sum of the products obtained by multiplying (a) the amount of each then remaining scheduled installment, sinking fund, serial maturity or other required scheduled payments of principal, including payment at final scheduled maturity, in respect thereof, by (b) the number of years (calculated to the nearest one-twelfth) that will elapse between such date and the making of such payment; by (ii) the then outstanding principal amount of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that for purposes of determining the Weighted Average Life to Maturity of any Refinanced Debt or any Indebtedness that is being modified, refinanced, refunded, renewed, replaced, restructured or extended (the “</w:t>
      </w:r>
      <w:r>
        <w:rPr>
          <w:rFonts w:ascii="Arial" w:cs="Arial" w:eastAsia="Arial" w:hAnsi="Arial"/>
          <w:sz w:val="18"/>
          <w:szCs w:val="18"/>
          <w:b w:val="1"/>
          <w:bCs w:val="1"/>
          <w:color w:val="auto"/>
        </w:rPr>
        <w:t>Applicable Indebtedness</w:t>
      </w:r>
      <w:r>
        <w:rPr>
          <w:rFonts w:ascii="Arial" w:cs="Arial" w:eastAsia="Arial" w:hAnsi="Arial"/>
          <w:sz w:val="18"/>
          <w:szCs w:val="18"/>
          <w:color w:val="auto"/>
        </w:rPr>
        <w:t>”), the effects of any amortization of or prepayments made on such Applicable Indebtedness prior to the date of the applicable modification, refinancing, restructuring, refunding, renewal, replacement or extension shall be disregarded.</w:t>
      </w:r>
    </w:p>
    <w:p>
      <w:pPr>
        <w:spacing w:after="0" w:line="16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wholly owned</w:t>
      </w:r>
      <w:r>
        <w:rPr>
          <w:rFonts w:ascii="Arial" w:cs="Arial" w:eastAsia="Arial" w:hAnsi="Arial"/>
          <w:sz w:val="19"/>
          <w:szCs w:val="19"/>
          <w:color w:val="auto"/>
        </w:rPr>
        <w:t xml:space="preserve"> ” shall mean,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62"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Withdrawal Liability</w:t>
      </w:r>
      <w:r>
        <w:rPr>
          <w:rFonts w:ascii="Arial" w:cs="Arial" w:eastAsia="Arial" w:hAnsi="Arial"/>
          <w:sz w:val="20"/>
          <w:szCs w:val="20"/>
          <w:color w:val="auto"/>
        </w:rPr>
        <w:t>” shall mean liability to a Multiemployer Plan as a result of a complete or partial withdrawal from such Multiemployer Plan, as such terms are defined in Part I of Subtitle E of Title IV of ERISA.</w:t>
      </w:r>
    </w:p>
    <w:p>
      <w:pPr>
        <w:spacing w:after="0" w:line="169"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i w:val="1"/>
          <w:iCs w:val="1"/>
          <w:color w:val="auto"/>
        </w:rPr>
        <w:t>Other Interpretive Provisions.</w:t>
      </w:r>
      <w:r>
        <w:rPr>
          <w:rFonts w:ascii="Arial" w:cs="Arial" w:eastAsia="Arial" w:hAnsi="Arial"/>
          <w:sz w:val="20"/>
          <w:szCs w:val="20"/>
          <w:color w:val="auto"/>
        </w:rPr>
        <w:t xml:space="preserve"> With reference to this Agreement and each other Loan Document, unless otherwise specified herein or in such other Loan Document:</w:t>
      </w:r>
    </w:p>
    <w:p>
      <w:pPr>
        <w:spacing w:after="0" w:line="177" w:lineRule="exact"/>
        <w:rPr>
          <w:sz w:val="20"/>
          <w:szCs w:val="20"/>
          <w:color w:val="auto"/>
        </w:rPr>
      </w:pPr>
    </w:p>
    <w:p>
      <w:pPr>
        <w:ind w:left="1080" w:hanging="323"/>
        <w:spacing w:after="0"/>
        <w:tabs>
          <w:tab w:leader="none" w:pos="10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meanings of defined terms are equally applicable to the singular and plural forms of the defined terms.</w:t>
      </w:r>
    </w:p>
    <w:p>
      <w:pPr>
        <w:spacing w:after="0" w:line="215" w:lineRule="exact"/>
        <w:rPr>
          <w:rFonts w:ascii="Arial" w:cs="Arial" w:eastAsia="Arial" w:hAnsi="Arial"/>
          <w:sz w:val="20"/>
          <w:szCs w:val="20"/>
          <w:color w:val="auto"/>
        </w:rPr>
      </w:pPr>
    </w:p>
    <w:p>
      <w:pPr>
        <w:ind w:left="760" w:hanging="3"/>
        <w:spacing w:after="0" w:line="260" w:lineRule="auto"/>
        <w:tabs>
          <w:tab w:leader="none" w:pos="1029" w:val="left"/>
        </w:tabs>
        <w:numPr>
          <w:ilvl w:val="0"/>
          <w:numId w:val="60"/>
        </w:numPr>
        <w:rPr>
          <w:rFonts w:ascii="Arial" w:cs="Arial" w:eastAsia="Arial" w:hAnsi="Arial"/>
          <w:sz w:val="20"/>
          <w:szCs w:val="20"/>
          <w:color w:val="auto"/>
        </w:rPr>
      </w:pPr>
      <w:r>
        <w:rPr>
          <w:rFonts w:ascii="Arial" w:cs="Arial" w:eastAsia="Arial" w:hAnsi="Arial"/>
          <w:sz w:val="20"/>
          <w:szCs w:val="20"/>
          <w:color w:val="auto"/>
        </w:rPr>
        <w:t>(i) The words “herein,” “hereto,” “hereof” and “hereunder” and words of similar import when used in any Loan Document shall refer to such Loan Document as a whole and not to any particular provision thereof.</w:t>
      </w:r>
    </w:p>
    <w:p>
      <w:pPr>
        <w:spacing w:after="0" w:line="190" w:lineRule="exact"/>
        <w:rPr>
          <w:rFonts w:ascii="Arial" w:cs="Arial" w:eastAsia="Arial" w:hAnsi="Arial"/>
          <w:sz w:val="20"/>
          <w:szCs w:val="20"/>
          <w:color w:val="auto"/>
        </w:rPr>
      </w:pPr>
    </w:p>
    <w:p>
      <w:pPr>
        <w:ind w:left="1880" w:hanging="375"/>
        <w:spacing w:after="0"/>
        <w:tabs>
          <w:tab w:leader="none" w:pos="1880" w:val="left"/>
        </w:tabs>
        <w:numPr>
          <w:ilvl w:val="1"/>
          <w:numId w:val="60"/>
        </w:numPr>
        <w:rPr>
          <w:rFonts w:ascii="Arial" w:cs="Arial" w:eastAsia="Arial" w:hAnsi="Arial"/>
          <w:sz w:val="21"/>
          <w:szCs w:val="21"/>
          <w:color w:val="auto"/>
        </w:rPr>
      </w:pPr>
      <w:r>
        <w:rPr>
          <w:rFonts w:ascii="Arial" w:cs="Arial" w:eastAsia="Arial" w:hAnsi="Arial"/>
          <w:sz w:val="19"/>
          <w:szCs w:val="19"/>
          <w:color w:val="auto"/>
        </w:rPr>
        <w:t>Article, Section, Exhibit and Schedule references are to the Loan Document in which such reference appears.</w:t>
      </w:r>
    </w:p>
    <w:p>
      <w:pPr>
        <w:spacing w:after="0" w:line="214" w:lineRule="exact"/>
        <w:rPr>
          <w:rFonts w:ascii="Arial" w:cs="Arial" w:eastAsia="Arial" w:hAnsi="Arial"/>
          <w:sz w:val="21"/>
          <w:szCs w:val="21"/>
          <w:color w:val="auto"/>
        </w:rPr>
      </w:pPr>
    </w:p>
    <w:p>
      <w:pPr>
        <w:ind w:left="2380" w:hanging="875"/>
        <w:spacing w:after="0"/>
        <w:tabs>
          <w:tab w:leader="none" w:pos="2380" w:val="left"/>
        </w:tabs>
        <w:numPr>
          <w:ilvl w:val="1"/>
          <w:numId w:val="60"/>
        </w:numPr>
        <w:rPr>
          <w:rFonts w:ascii="Arial" w:cs="Arial" w:eastAsia="Arial" w:hAnsi="Arial"/>
          <w:sz w:val="22"/>
          <w:szCs w:val="22"/>
          <w:color w:val="auto"/>
        </w:rPr>
      </w:pPr>
      <w:r>
        <w:rPr>
          <w:rFonts w:ascii="Arial" w:cs="Arial" w:eastAsia="Arial" w:hAnsi="Arial"/>
          <w:sz w:val="20"/>
          <w:szCs w:val="20"/>
          <w:color w:val="auto"/>
        </w:rPr>
        <w:t>The term “including” is by way of example and not limitation.</w:t>
      </w:r>
    </w:p>
    <w:p>
      <w:pPr>
        <w:spacing w:after="0" w:line="195" w:lineRule="exact"/>
        <w:rPr>
          <w:rFonts w:ascii="Arial" w:cs="Arial" w:eastAsia="Arial" w:hAnsi="Arial"/>
          <w:sz w:val="22"/>
          <w:szCs w:val="22"/>
          <w:color w:val="auto"/>
        </w:rPr>
      </w:pPr>
    </w:p>
    <w:p>
      <w:pPr>
        <w:ind w:left="760" w:hanging="3"/>
        <w:spacing w:after="0" w:line="260" w:lineRule="auto"/>
        <w:tabs>
          <w:tab w:leader="none" w:pos="1029"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term “documents” includes any and all instruments, documents, agreements, certificates, notices, reports, financial statements and other writings, however evidenced, whether in physical or electronic form.</w:t>
      </w:r>
    </w:p>
    <w:p>
      <w:pPr>
        <w:spacing w:after="0" w:line="176" w:lineRule="exact"/>
        <w:rPr>
          <w:rFonts w:ascii="Arial" w:cs="Arial" w:eastAsia="Arial" w:hAnsi="Arial"/>
          <w:sz w:val="20"/>
          <w:szCs w:val="20"/>
          <w:color w:val="auto"/>
        </w:rPr>
      </w:pPr>
    </w:p>
    <w:p>
      <w:pPr>
        <w:ind w:left="760" w:hanging="3"/>
        <w:spacing w:after="0" w:line="287" w:lineRule="auto"/>
        <w:tabs>
          <w:tab w:leader="none" w:pos="1115"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52" w:lineRule="exact"/>
        <w:rPr>
          <w:rFonts w:ascii="Arial" w:cs="Arial" w:eastAsia="Arial" w:hAnsi="Arial"/>
          <w:sz w:val="19"/>
          <w:szCs w:val="19"/>
          <w:color w:val="auto"/>
        </w:rPr>
      </w:pPr>
    </w:p>
    <w:p>
      <w:pPr>
        <w:ind w:left="760" w:hanging="3"/>
        <w:spacing w:after="0" w:line="260" w:lineRule="auto"/>
        <w:tabs>
          <w:tab w:leader="none" w:pos="1029"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words “</w:t>
      </w:r>
      <w:r>
        <w:rPr>
          <w:rFonts w:ascii="Arial" w:cs="Arial" w:eastAsia="Arial" w:hAnsi="Arial"/>
          <w:sz w:val="20"/>
          <w:szCs w:val="20"/>
          <w:u w:val="single" w:color="auto"/>
          <w:color w:val="auto"/>
        </w:rPr>
        <w:t>asset</w:t>
      </w:r>
      <w:r>
        <w:rPr>
          <w:rFonts w:ascii="Arial" w:cs="Arial" w:eastAsia="Arial" w:hAnsi="Arial"/>
          <w:sz w:val="20"/>
          <w:szCs w:val="20"/>
          <w:color w:val="auto"/>
        </w:rPr>
        <w:t>” and “</w:t>
      </w:r>
      <w:r>
        <w:rPr>
          <w:rFonts w:ascii="Arial" w:cs="Arial" w:eastAsia="Arial" w:hAnsi="Arial"/>
          <w:sz w:val="20"/>
          <w:szCs w:val="20"/>
          <w:u w:val="single" w:color="auto"/>
          <w:color w:val="auto"/>
        </w:rPr>
        <w:t>property</w:t>
      </w:r>
      <w:r>
        <w:rPr>
          <w:rFonts w:ascii="Arial" w:cs="Arial" w:eastAsia="Arial" w:hAnsi="Arial"/>
          <w:sz w:val="20"/>
          <w:szCs w:val="20"/>
          <w:color w:val="auto"/>
        </w:rPr>
        <w:t>” shall be construed to have the same meaning and effect and to refer to any and all tangible and intangible assets and properties, including cash, securities, accounts and contract rights.</w:t>
      </w:r>
    </w:p>
    <w:p>
      <w:pPr>
        <w:spacing w:after="0" w:line="176" w:lineRule="exact"/>
        <w:rPr>
          <w:rFonts w:ascii="Arial" w:cs="Arial" w:eastAsia="Arial" w:hAnsi="Arial"/>
          <w:sz w:val="20"/>
          <w:szCs w:val="20"/>
          <w:color w:val="auto"/>
        </w:rPr>
      </w:pPr>
    </w:p>
    <w:p>
      <w:pPr>
        <w:ind w:left="760" w:hanging="3"/>
        <w:spacing w:after="0" w:line="260" w:lineRule="auto"/>
        <w:tabs>
          <w:tab w:leader="none" w:pos="1029" w:val="left"/>
        </w:tabs>
        <w:numPr>
          <w:ilvl w:val="0"/>
          <w:numId w:val="60"/>
        </w:numPr>
        <w:rPr>
          <w:rFonts w:ascii="Arial" w:cs="Arial" w:eastAsia="Arial" w:hAnsi="Arial"/>
          <w:sz w:val="20"/>
          <w:szCs w:val="20"/>
          <w:color w:val="auto"/>
        </w:rPr>
      </w:pPr>
      <w:r>
        <w:rPr>
          <w:rFonts w:ascii="Arial" w:cs="Arial" w:eastAsia="Arial" w:hAnsi="Arial"/>
          <w:sz w:val="20"/>
          <w:szCs w:val="20"/>
          <w:color w:val="auto"/>
        </w:rPr>
        <w:t>All references to “knowledge” or “awareness” of any Loan Party or a Restricted Subsidiary thereof means the actual knowledge of a Responsible Officer of a Loan Party or such Restricted Subsidiary.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ind w:left="760" w:hanging="3"/>
        <w:spacing w:after="0" w:line="260" w:lineRule="auto"/>
        <w:tabs>
          <w:tab w:leader="none" w:pos="1093" w:val="left"/>
        </w:tabs>
        <w:numPr>
          <w:ilvl w:val="0"/>
          <w:numId w:val="61"/>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76" w:lineRule="exact"/>
        <w:rPr>
          <w:rFonts w:ascii="Arial" w:cs="Arial" w:eastAsia="Arial" w:hAnsi="Arial"/>
          <w:sz w:val="20"/>
          <w:szCs w:val="20"/>
          <w:color w:val="auto"/>
        </w:rPr>
      </w:pPr>
    </w:p>
    <w:p>
      <w:pPr>
        <w:ind w:left="1080" w:hanging="323"/>
        <w:spacing w:after="0"/>
        <w:tabs>
          <w:tab w:leader="none" w:pos="10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word “or” is not exclusive.</w:t>
      </w:r>
    </w:p>
    <w:p>
      <w:pPr>
        <w:spacing w:after="0" w:line="215" w:lineRule="exact"/>
        <w:rPr>
          <w:rFonts w:ascii="Arial" w:cs="Arial" w:eastAsia="Arial" w:hAnsi="Arial"/>
          <w:sz w:val="20"/>
          <w:szCs w:val="20"/>
          <w:color w:val="auto"/>
        </w:rPr>
      </w:pPr>
    </w:p>
    <w:p>
      <w:pPr>
        <w:jc w:val="both"/>
        <w:ind w:left="1500" w:firstLine="5"/>
        <w:spacing w:after="0" w:line="270" w:lineRule="auto"/>
        <w:tabs>
          <w:tab w:leader="none" w:pos="2039"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For purposes of determining compliance with any one of </w:t>
      </w:r>
      <w:r>
        <w:rPr>
          <w:rFonts w:ascii="Arial" w:cs="Arial" w:eastAsia="Arial" w:hAnsi="Arial"/>
          <w:sz w:val="18"/>
          <w:szCs w:val="18"/>
          <w:u w:val="single" w:color="auto"/>
          <w:color w:val="auto"/>
        </w:rPr>
        <w:t>Sections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w:t>
      </w:r>
      <w:r>
        <w:rPr>
          <w:rFonts w:ascii="Arial" w:cs="Arial" w:eastAsia="Arial" w:hAnsi="Arial"/>
          <w:sz w:val="18"/>
          <w:szCs w:val="18"/>
          <w:u w:val="single" w:color="auto"/>
          <w:color w:val="auto"/>
        </w:rPr>
        <w:t>7.06</w:t>
      </w:r>
      <w:r>
        <w:rPr>
          <w:rFonts w:ascii="Arial" w:cs="Arial" w:eastAsia="Arial" w:hAnsi="Arial"/>
          <w:sz w:val="18"/>
          <w:szCs w:val="18"/>
          <w:color w:val="auto"/>
        </w:rPr>
        <w:t xml:space="preserve">, </w:t>
      </w:r>
      <w:r>
        <w:rPr>
          <w:rFonts w:ascii="Arial" w:cs="Arial" w:eastAsia="Arial" w:hAnsi="Arial"/>
          <w:sz w:val="18"/>
          <w:szCs w:val="18"/>
          <w:u w:val="single" w:color="auto"/>
          <w:color w:val="auto"/>
        </w:rPr>
        <w:t>7.08</w:t>
      </w:r>
      <w:r>
        <w:rPr>
          <w:rFonts w:ascii="Arial" w:cs="Arial" w:eastAsia="Arial" w:hAnsi="Arial"/>
          <w:sz w:val="18"/>
          <w:szCs w:val="18"/>
          <w:color w:val="auto"/>
        </w:rPr>
        <w:t xml:space="preserve">, </w:t>
      </w:r>
      <w:r>
        <w:rPr>
          <w:rFonts w:ascii="Arial" w:cs="Arial" w:eastAsia="Arial" w:hAnsi="Arial"/>
          <w:sz w:val="18"/>
          <w:szCs w:val="18"/>
          <w:u w:val="single" w:color="auto"/>
          <w:color w:val="auto"/>
        </w:rPr>
        <w:t>7.09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7.13</w:t>
      </w:r>
      <w:r>
        <w:rPr>
          <w:rFonts w:ascii="Arial" w:cs="Arial" w:eastAsia="Arial" w:hAnsi="Arial"/>
          <w:sz w:val="18"/>
          <w:szCs w:val="18"/>
          <w:color w:val="auto"/>
        </w:rPr>
        <w:t xml:space="preserve">, in the event that any Lien, Investment, Indebtedness, Disposition, Restricted Payment, affiliate transaction, Contractual Obligation or prepayment of Indebtedness meets the criteria of more than one of the categories of transactions permitted pursuant to any clause of such Section, such transaction (or portion thereof) at any time shall be permitted under one or more of such clauses as determined by the Borrower (and the Borrower shall be entitled to redesignate use of any such clauses from time to time) in its sole discretion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not be permitted to subsequently reclassify any Lien, Investment, Indebtedness, Disposition, Restricted Payment, affiliate transaction, Contractual Obligation or prepayment of Indebtedness as having been incurred under a Non-Fixed Basket if such Lien, Investment, Indebtedness, Disposition, Restricted Payment, affiliate transaction, Contractual Obligation or prepayment of Indebtedness was originally incurred under a Fixed Basket or any other Basket that is not a Non-Fixed Basket. For all purposes hereunder, (x) “</w:t>
      </w:r>
      <w:r>
        <w:rPr>
          <w:rFonts w:ascii="Arial" w:cs="Arial" w:eastAsia="Arial" w:hAnsi="Arial"/>
          <w:sz w:val="18"/>
          <w:szCs w:val="18"/>
          <w:b w:val="1"/>
          <w:bCs w:val="1"/>
          <w:color w:val="auto"/>
        </w:rPr>
        <w:t>Fixed Basket</w:t>
      </w:r>
      <w:r>
        <w:rPr>
          <w:rFonts w:ascii="Arial" w:cs="Arial" w:eastAsia="Arial" w:hAnsi="Arial"/>
          <w:sz w:val="18"/>
          <w:szCs w:val="18"/>
          <w:color w:val="auto"/>
        </w:rPr>
        <w:t>” shall mean any Basket that is subject to a fixed-dollar limit and (y) “</w:t>
      </w:r>
      <w:r>
        <w:rPr>
          <w:rFonts w:ascii="Arial" w:cs="Arial" w:eastAsia="Arial" w:hAnsi="Arial"/>
          <w:sz w:val="18"/>
          <w:szCs w:val="18"/>
          <w:b w:val="1"/>
          <w:bCs w:val="1"/>
          <w:color w:val="auto"/>
        </w:rPr>
        <w:t>Non-Fixed</w:t>
      </w:r>
      <w:r>
        <w:rPr>
          <w:rFonts w:ascii="Arial" w:cs="Arial" w:eastAsia="Arial" w:hAnsi="Arial"/>
          <w:sz w:val="18"/>
          <w:szCs w:val="18"/>
          <w:color w:val="auto"/>
        </w:rPr>
        <w:t xml:space="preserve"> </w:t>
      </w:r>
      <w:r>
        <w:rPr>
          <w:rFonts w:ascii="Arial" w:cs="Arial" w:eastAsia="Arial" w:hAnsi="Arial"/>
          <w:sz w:val="18"/>
          <w:szCs w:val="18"/>
          <w:b w:val="1"/>
          <w:bCs w:val="1"/>
          <w:color w:val="auto"/>
        </w:rPr>
        <w:t>Basket</w:t>
      </w:r>
      <w:r>
        <w:rPr>
          <w:rFonts w:ascii="Arial" w:cs="Arial" w:eastAsia="Arial" w:hAnsi="Arial"/>
          <w:sz w:val="18"/>
          <w:szCs w:val="18"/>
          <w:color w:val="auto"/>
        </w:rPr>
        <w:t>” shall mean any Basket that is subject to compliance with a financial ratio or test (including Total Net Leverage</w:t>
      </w:r>
      <w:r>
        <w:rPr>
          <w:rFonts w:ascii="Arial" w:cs="Arial" w:eastAsia="Arial" w:hAnsi="Arial"/>
          <w:sz w:val="18"/>
          <w:szCs w:val="18"/>
          <w:b w:val="1"/>
          <w:bCs w:val="1"/>
          <w:color w:val="auto"/>
        </w:rPr>
        <w:t xml:space="preserve"> </w:t>
      </w:r>
      <w:r>
        <w:rPr>
          <w:rFonts w:ascii="Arial" w:cs="Arial" w:eastAsia="Arial" w:hAnsi="Arial"/>
          <w:sz w:val="18"/>
          <w:szCs w:val="18"/>
          <w:color w:val="auto"/>
        </w:rPr>
        <w:t>Ratio) or based on a percentage of Consolidated EBITDA or total assets.</w:t>
      </w:r>
    </w:p>
    <w:p>
      <w:pPr>
        <w:spacing w:after="0" w:line="172" w:lineRule="exact"/>
        <w:rPr>
          <w:sz w:val="20"/>
          <w:szCs w:val="20"/>
          <w:color w:val="auto"/>
        </w:rPr>
      </w:pPr>
    </w:p>
    <w:p>
      <w:pPr>
        <w:ind w:left="1020" w:hanging="263"/>
        <w:spacing w:after="0"/>
        <w:tabs>
          <w:tab w:leader="none" w:pos="10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usage of the term “written” includes electronic messages, including e-mail.</w:t>
      </w:r>
    </w:p>
    <w:p>
      <w:pPr>
        <w:spacing w:after="0" w:line="215" w:lineRule="exact"/>
        <w:rPr>
          <w:rFonts w:ascii="Arial" w:cs="Arial" w:eastAsia="Arial" w:hAnsi="Arial"/>
          <w:sz w:val="20"/>
          <w:szCs w:val="20"/>
          <w:color w:val="auto"/>
        </w:rPr>
      </w:pPr>
    </w:p>
    <w:p>
      <w:pPr>
        <w:ind w:left="760" w:right="120" w:hanging="3"/>
        <w:spacing w:after="0" w:line="243" w:lineRule="auto"/>
        <w:tabs>
          <w:tab w:leader="none" w:pos="1068" w:val="left"/>
        </w:tabs>
        <w:numPr>
          <w:ilvl w:val="0"/>
          <w:numId w:val="62"/>
        </w:numPr>
        <w:rPr>
          <w:rFonts w:ascii="Arial" w:cs="Arial" w:eastAsia="Arial" w:hAnsi="Arial"/>
          <w:sz w:val="20"/>
          <w:szCs w:val="20"/>
          <w:color w:val="auto"/>
        </w:rPr>
      </w:pPr>
      <w:r>
        <w:rPr>
          <w:rFonts w:ascii="Arial" w:cs="Arial" w:eastAsia="Arial" w:hAnsi="Arial"/>
          <w:sz w:val="20"/>
          <w:szCs w:val="20"/>
          <w:color w:val="auto"/>
        </w:rPr>
        <w:t>Any reference herein or in any other Loan Document to (i) a transfer, assignment, sale, disposition or transfer, or similar term, shall be deemed to apply to a division of or by a limited liability company, or an allocation of assets to a series of a limited liability company, as if it were a transfer, assignment, sale or transfer, or similar term, as applicable, to a separate Person, and (ii) a merger, consolidation, amalgamation or consolidation, or similar term, shall be deemed to apply to the unwinding of such a division or allocation, as if it were a merger, consolidation, amalgamation or consolidation or similar term, as applicable, with a separate Person.</w:t>
      </w:r>
    </w:p>
    <w:p>
      <w:pPr>
        <w:spacing w:after="0" w:line="19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i w:val="1"/>
          <w:iCs w:val="1"/>
          <w:color w:val="auto"/>
        </w:rPr>
        <w:t>Certifications.</w:t>
      </w:r>
      <w:r>
        <w:rPr>
          <w:rFonts w:ascii="Arial" w:cs="Arial" w:eastAsia="Arial" w:hAnsi="Arial"/>
          <w:sz w:val="20"/>
          <w:szCs w:val="20"/>
          <w:color w:val="auto"/>
        </w:rPr>
        <w:t xml:space="preserve"> All certifications to be made hereunder by an officer or representative of a Loan Party shall be made by such a Person in his or her capacity solely as an officer or representative of such Loan Party, on such Loan Party’s behalf and not in such Person’s individual capacity.</w:t>
      </w:r>
    </w:p>
    <w:p>
      <w:pPr>
        <w:spacing w:after="0" w:line="186"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i w:val="1"/>
          <w:iCs w:val="1"/>
          <w:color w:val="auto"/>
        </w:rPr>
        <w:t>Accounting Terms.</w:t>
      </w:r>
      <w:r>
        <w:rPr>
          <w:rFonts w:ascii="Arial" w:cs="Arial" w:eastAsia="Arial" w:hAnsi="Arial"/>
          <w:sz w:val="19"/>
          <w:szCs w:val="19"/>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specifically prescribed herein or therein.</w:t>
      </w:r>
    </w:p>
    <w:p>
      <w:pPr>
        <w:spacing w:after="0" w:line="170" w:lineRule="exact"/>
        <w:rPr>
          <w:sz w:val="20"/>
          <w:szCs w:val="20"/>
          <w:color w:val="auto"/>
        </w:rPr>
      </w:pPr>
    </w:p>
    <w:p>
      <w:pPr>
        <w:jc w:val="both"/>
        <w:ind w:firstLine="1497"/>
        <w:spacing w:after="0" w:line="263"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i w:val="1"/>
          <w:iCs w:val="1"/>
          <w:color w:val="auto"/>
        </w:rPr>
        <w:t>Rounding.</w:t>
      </w:r>
      <w:r>
        <w:rPr>
          <w:rFonts w:ascii="Arial" w:cs="Arial" w:eastAsia="Arial" w:hAnsi="Arial"/>
          <w:sz w:val="19"/>
          <w:szCs w:val="19"/>
          <w:color w:val="auto"/>
        </w:rPr>
        <w:t xml:space="preserve">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1.06. </w:t>
      </w:r>
      <w:r>
        <w:rPr>
          <w:rFonts w:ascii="Arial" w:cs="Arial" w:eastAsia="Arial" w:hAnsi="Arial"/>
          <w:sz w:val="20"/>
          <w:szCs w:val="20"/>
          <w:i w:val="1"/>
          <w:iCs w:val="1"/>
          <w:color w:val="auto"/>
        </w:rPr>
        <w:t>References to Agreements, Laws, Etc.</w:t>
      </w:r>
      <w:r>
        <w:rPr>
          <w:rFonts w:ascii="Arial" w:cs="Arial" w:eastAsia="Arial" w:hAnsi="Arial"/>
          <w:sz w:val="20"/>
          <w:szCs w:val="20"/>
          <w:color w:val="auto"/>
        </w:rPr>
        <w:t xml:space="preserve"> Unless otherwise expressly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6" w:name="page87"/>
    <w:bookmarkEnd w:id="86"/>
    <w:p>
      <w:pPr>
        <w:jc w:val="both"/>
        <w:spacing w:after="0" w:line="243" w:lineRule="auto"/>
        <w:rPr>
          <w:sz w:val="20"/>
          <w:szCs w:val="20"/>
          <w:color w:val="auto"/>
        </w:rPr>
      </w:pPr>
      <w:r>
        <w:rPr>
          <w:rFonts w:ascii="Arial" w:cs="Arial" w:eastAsia="Arial" w:hAnsi="Arial"/>
          <w:sz w:val="20"/>
          <w:szCs w:val="20"/>
          <w:color w:val="auto"/>
        </w:rPr>
        <w:t>provided herein, (a) references to Organization Documents, agreements (including the Loan Documents) and other contractual instruments shall be deemed to include all subsequent amendments, restatements, extensions, supplements, replacements, extensions, renewals, refinancings, restructurings and other modifications thereto, but only to the extent that such amendments, restatements, extensions, supplements, replacements, extensions, renewals, refinancings, restructurings and other modifications are not prohibited by hereby; and (b) references to any Law shall include all statutory and regulatory provisions consolidating, amending, replacing, supplementing or interpreting such Law.</w:t>
      </w:r>
    </w:p>
    <w:p>
      <w:pPr>
        <w:spacing w:after="0" w:line="19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 xml:space="preserve">Section 1.07. </w:t>
      </w:r>
      <w:r>
        <w:rPr>
          <w:rFonts w:ascii="Arial" w:cs="Arial" w:eastAsia="Arial" w:hAnsi="Arial"/>
          <w:sz w:val="20"/>
          <w:szCs w:val="20"/>
          <w:i w:val="1"/>
          <w:iCs w:val="1"/>
          <w:color w:val="auto"/>
        </w:rPr>
        <w:t>Times of Day.</w:t>
      </w:r>
      <w:r>
        <w:rPr>
          <w:rFonts w:ascii="Arial" w:cs="Arial" w:eastAsia="Arial" w:hAnsi="Arial"/>
          <w:sz w:val="20"/>
          <w:szCs w:val="20"/>
          <w:color w:val="auto"/>
        </w:rPr>
        <w:t xml:space="preserve"> Unless otherwise specified, all references herein to times of day shall be references to Eastern time (daylight or standard, as applicable).</w:t>
      </w:r>
    </w:p>
    <w:p>
      <w:pPr>
        <w:spacing w:after="0" w:line="177"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 xml:space="preserve">Section 1.08. </w:t>
      </w:r>
      <w:r>
        <w:rPr>
          <w:rFonts w:ascii="Arial" w:cs="Arial" w:eastAsia="Arial" w:hAnsi="Arial"/>
          <w:sz w:val="20"/>
          <w:szCs w:val="20"/>
          <w:i w:val="1"/>
          <w:iCs w:val="1"/>
          <w:color w:val="auto"/>
        </w:rPr>
        <w:t>Timing of Payment or Performance.</w:t>
      </w:r>
      <w:r>
        <w:rPr>
          <w:rFonts w:ascii="Arial" w:cs="Arial" w:eastAsia="Arial" w:hAnsi="Arial"/>
          <w:sz w:val="20"/>
          <w:szCs w:val="20"/>
          <w:color w:val="auto"/>
        </w:rPr>
        <w:t xml:space="preserve"> Except as otherwise expressly provided herein,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91"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 xml:space="preserve">Section 1.09. </w:t>
      </w:r>
      <w:r>
        <w:rPr>
          <w:rFonts w:ascii="Arial" w:cs="Arial" w:eastAsia="Arial" w:hAnsi="Arial"/>
          <w:sz w:val="20"/>
          <w:szCs w:val="20"/>
          <w:i w:val="1"/>
          <w:iCs w:val="1"/>
          <w:color w:val="auto"/>
        </w:rPr>
        <w:t>Cumulative Credit Transactions.</w:t>
      </w:r>
      <w:r>
        <w:rPr>
          <w:rFonts w:ascii="Arial" w:cs="Arial" w:eastAsia="Arial" w:hAnsi="Arial"/>
          <w:sz w:val="20"/>
          <w:szCs w:val="20"/>
          <w:color w:val="auto"/>
        </w:rPr>
        <w:t xml:space="preserve"> If more than one action occurs on any given date the permissibility of the taking of which is determined hereunder by reference to the amount of the Cumulative Credit immediately prior to the taking of such action, the permissibility of the taking of each such action shall be determined independently and in no event may any two or more such actions be treated as occurring simultaneously.</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1.10. </w:t>
      </w:r>
      <w:r>
        <w:rPr>
          <w:rFonts w:ascii="Arial" w:cs="Arial" w:eastAsia="Arial" w:hAnsi="Arial"/>
          <w:sz w:val="20"/>
          <w:szCs w:val="20"/>
          <w:i w:val="1"/>
          <w:iCs w:val="1"/>
          <w:color w:val="auto"/>
        </w:rPr>
        <w:t>Pro Forma Calculations</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76" w:lineRule="auto"/>
        <w:tabs>
          <w:tab w:leader="none" w:pos="509"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the Total Leverage Ratio shall be calculated in the manner prescribed by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to the contrary in clauses (b), (c) or (d) of this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when calculating the Total Leverage Ratio for purposes of the Applicable ECF Percentage of Excess Cash Flow, the events described in this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that occurred subsequent to the end of the applicable Test Period shall not be given pro forma effect (provided, further, that the foregoing limitation will not be constituted to limit the deductibility of any amounts that are committed to be made or paid or are reasonably expected to be paid in the calculation of Excess Cash Flow for any period as provided for in the definition of Excess Cash Flow).</w:t>
      </w:r>
    </w:p>
    <w:p>
      <w:pPr>
        <w:spacing w:after="0" w:line="164" w:lineRule="exact"/>
        <w:rPr>
          <w:rFonts w:ascii="Arial" w:cs="Arial" w:eastAsia="Arial" w:hAnsi="Arial"/>
          <w:sz w:val="18"/>
          <w:szCs w:val="18"/>
          <w:color w:val="auto"/>
        </w:rPr>
      </w:pPr>
    </w:p>
    <w:p>
      <w:pPr>
        <w:jc w:val="both"/>
        <w:ind w:firstLine="8"/>
        <w:spacing w:after="0" w:line="256" w:lineRule="auto"/>
        <w:tabs>
          <w:tab w:leader="none" w:pos="509"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For purposes of calculating the Total Leverage Ratio, Specified Transactions (and the incurrence or repayment of any Indebtedness in connection therewith) that have been made (i) during the applicable Test Period or (ii) subsequent to such Test Period and prior to or simultaneously with the event for which the calculation of any such ratio is made shall be calculated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assuming that all such Specified Transactions (and any increase or decrease in Consolidated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the Borrower or any of its Restricted Subsidiaries since the beginning of such Test Period shall have made any Specified Transaction that would have required adjustment pursuant to this </w:t>
      </w:r>
      <w:r>
        <w:rPr>
          <w:rFonts w:ascii="Arial" w:cs="Arial" w:eastAsia="Arial" w:hAnsi="Arial"/>
          <w:sz w:val="19"/>
          <w:szCs w:val="19"/>
          <w:u w:val="single" w:color="auto"/>
          <w:color w:val="auto"/>
        </w:rPr>
        <w:t>Section 1.10</w:t>
      </w:r>
      <w:r>
        <w:rPr>
          <w:rFonts w:ascii="Arial" w:cs="Arial" w:eastAsia="Arial" w:hAnsi="Arial"/>
          <w:sz w:val="19"/>
          <w:szCs w:val="19"/>
          <w:color w:val="auto"/>
        </w:rPr>
        <w:t xml:space="preserve">, then the Total Leverage Ratio shall be calculated to give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thereto in accordance with this </w:t>
      </w:r>
      <w:r>
        <w:rPr>
          <w:rFonts w:ascii="Arial" w:cs="Arial" w:eastAsia="Arial" w:hAnsi="Arial"/>
          <w:sz w:val="19"/>
          <w:szCs w:val="19"/>
          <w:u w:val="single" w:color="auto"/>
          <w:color w:val="auto"/>
        </w:rPr>
        <w:t>Section 1.10</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firstLine="8"/>
        <w:spacing w:after="0" w:line="263" w:lineRule="auto"/>
        <w:tabs>
          <w:tab w:leader="none" w:pos="509"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Whenever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is to be given to a Specified Transaction, the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calculations shall be made in good faith by a Senior Financial Officer of the Borrower and may include, for the avoidance of doubt, Cost Savings to the extent permitted by, and subject to the requirements of, clause (a)(viii) of the definition of “Consolidated EBITDA”. Notwithstanding the foregoing, all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adjustments under this clause (c) shall not, taken together with those added pursuant to clause (a)(viii) of the definition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7" w:name="page88"/>
    <w:bookmarkEnd w:id="87"/>
    <w:p>
      <w:pPr>
        <w:ind w:firstLine="509"/>
        <w:spacing w:after="0" w:line="260" w:lineRule="auto"/>
        <w:rPr>
          <w:sz w:val="20"/>
          <w:szCs w:val="20"/>
          <w:color w:val="auto"/>
        </w:rPr>
      </w:pPr>
      <w:r>
        <w:rPr>
          <w:rFonts w:ascii="Arial" w:cs="Arial" w:eastAsia="Arial" w:hAnsi="Arial"/>
          <w:sz w:val="20"/>
          <w:szCs w:val="20"/>
          <w:color w:val="auto"/>
        </w:rPr>
        <w:t xml:space="preserve">“Consolidated EBITDA”, increase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Consolidated EBITDA by more than 5% for any Test Period (calculated prior to giving effect to any addback pursuant to this clause (c) or clause (a)(viii) of the definition of “Consolidated EBITDA”).</w:t>
      </w:r>
    </w:p>
    <w:p>
      <w:pPr>
        <w:spacing w:after="0" w:line="177" w:lineRule="exact"/>
        <w:rPr>
          <w:sz w:val="20"/>
          <w:szCs w:val="20"/>
          <w:color w:val="auto"/>
        </w:rPr>
      </w:pPr>
    </w:p>
    <w:p>
      <w:pPr>
        <w:jc w:val="both"/>
        <w:ind w:firstLine="8"/>
        <w:spacing w:after="0" w:line="271" w:lineRule="auto"/>
        <w:tabs>
          <w:tab w:leader="none" w:pos="509"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In the event that the Borrower or any Restricted Subsidiary incurs (including by assumption or guarantees) or repays (including by redemption, repayment, retirement or extinguishment) any Indebtedness included in the calculations of the Total Leverage Ratio (other than Indebtedness incurred or repaid under any revolving credit facility in the ordinary course of business for working capital purposes and not incurred in reliance on </w:t>
      </w:r>
      <w:r>
        <w:rPr>
          <w:rFonts w:ascii="Arial" w:cs="Arial" w:eastAsia="Arial" w:hAnsi="Arial"/>
          <w:sz w:val="18"/>
          <w:szCs w:val="18"/>
          <w:u w:val="single" w:color="auto"/>
          <w:color w:val="auto"/>
        </w:rPr>
        <w:t>Section 7.03(t)</w:t>
      </w:r>
      <w:r>
        <w:rPr>
          <w:rFonts w:ascii="Arial" w:cs="Arial" w:eastAsia="Arial" w:hAnsi="Arial"/>
          <w:sz w:val="18"/>
          <w:szCs w:val="18"/>
          <w:color w:val="auto"/>
        </w:rPr>
        <w:t xml:space="preserve">), (i) during the applicable Test Period or (ii) subsequent to the end of the applicable Test Period and prior to or simultaneously with the event for which the calculation of any such ratio is made, then the Total Leverage Ratio shall be calculated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incurrence or repayment of Indebtedness, to the extent required, as if the same had occurred on the last day of the applicable Test Period of the Total Leverage Ratio. Interest on a Capitalized Lease shall be deemed to accrue at an interest rate reasonably determined by a responsible financial or accounting officer of the Borrower to be the rate of interest implicit in such Capitalized Lease in accordance with GAAP. Interest on Indebtedness that may optionally be determined at an interest rate based upon a factor of a prime or similar rate, a London interbank offered rate, or other rate, shall be determined to have been based upon the rate actually chosen, or if none, then based upon such optional rate chosen as the Borrower or Restricted Subsidiary may designate.</w:t>
      </w:r>
    </w:p>
    <w:p>
      <w:pPr>
        <w:spacing w:after="0" w:line="169" w:lineRule="exact"/>
        <w:rPr>
          <w:rFonts w:ascii="Arial" w:cs="Arial" w:eastAsia="Arial" w:hAnsi="Arial"/>
          <w:sz w:val="18"/>
          <w:szCs w:val="18"/>
          <w:color w:val="auto"/>
        </w:rPr>
      </w:pPr>
    </w:p>
    <w:p>
      <w:pPr>
        <w:jc w:val="both"/>
        <w:ind w:firstLine="8"/>
        <w:spacing w:after="0" w:line="291" w:lineRule="auto"/>
        <w:tabs>
          <w:tab w:leader="none" w:pos="509"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Whenever any provision of this Agreement requires the Borrower to have a Total Leverage Ratio on a Pro Forma Basis in connection with any action to be taken by the Borrower hereunder, the Borrower shall deliver to the Administrative Agent a certificate of a Responsible Officer setting forth in reasonable detail the calculations demonstrating such compliance or such Total Leverage Ratio.</w:t>
      </w:r>
    </w:p>
    <w:p>
      <w:pPr>
        <w:spacing w:after="0" w:line="152"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i w:val="1"/>
          <w:iCs w:val="1"/>
          <w:color w:val="auto"/>
        </w:rPr>
        <w:t>Certain Accounting Matters.</w:t>
      </w:r>
      <w:r>
        <w:rPr>
          <w:rFonts w:ascii="Arial" w:cs="Arial" w:eastAsia="Arial" w:hAnsi="Arial"/>
          <w:sz w:val="18"/>
          <w:szCs w:val="18"/>
          <w:color w:val="auto"/>
        </w:rPr>
        <w:t xml:space="preserve"> Notwithstanding any other provision contained herein or in any other Loan Document, all terms of an accounting or financial nature used herein shall be construed, and all computations of amounts and ratios referred to herein shall be made, (a) without giving effect to any election under Statement of Financial Accounting Standards 159 or Accounting Standards Codification 825-10-25 (or any other Accounting Standards Codification or Financial Accounting Standard having a similar result or effect) to value any Indebtedness or other liabilities of the Borrower or any of its Restricted Subsidiaries at “fair value”, as defined therein; and (b) without giving effect to any treatment of Indebtedness in respect of convertible debt instruments under Accounting Standards Codification 470-20 and/or Statement of Financial Accounting Standards 150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Furthermore, unless the Borrower elects otherwise, notwithstanding any other provision contained herein or in any other Loan Document, for all purposes under this Agreement and the other Loan Documents, including negative covenants, financials covenants and component definitions, operating leases and Capitalized Leases will be deemed to be treated in a manner consistent with their current treatment under GAAP as in effect on December 31, 2018, notwithstanding any modifications or interpretive changes thereto that may occur thereafter. For the avoidance of doubt, the principal amount of any non-interest bearing Indebtedness or other discount security constituting Indebtedness at any date shall be the principal amount thereof that would be shown on a balance sheet of the Borrower dated such date prepared in accordance with GAAP, except as expressly set forth in clauses (a) and (b) of this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76"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 xml:space="preserve">Section 1.12. </w:t>
      </w:r>
      <w:r>
        <w:rPr>
          <w:rFonts w:ascii="Arial" w:cs="Arial" w:eastAsia="Arial" w:hAnsi="Arial"/>
          <w:sz w:val="20"/>
          <w:szCs w:val="20"/>
          <w:i w:val="1"/>
          <w:iCs w:val="1"/>
          <w:color w:val="auto"/>
        </w:rPr>
        <w:t>Classification of Loans and Borrowings.</w:t>
      </w:r>
      <w:r>
        <w:rPr>
          <w:rFonts w:ascii="Arial" w:cs="Arial" w:eastAsia="Arial" w:hAnsi="Arial"/>
          <w:sz w:val="20"/>
          <w:szCs w:val="20"/>
          <w:color w:val="auto"/>
        </w:rPr>
        <w:t xml:space="preserve"> For purposes of this Agreement, Loans may be classified and referred to by Class (e.g., a “Tranche B-2 Term Loan”) or by Type (e.g., a “SOFR Loan”) or by Class and Type (e.g., a “SOFR Term Loan”). Borrowings also may be classified and referred to by Class (e.g., a “Term Borrowing”) or by Type (e.g., a “SOFR Borrowing”) or by Class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8" w:name="page89"/>
    <w:bookmarkEnd w:id="88"/>
    <w:p>
      <w:pPr>
        <w:spacing w:after="0"/>
        <w:rPr>
          <w:sz w:val="20"/>
          <w:szCs w:val="20"/>
          <w:color w:val="auto"/>
        </w:rPr>
      </w:pPr>
      <w:r>
        <w:rPr>
          <w:rFonts w:ascii="Arial" w:cs="Arial" w:eastAsia="Arial" w:hAnsi="Arial"/>
          <w:sz w:val="20"/>
          <w:szCs w:val="20"/>
          <w:color w:val="auto"/>
        </w:rPr>
        <w:t>Type (e.g., a “SOFR Term Borrowing”).</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1.13. </w:t>
      </w:r>
      <w:r>
        <w:rPr>
          <w:rFonts w:ascii="Arial" w:cs="Arial" w:eastAsia="Arial" w:hAnsi="Arial"/>
          <w:sz w:val="20"/>
          <w:szCs w:val="20"/>
          <w:i w:val="1"/>
          <w:iCs w:val="1"/>
          <w:color w:val="auto"/>
        </w:rPr>
        <w:t>Currency Equivalents Generally</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42" w:lineRule="auto"/>
        <w:tabs>
          <w:tab w:leader="none" w:pos="509"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For purposes of determining compliance with </w:t>
      </w:r>
      <w:r>
        <w:rPr>
          <w:rFonts w:ascii="Arial" w:cs="Arial" w:eastAsia="Arial" w:hAnsi="Arial"/>
          <w:sz w:val="20"/>
          <w:szCs w:val="20"/>
          <w:u w:val="single" w:color="auto"/>
          <w:color w:val="auto"/>
        </w:rPr>
        <w:t>Sections 7.01</w:t>
      </w:r>
      <w:r>
        <w:rPr>
          <w:rFonts w:ascii="Arial" w:cs="Arial" w:eastAsia="Arial" w:hAnsi="Arial"/>
          <w:sz w:val="20"/>
          <w:szCs w:val="20"/>
          <w:color w:val="auto"/>
        </w:rPr>
        <w:t xml:space="preserve">, </w:t>
      </w:r>
      <w:r>
        <w:rPr>
          <w:rFonts w:ascii="Arial" w:cs="Arial" w:eastAsia="Arial" w:hAnsi="Arial"/>
          <w:sz w:val="20"/>
          <w:szCs w:val="20"/>
          <w:u w:val="single" w:color="auto"/>
          <w:color w:val="auto"/>
        </w:rPr>
        <w:t>7.02</w:t>
      </w:r>
      <w:r>
        <w:rPr>
          <w:rFonts w:ascii="Arial" w:cs="Arial" w:eastAsia="Arial" w:hAnsi="Arial"/>
          <w:sz w:val="20"/>
          <w:szCs w:val="20"/>
          <w:color w:val="auto"/>
        </w:rPr>
        <w:t xml:space="preserve">, </w:t>
      </w:r>
      <w:r>
        <w:rPr>
          <w:rFonts w:ascii="Arial" w:cs="Arial" w:eastAsia="Arial" w:hAnsi="Arial"/>
          <w:sz w:val="20"/>
          <w:szCs w:val="20"/>
          <w:u w:val="single" w:color="auto"/>
          <w:color w:val="auto"/>
        </w:rPr>
        <w:t>7.03</w:t>
      </w:r>
      <w:r>
        <w:rPr>
          <w:rFonts w:ascii="Arial" w:cs="Arial" w:eastAsia="Arial" w:hAnsi="Arial"/>
          <w:sz w:val="20"/>
          <w:szCs w:val="20"/>
          <w:color w:val="auto"/>
        </w:rPr>
        <w:t xml:space="preserve">, </w:t>
      </w:r>
      <w:r>
        <w:rPr>
          <w:rFonts w:ascii="Arial" w:cs="Arial" w:eastAsia="Arial" w:hAnsi="Arial"/>
          <w:sz w:val="20"/>
          <w:szCs w:val="20"/>
          <w:u w:val="single" w:color="auto"/>
          <w:color w:val="auto"/>
        </w:rPr>
        <w:t>7.05</w:t>
      </w:r>
      <w:r>
        <w:rPr>
          <w:rFonts w:ascii="Arial" w:cs="Arial" w:eastAsia="Arial" w:hAnsi="Arial"/>
          <w:sz w:val="20"/>
          <w:szCs w:val="20"/>
          <w:color w:val="auto"/>
        </w:rPr>
        <w:t xml:space="preserve">, </w:t>
      </w:r>
      <w:r>
        <w:rPr>
          <w:rFonts w:ascii="Arial" w:cs="Arial" w:eastAsia="Arial" w:hAnsi="Arial"/>
          <w:sz w:val="20"/>
          <w:szCs w:val="20"/>
          <w:u w:val="single" w:color="auto"/>
          <w:color w:val="auto"/>
        </w:rPr>
        <w:t>7.06</w:t>
      </w:r>
      <w:r>
        <w:rPr>
          <w:rFonts w:ascii="Arial" w:cs="Arial" w:eastAsia="Arial" w:hAnsi="Arial"/>
          <w:sz w:val="20"/>
          <w:szCs w:val="20"/>
          <w:color w:val="auto"/>
        </w:rPr>
        <w:t xml:space="preserve">, </w:t>
      </w:r>
      <w:r>
        <w:rPr>
          <w:rFonts w:ascii="Arial" w:cs="Arial" w:eastAsia="Arial" w:hAnsi="Arial"/>
          <w:sz w:val="20"/>
          <w:szCs w:val="20"/>
          <w:u w:val="single" w:color="auto"/>
          <w:color w:val="auto"/>
        </w:rPr>
        <w:t>7.08</w:t>
      </w:r>
      <w:r>
        <w:rPr>
          <w:rFonts w:ascii="Arial" w:cs="Arial" w:eastAsia="Arial" w:hAnsi="Arial"/>
          <w:sz w:val="20"/>
          <w:szCs w:val="20"/>
          <w:color w:val="auto"/>
        </w:rPr>
        <w:t xml:space="preserve">, </w:t>
      </w:r>
      <w:r>
        <w:rPr>
          <w:rFonts w:ascii="Arial" w:cs="Arial" w:eastAsia="Arial" w:hAnsi="Arial"/>
          <w:sz w:val="20"/>
          <w:szCs w:val="20"/>
          <w:u w:val="single" w:color="auto"/>
          <w:color w:val="auto"/>
        </w:rPr>
        <w:t>7.09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7.13</w:t>
      </w:r>
      <w:r>
        <w:rPr>
          <w:rFonts w:ascii="Arial" w:cs="Arial" w:eastAsia="Arial" w:hAnsi="Arial"/>
          <w:sz w:val="20"/>
          <w:szCs w:val="20"/>
          <w:color w:val="auto"/>
        </w:rPr>
        <w:t xml:space="preserve"> with respect to any amount of Indebtedness, Lien, Asset Sale, Restricted Payment, Capital Expenditure, affiliate transaction, Contractual Obligation, prepayment of Indebtedness or Investment in a currency other than Dollars, no Default or Event of Default shall be deemed to have occurred solely as a result of changes in rates of currency exchange occurring after the time such Indebtedness or Investment is incurred (so long as such Indebtedness or Investment, at the time incurred, made or acquired, was permitted hereunder) and once incurred or made, the amount of such Indebtedness, Lien, Asset Sale, Restricted Payment, Capital Expenditure, affiliate transaction, Contractual Obligation, prepayment of Indebtedness or Investment, shall be always deemed to be at the Dollar amount on such date, regardless of later changes in currency exchange rates.</w:t>
      </w:r>
    </w:p>
    <w:p>
      <w:pPr>
        <w:spacing w:after="0" w:line="196" w:lineRule="exact"/>
        <w:rPr>
          <w:rFonts w:ascii="Arial" w:cs="Arial" w:eastAsia="Arial" w:hAnsi="Arial"/>
          <w:sz w:val="20"/>
          <w:szCs w:val="20"/>
          <w:color w:val="auto"/>
        </w:rPr>
      </w:pPr>
    </w:p>
    <w:p>
      <w:pPr>
        <w:jc w:val="both"/>
        <w:ind w:firstLine="8"/>
        <w:spacing w:after="0" w:line="244" w:lineRule="auto"/>
        <w:tabs>
          <w:tab w:leader="none" w:pos="509" w:val="left"/>
        </w:tabs>
        <w:numPr>
          <w:ilvl w:val="0"/>
          <w:numId w:val="65"/>
        </w:numPr>
        <w:rPr>
          <w:rFonts w:ascii="Arial" w:cs="Arial" w:eastAsia="Arial" w:hAnsi="Arial"/>
          <w:sz w:val="20"/>
          <w:szCs w:val="20"/>
          <w:color w:val="auto"/>
        </w:rPr>
      </w:pPr>
      <w:r>
        <w:rPr>
          <w:rFonts w:ascii="Arial" w:cs="Arial" w:eastAsia="Arial" w:hAnsi="Arial"/>
          <w:sz w:val="20"/>
          <w:szCs w:val="20"/>
          <w:color w:val="auto"/>
        </w:rPr>
        <w:t>For purposes of determining the Total Leverage Ratio, amounts denominated in a currency other than Dollars will be converted to Dollars at the currency exchange rates used in preparing the Borrower’s financial statements corresponding to the Test Period with respect to the applicable date of determination and will, in the case of Indebtedness, reflect the currency translation effects, determined in accordance with GAAP, of Swap Contracts permitted hereunder for currency exchange risks with respect to the applicable currency in effect on the date of determination of the Dollar equivalent of such Indebtedness.</w:t>
      </w:r>
    </w:p>
    <w:p>
      <w:pPr>
        <w:spacing w:after="0" w:line="194" w:lineRule="exact"/>
        <w:rPr>
          <w:sz w:val="20"/>
          <w:szCs w:val="20"/>
          <w:color w:val="auto"/>
        </w:rPr>
      </w:pPr>
    </w:p>
    <w:p>
      <w:pPr>
        <w:jc w:val="both"/>
        <w:ind w:firstLine="1497"/>
        <w:spacing w:after="0" w:line="242" w:lineRule="auto"/>
        <w:rPr>
          <w:sz w:val="20"/>
          <w:szCs w:val="20"/>
          <w:color w:val="auto"/>
        </w:rPr>
      </w:pPr>
      <w:r>
        <w:rPr>
          <w:rFonts w:ascii="Arial" w:cs="Arial" w:eastAsia="Arial" w:hAnsi="Arial"/>
          <w:sz w:val="20"/>
          <w:szCs w:val="20"/>
          <w:color w:val="auto"/>
        </w:rPr>
        <w:t xml:space="preserve">Section 1.14. </w:t>
      </w:r>
      <w:r>
        <w:rPr>
          <w:rFonts w:ascii="Arial" w:cs="Arial" w:eastAsia="Arial" w:hAnsi="Arial"/>
          <w:sz w:val="20"/>
          <w:szCs w:val="20"/>
          <w:i w:val="1"/>
          <w:iCs w:val="1"/>
          <w:color w:val="auto"/>
        </w:rPr>
        <w:t>Effect of Amendment and Restatement</w:t>
      </w:r>
      <w:r>
        <w:rPr>
          <w:rFonts w:ascii="Arial" w:cs="Arial" w:eastAsia="Arial" w:hAnsi="Arial"/>
          <w:sz w:val="20"/>
          <w:szCs w:val="20"/>
          <w:color w:val="auto"/>
        </w:rPr>
        <w:t>. On the Restatement Effective Date, the Existing Credit Agreement shall be amended and restated in its entirety in the form hereof. The parties hereto acknowledge and agree that except as modified in this Agreement and the other Loan Documents delivered on the Restatement Effective Date, the Existing Credit Agreement and all Loan Documents thereunder (collectively, together with the Existing Credit Agreement, the “</w:t>
      </w:r>
      <w:r>
        <w:rPr>
          <w:rFonts w:ascii="Arial" w:cs="Arial" w:eastAsia="Arial" w:hAnsi="Arial"/>
          <w:sz w:val="20"/>
          <w:szCs w:val="20"/>
          <w:b w:val="1"/>
          <w:bCs w:val="1"/>
          <w:color w:val="auto"/>
        </w:rPr>
        <w:t>Existing Loan Documents</w:t>
      </w:r>
      <w:r>
        <w:rPr>
          <w:rFonts w:ascii="Arial" w:cs="Arial" w:eastAsia="Arial" w:hAnsi="Arial"/>
          <w:sz w:val="20"/>
          <w:szCs w:val="20"/>
          <w:color w:val="auto"/>
        </w:rPr>
        <w:t>”) are hereby reaffirmed, ratified and confirmed on behalf of the parties hereto and thereto on the date hereof, and the Obligations thereunder shall be amended and completely restated hereby, but this Agreement shall not constitute a novation, extinguishment or substitution of such Obligations or in any way impair the Liens created pursuant to the Existing Loan Documents or affect the priority thereof, all of which are hereby reaffirmed, ratified and confirmed.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ARTICLE 2</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he</w:t>
      </w:r>
      <w:r>
        <w:rPr>
          <w:rFonts w:ascii="Arial" w:cs="Arial" w:eastAsia="Arial" w:hAnsi="Arial"/>
          <w:sz w:val="20"/>
          <w:szCs w:val="20"/>
          <w:color w:val="auto"/>
        </w:rPr>
        <w:t xml:space="preserve"> C</w:t>
      </w:r>
      <w:r>
        <w:rPr>
          <w:rFonts w:ascii="Arial" w:cs="Arial" w:eastAsia="Arial" w:hAnsi="Arial"/>
          <w:sz w:val="13"/>
          <w:szCs w:val="13"/>
          <w:color w:val="auto"/>
        </w:rPr>
        <w:t>redits</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i w:val="1"/>
          <w:iCs w:val="1"/>
          <w:color w:val="auto"/>
        </w:rPr>
        <w:t>Tranche B-2 Term Loan Commitments.</w:t>
      </w:r>
    </w:p>
    <w:p>
      <w:pPr>
        <w:spacing w:after="0" w:line="216"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right="80" w:firstLine="8"/>
        <w:spacing w:after="0" w:line="246" w:lineRule="auto"/>
        <w:tabs>
          <w:tab w:leader="none" w:pos="509" w:val="left"/>
        </w:tabs>
        <w:numPr>
          <w:ilvl w:val="0"/>
          <w:numId w:val="66"/>
        </w:numPr>
        <w:rPr>
          <w:rFonts w:ascii="Arial" w:cs="Arial" w:eastAsia="Arial" w:hAnsi="Arial"/>
          <w:sz w:val="20"/>
          <w:szCs w:val="20"/>
          <w:color w:val="auto"/>
        </w:rPr>
      </w:pPr>
      <w:r>
        <w:rPr>
          <w:rFonts w:ascii="Arial" w:cs="Arial" w:eastAsia="Arial" w:hAnsi="Arial"/>
          <w:sz w:val="20"/>
          <w:szCs w:val="20"/>
          <w:color w:val="auto"/>
        </w:rPr>
        <w:t>Subject to the terms and conditions and relying upon the representations and warranties set forth herein, each Tranche B-2 Term Lender agrees, severally and not jointly, to make a Tranche B-2 Term Loan to the Borrower on the Restatement Effective Date in a principal amount not to exceed its Tranche B-2 Term Loan Commitment. Amounts repaid or prepaid in respect of Tranche B-2 Term Loan may not be reborrowed.</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i w:val="1"/>
          <w:iCs w:val="1"/>
          <w:color w:val="auto"/>
        </w:rPr>
        <w:t>Loans</w:t>
      </w:r>
      <w:r>
        <w:rPr>
          <w:rFonts w:ascii="Arial" w:cs="Arial" w:eastAsia="Arial" w:hAnsi="Arial"/>
          <w:sz w:val="20"/>
          <w:szCs w:val="20"/>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9" w:name="page90"/>
    <w:bookmarkEnd w:id="89"/>
    <w:p>
      <w:pPr>
        <w:jc w:val="both"/>
        <w:ind w:firstLine="8"/>
        <w:spacing w:after="0" w:line="270" w:lineRule="auto"/>
        <w:tabs>
          <w:tab w:leader="none" w:pos="509"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Each Loan shall be made as part of a Borrowing consisting of Loans made by the Lenders ratably in accordance with their applicable Commitments;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 The Loans comprising any Borrowing shall be in an aggregate principal amount that is</w:t>
      </w:r>
    </w:p>
    <w:p>
      <w:pPr>
        <w:spacing w:after="0" w:line="2" w:lineRule="exact"/>
        <w:rPr>
          <w:rFonts w:ascii="Arial" w:cs="Arial" w:eastAsia="Arial" w:hAnsi="Arial"/>
          <w:sz w:val="18"/>
          <w:szCs w:val="18"/>
          <w:color w:val="auto"/>
        </w:rPr>
      </w:pPr>
    </w:p>
    <w:p>
      <w:pPr>
        <w:ind w:firstLine="8"/>
        <w:spacing w:after="0" w:line="297" w:lineRule="auto"/>
        <w:tabs>
          <w:tab w:leader="none" w:pos="2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integral multiple of $1,000,000 and not less than $5,000,000 (except, with respect to any Other Term Loans, to the extent otherwise provided in the applicable Refinancing Amendment) or (ii) equal to the remaining available balance of the applicable Commitments.</w:t>
      </w:r>
    </w:p>
    <w:p>
      <w:pPr>
        <w:spacing w:after="0" w:line="146" w:lineRule="exact"/>
        <w:rPr>
          <w:rFonts w:ascii="Arial" w:cs="Arial" w:eastAsia="Arial" w:hAnsi="Arial"/>
          <w:sz w:val="18"/>
          <w:szCs w:val="18"/>
          <w:color w:val="auto"/>
        </w:rPr>
      </w:pPr>
    </w:p>
    <w:p>
      <w:pPr>
        <w:jc w:val="both"/>
        <w:ind w:firstLine="8"/>
        <w:spacing w:after="0" w:line="256" w:lineRule="auto"/>
        <w:tabs>
          <w:tab w:leader="none" w:pos="509"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2.08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3.02</w:t>
      </w:r>
      <w:r>
        <w:rPr>
          <w:rFonts w:ascii="Arial" w:cs="Arial" w:eastAsia="Arial" w:hAnsi="Arial"/>
          <w:sz w:val="19"/>
          <w:szCs w:val="19"/>
          <w:color w:val="auto"/>
        </w:rPr>
        <w:t xml:space="preserve"> each Borrowing shall be comprised entirely of ABR Loans or SOFR Loans as the Borrower may request pursuant to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Each Lender may at its option make any SOFR Loan by causing any domestic or foreign branch or Affiliate of such Lender to make such Loan;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exercise of such option shall not affect the obligation of the Borrower to repay such Loan to such Lender in accordance with the terms of this Agreement. Borrowings of more than one Type may be outstanding at the same time;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Borrower shall not be entitled to request any Borrowing that, if made, would result in more than five SOFR Borrowings outstanding hereunder at any time plus up to an additional 3 Interest Periods in respect of each (i) [reserved], (ii) Extended Term Loans and (iii) Other Term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total number of such additional Interest Periods does not exceed 15 at any one time. For purposes of the foregoing, Borrowings having different Interest Periods, regardless of whether they commence on the same date, shall be considered separate Borrowings.</w:t>
      </w:r>
    </w:p>
    <w:p>
      <w:pPr>
        <w:spacing w:after="0" w:line="184" w:lineRule="exact"/>
        <w:rPr>
          <w:rFonts w:ascii="Arial" w:cs="Arial" w:eastAsia="Arial" w:hAnsi="Arial"/>
          <w:sz w:val="19"/>
          <w:szCs w:val="19"/>
          <w:color w:val="auto"/>
        </w:rPr>
      </w:pPr>
    </w:p>
    <w:p>
      <w:pPr>
        <w:jc w:val="both"/>
        <w:ind w:firstLine="8"/>
        <w:spacing w:after="0" w:line="246" w:lineRule="auto"/>
        <w:tabs>
          <w:tab w:leader="none" w:pos="509" w:val="left"/>
        </w:tabs>
        <w:numPr>
          <w:ilvl w:val="0"/>
          <w:numId w:val="69"/>
        </w:numPr>
        <w:rPr>
          <w:rFonts w:ascii="Arial" w:cs="Arial" w:eastAsia="Arial" w:hAnsi="Arial"/>
          <w:sz w:val="20"/>
          <w:szCs w:val="20"/>
          <w:color w:val="auto"/>
        </w:rPr>
      </w:pPr>
      <w:r>
        <w:rPr>
          <w:rFonts w:ascii="Arial" w:cs="Arial" w:eastAsia="Arial" w:hAnsi="Arial"/>
          <w:sz w:val="20"/>
          <w:szCs w:val="20"/>
          <w:color w:val="auto"/>
        </w:rPr>
        <w:t>Each Lender shall make each Tranche B-2 Term Loan to be made by it hereunder on the Restatement Effective Date by wire transfer of immediately available funds to the Administrative Agent’s Office not later than 1:00 p.m., New York City time, and upon receipt of all requested funds the Administrative Agent shall promptly credit the amounts so received to an account designated by the Borrower in the applicable Request for Credit Extension.</w:t>
      </w:r>
    </w:p>
    <w:p>
      <w:pPr>
        <w:spacing w:after="0" w:line="191" w:lineRule="exact"/>
        <w:rPr>
          <w:rFonts w:ascii="Arial" w:cs="Arial" w:eastAsia="Arial" w:hAnsi="Arial"/>
          <w:sz w:val="20"/>
          <w:szCs w:val="20"/>
          <w:color w:val="auto"/>
        </w:rPr>
      </w:pPr>
    </w:p>
    <w:p>
      <w:pPr>
        <w:jc w:val="both"/>
        <w:ind w:firstLine="8"/>
        <w:spacing w:after="0" w:line="255" w:lineRule="auto"/>
        <w:tabs>
          <w:tab w:leader="none" w:pos="509" w:val="left"/>
        </w:tabs>
        <w:numPr>
          <w:ilvl w:val="0"/>
          <w:numId w:val="69"/>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 Lender prior to the date of any Borrowing that such Lender will not make available to the Administrative Agent such Lender’s portion of such Borrowing, the Administrative Agent may assume that such Lender has made such portion available to the Administrative Agent on the date of such Borrowing in accordance with paragraph (c)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such Lender and the Borrower severally agree to repay to the Administrative Agent forthwith on demand such corresponding amount together with interest thereon, for each day from the date such amount is made available to the Borrower to but excluding the date such amount is repaid to the Administrative Agent at (i) in the case of the Borrower, a rate per annum equal to the interest rate applicable at the time to the Loans comprising such Borrowing, and (ii) in the case of such Lender, a rate determined by the Administrative Agent to represent its cost of overnight or short-term funds (which determination shall be conclusive absent manifest error). If such Lender shall repay to the Administrative Agent such corresponding amount, such amount shall constitute such Lender’s Loan as part of such Borrowing for purposes of this Agreement.</w:t>
      </w:r>
    </w:p>
    <w:p>
      <w:pPr>
        <w:spacing w:after="0" w:line="184"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Borrowing Procedure.</w:t>
      </w:r>
      <w:r>
        <w:rPr>
          <w:rFonts w:ascii="Arial" w:cs="Arial" w:eastAsia="Arial" w:hAnsi="Arial"/>
          <w:sz w:val="18"/>
          <w:szCs w:val="18"/>
          <w:color w:val="auto"/>
        </w:rPr>
        <w:t xml:space="preserve"> In order to request a Borrowing, the Borrower shall notify the Administrative Agent of such request in writing (a) in the case of a SOFR Borrowing, not later than 1:00 p.m., New York City time, three Business Days before a proposed Borrowing (or, in the case of the extension of credit on the Restatement Effective Date, prior to the proposed Borrowing), and (b) in the case of an ABR Borrowing, not later than 1:00 p.m., New York City time, one Business Day before a proposed Borrowing. Each such Request for Credit Extension shall be irrevocable (but may be conditioned upon the prepayment of indebtedness or the consummation of a specified transaction) and shall specify the following information: (i) the Class of Loans to be borrowed and whether such Borrowing is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0" w:name="page91"/>
    <w:bookmarkEnd w:id="90"/>
    <w:p>
      <w:pPr>
        <w:jc w:val="both"/>
        <w:spacing w:after="0" w:line="257" w:lineRule="auto"/>
        <w:rPr>
          <w:sz w:val="20"/>
          <w:szCs w:val="20"/>
          <w:color w:val="auto"/>
        </w:rPr>
      </w:pPr>
      <w:r>
        <w:rPr>
          <w:rFonts w:ascii="Arial" w:cs="Arial" w:eastAsia="Arial" w:hAnsi="Arial"/>
          <w:sz w:val="19"/>
          <w:szCs w:val="19"/>
          <w:color w:val="auto"/>
        </w:rPr>
        <w:t xml:space="preserve">to be a SOFR Borrowing or an ABR Borrowing; (ii) the date of such Borrowing (which shall be a Business Day); (iii) the number and location of the account to which funds are to be disbursed; (iv) the amount of such Borrowing; and (v) if such Borrowing is to be a SOFR Borrowing, the Interest Period with respect thereto;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notwithstanding any contrary specification in any Request for Credit Extension, each requested Borrowing shall comply with the requirements set forth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If no election as to the Type of Borrowing is specified in any such notice, then the requested Borrowing shall be an ABR Borrowing. If no Interest Period with respect to any SOFR Borrowing is specified in any such notice, then the Borrower shall be deemed to have selected an Interest Period of one month’s duration. The Administrative Agent shall promptly advise the applicable Lenders of any notice given pursuant to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(and the contents thereof), and of each Lender’s portion of the requested Borrowing.</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i w:val="1"/>
          <w:iCs w:val="1"/>
          <w:color w:val="auto"/>
        </w:rPr>
        <w:t>Evidence of Debt; Repayment of Loans</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69" w:lineRule="auto"/>
        <w:tabs>
          <w:tab w:leader="none" w:pos="509"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The Borrower hereby unconditionally promises to pay to the Administrative Agent for the account of each Lender the principal amount of each Term Loan of such Lender as provided in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(or, in the case of Extended Term Loans or Other Term Loans, as provided for in the applicable Extension Offer, Refinancing Amendment or other governing documentation).</w:t>
      </w:r>
    </w:p>
    <w:p>
      <w:pPr>
        <w:spacing w:after="0" w:line="169" w:lineRule="exact"/>
        <w:rPr>
          <w:rFonts w:ascii="Arial" w:cs="Arial" w:eastAsia="Arial" w:hAnsi="Arial"/>
          <w:sz w:val="19"/>
          <w:szCs w:val="19"/>
          <w:color w:val="auto"/>
        </w:rPr>
      </w:pPr>
    </w:p>
    <w:p>
      <w:pPr>
        <w:jc w:val="both"/>
        <w:ind w:firstLine="8"/>
        <w:spacing w:after="0" w:line="250" w:lineRule="auto"/>
        <w:tabs>
          <w:tab w:leader="none" w:pos="509" w:val="left"/>
        </w:tabs>
        <w:numPr>
          <w:ilvl w:val="0"/>
          <w:numId w:val="70"/>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under this Agreement.</w:t>
      </w:r>
    </w:p>
    <w:p>
      <w:pPr>
        <w:spacing w:after="0" w:line="185" w:lineRule="exact"/>
        <w:rPr>
          <w:rFonts w:ascii="Arial" w:cs="Arial" w:eastAsia="Arial" w:hAnsi="Arial"/>
          <w:sz w:val="20"/>
          <w:szCs w:val="20"/>
          <w:color w:val="auto"/>
        </w:rPr>
      </w:pPr>
    </w:p>
    <w:p>
      <w:pPr>
        <w:jc w:val="both"/>
        <w:ind w:firstLine="8"/>
        <w:spacing w:after="0" w:line="246" w:lineRule="auto"/>
        <w:tabs>
          <w:tab w:leader="none" w:pos="509"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Administrative Agent shall maintain accounts in which it will record (i) the amount of each Loan made hereunder, the Class and Type thereof and, if applicable, the Interest Period applicable thereto, (ii) the amount of any principal or interest due and payable or to become due and payable from the Borrower to each Lender hereunder and (iii) the amount of any sum received by the Administrative Agent hereunder from the Borrower or any Guarantor and each Lender’s share thereof.</w:t>
      </w:r>
    </w:p>
    <w:p>
      <w:pPr>
        <w:spacing w:after="0" w:line="191" w:lineRule="exact"/>
        <w:rPr>
          <w:rFonts w:ascii="Arial" w:cs="Arial" w:eastAsia="Arial" w:hAnsi="Arial"/>
          <w:sz w:val="20"/>
          <w:szCs w:val="20"/>
          <w:color w:val="auto"/>
        </w:rPr>
      </w:pPr>
    </w:p>
    <w:p>
      <w:pPr>
        <w:jc w:val="both"/>
        <w:ind w:firstLine="8"/>
        <w:spacing w:after="0" w:line="244" w:lineRule="auto"/>
        <w:tabs>
          <w:tab w:leader="none" w:pos="509"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The entries made in the accounts maintained pursuant to paragraphs (b) and (c) above shall be prima facie evidence of the existence and amounts of the obligations therein recorded; </w:t>
      </w:r>
      <w:r>
        <w:rPr>
          <w:rFonts w:ascii="Arial" w:cs="Arial" w:eastAsia="Arial" w:hAnsi="Arial"/>
          <w:sz w:val="20"/>
          <w:szCs w:val="20"/>
          <w:i w:val="1"/>
          <w:iCs w:val="1"/>
          <w:color w:val="auto"/>
        </w:rPr>
        <w:t>provided, however</w:t>
      </w:r>
      <w:r>
        <w:rPr>
          <w:rFonts w:ascii="Arial" w:cs="Arial" w:eastAsia="Arial" w:hAnsi="Arial"/>
          <w:sz w:val="20"/>
          <w:szCs w:val="20"/>
          <w:color w:val="auto"/>
        </w:rPr>
        <w:t>, that (i) the failure of any Lender or the Administrative Agent to maintain such accounts or any error therein shall not in any manner affect the obligations of the Borrower to repay the Loans in accordance with their terms and (ii) in the event of any conflict between the accounts set forth in paragraphs (b) and (c) above, the amounts set forth in the accounts maintained pursuant to paragraph (c) shall prevail.</w:t>
      </w:r>
    </w:p>
    <w:p>
      <w:pPr>
        <w:spacing w:after="0" w:line="194" w:lineRule="exact"/>
        <w:rPr>
          <w:rFonts w:ascii="Arial" w:cs="Arial" w:eastAsia="Arial" w:hAnsi="Arial"/>
          <w:sz w:val="20"/>
          <w:szCs w:val="20"/>
          <w:color w:val="auto"/>
        </w:rPr>
      </w:pPr>
    </w:p>
    <w:p>
      <w:pPr>
        <w:jc w:val="both"/>
        <w:ind w:firstLine="8"/>
        <w:spacing w:after="0" w:line="243" w:lineRule="auto"/>
        <w:tabs>
          <w:tab w:leader="none" w:pos="509"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Any Lender may request that Loans made by it hereunder be evidenced by a Term Note. In such event, the Borrower shall promptly execute and deliver to such Lender a Term Note payable to such Lender and its registered assigns in accordance with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Notwithstanding any other provision of this Agreement, in the event any Lender shall request and receive a Term Note, the interests represented by such Term Note shall at all times (including after any assignment of all or part of such interests pursuant to </w:t>
      </w:r>
      <w:r>
        <w:rPr>
          <w:rFonts w:ascii="Arial" w:cs="Arial" w:eastAsia="Arial" w:hAnsi="Arial"/>
          <w:sz w:val="20"/>
          <w:szCs w:val="20"/>
          <w:u w:val="single" w:color="auto"/>
          <w:color w:val="auto"/>
        </w:rPr>
        <w:t>Section 10.04</w:t>
      </w:r>
      <w:r>
        <w:rPr>
          <w:rFonts w:ascii="Arial" w:cs="Arial" w:eastAsia="Arial" w:hAnsi="Arial"/>
          <w:sz w:val="20"/>
          <w:szCs w:val="20"/>
          <w:color w:val="auto"/>
        </w:rPr>
        <w:t>) be represented by one or more promissory notes payable to the payee named therein or its registered assigns, unless such Term Note is duly cancelled.</w:t>
      </w:r>
    </w:p>
    <w:p>
      <w:pPr>
        <w:spacing w:after="0" w:line="195" w:lineRule="exact"/>
        <w:rPr>
          <w:rFonts w:ascii="Arial" w:cs="Arial" w:eastAsia="Arial" w:hAnsi="Arial"/>
          <w:sz w:val="20"/>
          <w:szCs w:val="20"/>
          <w:color w:val="auto"/>
        </w:rPr>
      </w:pPr>
    </w:p>
    <w:p>
      <w:pPr>
        <w:ind w:firstLine="8"/>
        <w:spacing w:after="0" w:line="260" w:lineRule="auto"/>
        <w:tabs>
          <w:tab w:leader="none" w:pos="509"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shall at all times be interpreted and administered in such a way that the Term Notes will be issued in “registered form” within the meaning of Treasury Regulation Section 5f.163-1(a).</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i w:val="1"/>
          <w:iCs w:val="1"/>
          <w:color w:val="auto"/>
        </w:rPr>
        <w:t>Fees</w:t>
      </w:r>
      <w:r>
        <w:rPr>
          <w:rFonts w:ascii="Arial" w:cs="Arial" w:eastAsia="Arial" w:hAnsi="Arial"/>
          <w:sz w:val="20"/>
          <w:szCs w:val="20"/>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1" w:name="page92"/>
    <w:bookmarkEnd w:id="91"/>
    <w:p>
      <w:pPr>
        <w:jc w:val="both"/>
        <w:ind w:firstLine="8"/>
        <w:spacing w:after="0" w:line="250" w:lineRule="auto"/>
        <w:tabs>
          <w:tab w:leader="none" w:pos="509"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Borrower agrees to pay to the Administrative Agent, for its own account, the administrative agent fees applicable to the Facilities payable in the amounts and at the times agreed upon between the Borrower and the Administrative Agent as set forth in the Administrative Agent Fee Letter (the “</w:t>
      </w:r>
      <w:r>
        <w:rPr>
          <w:rFonts w:ascii="Arial" w:cs="Arial" w:eastAsia="Arial" w:hAnsi="Arial"/>
          <w:sz w:val="20"/>
          <w:szCs w:val="20"/>
          <w:b w:val="1"/>
          <w:bCs w:val="1"/>
          <w:color w:val="auto"/>
        </w:rPr>
        <w:t>Fees</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firstLine="8"/>
        <w:spacing w:after="0" w:line="260" w:lineRule="auto"/>
        <w:tabs>
          <w:tab w:leader="none" w:pos="509" w:val="left"/>
        </w:tabs>
        <w:numPr>
          <w:ilvl w:val="0"/>
          <w:numId w:val="71"/>
        </w:numPr>
        <w:rPr>
          <w:rFonts w:ascii="Arial" w:cs="Arial" w:eastAsia="Arial" w:hAnsi="Arial"/>
          <w:sz w:val="20"/>
          <w:szCs w:val="20"/>
          <w:color w:val="auto"/>
        </w:rPr>
      </w:pPr>
      <w:r>
        <w:rPr>
          <w:rFonts w:ascii="Arial" w:cs="Arial" w:eastAsia="Arial" w:hAnsi="Arial"/>
          <w:sz w:val="20"/>
          <w:szCs w:val="20"/>
          <w:color w:val="auto"/>
        </w:rPr>
        <w:t>All Fees shall be paid on the dates due, in immediately available funds, to the Administrative Agent. Once paid, none of the Fees shall be refundable under any circumstances.</w:t>
      </w:r>
    </w:p>
    <w:p>
      <w:pPr>
        <w:spacing w:after="0" w:line="176" w:lineRule="exact"/>
        <w:rPr>
          <w:rFonts w:ascii="Arial" w:cs="Arial" w:eastAsia="Arial" w:hAnsi="Arial"/>
          <w:sz w:val="20"/>
          <w:szCs w:val="20"/>
          <w:color w:val="auto"/>
        </w:rPr>
      </w:pPr>
    </w:p>
    <w:p>
      <w:pPr>
        <w:jc w:val="both"/>
        <w:ind w:firstLine="8"/>
        <w:spacing w:after="0" w:line="268" w:lineRule="auto"/>
        <w:tabs>
          <w:tab w:leader="none" w:pos="50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the ratable account of each Tranche B-2 Term Lender, an exit fee in an aggregate amount equal to 2.00% of the aggregate principal amount of the Tranche B-2 Term Loans outstanding as of the Amendment No. 3 Effective Date (the “</w:t>
      </w:r>
      <w:r>
        <w:rPr>
          <w:rFonts w:ascii="Arial" w:cs="Arial" w:eastAsia="Arial" w:hAnsi="Arial"/>
          <w:sz w:val="18"/>
          <w:szCs w:val="18"/>
          <w:b w:val="1"/>
          <w:bCs w:val="1"/>
          <w:color w:val="auto"/>
        </w:rPr>
        <w:t>Exit Fee</w:t>
      </w:r>
      <w:r>
        <w:rPr>
          <w:rFonts w:ascii="Arial" w:cs="Arial" w:eastAsia="Arial" w:hAnsi="Arial"/>
          <w:sz w:val="18"/>
          <w:szCs w:val="18"/>
          <w:color w:val="auto"/>
        </w:rPr>
        <w:t xml:space="preserve">”), which Exit Fee shall be earned in full and shall be due on the Amendment No. 3 Effective Date but shall be payable in cash on the earliest to occur of (x) the Maturity Date, (y) the termination, conversion and/or repayment or prepayment of the Tranche-B-2 Term Loans in full (including after or as a result of an Event of Default or acceleration of the Tranche B-2 Term Loans) of the Tranche B-2 Term Loans, and (z) any acceleration of the Tranche B-2 Term Loans, including as a result of any insolvency, liquidation or other similar event with respect to any Loan Party or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 long as no Event of Default is continuing at such time, in the event of a repayment or prepayment of the Tranche-B-2 Term Loans in full with the proceeds of a new financing facility prior to September 30, 2023, the Exit Fee shall be reduced to 1.00% of the aggregate principal amount of the Tranche B-2 Term Loans outstanding as of the Amendment No. 3 Effective Date. Without limiting the generality of the foregoing, it is understood and agreed that if the Tranche B-2 Term Loans are accelerated or otherwise become due prior to their maturity date, in each case, in respect of any Event of Default (including upon the occurrence of a bankruptcy or insolvency event (including the acceleration of claims by operation of law)), the Exit Fee applicable with respect to a voluntary prepayment of the Tranche B-2 Term Loans will also be payable on the date of such acceleration or such other prior due date as though the Tranche B-2 Term Loans were voluntarily prepaid as of such date and shall constitute part of the Obligations, in view of the impracticability and extreme difficulty of ascertaining actual damages and by mutual agreement of the parties as to a reasonable calculation of each Term Lender’s loss as a result thereof. Any exit fee payable above shall be presumed to be the liquidated damages sustained by each Term Lender and the Borrower agrees that it is reasonable under the circumstances currently existing. THE BORROWER EXPRESSLY WAIVES (TO THE FULLEST EXTENT IT MAY LAWFULLY DO SO) THE PROVISIONS OF ANY PRESENT OR FUTURE STATUTE OR LAW THAT PROHIBITS OR MAY PROHIBIT THE COLLECTION OF THE EXIT FEE IN CONNECTION WITH ANY SUCH ACCELERATION. The Borrower expressly agrees (to the fullest extent it may lawfully do so) that: (A) the Exit Fee is reasonable and is the product of an arm’s length transaction between sophisticated business people, ably represented by counsel; (B) the Exit Fee shall be payable notwithstanding the then prevailing market rates at the time payment is made; (C) there has been a course of conduct between the Term Lenders and the Borrower giving specific consideration in this transaction for such agreement to pay the Exit Fee; and (D) the Borrower shall be estopped hereafter from claiming differently than as agreed to in this paragraph.</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2.06. </w:t>
      </w:r>
      <w:r>
        <w:rPr>
          <w:rFonts w:ascii="Arial" w:cs="Arial" w:eastAsia="Arial" w:hAnsi="Arial"/>
          <w:sz w:val="20"/>
          <w:szCs w:val="20"/>
          <w:i w:val="1"/>
          <w:iCs w:val="1"/>
          <w:color w:val="auto"/>
        </w:rPr>
        <w:t>Interest on Loans</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91" w:lineRule="auto"/>
        <w:tabs>
          <w:tab w:leader="none" w:pos="509"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2.07</w:t>
      </w:r>
      <w:r>
        <w:rPr>
          <w:rFonts w:ascii="Arial" w:cs="Arial" w:eastAsia="Arial" w:hAnsi="Arial"/>
          <w:sz w:val="18"/>
          <w:szCs w:val="18"/>
          <w:color w:val="auto"/>
        </w:rPr>
        <w:t>, the Loans comprising each ABR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Alternate Base Rate plus the Applicable Margin.</w:t>
      </w:r>
    </w:p>
    <w:p>
      <w:pPr>
        <w:spacing w:after="0" w:line="151" w:lineRule="exact"/>
        <w:rPr>
          <w:rFonts w:ascii="Arial" w:cs="Arial" w:eastAsia="Arial" w:hAnsi="Arial"/>
          <w:sz w:val="18"/>
          <w:szCs w:val="18"/>
          <w:color w:val="auto"/>
        </w:rPr>
      </w:pPr>
    </w:p>
    <w:p>
      <w:pPr>
        <w:jc w:val="both"/>
        <w:ind w:firstLine="8"/>
        <w:spacing w:after="0" w:line="250" w:lineRule="auto"/>
        <w:tabs>
          <w:tab w:leader="none" w:pos="509" w:val="left"/>
        </w:tabs>
        <w:numPr>
          <w:ilvl w:val="0"/>
          <w:numId w:val="72"/>
        </w:numPr>
        <w:rPr>
          <w:rFonts w:ascii="Arial" w:cs="Arial" w:eastAsia="Arial" w:hAnsi="Arial"/>
          <w:sz w:val="20"/>
          <w:szCs w:val="20"/>
          <w:color w:val="auto"/>
        </w:rPr>
      </w:pPr>
      <w:r>
        <w:rPr>
          <w:rFonts w:ascii="Arial" w:cs="Arial" w:eastAsia="Arial" w:hAnsi="Arial"/>
          <w:sz w:val="20"/>
          <w:szCs w:val="20"/>
          <w:color w:val="auto"/>
        </w:rPr>
        <w:t xml:space="preserve">Subject to the provisions of </w:t>
      </w:r>
      <w:r>
        <w:rPr>
          <w:rFonts w:ascii="Arial" w:cs="Arial" w:eastAsia="Arial" w:hAnsi="Arial"/>
          <w:sz w:val="20"/>
          <w:szCs w:val="20"/>
          <w:u w:val="single" w:color="auto"/>
          <w:color w:val="auto"/>
        </w:rPr>
        <w:t>Section 2.07</w:t>
      </w:r>
      <w:r>
        <w:rPr>
          <w:rFonts w:ascii="Arial" w:cs="Arial" w:eastAsia="Arial" w:hAnsi="Arial"/>
          <w:sz w:val="20"/>
          <w:szCs w:val="20"/>
          <w:color w:val="auto"/>
        </w:rPr>
        <w:t>, the Loans comprising each SOFR Borrowing shall bear interest (computed on the basis of the actual number of days elapsed over a year of 360 days) at a rate per annum equal to Adjusted Term SOFR for the Interest Period in effect for such Borrowing plus the Applicable Margin.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2" w:name="page93"/>
    <w:bookmarkEnd w:id="92"/>
    <w:p>
      <w:pPr>
        <w:jc w:val="both"/>
        <w:ind w:firstLine="8"/>
        <w:spacing w:after="0" w:line="291" w:lineRule="auto"/>
        <w:tabs>
          <w:tab w:leader="none" w:pos="509"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Interest on each Loan shall be payable on the Interest Payment Dates applicable to such Loan except as otherwise provided in this Agreement. The applicable Alternate Base Rate or Adjusted Term SOFR for each Interest Period or day within an Interest Period, as the case may be, shall be determined by the Administrative Agent, and such determination shall be conclusive absent manifest error.</w:t>
      </w:r>
    </w:p>
    <w:p>
      <w:pPr>
        <w:spacing w:after="0" w:line="151" w:lineRule="exact"/>
        <w:rPr>
          <w:rFonts w:ascii="Arial" w:cs="Arial" w:eastAsia="Arial" w:hAnsi="Arial"/>
          <w:sz w:val="18"/>
          <w:szCs w:val="18"/>
          <w:color w:val="auto"/>
        </w:rPr>
      </w:pPr>
    </w:p>
    <w:p>
      <w:pPr>
        <w:ind w:left="520" w:hanging="512"/>
        <w:spacing w:after="0"/>
        <w:tabs>
          <w:tab w:leader="none" w:pos="520" w:val="left"/>
        </w:tabs>
        <w:numPr>
          <w:ilvl w:val="0"/>
          <w:numId w:val="73"/>
        </w:numPr>
        <w:rPr>
          <w:rFonts w:ascii="Arial" w:cs="Arial" w:eastAsia="Arial" w:hAnsi="Arial"/>
          <w:sz w:val="20"/>
          <w:szCs w:val="20"/>
          <w:color w:val="auto"/>
        </w:rPr>
      </w:pPr>
      <w:r>
        <w:rPr>
          <w:rFonts w:ascii="Arial" w:cs="Arial" w:eastAsia="Arial" w:hAnsi="Arial"/>
          <w:sz w:val="20"/>
          <w:szCs w:val="20"/>
          <w:color w:val="auto"/>
        </w:rPr>
        <w:t>Notwithstanding anything to the contrary in this Section 2.06,</w:t>
      </w:r>
    </w:p>
    <w:p>
      <w:pPr>
        <w:spacing w:after="0" w:line="215" w:lineRule="exact"/>
        <w:rPr>
          <w:rFonts w:ascii="Arial" w:cs="Arial" w:eastAsia="Arial" w:hAnsi="Arial"/>
          <w:sz w:val="20"/>
          <w:szCs w:val="20"/>
          <w:color w:val="auto"/>
        </w:rPr>
      </w:pPr>
    </w:p>
    <w:p>
      <w:pPr>
        <w:jc w:val="both"/>
        <w:ind w:firstLine="405"/>
        <w:spacing w:after="0" w:line="250" w:lineRule="auto"/>
        <w:tabs>
          <w:tab w:leader="none" w:pos="795" w:val="left"/>
        </w:tabs>
        <w:numPr>
          <w:ilvl w:val="1"/>
          <w:numId w:val="73"/>
        </w:numPr>
        <w:rPr>
          <w:rFonts w:ascii="Arial" w:cs="Arial" w:eastAsia="Arial" w:hAnsi="Arial"/>
          <w:sz w:val="20"/>
          <w:szCs w:val="20"/>
          <w:color w:val="auto"/>
        </w:rPr>
      </w:pPr>
      <w:r>
        <w:rPr>
          <w:rFonts w:ascii="Arial" w:cs="Arial" w:eastAsia="Arial" w:hAnsi="Arial"/>
          <w:sz w:val="20"/>
          <w:szCs w:val="20"/>
          <w:color w:val="auto"/>
        </w:rPr>
        <w:t>on the Amendment No. 1 Effective Date and each Interest Payment Date during the PIK Period, the Borrower shall pay a portion of the interest due on each such date in cash in an amount equal to interest at a rate per annum equal to one percent (1%) (the “</w:t>
      </w:r>
      <w:r>
        <w:rPr>
          <w:rFonts w:ascii="Arial" w:cs="Arial" w:eastAsia="Arial" w:hAnsi="Arial"/>
          <w:sz w:val="20"/>
          <w:szCs w:val="20"/>
          <w:b w:val="1"/>
          <w:bCs w:val="1"/>
          <w:color w:val="auto"/>
        </w:rPr>
        <w:t>Cash Interest</w:t>
      </w:r>
      <w:r>
        <w:rPr>
          <w:rFonts w:ascii="Arial" w:cs="Arial" w:eastAsia="Arial" w:hAnsi="Arial"/>
          <w:sz w:val="20"/>
          <w:szCs w:val="20"/>
          <w:color w:val="auto"/>
        </w:rPr>
        <w:t xml:space="preserve"> </w:t>
      </w:r>
      <w:r>
        <w:rPr>
          <w:rFonts w:ascii="Arial" w:cs="Arial" w:eastAsia="Arial" w:hAnsi="Arial"/>
          <w:sz w:val="20"/>
          <w:szCs w:val="20"/>
          <w:b w:val="1"/>
          <w:bCs w:val="1"/>
          <w:color w:val="auto"/>
        </w:rPr>
        <w:t>Portion</w:t>
      </w:r>
      <w:r>
        <w:rPr>
          <w:rFonts w:ascii="Arial" w:cs="Arial" w:eastAsia="Arial" w:hAnsi="Arial"/>
          <w:sz w:val="20"/>
          <w:szCs w:val="20"/>
          <w:color w:val="auto"/>
        </w:rPr>
        <w:t>”); and</w:t>
      </w:r>
    </w:p>
    <w:p>
      <w:pPr>
        <w:spacing w:after="0" w:line="185" w:lineRule="exact"/>
        <w:rPr>
          <w:rFonts w:ascii="Arial" w:cs="Arial" w:eastAsia="Arial" w:hAnsi="Arial"/>
          <w:sz w:val="20"/>
          <w:szCs w:val="20"/>
          <w:color w:val="auto"/>
        </w:rPr>
      </w:pPr>
    </w:p>
    <w:p>
      <w:pPr>
        <w:jc w:val="both"/>
        <w:ind w:firstLine="424"/>
        <w:spacing w:after="0" w:line="255" w:lineRule="auto"/>
        <w:tabs>
          <w:tab w:leader="none" w:pos="832" w:val="left"/>
        </w:tabs>
        <w:numPr>
          <w:ilvl w:val="2"/>
          <w:numId w:val="73"/>
        </w:numPr>
        <w:rPr>
          <w:rFonts w:ascii="Arial" w:cs="Arial" w:eastAsia="Arial" w:hAnsi="Arial"/>
          <w:sz w:val="19"/>
          <w:szCs w:val="19"/>
          <w:color w:val="auto"/>
        </w:rPr>
      </w:pPr>
      <w:r>
        <w:rPr>
          <w:rFonts w:ascii="Arial" w:cs="Arial" w:eastAsia="Arial" w:hAnsi="Arial"/>
          <w:sz w:val="19"/>
          <w:szCs w:val="19"/>
          <w:color w:val="auto"/>
        </w:rPr>
        <w:t>all accrued but unpaid interest as of the Amendment No. 1 Effective Date (including all accrued and unpaid interest during the Interest Period that commenced on December 31, 2019 and ending on March 31, 2020) and all interest payable on each Interest Payment Date during the PIK Period (other than the Cash Interest Portion which is due and payable on each such Interest Payment Date) accruing during the period commencing on the Amendment No. 1 Effective Date and ending on June 30, 2020 (such period, the “</w:t>
      </w:r>
      <w:r>
        <w:rPr>
          <w:rFonts w:ascii="Arial" w:cs="Arial" w:eastAsia="Arial" w:hAnsi="Arial"/>
          <w:sz w:val="19"/>
          <w:szCs w:val="19"/>
          <w:b w:val="1"/>
          <w:bCs w:val="1"/>
          <w:color w:val="auto"/>
        </w:rPr>
        <w:t>PIK Period</w:t>
      </w:r>
      <w:r>
        <w:rPr>
          <w:rFonts w:ascii="Arial" w:cs="Arial" w:eastAsia="Arial" w:hAnsi="Arial"/>
          <w:sz w:val="19"/>
          <w:szCs w:val="19"/>
          <w:color w:val="auto"/>
        </w:rPr>
        <w:t>”), with respect to any ABR Term Loan or SOFR Term Loan, shall be payable in kind, with such interest amount being automatically added to, and made part of, the outstanding principal amount of Loans in the case of (x) accrued but unpaid interest as of the Amendment No. 1 Effective Date, on the Amendment No. 1 Effective Date, and (y) interest payable on each Interest Payment Date during the PIK Period, on such date (all interest payable in kind pursuant to this Agreement, “</w:t>
      </w:r>
      <w:r>
        <w:rPr>
          <w:rFonts w:ascii="Arial" w:cs="Arial" w:eastAsia="Arial" w:hAnsi="Arial"/>
          <w:sz w:val="19"/>
          <w:szCs w:val="19"/>
          <w:b w:val="1"/>
          <w:bCs w:val="1"/>
          <w:color w:val="auto"/>
        </w:rPr>
        <w:t>PIK Interest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any such payment of PIK Interest pursuant to this clause (d), the then Applicable Margin in respect of such accrued and unpaid interest shall be increased by an additional amount of basis points such that the all-in interest rate for each such Borrowing, inclusive of Adjusted Term SOFR for such Interest Period then in effect or the Alternate Base Rate, as applicable, is equal to thirteen percent (13.00%) per annum, which increase shall also be paid in the form of PIK Interest.</w:t>
      </w:r>
    </w:p>
    <w:p>
      <w:pPr>
        <w:spacing w:after="0" w:line="184" w:lineRule="exact"/>
        <w:rPr>
          <w:sz w:val="20"/>
          <w:szCs w:val="20"/>
          <w:color w:val="auto"/>
        </w:rPr>
      </w:pPr>
    </w:p>
    <w:p>
      <w:pPr>
        <w:jc w:val="both"/>
        <w:ind w:firstLine="52"/>
        <w:spacing w:after="0" w:line="250" w:lineRule="auto"/>
        <w:rPr>
          <w:sz w:val="20"/>
          <w:szCs w:val="20"/>
          <w:color w:val="auto"/>
        </w:rPr>
      </w:pPr>
      <w:r>
        <w:rPr>
          <w:rFonts w:ascii="Arial" w:cs="Arial" w:eastAsia="Arial" w:hAnsi="Arial"/>
          <w:sz w:val="20"/>
          <w:szCs w:val="20"/>
          <w:color w:val="auto"/>
        </w:rPr>
        <w:t>Unless the context otherwise requires, for all purposes under this Agreement, references to the “principal” and the “principal amount” of any Term Loans include any increase in the principal amount thereof due to the addition of PIK Interest thereto pursuant to this clause (d). All interest payable after June 30, 2020 shall be payable in cash.</w:t>
      </w:r>
    </w:p>
    <w:p>
      <w:pPr>
        <w:spacing w:after="0" w:line="186"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Default Interest.</w:t>
      </w:r>
      <w:r>
        <w:rPr>
          <w:rFonts w:ascii="Arial" w:cs="Arial" w:eastAsia="Arial" w:hAnsi="Arial"/>
          <w:sz w:val="18"/>
          <w:szCs w:val="18"/>
          <w:color w:val="auto"/>
        </w:rPr>
        <w:t xml:space="preserve"> Automatically from and after the occurrence and during the continuance of an Event of Default </w:t>
      </w:r>
      <w:r>
        <w:rPr>
          <w:rFonts w:ascii="Arial" w:cs="Arial" w:eastAsia="Arial" w:hAnsi="Arial"/>
          <w:sz w:val="18"/>
          <w:szCs w:val="18"/>
          <w:u w:val="single" w:color="auto"/>
          <w:color w:val="auto"/>
        </w:rPr>
        <w:t>under Section 8.01(a)</w:t>
      </w:r>
      <w:r>
        <w:rPr>
          <w:rFonts w:ascii="Arial" w:cs="Arial" w:eastAsia="Arial" w:hAnsi="Arial"/>
          <w:sz w:val="18"/>
          <w:szCs w:val="18"/>
          <w:color w:val="auto"/>
        </w:rPr>
        <w:t>,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or at the election of the Required Lenders during the continuance of any other Event of Default, the principal amount of all Loans outstanding and, to the extent permitted by applicable law, any interest payments on the Loans or any fees or other amounts owed hereunder, shall thereafter, after as well as before judgment, bear interest (including post-petition interest in any proceeding under Debtor Relief Laws) payable on written demand at a rate that is 2.0% per annum in excess of the interest rate otherwise payable hereunder with respect to the applicable Loans (or, in the case of any such fees and other amounts, at a rate which is 2.0% per annum in excess of the interest rate otherwise payable hereunder for ABR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SOFR Term Loans, upon the expiration of the Interest Period in effect at the time any such increase in interest rate is effective, if such SOFR Loans shall become ABR Loans in accordance with </w:t>
      </w:r>
      <w:r>
        <w:rPr>
          <w:rFonts w:ascii="Arial" w:cs="Arial" w:eastAsia="Arial" w:hAnsi="Arial"/>
          <w:sz w:val="18"/>
          <w:szCs w:val="18"/>
          <w:u w:val="single" w:color="auto"/>
          <w:color w:val="auto"/>
        </w:rPr>
        <w:t>Section 2.10(e)</w:t>
      </w:r>
      <w:r>
        <w:rPr>
          <w:rFonts w:ascii="Arial" w:cs="Arial" w:eastAsia="Arial" w:hAnsi="Arial"/>
          <w:sz w:val="18"/>
          <w:szCs w:val="18"/>
          <w:color w:val="auto"/>
        </w:rPr>
        <w:t>, such Loans shall thereafter bear interest payable upon written demand at a rate which is 2.0% per annum in excess of the interest rate otherwise payable hereunder for ABR Loans.</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2.08. </w:t>
      </w:r>
      <w:r>
        <w:rPr>
          <w:rFonts w:ascii="Arial" w:cs="Arial" w:eastAsia="Arial" w:hAnsi="Arial"/>
          <w:sz w:val="20"/>
          <w:szCs w:val="20"/>
          <w:i w:val="1"/>
          <w:iCs w:val="1"/>
          <w:color w:val="auto"/>
        </w:rPr>
        <w:t>Alternate Rate of Interest.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Subject to clauses (b), (c), (d), (e) and (f) of this Section 2.08: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3" w:name="page94"/>
    <w:bookmarkEnd w:id="93"/>
    <w:p>
      <w:pPr>
        <w:jc w:val="both"/>
        <w:ind w:left="2260" w:hanging="754"/>
        <w:spacing w:after="0" w:line="282" w:lineRule="auto"/>
        <w:tabs>
          <w:tab w:leader="none" w:pos="2292"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Administrative Agent reasonably determines (which determination shall be conclusive absent manifest error) prior to the commencement of any Interest Period for a SOFR Loan, that adequate and reasonable means do not exist for ascertaining the Adjusted Term SOFR or the Term SOFR (including because the Term SOFR Reference Rate is not available or published on a current basis) for such Interest Period; or</w:t>
      </w:r>
    </w:p>
    <w:p>
      <w:pPr>
        <w:spacing w:after="0" w:line="161" w:lineRule="exact"/>
        <w:rPr>
          <w:rFonts w:ascii="Arial" w:cs="Arial" w:eastAsia="Arial" w:hAnsi="Arial"/>
          <w:sz w:val="18"/>
          <w:szCs w:val="18"/>
          <w:color w:val="auto"/>
        </w:rPr>
      </w:pPr>
    </w:p>
    <w:p>
      <w:pPr>
        <w:jc w:val="both"/>
        <w:ind w:left="2260" w:hanging="754"/>
        <w:spacing w:after="0" w:line="246" w:lineRule="auto"/>
        <w:tabs>
          <w:tab w:leader="none" w:pos="2283"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Administrative Agent is advised by the Required Lenders that prior to the commencement of any Interest Period for a SOFR Loan, the Adjusted Term SOFR for such Interest Period will not adequately and fairly reflect the cost to such Lenders of making or maintaining their Loans (or its Loan) included in such Loan for such Interest Period;</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then the Administrative Agent shall give notice thereof to the Borrower and the Lenders in accordance with Section 10.01 as promptly as practicable thereafter and, until the Administrative Agent notifies the Borrower and the Lenders that the circumstances giving rise to such notice no longer exist, any notice of conversion or continuation that requests the conversion of any Loans to or continuation of any Loans as, a SOFR Loan shall be ineffective. Furthermore, if any SOFR Loan is outstanding on the date of the Borrower’s receipt of the notice from the Administrative Agent referred to in this Section 2.08(a), then until (x) the Administrative Agent notifies the Borrower and the Lenders that the circumstances giving rise to such notice no longer exist and (y) the Borrower delivers a new notice of conversion or continuation in accordance with the terms of Section 2.10, any SOFR Loans shall on the last day of the Interest Period applicable to such Loan (or the next succeeding Business Day if such day is not a Business Day), be converted by the Administrative Agent to, and shall constitute, ABR Loans.</w:t>
      </w:r>
    </w:p>
    <w:p>
      <w:pPr>
        <w:spacing w:after="0" w:line="168" w:lineRule="exact"/>
        <w:rPr>
          <w:sz w:val="20"/>
          <w:szCs w:val="20"/>
          <w:color w:val="auto"/>
        </w:rPr>
      </w:pPr>
    </w:p>
    <w:p>
      <w:pPr>
        <w:jc w:val="both"/>
        <w:ind w:firstLine="1505"/>
        <w:spacing w:after="0" w:line="270" w:lineRule="auto"/>
        <w:tabs>
          <w:tab w:leader="none" w:pos="200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Benchmark Replacement</w:t>
      </w:r>
      <w:r>
        <w:rPr>
          <w:rFonts w:ascii="Arial" w:cs="Arial" w:eastAsia="Arial" w:hAnsi="Arial"/>
          <w:sz w:val="18"/>
          <w:szCs w:val="18"/>
          <w:color w:val="auto"/>
        </w:rPr>
        <w:t>. Notwithstanding anything to the contrary herein or in any other Loan Document, if a Benchmark Transition Event and its related Benchmark Replacement Date have occurred prior to any setting of the then-current Benchmark, then (A)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 unless the Administrative Agent and the Borrower elect monthly payments.</w:t>
      </w:r>
    </w:p>
    <w:p>
      <w:pPr>
        <w:spacing w:after="0" w:line="172" w:lineRule="exact"/>
        <w:rPr>
          <w:rFonts w:ascii="Arial" w:cs="Arial" w:eastAsia="Arial" w:hAnsi="Arial"/>
          <w:sz w:val="18"/>
          <w:szCs w:val="18"/>
          <w:color w:val="auto"/>
        </w:rPr>
      </w:pPr>
    </w:p>
    <w:p>
      <w:pPr>
        <w:jc w:val="both"/>
        <w:ind w:firstLine="1505"/>
        <w:spacing w:after="0" w:line="278" w:lineRule="auto"/>
        <w:tabs>
          <w:tab w:leader="none" w:pos="200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Notwithstanding anything to the contrary herein or in any other Loan Document, in connection with the use, administration, adoption or implementation of a Benchmark Replacement,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4" w:name="page95"/>
    <w:bookmarkEnd w:id="94"/>
    <w:p>
      <w:pPr>
        <w:jc w:val="both"/>
        <w:ind w:firstLine="1505"/>
        <w:spacing w:after="0" w:line="255" w:lineRule="auto"/>
        <w:tabs>
          <w:tab w:leader="none" w:pos="1995"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Notice; Standards for Decisions and Determinations</w:t>
      </w:r>
      <w:r>
        <w:rPr>
          <w:rFonts w:ascii="Arial" w:cs="Arial" w:eastAsia="Arial" w:hAnsi="Arial"/>
          <w:sz w:val="19"/>
          <w:szCs w:val="19"/>
          <w:color w:val="auto"/>
        </w:rPr>
        <w:t>.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promptly notify the Borrower of (A) the removal or reinstatement of any tenor of a Benchmark pursuant to this Section 2.08 and (B) the commencement of any Benchmark Unavailability Period. Any determination, decision or election that may be made by the Administrative Agent or, if applicable, the Borrower or any Lender (or group of Lenders) pursuant to this Section 2.08,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2.08.</w:t>
      </w:r>
    </w:p>
    <w:p>
      <w:pPr>
        <w:spacing w:after="0" w:line="189" w:lineRule="exact"/>
        <w:rPr>
          <w:rFonts w:ascii="Arial" w:cs="Arial" w:eastAsia="Arial" w:hAnsi="Arial"/>
          <w:sz w:val="19"/>
          <w:szCs w:val="19"/>
          <w:color w:val="auto"/>
        </w:rPr>
      </w:pPr>
    </w:p>
    <w:p>
      <w:pPr>
        <w:jc w:val="both"/>
        <w:ind w:firstLine="1505"/>
        <w:spacing w:after="0" w:line="269" w:lineRule="auto"/>
        <w:tabs>
          <w:tab w:leader="none" w:pos="203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Unavailability of Tenor of Benchmark</w:t>
      </w:r>
      <w:r>
        <w:rPr>
          <w:rFonts w:ascii="Arial" w:cs="Arial" w:eastAsia="Arial" w:hAnsi="Arial"/>
          <w:sz w:val="18"/>
          <w:szCs w:val="18"/>
          <w:color w:val="auto"/>
        </w:rPr>
        <w: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in consultation with Borrower or (2)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in consultation with the Borrower may modify the definition of “Interest Period” (or any similar or analogous definition) for any Benchmark settings at or after such time to remove such unavailable, non-representative, non-compliant or non-aligned tenor and (B) if a tenor that was removed pursuant to clause (A) above either (1) is subsequently displayed on a screen or information service for a Benchmark (including a Benchmark Replacement) or (2) is not or will not be representative or in compliance with or aligned with the International Organization of Securities Commissions (IOSCO) Principles for Financial Benchmarks for a Benchmark (including a Benchmark Replacement), then the Administrative Agent in consultation with the Borrower may modify the definition of “Interest Period” (or any similar or analogous definition) for all Benchmark settings at or after such time to reinstate such previously removed tenor.</w:t>
      </w:r>
    </w:p>
    <w:p>
      <w:pPr>
        <w:spacing w:after="0" w:line="181" w:lineRule="exact"/>
        <w:rPr>
          <w:rFonts w:ascii="Arial" w:cs="Arial" w:eastAsia="Arial" w:hAnsi="Arial"/>
          <w:sz w:val="18"/>
          <w:szCs w:val="18"/>
          <w:color w:val="auto"/>
        </w:rPr>
      </w:pPr>
    </w:p>
    <w:p>
      <w:pPr>
        <w:jc w:val="both"/>
        <w:ind w:firstLine="1505"/>
        <w:spacing w:after="0" w:line="242" w:lineRule="auto"/>
        <w:tabs>
          <w:tab w:leader="none" w:pos="1998"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Upon the Borrower’s receipt of notice of the commencement of a Benchmark Unavailability Period, the Borrower may revoke any pending request for a SOFR Loan, or conversion to or continuation of SOFR Loans to be made, converted or continued during any Benchmark Unavailability Period and, failing that, the Borrower will be deemed to have converted any such request in respect of a SOFR Loan into a request for a Borrowing of or conversion to ABR Loans in the amount specified therein and any outstanding affected SOFR Loans will be deemed to have converted into ABR Loans at the end of the applicable Interest Period. During a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21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2.09. </w:t>
      </w:r>
      <w:r>
        <w:rPr>
          <w:rFonts w:ascii="Arial" w:cs="Arial" w:eastAsia="Arial" w:hAnsi="Arial"/>
          <w:sz w:val="20"/>
          <w:szCs w:val="20"/>
          <w:i w:val="1"/>
          <w:iCs w:val="1"/>
          <w:color w:val="auto"/>
        </w:rPr>
        <w:t>Termination and Reduction of Commitments</w:t>
      </w:r>
      <w:r>
        <w:rPr>
          <w:rFonts w:ascii="Arial" w:cs="Arial" w:eastAsia="Arial" w:hAnsi="Arial"/>
          <w:sz w:val="20"/>
          <w:szCs w:val="20"/>
          <w:color w:val="auto"/>
        </w:rPr>
        <w:t>.</w:t>
      </w:r>
    </w:p>
    <w:p>
      <w:pPr>
        <w:spacing w:after="0" w:line="216" w:lineRule="exact"/>
        <w:rPr>
          <w:sz w:val="20"/>
          <w:szCs w:val="20"/>
          <w:color w:val="auto"/>
        </w:rPr>
      </w:pPr>
    </w:p>
    <w:p>
      <w:pPr>
        <w:ind w:firstLine="8"/>
        <w:spacing w:after="0" w:line="260" w:lineRule="auto"/>
        <w:tabs>
          <w:tab w:leader="none" w:pos="509"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Term Loan Commitment for the Tranche B-2 Term Loan in effect on the Restatement Effective Date shall automatically terminate upon the making of the Tranche B-2 Term Loans on the Restatement Effective Date.</w:t>
      </w:r>
    </w:p>
    <w:p>
      <w:pPr>
        <w:spacing w:after="0" w:line="176" w:lineRule="exact"/>
        <w:rPr>
          <w:rFonts w:ascii="Arial" w:cs="Arial" w:eastAsia="Arial" w:hAnsi="Arial"/>
          <w:sz w:val="20"/>
          <w:szCs w:val="20"/>
          <w:color w:val="auto"/>
        </w:rPr>
      </w:pPr>
    </w:p>
    <w:p>
      <w:pPr>
        <w:ind w:firstLine="8"/>
        <w:spacing w:after="0" w:line="260" w:lineRule="auto"/>
        <w:tabs>
          <w:tab w:leader="none" w:pos="509" w:val="left"/>
        </w:tabs>
        <w:numPr>
          <w:ilvl w:val="0"/>
          <w:numId w:val="77"/>
        </w:numPr>
        <w:rPr>
          <w:rFonts w:ascii="Arial" w:cs="Arial" w:eastAsia="Arial" w:hAnsi="Arial"/>
          <w:sz w:val="20"/>
          <w:szCs w:val="20"/>
          <w:color w:val="auto"/>
        </w:rPr>
      </w:pPr>
      <w:r>
        <w:rPr>
          <w:rFonts w:ascii="Arial" w:cs="Arial" w:eastAsia="Arial" w:hAnsi="Arial"/>
          <w:sz w:val="20"/>
          <w:szCs w:val="20"/>
          <w:color w:val="auto"/>
        </w:rPr>
        <w:t>Upon at least one Business Days’ prior irrevocable written or fax notice to the Administrative Agent, the Borrower may at any time in whole permanently terminate, or from time to time in part permanently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5" w:name="page96"/>
    <w:bookmarkEnd w:id="95"/>
    <w:p>
      <w:pPr>
        <w:jc w:val="both"/>
        <w:ind w:firstLine="509"/>
        <w:spacing w:after="0" w:line="259" w:lineRule="auto"/>
        <w:rPr>
          <w:sz w:val="20"/>
          <w:szCs w:val="20"/>
          <w:color w:val="auto"/>
        </w:rPr>
      </w:pPr>
      <w:r>
        <w:rPr>
          <w:rFonts w:ascii="Arial" w:cs="Arial" w:eastAsia="Arial" w:hAnsi="Arial"/>
          <w:sz w:val="19"/>
          <w:szCs w:val="19"/>
          <w:color w:val="auto"/>
        </w:rPr>
        <w:t xml:space="preserve">reduce, any Class of unfunded Term Loan Commitments;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each partial reduction of any Class of Term Loan Commitments shall be in an integral multiple of $1,000,000 and in a minimum amount of $1,000,000;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further that, a notice of termination of the Commitments of any Class delivered by the Borrower may state that such notice is conditioned upon the consummation of an acquisition or sale transaction or upon the effectiveness of other credit facilities or the receipt of proceeds from the issuance of other Indebtedness or any other specified event, in which case such notice may be revoked by the Borrower (by notice to the Administrative Agent on or prior to the specified effective date) if such condition is not satisfied.</w:t>
      </w:r>
    </w:p>
    <w:p>
      <w:pPr>
        <w:spacing w:after="0" w:line="178" w:lineRule="exact"/>
        <w:rPr>
          <w:sz w:val="20"/>
          <w:szCs w:val="20"/>
          <w:color w:val="auto"/>
        </w:rPr>
      </w:pPr>
    </w:p>
    <w:p>
      <w:pPr>
        <w:ind w:firstLine="8"/>
        <w:spacing w:after="0" w:line="260" w:lineRule="auto"/>
        <w:tabs>
          <w:tab w:leader="none" w:pos="509" w:val="left"/>
        </w:tabs>
        <w:numPr>
          <w:ilvl w:val="0"/>
          <w:numId w:val="78"/>
        </w:numPr>
        <w:rPr>
          <w:rFonts w:ascii="Arial" w:cs="Arial" w:eastAsia="Arial" w:hAnsi="Arial"/>
          <w:sz w:val="20"/>
          <w:szCs w:val="20"/>
          <w:color w:val="auto"/>
        </w:rPr>
      </w:pPr>
      <w:r>
        <w:rPr>
          <w:rFonts w:ascii="Arial" w:cs="Arial" w:eastAsia="Arial" w:hAnsi="Arial"/>
          <w:sz w:val="20"/>
          <w:szCs w:val="20"/>
          <w:color w:val="auto"/>
        </w:rPr>
        <w:t>Each reduction in the Term Loan Commitments hereunder shall be made ratably among the Lenders in accordance with their respective applicable Commitments.</w:t>
      </w:r>
    </w:p>
    <w:p>
      <w:pPr>
        <w:spacing w:after="0" w:line="177"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i w:val="1"/>
          <w:iCs w:val="1"/>
          <w:color w:val="auto"/>
        </w:rPr>
        <w:t>Conversion and Continuation of Borrowings.</w:t>
      </w:r>
      <w:r>
        <w:rPr>
          <w:rFonts w:ascii="Arial" w:cs="Arial" w:eastAsia="Arial" w:hAnsi="Arial"/>
          <w:sz w:val="20"/>
          <w:szCs w:val="20"/>
          <w:color w:val="auto"/>
        </w:rPr>
        <w:t xml:space="preserve"> The Borrower shall have the right at any time upon prior irrevocable written notice to the Administrative Agent (a) not later than 1:00 p.m., New York City time, one Business Day prior to the day of any conversion, to convert any SOFR Borrowing into an ABR Borrowing, (b) not later than 1:00 p.m., New York City time, three Business Days prior to conversion or continuation, to convert any ABR Borrowing into a SOFR Borrowing or to continue any SOFR Borrowing as a SOFR Borrowing for an additional Interest Period, and (c) not later than 1:00 p.m., New York City time, three Business Days prior to conversion, to convert the Interest Period with respect to any SOFR Borrowing to another permissible Interest Period, subject in each case to the following:</w:t>
      </w:r>
    </w:p>
    <w:p>
      <w:pPr>
        <w:spacing w:after="0" w:line="203" w:lineRule="exact"/>
        <w:rPr>
          <w:sz w:val="20"/>
          <w:szCs w:val="20"/>
          <w:color w:val="auto"/>
        </w:rPr>
      </w:pPr>
    </w:p>
    <w:p>
      <w:pPr>
        <w:ind w:left="2040" w:hanging="535"/>
        <w:spacing w:after="0"/>
        <w:tabs>
          <w:tab w:leader="none" w:pos="2040" w:val="left"/>
        </w:tabs>
        <w:numPr>
          <w:ilvl w:val="2"/>
          <w:numId w:val="79"/>
        </w:numPr>
        <w:rPr>
          <w:rFonts w:ascii="Arial" w:cs="Arial" w:eastAsia="Arial" w:hAnsi="Arial"/>
          <w:sz w:val="22"/>
          <w:szCs w:val="22"/>
          <w:color w:val="auto"/>
        </w:rPr>
      </w:pPr>
      <w:r>
        <w:rPr>
          <w:rFonts w:ascii="Arial" w:cs="Arial" w:eastAsia="Arial" w:hAnsi="Arial"/>
          <w:sz w:val="20"/>
          <w:szCs w:val="20"/>
          <w:color w:val="auto"/>
        </w:rPr>
        <w:t>[reserved];</w:t>
      </w:r>
    </w:p>
    <w:p>
      <w:pPr>
        <w:spacing w:after="0" w:line="208" w:lineRule="exact"/>
        <w:rPr>
          <w:rFonts w:ascii="Arial" w:cs="Arial" w:eastAsia="Arial" w:hAnsi="Arial"/>
          <w:sz w:val="22"/>
          <w:szCs w:val="22"/>
          <w:color w:val="auto"/>
        </w:rPr>
      </w:pPr>
    </w:p>
    <w:p>
      <w:pPr>
        <w:ind w:firstLine="1505"/>
        <w:spacing w:after="0" w:line="238" w:lineRule="auto"/>
        <w:tabs>
          <w:tab w:leader="none" w:pos="2036" w:val="left"/>
        </w:tabs>
        <w:numPr>
          <w:ilvl w:val="2"/>
          <w:numId w:val="79"/>
        </w:numPr>
        <w:rPr>
          <w:rFonts w:ascii="Arial" w:cs="Arial" w:eastAsia="Arial" w:hAnsi="Arial"/>
          <w:sz w:val="22"/>
          <w:szCs w:val="22"/>
          <w:color w:val="auto"/>
        </w:rPr>
      </w:pPr>
      <w:r>
        <w:rPr>
          <w:rFonts w:ascii="Arial" w:cs="Arial" w:eastAsia="Arial" w:hAnsi="Arial"/>
          <w:sz w:val="20"/>
          <w:szCs w:val="20"/>
          <w:color w:val="auto"/>
        </w:rPr>
        <w:t>each conversion or continuation shall be made pro rata among the Lenders in accordance with the respective principal amounts of the Loans comprising the converted or continued Borrowing;</w:t>
      </w:r>
    </w:p>
    <w:p>
      <w:pPr>
        <w:spacing w:after="0" w:line="209" w:lineRule="exact"/>
        <w:rPr>
          <w:rFonts w:ascii="Arial" w:cs="Arial" w:eastAsia="Arial" w:hAnsi="Arial"/>
          <w:sz w:val="22"/>
          <w:szCs w:val="22"/>
          <w:color w:val="auto"/>
        </w:rPr>
      </w:pPr>
    </w:p>
    <w:p>
      <w:pPr>
        <w:jc w:val="both"/>
        <w:ind w:firstLine="1505"/>
        <w:spacing w:after="0" w:line="238" w:lineRule="auto"/>
        <w:tabs>
          <w:tab w:leader="none" w:pos="2036" w:val="left"/>
        </w:tabs>
        <w:numPr>
          <w:ilvl w:val="2"/>
          <w:numId w:val="79"/>
        </w:numPr>
        <w:rPr>
          <w:rFonts w:ascii="Arial" w:cs="Arial" w:eastAsia="Arial" w:hAnsi="Arial"/>
          <w:sz w:val="22"/>
          <w:szCs w:val="22"/>
          <w:color w:val="auto"/>
        </w:rPr>
      </w:pPr>
      <w:r>
        <w:rPr>
          <w:rFonts w:ascii="Arial" w:cs="Arial" w:eastAsia="Arial" w:hAnsi="Arial"/>
          <w:sz w:val="20"/>
          <w:szCs w:val="20"/>
          <w:color w:val="auto"/>
        </w:rPr>
        <w:t xml:space="preserve">if less than all the outstanding principal amount of any Borrowing shall be converted or continued, then each resulting Borrowing shall satisfy the limitations specified in </w:t>
      </w:r>
      <w:r>
        <w:rPr>
          <w:rFonts w:ascii="Arial" w:cs="Arial" w:eastAsia="Arial" w:hAnsi="Arial"/>
          <w:sz w:val="20"/>
          <w:szCs w:val="20"/>
          <w:u w:val="single" w:color="auto"/>
          <w:color w:val="auto"/>
        </w:rPr>
        <w:t>Sections 2.02(a)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2.02(b)</w:t>
      </w:r>
      <w:r>
        <w:rPr>
          <w:rFonts w:ascii="Arial" w:cs="Arial" w:eastAsia="Arial" w:hAnsi="Arial"/>
          <w:sz w:val="20"/>
          <w:szCs w:val="20"/>
          <w:color w:val="auto"/>
        </w:rPr>
        <w:t xml:space="preserve"> regarding the principal amount and maximum number of Borrowings of the relevant Type;</w:t>
      </w:r>
    </w:p>
    <w:p>
      <w:pPr>
        <w:spacing w:after="0" w:line="197" w:lineRule="exact"/>
        <w:rPr>
          <w:rFonts w:ascii="Arial" w:cs="Arial" w:eastAsia="Arial" w:hAnsi="Arial"/>
          <w:sz w:val="22"/>
          <w:szCs w:val="22"/>
          <w:color w:val="auto"/>
        </w:rPr>
      </w:pPr>
    </w:p>
    <w:p>
      <w:pPr>
        <w:jc w:val="both"/>
        <w:ind w:firstLine="667"/>
        <w:spacing w:after="0" w:line="246" w:lineRule="auto"/>
        <w:tabs>
          <w:tab w:leader="none" w:pos="1071" w:val="left"/>
        </w:tabs>
        <w:numPr>
          <w:ilvl w:val="1"/>
          <w:numId w:val="80"/>
        </w:numPr>
        <w:rPr>
          <w:rFonts w:ascii="Arial" w:cs="Arial" w:eastAsia="Arial" w:hAnsi="Arial"/>
          <w:sz w:val="20"/>
          <w:szCs w:val="20"/>
          <w:color w:val="auto"/>
        </w:rPr>
      </w:pPr>
      <w:r>
        <w:rPr>
          <w:rFonts w:ascii="Arial" w:cs="Arial" w:eastAsia="Arial" w:hAnsi="Arial"/>
          <w:sz w:val="20"/>
          <w:szCs w:val="20"/>
          <w:color w:val="auto"/>
        </w:rPr>
        <w:t>each conversion shall be effected by each Lender and the Administrative Agent by recording for the account of such Lender the new Loan of such Lender resulting from such conversion and reducing the Loan (or portion thereof) of such Lender being converted by an equivalent principal amount; accrued interest on any SOFR Loan (or portion thereof) being converted shall be paid by the Borrower at the time of conversion;</w:t>
      </w:r>
    </w:p>
    <w:p>
      <w:pPr>
        <w:spacing w:after="0" w:line="191" w:lineRule="exact"/>
        <w:rPr>
          <w:rFonts w:ascii="Arial" w:cs="Arial" w:eastAsia="Arial" w:hAnsi="Arial"/>
          <w:sz w:val="20"/>
          <w:szCs w:val="20"/>
          <w:color w:val="auto"/>
        </w:rPr>
      </w:pPr>
    </w:p>
    <w:p>
      <w:pPr>
        <w:ind w:firstLine="8"/>
        <w:spacing w:after="0" w:line="260" w:lineRule="auto"/>
        <w:tabs>
          <w:tab w:leader="none" w:pos="509"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any portion of a Borrowing maturing or required to be repaid in less than one month may not be converted into or continued as a SOFR Borrowing, unless agreed by all applicable Lenders;</w:t>
      </w:r>
    </w:p>
    <w:p>
      <w:pPr>
        <w:spacing w:after="0" w:line="176" w:lineRule="exact"/>
        <w:rPr>
          <w:rFonts w:ascii="Arial" w:cs="Arial" w:eastAsia="Arial" w:hAnsi="Arial"/>
          <w:sz w:val="20"/>
          <w:szCs w:val="20"/>
          <w:color w:val="auto"/>
        </w:rPr>
      </w:pPr>
    </w:p>
    <w:p>
      <w:pPr>
        <w:ind w:firstLine="8"/>
        <w:spacing w:after="0" w:line="316" w:lineRule="auto"/>
        <w:tabs>
          <w:tab w:leader="none" w:pos="509"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portion of a SOFR Borrowing that cannot be converted into or continued as a SOFR Borrowing by reason of the immediately preceding clause shall be automatically converted at the end of the Interest Period in effect for such Borrowing into an ABR Borrowing; and</w:t>
      </w:r>
    </w:p>
    <w:p>
      <w:pPr>
        <w:spacing w:after="0" w:line="129" w:lineRule="exact"/>
        <w:rPr>
          <w:rFonts w:ascii="Arial" w:cs="Arial" w:eastAsia="Arial" w:hAnsi="Arial"/>
          <w:sz w:val="18"/>
          <w:szCs w:val="18"/>
          <w:color w:val="auto"/>
        </w:rPr>
      </w:pPr>
    </w:p>
    <w:p>
      <w:pPr>
        <w:ind w:firstLine="8"/>
        <w:spacing w:after="0" w:line="287" w:lineRule="auto"/>
        <w:tabs>
          <w:tab w:leader="none" w:pos="509" w:val="left"/>
        </w:tabs>
        <w:numPr>
          <w:ilvl w:val="0"/>
          <w:numId w:val="81"/>
        </w:numPr>
        <w:rPr>
          <w:rFonts w:ascii="Arial" w:cs="Arial" w:eastAsia="Arial" w:hAnsi="Arial"/>
          <w:sz w:val="19"/>
          <w:szCs w:val="19"/>
          <w:color w:val="auto"/>
        </w:rPr>
      </w:pPr>
      <w:r>
        <w:rPr>
          <w:rFonts w:ascii="Arial" w:cs="Arial" w:eastAsia="Arial" w:hAnsi="Arial"/>
          <w:sz w:val="19"/>
          <w:szCs w:val="19"/>
          <w:color w:val="auto"/>
        </w:rPr>
        <w:t>upon notice to the Borrower from the Administrative Agent given at the request of the Required Lenders, after the occurrence and during the continuance of an Event of Default, no outstanding Loan may be converted into, or continued as, a SOFR Loan.</w:t>
      </w:r>
    </w:p>
    <w:p>
      <w:pPr>
        <w:spacing w:after="0" w:line="15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Each such Request for Credit Extension shall (except as set forth herein) be irrevocable and shall refer to this Agreement and specify (i) the identity and amount of the Borrowing that the Borrower requests be converted or continued, (ii) whether such Borrowing is to be converted to or continued as a SOFR Borrowing or an ABR Borrowing, (iii) if such Request for Credit Extension requests a conversion, the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6" w:name="page97"/>
    <w:bookmarkEnd w:id="96"/>
    <w:p>
      <w:pPr>
        <w:jc w:val="both"/>
        <w:spacing w:after="0" w:line="257" w:lineRule="auto"/>
        <w:rPr>
          <w:sz w:val="20"/>
          <w:szCs w:val="20"/>
          <w:color w:val="auto"/>
        </w:rPr>
      </w:pPr>
      <w:r>
        <w:rPr>
          <w:rFonts w:ascii="Arial" w:cs="Arial" w:eastAsia="Arial" w:hAnsi="Arial"/>
          <w:sz w:val="19"/>
          <w:szCs w:val="19"/>
          <w:color w:val="auto"/>
        </w:rPr>
        <w:t xml:space="preserve">of such conversion (which shall be a Business Day) and (iv) if such Borrowing is to be converted to or continued as a SOFR Borrowing, the Interest Period with respect thereto. If no Interest Period is specified in any such Request for Credit Extension with respect to any conversion to or continuation as a SOFR Borrowing, the Borrower shall be deemed to have selected an Interest Period of one month’s duration. The Administrative Agent shall promptly advise the Lenders of any Request for Credit Extension and of each Lender’s portion of any converted or continued Borrowing. If the Borrower shall not have given a Request for Credit Extension in accordance with this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to continue any Borrowing into a subsequent Interest Period (and shall not otherwise have given notice in accordance with this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to convert such Borrowing), such Borrowing shall, at the end of the Interest Period applicable thereto (unless repaid pursuant to the terms hereof), automatically be converted into an ABR Borrowing.</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i w:val="1"/>
          <w:iCs w:val="1"/>
          <w:color w:val="auto"/>
        </w:rPr>
        <w:t>Repayment of Term Borrowings</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42" w:lineRule="auto"/>
        <w:tabs>
          <w:tab w:leader="none" w:pos="509"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Borrower shall repay to the Administrative Agent for the ratable account of the applicable Term Lenders on the Maturity Date for such Tranche B-2 Term Loans, the aggregate principal amount of such Tranche B-2 Term Loans outstanding on such date, together in each case with accrued and unpaid interest on the principal amount to be paid to but excluding the date of such payment. Upon the conversion of Tranche B-2 Term Loans to Extended Term Loans or the refinancing of Tranche B-2 Term Loans with Credit Agreement Refinancing Indebtedness, all scheduled amortization payments, if any, shall be reduced ratably by the aggregate principal amount of the Tranche B-2 Term Loans so converted, refinanced or replaced. The Borrower shall repay Extended Term Loans and Other Term Loans in such amounts and on such date or dates as shall be specified therefor in the applicable Extension Offer, Refinancing Amendment or other governing documentation.</w:t>
      </w:r>
    </w:p>
    <w:p>
      <w:pPr>
        <w:spacing w:after="0" w:line="196" w:lineRule="exact"/>
        <w:rPr>
          <w:rFonts w:ascii="Arial" w:cs="Arial" w:eastAsia="Arial" w:hAnsi="Arial"/>
          <w:sz w:val="20"/>
          <w:szCs w:val="20"/>
          <w:color w:val="auto"/>
        </w:rPr>
      </w:pPr>
    </w:p>
    <w:p>
      <w:pPr>
        <w:jc w:val="both"/>
        <w:ind w:firstLine="8"/>
        <w:spacing w:after="0" w:line="250" w:lineRule="auto"/>
        <w:tabs>
          <w:tab w:leader="none" w:pos="509" w:val="left"/>
        </w:tabs>
        <w:numPr>
          <w:ilvl w:val="0"/>
          <w:numId w:val="82"/>
        </w:numPr>
        <w:rPr>
          <w:rFonts w:ascii="Arial" w:cs="Arial" w:eastAsia="Arial" w:hAnsi="Arial"/>
          <w:sz w:val="20"/>
          <w:szCs w:val="20"/>
          <w:color w:val="auto"/>
        </w:rPr>
      </w:pPr>
      <w:r>
        <w:rPr>
          <w:rFonts w:ascii="Arial" w:cs="Arial" w:eastAsia="Arial" w:hAnsi="Arial"/>
          <w:sz w:val="20"/>
          <w:szCs w:val="20"/>
          <w:color w:val="auto"/>
        </w:rPr>
        <w:t>To the extent not previously paid, all Term Loans (including, for avoidance of doubt, Term Loans that are not Tranche B-2 Term Loans) shall be due and payable on the applicable Maturity Date, together with accrued and unpaid interest on the principal amount to be paid to but excluding the date of payment.</w:t>
      </w:r>
    </w:p>
    <w:p>
      <w:pPr>
        <w:spacing w:after="0" w:line="185" w:lineRule="exact"/>
        <w:rPr>
          <w:rFonts w:ascii="Arial" w:cs="Arial" w:eastAsia="Arial" w:hAnsi="Arial"/>
          <w:sz w:val="20"/>
          <w:szCs w:val="20"/>
          <w:color w:val="auto"/>
        </w:rPr>
      </w:pPr>
    </w:p>
    <w:p>
      <w:pPr>
        <w:ind w:left="1500" w:right="340" w:hanging="1492"/>
        <w:spacing w:after="0" w:line="464" w:lineRule="auto"/>
        <w:tabs>
          <w:tab w:leader="none" w:pos="512"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All repayments pursuant to this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shall be subject to Section 2.05(c), but shall otherwise be without premium or penalty. Section 2.12. </w:t>
      </w:r>
      <w:r>
        <w:rPr>
          <w:rFonts w:ascii="Arial" w:cs="Arial" w:eastAsia="Arial" w:hAnsi="Arial"/>
          <w:sz w:val="20"/>
          <w:szCs w:val="20"/>
          <w:i w:val="1"/>
          <w:iCs w:val="1"/>
          <w:color w:val="auto"/>
        </w:rPr>
        <w:t>Voluntary Prepayment</w:t>
      </w:r>
      <w:r>
        <w:rPr>
          <w:rFonts w:ascii="Arial" w:cs="Arial" w:eastAsia="Arial" w:hAnsi="Arial"/>
          <w:sz w:val="20"/>
          <w:szCs w:val="20"/>
          <w:color w:val="auto"/>
        </w:rPr>
        <w:t>.</w:t>
      </w:r>
    </w:p>
    <w:p>
      <w:pPr>
        <w:spacing w:after="0" w:line="2" w:lineRule="exact"/>
        <w:rPr>
          <w:sz w:val="20"/>
          <w:szCs w:val="20"/>
          <w:color w:val="auto"/>
        </w:rPr>
      </w:pPr>
    </w:p>
    <w:p>
      <w:pPr>
        <w:jc w:val="both"/>
        <w:ind w:firstLine="8"/>
        <w:spacing w:after="0" w:line="263" w:lineRule="auto"/>
        <w:tabs>
          <w:tab w:leader="none" w:pos="509"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The Borrower shall have the right at any time and from time to time to prepay any Borrowing, in whole or in part, upon at least three Business Days’ prior written (email) notice in the case of SOFR Loans, or written (email) notice at least one Business Day prior to the date of prepayment in the case of ABR Loans, to the Administrative Agent before 1:00 p.m., New York City time; </w:t>
      </w:r>
      <w:r>
        <w:rPr>
          <w:rFonts w:ascii="Arial" w:cs="Arial" w:eastAsia="Arial" w:hAnsi="Arial"/>
          <w:sz w:val="19"/>
          <w:szCs w:val="19"/>
          <w:i w:val="1"/>
          <w:iCs w:val="1"/>
          <w:color w:val="auto"/>
        </w:rPr>
        <w:t>provided, however</w:t>
      </w:r>
      <w:r>
        <w:rPr>
          <w:rFonts w:ascii="Arial" w:cs="Arial" w:eastAsia="Arial" w:hAnsi="Arial"/>
          <w:sz w:val="19"/>
          <w:szCs w:val="19"/>
          <w:color w:val="auto"/>
        </w:rPr>
        <w:t>, that each partial prepayment shall be in an amount that is an integral multiple of $1,000,000 and not less than $2,500,000.</w:t>
      </w:r>
    </w:p>
    <w:p>
      <w:pPr>
        <w:spacing w:after="0" w:line="176" w:lineRule="exact"/>
        <w:rPr>
          <w:rFonts w:ascii="Arial" w:cs="Arial" w:eastAsia="Arial" w:hAnsi="Arial"/>
          <w:sz w:val="19"/>
          <w:szCs w:val="19"/>
          <w:color w:val="auto"/>
        </w:rPr>
      </w:pPr>
    </w:p>
    <w:p>
      <w:pPr>
        <w:ind w:firstLine="8"/>
        <w:spacing w:after="0" w:line="260" w:lineRule="auto"/>
        <w:tabs>
          <w:tab w:leader="none" w:pos="509"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Except as may otherwise be set forth in any Extension Offer or any Refinancing Amendment, voluntary prepayments of Term Loans pursuant to this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shall be applied ratably to each Class of Term Loans then outstanding.</w:t>
      </w:r>
    </w:p>
    <w:p>
      <w:pPr>
        <w:spacing w:after="0" w:line="176" w:lineRule="exact"/>
        <w:rPr>
          <w:rFonts w:ascii="Arial" w:cs="Arial" w:eastAsia="Arial" w:hAnsi="Arial"/>
          <w:sz w:val="20"/>
          <w:szCs w:val="20"/>
          <w:color w:val="auto"/>
        </w:rPr>
      </w:pPr>
    </w:p>
    <w:p>
      <w:pPr>
        <w:jc w:val="both"/>
        <w:ind w:firstLine="8"/>
        <w:spacing w:after="0" w:line="243" w:lineRule="auto"/>
        <w:tabs>
          <w:tab w:leader="none" w:pos="509"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Each notice of prepayment shall specify the prepayment date and the principal amount of each Borrowing (or portion thereof) to be prepaid shall be irrevocable and shall commit the Borrower to prepay such Borrowing by the amount stated therein on the date stated therein; </w:t>
      </w:r>
      <w:r>
        <w:rPr>
          <w:rFonts w:ascii="Arial" w:cs="Arial" w:eastAsia="Arial" w:hAnsi="Arial"/>
          <w:sz w:val="20"/>
          <w:szCs w:val="20"/>
          <w:i w:val="1"/>
          <w:iCs w:val="1"/>
          <w:color w:val="auto"/>
        </w:rPr>
        <w:t>provided, however</w:t>
      </w:r>
      <w:r>
        <w:rPr>
          <w:rFonts w:ascii="Arial" w:cs="Arial" w:eastAsia="Arial" w:hAnsi="Arial"/>
          <w:sz w:val="20"/>
          <w:szCs w:val="20"/>
          <w:color w:val="auto"/>
        </w:rPr>
        <w:t>, that a notice of prepayment delivered by the Borrower may state that such notice is conditioned upon the consummation</w:t>
      </w:r>
      <w:r>
        <w:rPr>
          <w:rFonts w:ascii="Arial" w:cs="Arial" w:eastAsia="Arial" w:hAnsi="Arial"/>
          <w:sz w:val="20"/>
          <w:szCs w:val="20"/>
          <w:i w:val="1"/>
          <w:iCs w:val="1"/>
          <w:color w:val="auto"/>
        </w:rPr>
        <w:t xml:space="preserve"> </w:t>
      </w:r>
      <w:r>
        <w:rPr>
          <w:rFonts w:ascii="Arial" w:cs="Arial" w:eastAsia="Arial" w:hAnsi="Arial"/>
          <w:sz w:val="20"/>
          <w:szCs w:val="20"/>
          <w:color w:val="auto"/>
        </w:rPr>
        <w:t>of an acquisition or sale transaction or upon the effectiveness of other credit facilities or the receipt of proceeds from the issuance of other Indebtedness or any other specified event, in which case such notice may be revoked by the Borrower (by notice to the Administrative Agent on or prior to the specified effective date)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7" w:name="page98"/>
    <w:bookmarkEnd w:id="97"/>
    <w:p>
      <w:pPr>
        <w:jc w:val="both"/>
        <w:ind w:firstLine="509"/>
        <w:spacing w:after="0" w:line="250" w:lineRule="auto"/>
        <w:rPr>
          <w:sz w:val="20"/>
          <w:szCs w:val="20"/>
          <w:color w:val="auto"/>
        </w:rPr>
      </w:pPr>
      <w:r>
        <w:rPr>
          <w:rFonts w:ascii="Arial" w:cs="Arial" w:eastAsia="Arial" w:hAnsi="Arial"/>
          <w:sz w:val="20"/>
          <w:szCs w:val="20"/>
          <w:color w:val="auto"/>
        </w:rPr>
        <w:t xml:space="preserve">if such condition is not satisfied. All prepayments under this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shall be subject to </w:t>
      </w:r>
      <w:r>
        <w:rPr>
          <w:rFonts w:ascii="Arial" w:cs="Arial" w:eastAsia="Arial" w:hAnsi="Arial"/>
          <w:sz w:val="20"/>
          <w:szCs w:val="20"/>
          <w:u w:val="single" w:color="auto"/>
          <w:color w:val="auto"/>
        </w:rPr>
        <w:t>Section 2.12(d)</w:t>
      </w:r>
      <w:r>
        <w:rPr>
          <w:rFonts w:ascii="Arial" w:cs="Arial" w:eastAsia="Arial" w:hAnsi="Arial"/>
          <w:sz w:val="20"/>
          <w:szCs w:val="20"/>
          <w:color w:val="auto"/>
        </w:rPr>
        <w:t xml:space="preserve"> (to the extent applicable) and </w:t>
      </w:r>
      <w:r>
        <w:rPr>
          <w:rFonts w:ascii="Arial" w:cs="Arial" w:eastAsia="Arial" w:hAnsi="Arial"/>
          <w:sz w:val="20"/>
          <w:szCs w:val="20"/>
          <w:u w:val="single" w:color="auto"/>
          <w:color w:val="auto"/>
        </w:rPr>
        <w:t>Section 2.05(c)</w:t>
      </w:r>
      <w:r>
        <w:rPr>
          <w:rFonts w:ascii="Arial" w:cs="Arial" w:eastAsia="Arial" w:hAnsi="Arial"/>
          <w:sz w:val="20"/>
          <w:szCs w:val="20"/>
          <w:color w:val="auto"/>
        </w:rPr>
        <w:t xml:space="preserve"> but otherwise without premium or penalty. All prepayments under this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shall be accompanied by accrued and unpaid interest on the principal amount to be prepaid to but excluding the date of payment.</w:t>
      </w:r>
    </w:p>
    <w:p>
      <w:pPr>
        <w:spacing w:after="0" w:line="186" w:lineRule="exact"/>
        <w:rPr>
          <w:sz w:val="20"/>
          <w:szCs w:val="20"/>
          <w:color w:val="auto"/>
        </w:rPr>
      </w:pPr>
    </w:p>
    <w:p>
      <w:pPr>
        <w:jc w:val="both"/>
        <w:ind w:firstLine="8"/>
        <w:spacing w:after="0" w:line="267" w:lineRule="auto"/>
        <w:tabs>
          <w:tab w:leader="none" w:pos="509"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In the event that, (i) the Borrower voluntarily prepays any Tranche B-2 Term Loans, (ii) the Borrower makes any mandatory prepayment of the Tranche B-2 Term Loans pursuant to </w:t>
      </w:r>
      <w:r>
        <w:rPr>
          <w:rFonts w:ascii="Arial" w:cs="Arial" w:eastAsia="Arial" w:hAnsi="Arial"/>
          <w:sz w:val="18"/>
          <w:szCs w:val="18"/>
          <w:u w:val="single" w:color="auto"/>
          <w:color w:val="auto"/>
        </w:rPr>
        <w:t>Sections 2.13(a)(ii)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2.13(a)(iv)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2.13(a)(v)</w:t>
      </w:r>
      <w:r>
        <w:rPr>
          <w:rFonts w:ascii="Arial" w:cs="Arial" w:eastAsia="Arial" w:hAnsi="Arial"/>
          <w:sz w:val="18"/>
          <w:szCs w:val="18"/>
          <w:color w:val="auto"/>
        </w:rPr>
        <w:t xml:space="preserve">, (iii) a Term Lender is deemed a Non-Consenting Lender and must assign its Tranche B-2 Term Loans pursuant to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or (iv) the Tranche B-2 Term Loans are accelerated, then in each case, the Borrower shall pay to the Administrative Agent on the date of such prepayment, assignment or acceleration, for the ratable account of each applicable Term Lender, a prepayment premium equal to (x) 3% of the aggregate amount of the applicable Tranche B-2 Term Loans being prepaid, accelerated or assigned if such prepayment, acceleration or assignment occurs after the Restatement Effective Date but prior to the first anniversary of the Restatement Effective Date, (y) 2% of the aggregate amount of the applicable Tranche B-2 Term Loans being prepaid, accelerated or assigned if such prepayment or assignment occurs on or after the first but prior to the second anniversary of the Restatement Effective Date and (z) 1% of the aggregate amount of the applicable Tranche B-2 Term Loans being prepaid, accelerated or assigned if such prepayment, acceleration or assignment occurs on or after the second but prior to the third anniversary of the Restatement Effective Date (the foregoing premiums, the “</w:t>
      </w:r>
      <w:r>
        <w:rPr>
          <w:rFonts w:ascii="Arial" w:cs="Arial" w:eastAsia="Arial" w:hAnsi="Arial"/>
          <w:sz w:val="18"/>
          <w:szCs w:val="18"/>
          <w:b w:val="1"/>
          <w:bCs w:val="1"/>
          <w:color w:val="auto"/>
        </w:rPr>
        <w:t>Prepayment Premium</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for the avoidance of doubt, no Prepayment Premium shall be payable on or following the third anniversary of the Restatement Effective Date and</w:t>
      </w:r>
    </w:p>
    <w:p>
      <w:pPr>
        <w:spacing w:after="0" w:line="6" w:lineRule="exact"/>
        <w:rPr>
          <w:rFonts w:ascii="Arial" w:cs="Arial" w:eastAsia="Arial" w:hAnsi="Arial"/>
          <w:sz w:val="18"/>
          <w:szCs w:val="18"/>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(B) the Prepayment Premium shall not apply to mandatory prepayments of the Tranche B-2 Term Loans pursuant to </w:t>
      </w:r>
      <w:r>
        <w:rPr>
          <w:rFonts w:ascii="Arial" w:cs="Arial" w:eastAsia="Arial" w:hAnsi="Arial"/>
          <w:sz w:val="18"/>
          <w:szCs w:val="18"/>
          <w:u w:val="single" w:color="auto"/>
          <w:color w:val="auto"/>
        </w:rPr>
        <w:t>Section 2.13(a)(ii)</w:t>
      </w:r>
      <w:r>
        <w:rPr>
          <w:rFonts w:ascii="Arial" w:cs="Arial" w:eastAsia="Arial" w:hAnsi="Arial"/>
          <w:sz w:val="18"/>
          <w:szCs w:val="18"/>
          <w:color w:val="auto"/>
        </w:rPr>
        <w:t xml:space="preserve"> that do not exceed $100,000,000 in the aggregate during the term of this Agreement. Without limiting the generality of the foregoing, it is understood and agreed that if the Tranche B-2 Term Loans are accelerated or otherwise become due prior to their maturity date, in each case, in respect of any Event of Default (including upon the occurrence of a bankruptcy or insolvency event (including the acceleration of claims by operation of law)), the Prepayment Premium applicable with respect to a voluntary prepayment of the Tranche B-2 Term Loans will also be due and payable on the date of such acceleration or such other prior due date as though the Tranche B-2 Term Loans were voluntarily prepaid as of such date and shall constitute part of the Obligations, in view of the impracticability and extreme difficulty of ascertaining actual damages and by mutual agreement of the parties as to a reasonable calculation of each Term Lender’s loss as a result thereof. Any premium payable above shall be presumed to be the liquidated damages sustained by each Term Lender and the Borrower agrees that it is reasonable under the circumstances currently existing. THE BORROWER EXPRESSLY WAIVES (TO THE FULLEST EXTENT IT MAY LAWFULLY DO SO) THE PROVISIONS OF ANY PRESENT OR FUTURE STATUTE OR LAW THAT PROHIBITS OR MAY PROHIBIT THE COLLECTION OF THE PREPAYMENT PREMIUM IN CONNECTION WITH ANY SUCH ACCELERATION. The Borrower expressly agrees (to the fullest extent it may lawfully do so) that: (A) the Prepayment Premium is reasonable and is the product of an arm’s length transaction between sophisticated business people, ably represented by counsel; (B) the Prepayment Premium shall be payable notwithstanding the then prevailing market rates at the time payment is made; (C) there has been a course of conduct between the Term Lenders and the Borrower giving specific consideration in this transaction for such agreement to pay the Prepayment Premium; and (D) the Borrower shall be estopped hereafter from claiming differently than as agreed to in this paragraph.</w:t>
      </w:r>
    </w:p>
    <w:p>
      <w:pPr>
        <w:spacing w:after="0" w:line="17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 xml:space="preserve">Section 2.13. </w:t>
      </w:r>
      <w:r>
        <w:rPr>
          <w:rFonts w:ascii="Arial" w:cs="Arial" w:eastAsia="Arial" w:hAnsi="Arial"/>
          <w:sz w:val="20"/>
          <w:szCs w:val="20"/>
          <w:i w:val="1"/>
          <w:iCs w:val="1"/>
          <w:color w:val="auto"/>
        </w:rPr>
        <w:t>Mandatory Prepayments</w:t>
      </w:r>
      <w:r>
        <w:rPr>
          <w:rFonts w:ascii="Arial" w:cs="Arial" w:eastAsia="Arial" w:hAnsi="Arial"/>
          <w:sz w:val="20"/>
          <w:szCs w:val="20"/>
          <w:color w:val="auto"/>
        </w:rPr>
        <w:t>.</w:t>
      </w:r>
    </w:p>
    <w:p>
      <w:pPr>
        <w:spacing w:after="0" w:line="216" w:lineRule="exact"/>
        <w:rPr>
          <w:sz w:val="20"/>
          <w:szCs w:val="20"/>
          <w:color w:val="auto"/>
        </w:rPr>
      </w:pPr>
    </w:p>
    <w:p>
      <w:pPr>
        <w:jc w:val="both"/>
        <w:ind w:firstLine="839"/>
        <w:spacing w:after="0" w:line="263" w:lineRule="auto"/>
        <w:rPr>
          <w:sz w:val="20"/>
          <w:szCs w:val="20"/>
          <w:color w:val="auto"/>
        </w:rPr>
      </w:pPr>
      <w:r>
        <w:rPr>
          <w:rFonts w:ascii="Arial" w:cs="Arial" w:eastAsia="Arial" w:hAnsi="Arial"/>
          <w:sz w:val="19"/>
          <w:szCs w:val="19"/>
          <w:color w:val="auto"/>
        </w:rPr>
        <w:t xml:space="preserve">(a)(i) Within five (5) Business Days after the earlier of (x) 90 days after the end of each Excess Cash Flow Period and (y) the date on which financial statements have been delivered pursuant to Section 6.01(a) (commencing with the Excess Cash Flow Period ended December 31, 2019) and the related Compliance Certificate has been delivered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the Borrower shall cause to be prepaid an aggregate amount of Term Loans in an amount equal to (A) the Applicable ECF Percentage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8" w:name="page99"/>
    <w:bookmarkEnd w:id="98"/>
    <w:p>
      <w:pPr>
        <w:jc w:val="both"/>
        <w:spacing w:after="0" w:line="309" w:lineRule="auto"/>
        <w:rPr>
          <w:sz w:val="20"/>
          <w:szCs w:val="20"/>
          <w:color w:val="auto"/>
        </w:rPr>
      </w:pPr>
      <w:r>
        <w:rPr>
          <w:rFonts w:ascii="Arial" w:cs="Arial" w:eastAsia="Arial" w:hAnsi="Arial"/>
          <w:sz w:val="16"/>
          <w:szCs w:val="16"/>
          <w:color w:val="auto"/>
        </w:rPr>
        <w:t xml:space="preserve">Excess Cash Flow, if any, for the Excess Cash Flow Period covered or required to have been covered by such financial statements minus (B) the sum of (1) all voluntary prepayments of principal of Term Loans (including the amount of cash used to make all debt buybacks and repurchases pursuant to </w:t>
      </w:r>
      <w:r>
        <w:rPr>
          <w:rFonts w:ascii="Arial" w:cs="Arial" w:eastAsia="Arial" w:hAnsi="Arial"/>
          <w:sz w:val="16"/>
          <w:szCs w:val="16"/>
          <w:u w:val="single" w:color="auto"/>
          <w:color w:val="auto"/>
        </w:rPr>
        <w:t>Section 10.04(k</w:t>
      </w:r>
      <w:r>
        <w:rPr>
          <w:rFonts w:ascii="Arial" w:cs="Arial" w:eastAsia="Arial" w:hAnsi="Arial"/>
          <w:sz w:val="16"/>
          <w:szCs w:val="16"/>
          <w:color w:val="auto"/>
        </w:rPr>
        <w:t xml:space="preserve">)), and (2) all voluntary prepayments of loans under the ABL Facility during such fiscal year to the extent accompanied by a corresponding permanent reduction in the commitments under the ABL Facility and, in the case of each of the immediately preceding clauses (1) and (2), to the extent such prepayments are funded with Internally Generated Cash;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prepayment required under this </w:t>
      </w:r>
      <w:r>
        <w:rPr>
          <w:rFonts w:ascii="Arial" w:cs="Arial" w:eastAsia="Arial" w:hAnsi="Arial"/>
          <w:sz w:val="16"/>
          <w:szCs w:val="16"/>
          <w:u w:val="single" w:color="auto"/>
          <w:color w:val="auto"/>
        </w:rPr>
        <w:t>Section 2.13(a)(i)</w:t>
      </w:r>
      <w:r>
        <w:rPr>
          <w:rFonts w:ascii="Arial" w:cs="Arial" w:eastAsia="Arial" w:hAnsi="Arial"/>
          <w:sz w:val="16"/>
          <w:szCs w:val="16"/>
          <w:color w:val="auto"/>
        </w:rPr>
        <w:t xml:space="preserve"> shall be reduced to the extent (but only to the extent) that (x) after giving effect to such prepayment, the sum of (a) the maximum aggregate amount available to be drawn under the ABL Credit Agreement that would not result in a Financial Covenant Trigger Period under the ABL Facility (or any similar term under any replacement ABL Facility) plus (b) the aggregate amount of cash and Cash Equivalents of the Borrower and its Restricted Subsidiaries (other than any cash or Cash Equivalents appearing on the consolidated balance sheet of the Borrower as “restricted” (or with a like designation)) would be less than $200,000,000 and</w:t>
      </w:r>
    </w:p>
    <w:p>
      <w:pPr>
        <w:spacing w:after="0" w:line="179" w:lineRule="exact"/>
        <w:rPr>
          <w:sz w:val="20"/>
          <w:szCs w:val="20"/>
          <w:color w:val="auto"/>
        </w:rPr>
      </w:pPr>
    </w:p>
    <w:p>
      <w:pPr>
        <w:jc w:val="both"/>
        <w:ind w:firstLine="8"/>
        <w:spacing w:after="0" w:line="274" w:lineRule="auto"/>
        <w:tabs>
          <w:tab w:leader="none" w:pos="314"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the Borrower shall have delivered to the Administrative Agent a certificate of a Responsible Officer certifying as to the foregoing. Notwithstanding anything to the contrary contained herein, the Borrower shall not be obligated to make any such prepayments described in this </w:t>
      </w:r>
      <w:r>
        <w:rPr>
          <w:rFonts w:ascii="Arial" w:cs="Arial" w:eastAsia="Arial" w:hAnsi="Arial"/>
          <w:sz w:val="18"/>
          <w:szCs w:val="18"/>
          <w:u w:val="single" w:color="auto"/>
          <w:color w:val="auto"/>
        </w:rPr>
        <w:t>Section 2.13(a)(i)</w:t>
      </w:r>
      <w:r>
        <w:rPr>
          <w:rFonts w:ascii="Arial" w:cs="Arial" w:eastAsia="Arial" w:hAnsi="Arial"/>
          <w:sz w:val="18"/>
          <w:szCs w:val="18"/>
          <w:color w:val="auto"/>
        </w:rPr>
        <w:t xml:space="preserve"> (and no Default or Event of Default shall arise as a result of such nonpayment) to the extent such payment would otherwise constitute a violation or breach of the ABL Credit Agreement in respect of minimum liquidity requirements (as in effect on the date hereof in respect of such restriction, or as otherwise modified, supplemented or amended in a manner not adverse to the Lenders).</w:t>
      </w:r>
    </w:p>
    <w:p>
      <w:pPr>
        <w:spacing w:after="0" w:line="165" w:lineRule="exact"/>
        <w:rPr>
          <w:rFonts w:ascii="Arial" w:cs="Arial" w:eastAsia="Arial" w:hAnsi="Arial"/>
          <w:sz w:val="18"/>
          <w:szCs w:val="18"/>
          <w:color w:val="auto"/>
        </w:rPr>
      </w:pPr>
    </w:p>
    <w:p>
      <w:pPr>
        <w:jc w:val="both"/>
        <w:ind w:firstLine="416"/>
        <w:spacing w:after="0" w:line="272" w:lineRule="auto"/>
        <w:tabs>
          <w:tab w:leader="none" w:pos="817"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If (1) the Borrower or any Restricted Subsidiary Disposes of any Real Property (including any Specified Amendment No. 3 Real Property), Rolling Stock or Disposes of any other property or assets pursuant to </w:t>
      </w:r>
      <w:r>
        <w:rPr>
          <w:rFonts w:ascii="Arial" w:cs="Arial" w:eastAsia="Arial" w:hAnsi="Arial"/>
          <w:sz w:val="18"/>
          <w:szCs w:val="18"/>
          <w:u w:val="single" w:color="auto"/>
          <w:color w:val="auto"/>
        </w:rPr>
        <w:t>Section 7.05 (j)</w:t>
      </w:r>
      <w:r>
        <w:rPr>
          <w:rFonts w:ascii="Arial" w:cs="Arial" w:eastAsia="Arial" w:hAnsi="Arial"/>
          <w:sz w:val="18"/>
          <w:szCs w:val="18"/>
          <w:color w:val="auto"/>
        </w:rPr>
        <w:t xml:space="preserve">, </w:t>
      </w:r>
      <w:r>
        <w:rPr>
          <w:rFonts w:ascii="Arial" w:cs="Arial" w:eastAsia="Arial" w:hAnsi="Arial"/>
          <w:sz w:val="18"/>
          <w:szCs w:val="18"/>
          <w:u w:val="single" w:color="auto"/>
          <w:color w:val="auto"/>
        </w:rPr>
        <w:t>(l)</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(t)</w:t>
      </w:r>
      <w:r>
        <w:rPr>
          <w:rFonts w:ascii="Arial" w:cs="Arial" w:eastAsia="Arial" w:hAnsi="Arial"/>
          <w:sz w:val="18"/>
          <w:szCs w:val="18"/>
          <w:color w:val="auto"/>
        </w:rPr>
        <w:t xml:space="preserve"> or under any transaction that would be prohibited by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(other than (w) so long as the ABL Credit Agreement is in effect, any Disposition of ABL Priority Collateral,</w:t>
      </w:r>
    </w:p>
    <w:p>
      <w:pPr>
        <w:jc w:val="both"/>
        <w:ind w:firstLine="8"/>
        <w:spacing w:after="0" w:line="267" w:lineRule="auto"/>
        <w:tabs>
          <w:tab w:leader="none" w:pos="297"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so long as the UST Tranche B Credit Agreement is in effect, any Disposition of UST Tranche B Priority Collateral or UST Tranche B Only Collateral, (y) so long as the UST Tranche A Credit Agreement is in effect, any Disposition of UST Tranche A Only Collateral, and (z) leases of Real Property entered into in the ordinary course of business (excluding Sale and Leaseback Transactions)), or (2) any Casualty Event occurs, which results in the realization or receipt by the Borrower or a Restricted Subsidiary of Net Proceeds, the Borrower shall cause to be prepaid on or prior to the date which is ten (10) Business Days after the date of the realization or receipt by the Borrower or any Restricted Subsidiary of such Net Proceeds an aggregate principal amount of Term Loans in an amount equal to 100% of the Net Proceeds (or, in the case of any Disposition of, or Sale and Leaseback Transaction, with respect to Real Property, 100% of the Real Property Disposition Proceeds) realized or received. Notwithstanding the foregoing, (i) solely with respect to Dispositions of UST Tranche B Joint Collateral, Net Proceeds of Dispositions of UST Tranche B Joint Collateral shall be applied as follows: (A) an amount equal to 33% of such Net Proceeds shall be applied to the prepayment of the Term Loans (and applied ratably to each Class of Term Loans then outstanding) in accordance with this Section 2.13(a)(ii) and (B) an amount equal to 67% of such Net Proceeds shall be applied to the prepayment of the UST Tranche B Facility Indebtedness, in each case, during the Specified Rolling Stock Prepayment Period without giving effect to any thresholds (except for the Specified Rolling Stock Reinvestment Threshold referred to in clause (ii) of the proviso to clause (a) of the definition of Net Proceeds) or reinvestment rights, and (ii) solely with respect to Dispositions of Specified Rolling Stock, prepayments of the Term Loans required pursuant to this Section 2.13(a)(ii) from the Net Proceeds of such Disposition of Specified Rolling Stock shall be made not later than the date that is five (5) Business Days after the end of the calendar month in which such Disposition of Specified Rolling Stock is made;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each case, the Borrower shall comply with the requirements set forth in the definition of “Net Proceeds”,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regarding application of such proceeds and, as required, deposit and maintenance of such proceeds in the specified accounts. Notwithstanding anything else herein to the contrary, in the case of the Compton Sale, the Borrower and its Subsidiaries shall cause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9" w:name="page100"/>
    <w:bookmarkEnd w:id="99"/>
    <w:p>
      <w:pPr>
        <w:spacing w:after="0" w:line="260" w:lineRule="auto"/>
        <w:rPr>
          <w:sz w:val="20"/>
          <w:szCs w:val="20"/>
          <w:color w:val="auto"/>
        </w:rPr>
      </w:pPr>
      <w:r>
        <w:rPr>
          <w:rFonts w:ascii="Arial" w:cs="Arial" w:eastAsia="Arial" w:hAnsi="Arial"/>
          <w:sz w:val="20"/>
          <w:szCs w:val="20"/>
          <w:color w:val="auto"/>
        </w:rPr>
        <w:t>the Net Proceeds therefrom to be funded directly to the Administrative Agent on the date such sale is consummated for application to prepay the Term Loans in accordance with this Section 2.13(a)(ii).</w:t>
      </w:r>
    </w:p>
    <w:p>
      <w:pPr>
        <w:spacing w:after="0" w:line="177" w:lineRule="exact"/>
        <w:rPr>
          <w:sz w:val="20"/>
          <w:szCs w:val="20"/>
          <w:color w:val="auto"/>
        </w:rPr>
      </w:pPr>
    </w:p>
    <w:p>
      <w:pPr>
        <w:jc w:val="both"/>
        <w:ind w:firstLine="423"/>
        <w:spacing w:after="0" w:line="260" w:lineRule="auto"/>
        <w:tabs>
          <w:tab w:leader="none" w:pos="831" w:val="left"/>
        </w:tabs>
        <w:numPr>
          <w:ilvl w:val="1"/>
          <w:numId w:val="87"/>
        </w:numPr>
        <w:rPr>
          <w:rFonts w:ascii="Arial" w:cs="Arial" w:eastAsia="Arial" w:hAnsi="Arial"/>
          <w:sz w:val="19"/>
          <w:szCs w:val="19"/>
          <w:color w:val="auto"/>
        </w:rPr>
      </w:pPr>
      <w:r>
        <w:rPr>
          <w:rFonts w:ascii="Arial" w:cs="Arial" w:eastAsia="Arial" w:hAnsi="Arial"/>
          <w:sz w:val="19"/>
          <w:szCs w:val="19"/>
          <w:color w:val="auto"/>
        </w:rPr>
        <w:t xml:space="preserve">If the Borrower or any Restricted Subsidiary incurs or issues any Indebtedness after the Restatement Effective Date (other than Indebtedness permitted under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(other than any Credit Agreement Refinancing Indebtedness)), the Borrower shall cause to be prepaid an aggregate principal amount of Term Loans in an amount equal to 100% of all Net Proceeds received therefrom on or prior to the date which is five (5) Business Days after (or, in the case of Credit Agreement Refinancing Indebtedness, one Business Day after) the receipt by the Borrower or such Restricted Subsidiary of such Net Proceeds.</w:t>
      </w:r>
    </w:p>
    <w:p>
      <w:pPr>
        <w:spacing w:after="0" w:line="180" w:lineRule="exact"/>
        <w:rPr>
          <w:rFonts w:ascii="Arial" w:cs="Arial" w:eastAsia="Arial" w:hAnsi="Arial"/>
          <w:sz w:val="19"/>
          <w:szCs w:val="19"/>
          <w:color w:val="auto"/>
        </w:rPr>
      </w:pPr>
    </w:p>
    <w:p>
      <w:pPr>
        <w:jc w:val="both"/>
        <w:ind w:firstLine="834"/>
        <w:spacing w:after="0" w:line="250" w:lineRule="auto"/>
        <w:tabs>
          <w:tab w:leader="none" w:pos="1239" w:val="left"/>
        </w:tabs>
        <w:numPr>
          <w:ilvl w:val="3"/>
          <w:numId w:val="87"/>
        </w:numPr>
        <w:rPr>
          <w:rFonts w:ascii="Arial" w:cs="Arial" w:eastAsia="Arial" w:hAnsi="Arial"/>
          <w:sz w:val="20"/>
          <w:szCs w:val="20"/>
          <w:color w:val="auto"/>
        </w:rPr>
      </w:pPr>
      <w:r>
        <w:rPr>
          <w:rFonts w:ascii="Arial" w:cs="Arial" w:eastAsia="Arial" w:hAnsi="Arial"/>
          <w:sz w:val="20"/>
          <w:szCs w:val="20"/>
          <w:color w:val="auto"/>
        </w:rPr>
        <w:t>If the Borrower issues any Subordinated Indebtedness after the Restatement Effective Date, the Borrower shall cause to be prepaid an aggregate principal amount of Term Loans in an amount equal to 33% of all Net Proceeds received therefrom on or prior to the date which is five (5) Business Days after the receipt by the Borrower of such Net Proceeds.</w:t>
      </w:r>
    </w:p>
    <w:p>
      <w:pPr>
        <w:spacing w:after="0" w:line="185" w:lineRule="exact"/>
        <w:rPr>
          <w:rFonts w:ascii="Arial" w:cs="Arial" w:eastAsia="Arial" w:hAnsi="Arial"/>
          <w:sz w:val="20"/>
          <w:szCs w:val="20"/>
          <w:color w:val="auto"/>
        </w:rPr>
      </w:pPr>
    </w:p>
    <w:p>
      <w:pPr>
        <w:jc w:val="both"/>
        <w:ind w:firstLine="808"/>
        <w:spacing w:after="0" w:line="244" w:lineRule="auto"/>
        <w:tabs>
          <w:tab w:leader="none" w:pos="1200" w:val="left"/>
        </w:tabs>
        <w:numPr>
          <w:ilvl w:val="2"/>
          <w:numId w:val="87"/>
        </w:numPr>
        <w:rPr>
          <w:rFonts w:ascii="Arial" w:cs="Arial" w:eastAsia="Arial" w:hAnsi="Arial"/>
          <w:sz w:val="20"/>
          <w:szCs w:val="20"/>
          <w:color w:val="auto"/>
        </w:rPr>
      </w:pPr>
      <w:r>
        <w:rPr>
          <w:rFonts w:ascii="Arial" w:cs="Arial" w:eastAsia="Arial" w:hAnsi="Arial"/>
          <w:sz w:val="20"/>
          <w:szCs w:val="20"/>
          <w:color w:val="auto"/>
        </w:rPr>
        <w:t xml:space="preserve">If the Borrower issues any Equity Interests (excluding, for the avoidance of doubt, any Treasury Equity) after the Amendment No. 2 Effective Date, the Borrower shall cause to be prepaid an aggregate principal amount of Term Loans in an amount equal to 50% of all Net Equity Proceeds received therefrom on or prior to the date which is five (5) Business Days after the receipt by the Borrower of such Net Equity Proceeds;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Borrower shall only be required to apply up to $30,000,000 in the aggregate of Net Equity Proceeds pursuant to this </w:t>
      </w:r>
      <w:r>
        <w:rPr>
          <w:rFonts w:ascii="Arial" w:cs="Arial" w:eastAsia="Arial" w:hAnsi="Arial"/>
          <w:sz w:val="20"/>
          <w:szCs w:val="20"/>
          <w:u w:val="single" w:color="auto"/>
          <w:color w:val="auto"/>
        </w:rPr>
        <w:t>Section 2.13(a)(v)</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firstLine="8"/>
        <w:spacing w:after="0" w:line="246" w:lineRule="auto"/>
        <w:tabs>
          <w:tab w:leader="none" w:pos="509"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Except as may otherwise be set forth in any Extension Offer, any Refinancing Amendment, any Permitted Repricing Amendment or any other governing documentation, each prepayment of Term Loans pursuant to </w:t>
      </w:r>
      <w:r>
        <w:rPr>
          <w:rFonts w:ascii="Arial" w:cs="Arial" w:eastAsia="Arial" w:hAnsi="Arial"/>
          <w:sz w:val="20"/>
          <w:szCs w:val="20"/>
          <w:u w:val="single" w:color="auto"/>
          <w:color w:val="auto"/>
        </w:rPr>
        <w:t>Section 2.13(a)</w:t>
      </w:r>
      <w:r>
        <w:rPr>
          <w:rFonts w:ascii="Arial" w:cs="Arial" w:eastAsia="Arial" w:hAnsi="Arial"/>
          <w:sz w:val="20"/>
          <w:szCs w:val="20"/>
          <w:color w:val="auto"/>
        </w:rPr>
        <w:t xml:space="preserve"> shall be applied ratably to each Class of Term Loans then outstanding;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prepayment of Term Loans pursuant to the parenthetical in </w:t>
      </w:r>
      <w:r>
        <w:rPr>
          <w:rFonts w:ascii="Arial" w:cs="Arial" w:eastAsia="Arial" w:hAnsi="Arial"/>
          <w:sz w:val="20"/>
          <w:szCs w:val="20"/>
          <w:u w:val="single" w:color="auto"/>
          <w:color w:val="auto"/>
        </w:rPr>
        <w:t>Section 2.13(a)(iii)</w:t>
      </w:r>
      <w:r>
        <w:rPr>
          <w:rFonts w:ascii="Arial" w:cs="Arial" w:eastAsia="Arial" w:hAnsi="Arial"/>
          <w:sz w:val="20"/>
          <w:szCs w:val="20"/>
          <w:color w:val="auto"/>
        </w:rPr>
        <w:t xml:space="preserve"> shall be applied solely to each applicable Class of Refinanced Debt.</w:t>
      </w:r>
    </w:p>
    <w:p>
      <w:pPr>
        <w:spacing w:after="0" w:line="191" w:lineRule="exact"/>
        <w:rPr>
          <w:rFonts w:ascii="Arial" w:cs="Arial" w:eastAsia="Arial" w:hAnsi="Arial"/>
          <w:sz w:val="20"/>
          <w:szCs w:val="20"/>
          <w:color w:val="auto"/>
        </w:rPr>
      </w:pPr>
    </w:p>
    <w:p>
      <w:pPr>
        <w:jc w:val="both"/>
        <w:ind w:firstLine="8"/>
        <w:spacing w:after="0" w:line="250" w:lineRule="auto"/>
        <w:tabs>
          <w:tab w:leader="none" w:pos="509"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With respect to each Class of Term Loans, each prepayment pursuant to </w:t>
      </w:r>
      <w:r>
        <w:rPr>
          <w:rFonts w:ascii="Arial" w:cs="Arial" w:eastAsia="Arial" w:hAnsi="Arial"/>
          <w:sz w:val="20"/>
          <w:szCs w:val="20"/>
          <w:u w:val="single" w:color="auto"/>
          <w:color w:val="auto"/>
        </w:rPr>
        <w:t>Section 2.13(a)</w:t>
      </w:r>
      <w:r>
        <w:rPr>
          <w:rFonts w:ascii="Arial" w:cs="Arial" w:eastAsia="Arial" w:hAnsi="Arial"/>
          <w:sz w:val="20"/>
          <w:szCs w:val="20"/>
          <w:color w:val="auto"/>
        </w:rPr>
        <w:t xml:space="preserve"> shall be paid to the Lenders in accordance with their respective Pro Rata Shares, subject to </w:t>
      </w:r>
      <w:r>
        <w:rPr>
          <w:rFonts w:ascii="Arial" w:cs="Arial" w:eastAsia="Arial" w:hAnsi="Arial"/>
          <w:sz w:val="20"/>
          <w:szCs w:val="20"/>
          <w:u w:val="single" w:color="auto"/>
          <w:color w:val="auto"/>
        </w:rPr>
        <w:t>Section 2.13(d)</w:t>
      </w:r>
      <w:r>
        <w:rPr>
          <w:rFonts w:ascii="Arial" w:cs="Arial" w:eastAsia="Arial" w:hAnsi="Arial"/>
          <w:sz w:val="20"/>
          <w:szCs w:val="20"/>
          <w:color w:val="auto"/>
        </w:rPr>
        <w:t xml:space="preserve">. For the avoidance of doubt, this </w:t>
      </w:r>
      <w:r>
        <w:rPr>
          <w:rFonts w:ascii="Arial" w:cs="Arial" w:eastAsia="Arial" w:hAnsi="Arial"/>
          <w:sz w:val="20"/>
          <w:szCs w:val="20"/>
          <w:u w:val="single" w:color="auto"/>
          <w:color w:val="auto"/>
        </w:rPr>
        <w:t>Section 2.13(c)</w:t>
      </w:r>
      <w:r>
        <w:rPr>
          <w:rFonts w:ascii="Arial" w:cs="Arial" w:eastAsia="Arial" w:hAnsi="Arial"/>
          <w:sz w:val="20"/>
          <w:szCs w:val="20"/>
          <w:color w:val="auto"/>
        </w:rPr>
        <w:t xml:space="preserve"> is applicable to any prepayment made with the Net Proceeds of Credit Agreement Refinancing Indebtedness.</w:t>
      </w:r>
    </w:p>
    <w:p>
      <w:pPr>
        <w:spacing w:after="0" w:line="185" w:lineRule="exact"/>
        <w:rPr>
          <w:rFonts w:ascii="Arial" w:cs="Arial" w:eastAsia="Arial" w:hAnsi="Arial"/>
          <w:sz w:val="20"/>
          <w:szCs w:val="20"/>
          <w:color w:val="auto"/>
        </w:rPr>
      </w:pPr>
    </w:p>
    <w:p>
      <w:pPr>
        <w:jc w:val="both"/>
        <w:ind w:firstLine="8"/>
        <w:spacing w:after="0" w:line="270" w:lineRule="auto"/>
        <w:tabs>
          <w:tab w:leader="none" w:pos="509"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in writing of any mandatory prepayment of Term Loans required to be made pursuant to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by 1:00 p.m., New York City time, least three (3) Business Days prior to the date of such prepayment. Each such notice shall specify the date of such prepayment and provide a reasonably detailed calculation of the amount of such estimated prepayment. The Administrative Agent will promptly notify each applicable Lender of the contents of the Borrower’s prepayment notice and of such Lender’s Pro Rata Share or other applicable share of the prepayment. Each Term Lender may reject all of its Pro Rata Share or other applicable share of any mandatory prepayment (such declined amounts, the “</w:t>
      </w:r>
      <w:r>
        <w:rPr>
          <w:rFonts w:ascii="Arial" w:cs="Arial" w:eastAsia="Arial" w:hAnsi="Arial"/>
          <w:sz w:val="18"/>
          <w:szCs w:val="18"/>
          <w:b w:val="1"/>
          <w:bCs w:val="1"/>
          <w:color w:val="auto"/>
        </w:rPr>
        <w:t>Declined Proceeds</w:t>
      </w:r>
      <w:r>
        <w:rPr>
          <w:rFonts w:ascii="Arial" w:cs="Arial" w:eastAsia="Arial" w:hAnsi="Arial"/>
          <w:sz w:val="18"/>
          <w:szCs w:val="18"/>
          <w:color w:val="auto"/>
        </w:rPr>
        <w:t xml:space="preserve">”) of Term Loans required to be made pursuant to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by providing written notice (each, a “</w:t>
      </w:r>
      <w:r>
        <w:rPr>
          <w:rFonts w:ascii="Arial" w:cs="Arial" w:eastAsia="Arial" w:hAnsi="Arial"/>
          <w:sz w:val="18"/>
          <w:szCs w:val="18"/>
          <w:b w:val="1"/>
          <w:bCs w:val="1"/>
          <w:color w:val="auto"/>
        </w:rPr>
        <w:t>Rejection Notice</w:t>
      </w:r>
      <w:r>
        <w:rPr>
          <w:rFonts w:ascii="Arial" w:cs="Arial" w:eastAsia="Arial" w:hAnsi="Arial"/>
          <w:sz w:val="18"/>
          <w:szCs w:val="18"/>
          <w:color w:val="auto"/>
        </w:rPr>
        <w:t xml:space="preserve">”) to the Administrative Agent and the Borrower no later than 5:00 p.m., New York City time, one Business Day prior to after the date of such prepayment;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no Lender may reject any prepayment made with proceeds of Credit Agreement Refinancing Indebtedness. If a Term Lender fails to deliver a Rejection Notice to the Administrative Agent within the time frame specified above, any such failure will be deemed an acceptance of the total amount of such mandatory prepayment of Term Loans unless the Borrower and the Administrative Agent, with the consent of the Required Lenders, agree to an extension of time for such failure to be corrected. Any Declined Proceeds shall be retained by the Borrower.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0" w:name="page101"/>
    <w:bookmarkEnd w:id="100"/>
    <w:p>
      <w:pPr>
        <w:jc w:val="both"/>
        <w:ind w:firstLine="8"/>
        <w:spacing w:after="0" w:line="255" w:lineRule="auto"/>
        <w:tabs>
          <w:tab w:leader="none" w:pos="509" w:val="left"/>
        </w:tabs>
        <w:numPr>
          <w:ilvl w:val="0"/>
          <w:numId w:val="89"/>
        </w:numPr>
        <w:rPr>
          <w:rFonts w:ascii="Arial" w:cs="Arial" w:eastAsia="Arial" w:hAnsi="Arial"/>
          <w:sz w:val="19"/>
          <w:szCs w:val="19"/>
          <w:color w:val="auto"/>
        </w:rPr>
      </w:pPr>
      <w:r>
        <w:rPr>
          <w:rFonts w:ascii="Arial" w:cs="Arial" w:eastAsia="Arial" w:hAnsi="Arial"/>
          <w:sz w:val="19"/>
          <w:szCs w:val="19"/>
          <w:i w:val="1"/>
          <w:iCs w:val="1"/>
          <w:color w:val="auto"/>
        </w:rPr>
        <w:t>Funding Losses, Etc</w:t>
      </w:r>
      <w:r>
        <w:rPr>
          <w:rFonts w:ascii="Arial" w:cs="Arial" w:eastAsia="Arial" w:hAnsi="Arial"/>
          <w:sz w:val="19"/>
          <w:szCs w:val="19"/>
          <w:color w:val="auto"/>
        </w:rPr>
        <w:t>. All prepayments under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2.13</w:t>
      </w:r>
      <w:r>
        <w:rPr>
          <w:rFonts w:ascii="Arial" w:cs="Arial" w:eastAsia="Arial" w:hAnsi="Arial"/>
          <w:sz w:val="19"/>
          <w:szCs w:val="19"/>
          <w:i w:val="1"/>
          <w:iCs w:val="1"/>
          <w:color w:val="auto"/>
        </w:rPr>
        <w:t xml:space="preserve"> </w:t>
      </w:r>
      <w:r>
        <w:rPr>
          <w:rFonts w:ascii="Arial" w:cs="Arial" w:eastAsia="Arial" w:hAnsi="Arial"/>
          <w:sz w:val="19"/>
          <w:szCs w:val="19"/>
          <w:color w:val="auto"/>
        </w:rPr>
        <w:t>shall be accompanied by accrued and unpaid interest on the principal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amount to be prepaid to but excluding the date of payment. All prepayments under </w:t>
      </w:r>
      <w:r>
        <w:rPr>
          <w:rFonts w:ascii="Arial" w:cs="Arial" w:eastAsia="Arial" w:hAnsi="Arial"/>
          <w:sz w:val="19"/>
          <w:szCs w:val="19"/>
          <w:u w:val="single" w:color="auto"/>
          <w:color w:val="auto"/>
        </w:rPr>
        <w:t>Section 2.13(a)(iii)</w:t>
      </w:r>
      <w:r>
        <w:rPr>
          <w:rFonts w:ascii="Arial" w:cs="Arial" w:eastAsia="Arial" w:hAnsi="Arial"/>
          <w:sz w:val="19"/>
          <w:szCs w:val="19"/>
          <w:color w:val="auto"/>
        </w:rPr>
        <w:t xml:space="preserve"> shall be subject to </w:t>
      </w:r>
      <w:r>
        <w:rPr>
          <w:rFonts w:ascii="Arial" w:cs="Arial" w:eastAsia="Arial" w:hAnsi="Arial"/>
          <w:sz w:val="19"/>
          <w:szCs w:val="19"/>
          <w:u w:val="single" w:color="auto"/>
          <w:color w:val="auto"/>
        </w:rPr>
        <w:t>Section 2.12(d)</w:t>
      </w:r>
      <w:r>
        <w:rPr>
          <w:rFonts w:ascii="Arial" w:cs="Arial" w:eastAsia="Arial" w:hAnsi="Arial"/>
          <w:sz w:val="19"/>
          <w:szCs w:val="19"/>
          <w:color w:val="auto"/>
        </w:rPr>
        <w:t xml:space="preserve"> (to the extent applicable) and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Notwithstanding any of the other provisions of </w:t>
      </w:r>
      <w:r>
        <w:rPr>
          <w:rFonts w:ascii="Arial" w:cs="Arial" w:eastAsia="Arial" w:hAnsi="Arial"/>
          <w:sz w:val="19"/>
          <w:szCs w:val="19"/>
          <w:u w:val="single" w:color="auto"/>
          <w:color w:val="auto"/>
        </w:rPr>
        <w:t>Section 2.13(a)</w:t>
      </w:r>
      <w:r>
        <w:rPr>
          <w:rFonts w:ascii="Arial" w:cs="Arial" w:eastAsia="Arial" w:hAnsi="Arial"/>
          <w:sz w:val="19"/>
          <w:szCs w:val="19"/>
          <w:color w:val="auto"/>
        </w:rPr>
        <w:t xml:space="preserve">, so long as no Event of Default shall have occurred and be continuing, if any prepayment of SOFR Loans is required to be made under </w:t>
      </w:r>
      <w:r>
        <w:rPr>
          <w:rFonts w:ascii="Arial" w:cs="Arial" w:eastAsia="Arial" w:hAnsi="Arial"/>
          <w:sz w:val="19"/>
          <w:szCs w:val="19"/>
          <w:u w:val="single" w:color="auto"/>
          <w:color w:val="auto"/>
        </w:rPr>
        <w:t>Section 2.13(a)</w:t>
      </w:r>
      <w:r>
        <w:rPr>
          <w:rFonts w:ascii="Arial" w:cs="Arial" w:eastAsia="Arial" w:hAnsi="Arial"/>
          <w:sz w:val="19"/>
          <w:szCs w:val="19"/>
          <w:color w:val="auto"/>
        </w:rPr>
        <w:t xml:space="preserve"> prior to the last day of the Interest Period therefor, the Borrower may, in its sole discretion, deposit the amount of any such prepayment otherwise required to be made thereunder (including accrued interest to the last day of such Interest Period) into a Cash Collateral Account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w:t>
      </w:r>
      <w:r>
        <w:rPr>
          <w:rFonts w:ascii="Arial" w:cs="Arial" w:eastAsia="Arial" w:hAnsi="Arial"/>
          <w:sz w:val="19"/>
          <w:szCs w:val="19"/>
          <w:u w:val="single" w:color="auto"/>
          <w:color w:val="auto"/>
        </w:rPr>
        <w:t>Section 2.13(a)</w:t>
      </w:r>
      <w:r>
        <w:rPr>
          <w:rFonts w:ascii="Arial" w:cs="Arial" w:eastAsia="Arial" w:hAnsi="Arial"/>
          <w:sz w:val="19"/>
          <w:szCs w:val="19"/>
          <w:color w:val="auto"/>
        </w:rPr>
        <w:t>.</w:t>
      </w:r>
    </w:p>
    <w:p>
      <w:pPr>
        <w:spacing w:after="0" w:line="186" w:lineRule="exact"/>
        <w:rPr>
          <w:rFonts w:ascii="Arial" w:cs="Arial" w:eastAsia="Arial" w:hAnsi="Arial"/>
          <w:sz w:val="19"/>
          <w:szCs w:val="19"/>
          <w:color w:val="auto"/>
        </w:rPr>
      </w:pPr>
    </w:p>
    <w:p>
      <w:pPr>
        <w:jc w:val="both"/>
        <w:ind w:firstLine="8"/>
        <w:spacing w:after="0" w:line="269" w:lineRule="auto"/>
        <w:tabs>
          <w:tab w:leader="none" w:pos="509"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Foreign Dispositions; Foreign Excess Cash Flow</w:t>
      </w:r>
      <w:r>
        <w:rPr>
          <w:rFonts w:ascii="Arial" w:cs="Arial" w:eastAsia="Arial" w:hAnsi="Arial"/>
          <w:sz w:val="18"/>
          <w:szCs w:val="18"/>
          <w:color w:val="auto"/>
        </w:rPr>
        <w:t>. Notwithstanding any other provisions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2.13</w:t>
      </w:r>
      <w:r>
        <w:rPr>
          <w:rFonts w:ascii="Arial" w:cs="Arial" w:eastAsia="Arial" w:hAnsi="Arial"/>
          <w:sz w:val="18"/>
          <w:szCs w:val="18"/>
          <w:color w:val="auto"/>
        </w:rPr>
        <w:t>, (A) to the extent that any</w:t>
      </w:r>
      <w:r>
        <w:rPr>
          <w:rFonts w:ascii="Arial" w:cs="Arial" w:eastAsia="Arial" w:hAnsi="Arial"/>
          <w:sz w:val="18"/>
          <w:szCs w:val="18"/>
          <w:i w:val="1"/>
          <w:iCs w:val="1"/>
          <w:color w:val="auto"/>
        </w:rPr>
        <w:t xml:space="preserve"> </w:t>
      </w:r>
      <w:r>
        <w:rPr>
          <w:rFonts w:ascii="Arial" w:cs="Arial" w:eastAsia="Arial" w:hAnsi="Arial"/>
          <w:sz w:val="18"/>
          <w:szCs w:val="18"/>
          <w:color w:val="auto"/>
        </w:rPr>
        <w:t>or all of the Net Proceeds of any Disposition by a Foreign Subsidiary (“</w:t>
      </w:r>
      <w:r>
        <w:rPr>
          <w:rFonts w:ascii="Arial" w:cs="Arial" w:eastAsia="Arial" w:hAnsi="Arial"/>
          <w:sz w:val="18"/>
          <w:szCs w:val="18"/>
          <w:b w:val="1"/>
          <w:bCs w:val="1"/>
          <w:color w:val="auto"/>
        </w:rPr>
        <w:t>Foreign Disposition</w:t>
      </w:r>
      <w:r>
        <w:rPr>
          <w:rFonts w:ascii="Arial" w:cs="Arial" w:eastAsia="Arial" w:hAnsi="Arial"/>
          <w:sz w:val="18"/>
          <w:szCs w:val="18"/>
          <w:color w:val="auto"/>
        </w:rPr>
        <w:t xml:space="preserve">”) or Excess Cash Flow attributable to Foreign Subsidiaries are (x) prohibited or delayed by applicable local law or (y) restricted by applicable organizational or constitutive documents or any agreement, from being repatriated to the United States, in each case the portion of such Net Proceeds or Excess Cash Flow so affected will not be required to be applied to repay Term Loans at the times provided in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but may be retained by the applicable Foreign Subsidiary (the Borrower hereby agreeing to use reasonable efforts (as determined in the Borrower’s reasonable business judgment) to otherwise cause the applicable Foreign Subsidiary to within one year following the date on which the respective payment would otherwise have been required, promptly take all actions reasonably required by the applicable local law, applicable organizational or constitutive document impediment to permit such repatriation), and if within one year following the date on which the respective payment would otherwise have been required, such repatriation of any of such affected Net Proceeds or Excess Cash Flow is permitted under the applicable local law, applicable organizational or constitutive document impediment, such repatriation will be promptly effected and such repatriated Net Proceeds or Excess Cash Flow will be promptly (and in any event not later than 5 Business Days after such repatriation could be made) applied (net of additional taxes, costs and expenses payable or reserved against as a result thereof) (whether or not repatriation actually occurs) to the repayment of the Term Loans pursuant to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(B) to the extent that the Borrower has determined in good faith that repatriation of any of or all the Net Proceeds of any Foreign Disposition or Foreign Subsidiary Excess Cash Flow could cause adverse tax consequences to the Borrower, such Net Proceeds or Excess Cash Flow so affected may be retained by the applicable Foreign Subsidiary. The non-application of any prepayment amounts as a consequence of the foregoing provisions will not, for the avoidance of doubt, constitute a Default or an Event of Default.</w:t>
      </w:r>
    </w:p>
    <w:p>
      <w:pPr>
        <w:spacing w:after="0" w:line="171"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Pro Rata Treatment.</w:t>
      </w:r>
      <w:r>
        <w:rPr>
          <w:rFonts w:ascii="Arial" w:cs="Arial" w:eastAsia="Arial" w:hAnsi="Arial"/>
          <w:sz w:val="18"/>
          <w:szCs w:val="18"/>
          <w:color w:val="auto"/>
        </w:rPr>
        <w:t xml:space="preserve"> Except as required under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each Borrowing, each payment or prepayment of principal of any Borrowing, each payment of interest on the Loans, each reduction of the Term Loan Commitments and each conversion of any Borrowing to or continuation of any Borrowing as a Borrowing of any Type shall be allocated pro rata among the Lenders of the applicable Class in accordance with their respective applicable Commitments (or, if such Commitments shall have expired or been terminated, in accordance with the respective principal amounts of their outstanding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provisions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shall not be construed to apply to any payment made by the Borrower pursuant to and in accordance with the express terms of this Agreement. Each Lender agrees that in computing such Lender’s portion of any Borrowing to be made hereunder, the Administrative Agent may, in its discretion, round each Lender’s percentage of such Borrowing to the next higher or lower whole Dollar amount.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1" w:name="page102"/>
    <w:bookmarkEnd w:id="101"/>
    <w:p>
      <w:pPr>
        <w:jc w:val="both"/>
        <w:ind w:firstLine="1497"/>
        <w:spacing w:after="0" w:line="268"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i w:val="1"/>
          <w:iCs w:val="1"/>
          <w:color w:val="auto"/>
        </w:rPr>
        <w:t>Sharing of Setoffs.</w:t>
      </w:r>
      <w:r>
        <w:rPr>
          <w:rFonts w:ascii="Arial" w:cs="Arial" w:eastAsia="Arial" w:hAnsi="Arial"/>
          <w:sz w:val="18"/>
          <w:szCs w:val="18"/>
          <w:color w:val="auto"/>
        </w:rPr>
        <w:t xml:space="preserve"> Each Lender agrees that if it shall, through the exercise of a right of banker’s lien, setoff or counterclaim against the Borrower or any other Loan Party, or pursuant to a secured claim under Section 506 of Title 11 of the United States Code or other security or interest arising from, or in lieu of, such secured claim, received by such Lender under any applicable bankruptcy, insolvency or other similar law or otherwise, or by any other means, obtain payment (voluntary or involuntary) in respect of any Loan or Loans as a result of which the unpaid principal portion of its Loans shall be proportionately less than the unpaid principal portion of the Loans of any other Lender, it shall be deemed simultaneously to have purchased from such other Lender at face value, and shall promptly pay to such other Lender the purchase price for, a participation in the Loans of such other Lender, so that the aggregate unpaid principal amount of the Loans and participations in Loans held by each Lender shall be in the same proportion to the aggregate unpaid principal amount of all Loans then outstanding as the principal amount of its Loans prior to such exercise of banker’s lien, setoff or counterclaim or other event was to the principal amount of all Loans outstanding prior to such exercise of banker’s lien, setoff or counterclaim or other event;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 that (i) if any such purchase or purchases or adjustments shall be made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2.15</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giving rise thereto shall thereafter be recovered, such purchase or purchases or adjustments shall be rescinded to the extent of such recovery and the purchase price or prices or adjustment restored without interest, and (ii) 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as to which 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apply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applicable payment, assignment, sale or participation to the Borrower is expressly permitted under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not be construed to apply). The Borrower expressly consents to the foregoing arrangements and agrees that any Lender holding a participation in a Loan deemed to have been so purchased may exercise any and all rights of banker’s lien, setoff or counterclaim with respect to any and all moneys owing by the Borrower to such Lender by reason thereof as fully as if such Lender had made a Loan directly to the Borrower in the amount of such participation. For the avoidance of doubt, neither this Section nor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shall limit the ability of the Borrower to (i) purchase and retire Term Loans pursuant to an open market purchase or a Dutch Auction or (ii) pay principal, fees, premiums and interest with respect to Other Term Loans following the effectiveness of any Refinancing Amendment or any Extension Offer, as applicable, on a basis different from the Loans of such Class that will continue to be held by Lenders that were not Extending Lenders or Lenders pursuant to such Refinancing Amendment, as applicable.</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2.16. </w:t>
      </w:r>
      <w:r>
        <w:rPr>
          <w:rFonts w:ascii="Arial" w:cs="Arial" w:eastAsia="Arial" w:hAnsi="Arial"/>
          <w:sz w:val="20"/>
          <w:szCs w:val="20"/>
          <w:i w:val="1"/>
          <w:iCs w:val="1"/>
          <w:color w:val="auto"/>
        </w:rPr>
        <w:t>Payments</w:t>
      </w:r>
      <w:r>
        <w:rPr>
          <w:rFonts w:ascii="Arial" w:cs="Arial" w:eastAsia="Arial" w:hAnsi="Arial"/>
          <w:sz w:val="20"/>
          <w:szCs w:val="20"/>
          <w:color w:val="auto"/>
        </w:rPr>
        <w:t>.</w:t>
      </w:r>
    </w:p>
    <w:p>
      <w:pPr>
        <w:spacing w:after="0" w:line="216" w:lineRule="exact"/>
        <w:rPr>
          <w:sz w:val="20"/>
          <w:szCs w:val="20"/>
          <w:color w:val="auto"/>
        </w:rPr>
      </w:pPr>
    </w:p>
    <w:p>
      <w:pPr>
        <w:jc w:val="both"/>
        <w:ind w:left="760" w:hanging="3"/>
        <w:spacing w:after="0" w:line="243" w:lineRule="auto"/>
        <w:tabs>
          <w:tab w:leader="none" w:pos="1029"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Borrower shall make each payment (including principal of or interest on any Borrowing or any Fees or other amounts due and payable) hereunder and under any other Loan Document not later than 2:00 p.m., New York City time, on the date when due in immediately available Dollars, without setoff, defense or counterclaim. Any amounts received after such time on any date may, in the discretion of the Administrative Agent, be deemed to have been received on the next succeeding Business Day for purposes of calculating interest thereon. Each such payment shall be made to the Administrative Agent at the Administrative Agent’s Office. The Administrative Agent shall promptly distribute to each Lender any payments received by the Administrative Agent on behalf of such Lender.</w:t>
      </w:r>
    </w:p>
    <w:p>
      <w:pPr>
        <w:spacing w:after="0" w:line="192" w:lineRule="exact"/>
        <w:rPr>
          <w:rFonts w:ascii="Arial" w:cs="Arial" w:eastAsia="Arial" w:hAnsi="Arial"/>
          <w:sz w:val="20"/>
          <w:szCs w:val="20"/>
          <w:color w:val="auto"/>
        </w:rPr>
      </w:pPr>
    </w:p>
    <w:p>
      <w:pPr>
        <w:jc w:val="both"/>
        <w:ind w:left="760" w:hanging="3"/>
        <w:spacing w:after="0" w:line="263" w:lineRule="auto"/>
        <w:tabs>
          <w:tab w:leader="none" w:pos="1029" w:val="left"/>
        </w:tabs>
        <w:numPr>
          <w:ilvl w:val="0"/>
          <w:numId w:val="90"/>
        </w:numPr>
        <w:rPr>
          <w:rFonts w:ascii="Arial" w:cs="Arial" w:eastAsia="Arial" w:hAnsi="Arial"/>
          <w:sz w:val="19"/>
          <w:szCs w:val="19"/>
          <w:color w:val="auto"/>
        </w:rPr>
      </w:pPr>
      <w:r>
        <w:rPr>
          <w:rFonts w:ascii="Arial" w:cs="Arial" w:eastAsia="Arial" w:hAnsi="Arial"/>
          <w:sz w:val="19"/>
          <w:szCs w:val="19"/>
          <w:color w:val="auto"/>
        </w:rPr>
        <w:t>Except as otherwise expressly provided herein, whenever any payment (including principal of or interest on any Borrowing or any Fees or other amounts) hereunder or under any other Loan Document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2" w:name="page103"/>
    <w:bookmarkEnd w:id="102"/>
    <w:p>
      <w:pPr>
        <w:ind w:left="836"/>
        <w:spacing w:after="0"/>
        <w:rPr>
          <w:sz w:val="20"/>
          <w:szCs w:val="20"/>
          <w:color w:val="auto"/>
        </w:rPr>
      </w:pPr>
      <w:r>
        <w:rPr>
          <w:rFonts w:ascii="Arial" w:cs="Arial" w:eastAsia="Arial" w:hAnsi="Arial"/>
          <w:sz w:val="20"/>
          <w:szCs w:val="20"/>
          <w:color w:val="auto"/>
        </w:rPr>
        <w:t>Section 2.17. [</w:t>
      </w:r>
      <w:r>
        <w:rPr>
          <w:rFonts w:ascii="Arial" w:cs="Arial" w:eastAsia="Arial" w:hAnsi="Arial"/>
          <w:sz w:val="20"/>
          <w:szCs w:val="20"/>
          <w:i w:val="1"/>
          <w:iCs w:val="1"/>
          <w:color w:val="auto"/>
        </w:rPr>
        <w:t>Reserved</w:t>
      </w:r>
      <w:r>
        <w:rPr>
          <w:rFonts w:ascii="Arial" w:cs="Arial" w:eastAsia="Arial" w:hAnsi="Arial"/>
          <w:sz w:val="20"/>
          <w:szCs w:val="20"/>
          <w:color w:val="auto"/>
        </w:rPr>
        <w:t>].</w:t>
      </w:r>
    </w:p>
    <w:p>
      <w:pPr>
        <w:spacing w:after="0" w:line="216" w:lineRule="exact"/>
        <w:rPr>
          <w:sz w:val="20"/>
          <w:szCs w:val="20"/>
          <w:color w:val="auto"/>
        </w:rPr>
      </w:pPr>
    </w:p>
    <w:p>
      <w:pPr>
        <w:ind w:left="836"/>
        <w:spacing w:after="0"/>
        <w:rPr>
          <w:sz w:val="20"/>
          <w:szCs w:val="20"/>
          <w:color w:val="auto"/>
        </w:rPr>
      </w:pPr>
      <w:r>
        <w:rPr>
          <w:rFonts w:ascii="Arial" w:cs="Arial" w:eastAsia="Arial" w:hAnsi="Arial"/>
          <w:sz w:val="20"/>
          <w:szCs w:val="20"/>
          <w:color w:val="auto"/>
        </w:rPr>
        <w:t xml:space="preserve">Section 2.18. </w:t>
      </w:r>
      <w:r>
        <w:rPr>
          <w:rFonts w:ascii="Arial" w:cs="Arial" w:eastAsia="Arial" w:hAnsi="Arial"/>
          <w:sz w:val="20"/>
          <w:szCs w:val="20"/>
          <w:i w:val="1"/>
          <w:iCs w:val="1"/>
          <w:color w:val="auto"/>
        </w:rPr>
        <w:t>Refinancing Amendments</w:t>
      </w:r>
      <w:r>
        <w:rPr>
          <w:rFonts w:ascii="Arial" w:cs="Arial" w:eastAsia="Arial" w:hAnsi="Arial"/>
          <w:sz w:val="20"/>
          <w:szCs w:val="20"/>
          <w:color w:val="auto"/>
        </w:rPr>
        <w:t>.</w:t>
      </w:r>
    </w:p>
    <w:p>
      <w:pPr>
        <w:spacing w:after="0" w:line="216" w:lineRule="exact"/>
        <w:rPr>
          <w:sz w:val="20"/>
          <w:szCs w:val="20"/>
          <w:color w:val="auto"/>
        </w:rPr>
      </w:pPr>
    </w:p>
    <w:p>
      <w:pPr>
        <w:jc w:val="both"/>
        <w:ind w:left="-4" w:firstLine="4"/>
        <w:spacing w:after="0" w:line="267" w:lineRule="auto"/>
        <w:tabs>
          <w:tab w:leader="none" w:pos="401"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At any time after the Restatement Effective Date, the Borrower may obtain, from any Lender or any Additional Lender, Credit Agreement Refinancing Indebtedness (other than Permitted Additional Debt) in respect of all or any portion of the Term Loans then outstanding under this Agreement, in the form of Other Term Loans or Other Term Loan Commitments pursuant to a Refinancing Amendment;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Credit Agreement Refinancing Indebtedness will rank pari passu in right of payment and of security with the other Loans and Commitments hereunder, (B) such Credit Agreement Refinancing Indebtedness will have such pricing, fees, interest, premiums and optional prepayment terms as may be agreed by the Borrower and the Lenders thereof (</w:t>
      </w:r>
      <w:r>
        <w:rPr>
          <w:rFonts w:ascii="Arial" w:cs="Arial" w:eastAsia="Arial" w:hAnsi="Arial"/>
          <w:sz w:val="18"/>
          <w:szCs w:val="18"/>
          <w:i w:val="1"/>
          <w:iCs w:val="1"/>
          <w:color w:val="auto"/>
        </w:rPr>
        <w:t>provided</w:t>
      </w:r>
      <w:r>
        <w:rPr>
          <w:rFonts w:ascii="Arial" w:cs="Arial" w:eastAsia="Arial" w:hAnsi="Arial"/>
          <w:sz w:val="18"/>
          <w:szCs w:val="18"/>
          <w:color w:val="auto"/>
        </w:rPr>
        <w:t>, that such Credit Agreement Refinancing Indebtedness may participate on a pro rata basis or on a less than pro rata basis (but not on a greater than pro rata basis) in any voluntary or mandatory prepayments hereunder, as specified in the applicable Refinancing Amendment), (C) such Credit Agreement Refinancing Indebtedness will have a maturity date later than the maturity date of, and will have a Weighted Average Life to Maturity that is not shorter than, the Refinanced Debt, (D) the covenants, events of default and guarantees of such Credit Agreement Refinancing Indebtedness, if not consistent with the terms of the Tranche B-2 Term Loans, shall be on customary market terms for Indebtedness of such type (as determined by the Borrower in good faith)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financial maintenance covenant on the then outstanding Term Loans shall be amended to provide the Lenders the benefit of any financial maintenance covenant of such Credit Agreement Refinancing Indebtedness that is in addition to or more restrictive in any material manner than the financial maintenance covenant on the then outstanding Term Loans)), (E) the proceeds of such Credit Agreement Refinancing Indebtedness shall be applied, substantially concurrently with the incurrence thereof, to the prepayment of outstanding Term Loans being so refinanced and (F) other than in the case of Credit Agreement Refinancing Indebtedness the proceeds of which are applied to pay all outstanding Term Loans and other Obligations in full in cash, the Borrower shall have obtained the consent of the Required Lenders. The effectiveness of any Refinancing Amendment shall be subject to the satisfaction (or waiver) on the date thereof of each of the conditions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(and for purposes thereof the incurrence of the Credit Agreement Refinancing Indebtedness shall be deemed to be a Request for Credit Extension) and, to the extent reasonably requested by the Administrative Agent and the Required Lenders, receipt by the Administrative Agent of customary legal opinions, board resolutions, officers’ certificates and a solvency certification or representation, in each case materially consistent with those delivered on the Restatement Effective Date under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changes to such legal opinions resulting from a change in law, change in fact or change to counsel’s form of opinion reasonably satisfactory to the Administrative Agent), and customary reaffirmation agreements. Each Class of Credit Agreement Refinancing Indebtedness incurred under this </w:t>
      </w:r>
      <w:r>
        <w:rPr>
          <w:rFonts w:ascii="Arial" w:cs="Arial" w:eastAsia="Arial" w:hAnsi="Arial"/>
          <w:sz w:val="18"/>
          <w:szCs w:val="18"/>
          <w:u w:val="single" w:color="auto"/>
          <w:color w:val="auto"/>
        </w:rPr>
        <w:t>Section 2.18(a)</w:t>
      </w:r>
      <w:r>
        <w:rPr>
          <w:rFonts w:ascii="Arial" w:cs="Arial" w:eastAsia="Arial" w:hAnsi="Arial"/>
          <w:sz w:val="18"/>
          <w:szCs w:val="18"/>
          <w:color w:val="auto"/>
        </w:rPr>
        <w:t xml:space="preserve"> shall be in an aggregate principal amount that is (x) not less than $40,000,000 and (y) an integral multiple of $1,000,000 in excess thereof. The Administrative Agent shall promptly notify each Lender as to the effectiveness of each Refinancing Amendment.</w:t>
      </w:r>
    </w:p>
    <w:p>
      <w:pPr>
        <w:spacing w:after="0" w:line="194" w:lineRule="exact"/>
        <w:rPr>
          <w:rFonts w:ascii="Arial" w:cs="Arial" w:eastAsia="Arial" w:hAnsi="Arial"/>
          <w:sz w:val="18"/>
          <w:szCs w:val="18"/>
          <w:color w:val="auto"/>
        </w:rPr>
      </w:pPr>
    </w:p>
    <w:p>
      <w:pPr>
        <w:jc w:val="both"/>
        <w:ind w:left="-4" w:firstLine="4"/>
        <w:spacing w:after="0" w:line="243" w:lineRule="auto"/>
        <w:tabs>
          <w:tab w:leader="none" w:pos="414" w:val="left"/>
        </w:tabs>
        <w:numPr>
          <w:ilvl w:val="0"/>
          <w:numId w:val="91"/>
        </w:numPr>
        <w:rPr>
          <w:rFonts w:ascii="Arial" w:cs="Arial" w:eastAsia="Arial" w:hAnsi="Arial"/>
          <w:sz w:val="20"/>
          <w:szCs w:val="20"/>
          <w:color w:val="auto"/>
        </w:rPr>
      </w:pPr>
      <w:r>
        <w:rPr>
          <w:rFonts w:ascii="Arial" w:cs="Arial" w:eastAsia="Arial" w:hAnsi="Arial"/>
          <w:sz w:val="20"/>
          <w:szCs w:val="20"/>
          <w:color w:val="auto"/>
        </w:rPr>
        <w:t xml:space="preserve">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Indebtedness incurred pursuant thereto and (ii) effect such other amendments to this Agreement and the other Loan Documents as may be necessary or appropriate, in the reasonable opinion of the Administrative Agent and the Borrower, to effect the provisions of this </w:t>
      </w:r>
      <w:r>
        <w:rPr>
          <w:rFonts w:ascii="Arial" w:cs="Arial" w:eastAsia="Arial" w:hAnsi="Arial"/>
          <w:sz w:val="20"/>
          <w:szCs w:val="20"/>
          <w:u w:val="single" w:color="auto"/>
          <w:color w:val="auto"/>
        </w:rPr>
        <w:t>Section 2.18</w:t>
      </w:r>
      <w:r>
        <w:rPr>
          <w:rFonts w:ascii="Arial" w:cs="Arial" w:eastAsia="Arial" w:hAnsi="Arial"/>
          <w:sz w:val="20"/>
          <w:szCs w:val="20"/>
          <w:color w:val="auto"/>
        </w:rPr>
        <w:t>, and the Required Lenders hereby expressly authorize the Administrative Agent to enter into any such Refinancing Amendment. Without limiting the foregoing, in connection with any Refinancing</w:t>
      </w:r>
    </w:p>
    <w:p>
      <w:pPr>
        <w:spacing w:after="0" w:line="188" w:lineRule="exact"/>
        <w:rPr>
          <w:sz w:val="20"/>
          <w:szCs w:val="20"/>
          <w:color w:val="auto"/>
        </w:rPr>
      </w:pPr>
    </w:p>
    <w:p>
      <w:pPr>
        <w:ind w:left="4856"/>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157480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76"/>
          </w:cols>
          <w:pgMar w:left="984" w:top="366" w:right="339" w:bottom="1440" w:gutter="0" w:footer="0" w:header="0"/>
        </w:sectPr>
      </w:pPr>
    </w:p>
    <w:bookmarkStart w:id="103" w:name="page104"/>
    <w:bookmarkEnd w:id="103"/>
    <w:p>
      <w:pPr>
        <w:jc w:val="both"/>
        <w:spacing w:after="0" w:line="246" w:lineRule="auto"/>
        <w:rPr>
          <w:sz w:val="20"/>
          <w:szCs w:val="20"/>
          <w:color w:val="auto"/>
        </w:rPr>
      </w:pPr>
      <w:r>
        <w:rPr>
          <w:rFonts w:ascii="Arial" w:cs="Arial" w:eastAsia="Arial" w:hAnsi="Arial"/>
          <w:sz w:val="20"/>
          <w:szCs w:val="20"/>
          <w:color w:val="auto"/>
        </w:rPr>
        <w:t>Amendment, the respective Loan Parties shall (at their expense) amend (and the Collateral Agent is hereby directed to amend) any Mortgage that has a maturity date prior to the Latest Maturity Date after giving effect to such Refinancing Amendment so that such maturity date is extended to the then Latest Maturity Date (or such later date as may be advised by local counsel to the Collateral Agent).</w:t>
      </w:r>
    </w:p>
    <w:p>
      <w:pPr>
        <w:spacing w:after="0" w:line="191" w:lineRule="exact"/>
        <w:rPr>
          <w:sz w:val="20"/>
          <w:szCs w:val="20"/>
          <w:color w:val="auto"/>
        </w:rPr>
      </w:pPr>
    </w:p>
    <w:p>
      <w:pPr>
        <w:ind w:left="840" w:right="2700" w:hanging="836"/>
        <w:spacing w:after="0" w:line="461" w:lineRule="auto"/>
        <w:tabs>
          <w:tab w:leader="none" w:pos="394"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w:t>
      </w:r>
      <w:r>
        <w:rPr>
          <w:rFonts w:ascii="Arial" w:cs="Arial" w:eastAsia="Arial" w:hAnsi="Arial"/>
          <w:sz w:val="20"/>
          <w:szCs w:val="20"/>
          <w:u w:val="single" w:color="auto"/>
          <w:color w:val="auto"/>
        </w:rPr>
        <w:t>2.15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10.08</w:t>
      </w:r>
      <w:r>
        <w:rPr>
          <w:rFonts w:ascii="Arial" w:cs="Arial" w:eastAsia="Arial" w:hAnsi="Arial"/>
          <w:sz w:val="20"/>
          <w:szCs w:val="20"/>
          <w:color w:val="auto"/>
        </w:rPr>
        <w:t xml:space="preserve"> to the contrary. Section 2.19. </w:t>
      </w:r>
      <w:r>
        <w:rPr>
          <w:rFonts w:ascii="Arial" w:cs="Arial" w:eastAsia="Arial" w:hAnsi="Arial"/>
          <w:sz w:val="20"/>
          <w:szCs w:val="20"/>
          <w:i w:val="1"/>
          <w:iCs w:val="1"/>
          <w:color w:val="auto"/>
        </w:rPr>
        <w:t>Extensions of Term Loans</w:t>
      </w:r>
      <w:r>
        <w:rPr>
          <w:rFonts w:ascii="Arial" w:cs="Arial" w:eastAsia="Arial" w:hAnsi="Arial"/>
          <w:sz w:val="20"/>
          <w:szCs w:val="20"/>
          <w:color w:val="auto"/>
        </w:rPr>
        <w:t>.</w:t>
      </w:r>
    </w:p>
    <w:p>
      <w:pPr>
        <w:spacing w:after="0" w:line="2" w:lineRule="exact"/>
        <w:rPr>
          <w:sz w:val="20"/>
          <w:szCs w:val="20"/>
          <w:color w:val="auto"/>
        </w:rPr>
      </w:pPr>
    </w:p>
    <w:p>
      <w:pPr>
        <w:jc w:val="both"/>
        <w:ind w:firstLine="4"/>
        <w:spacing w:after="0" w:line="268" w:lineRule="auto"/>
        <w:tabs>
          <w:tab w:leader="none" w:pos="4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pursuant to one or more offers (each, an “</w:t>
      </w:r>
      <w:r>
        <w:rPr>
          <w:rFonts w:ascii="Arial" w:cs="Arial" w:eastAsia="Arial" w:hAnsi="Arial"/>
          <w:sz w:val="18"/>
          <w:szCs w:val="18"/>
          <w:b w:val="1"/>
          <w:bCs w:val="1"/>
          <w:color w:val="auto"/>
        </w:rPr>
        <w:t>Extension Offer</w:t>
      </w:r>
      <w:r>
        <w:rPr>
          <w:rFonts w:ascii="Arial" w:cs="Arial" w:eastAsia="Arial" w:hAnsi="Arial"/>
          <w:sz w:val="18"/>
          <w:szCs w:val="18"/>
          <w:color w:val="auto"/>
        </w:rPr>
        <w:t>”) made from time to time by the Borrower to all Lenders of a Class of Term Loans with a like Maturity Date on a pro rata basis (based on the aggregate outstanding principal amount of the respective Term Loans of such Class with the same Maturity Date) and on the same terms to each such Lender, the Borrower may from time to time with the consent of any Lender that shall have accepted such offer extend the maturity date of any Term Loans and otherwise modify the terms of such Term Loans of such Lender pursuant to the terms of the relevant Extension Offer (including, without limitation, by increasing the interest rate or fees payable in respect of such Term Loans and/or modifying the amortization schedule in respect of such Term Loans) (each, an “</w:t>
      </w:r>
      <w:r>
        <w:rPr>
          <w:rFonts w:ascii="Arial" w:cs="Arial" w:eastAsia="Arial" w:hAnsi="Arial"/>
          <w:sz w:val="18"/>
          <w:szCs w:val="18"/>
          <w:b w:val="1"/>
          <w:bCs w:val="1"/>
          <w:color w:val="auto"/>
        </w:rPr>
        <w:t>Extension</w:t>
      </w:r>
      <w:r>
        <w:rPr>
          <w:rFonts w:ascii="Arial" w:cs="Arial" w:eastAsia="Arial" w:hAnsi="Arial"/>
          <w:sz w:val="18"/>
          <w:szCs w:val="18"/>
          <w:color w:val="auto"/>
        </w:rPr>
        <w:t>”, and each group of Term Loans as so extended, as well as the group of original Term Loans not so extended, being a “</w:t>
      </w:r>
      <w:r>
        <w:rPr>
          <w:rFonts w:ascii="Arial" w:cs="Arial" w:eastAsia="Arial" w:hAnsi="Arial"/>
          <w:sz w:val="18"/>
          <w:szCs w:val="18"/>
          <w:b w:val="1"/>
          <w:bCs w:val="1"/>
          <w:color w:val="auto"/>
        </w:rPr>
        <w:t>tranche</w:t>
      </w:r>
      <w:r>
        <w:rPr>
          <w:rFonts w:ascii="Arial" w:cs="Arial" w:eastAsia="Arial" w:hAnsi="Arial"/>
          <w:sz w:val="18"/>
          <w:szCs w:val="18"/>
          <w:color w:val="auto"/>
        </w:rPr>
        <w:t>”; any Extended Term Loans shall constitute a separate tranche of Term Loans from the tranche of Term Loans from which they were converted and a separate Class of Term Loans), so long as the following terms are satisfied (or waived): (i) no Event of Default shall exist at the time the notice in respect of an Extension Offer is delivered to the Lenders, and no Event of Default shall exist immediately prior to or after giving effect to the effectiveness of any Extended Term Loans, (ii) except as to interest rates, fees, amortization, final maturity date, premium, AHYDO “catch up” payments, required prepayment dates and participation in prepayments (which shall, subject to immediately succeeding clauses (iii), (iv) and (v), be determined by the Borrower and set forth in the relevant Extension Offer), the Term Loans of any Term Lender extended pursuant to any Extension (“</w:t>
      </w:r>
      <w:r>
        <w:rPr>
          <w:rFonts w:ascii="Arial" w:cs="Arial" w:eastAsia="Arial" w:hAnsi="Arial"/>
          <w:sz w:val="18"/>
          <w:szCs w:val="18"/>
          <w:b w:val="1"/>
          <w:bCs w:val="1"/>
          <w:color w:val="auto"/>
        </w:rPr>
        <w:t>Extended Term Loans</w:t>
      </w:r>
      <w:r>
        <w:rPr>
          <w:rFonts w:ascii="Arial" w:cs="Arial" w:eastAsia="Arial" w:hAnsi="Arial"/>
          <w:sz w:val="18"/>
          <w:szCs w:val="18"/>
          <w:color w:val="auto"/>
        </w:rPr>
        <w:t>”) shall have the same terms and conditions that are substantially identical to, or less favorable to the lenders or investors providing such Extended Term Loans as the tranche of Term Loans subject to such Extension Offer, (iii) the final maturity date of any Extended Term Loans shall be no earlier than the then Latest Maturity Date and the amortization schedule, if any, applicable to Term Loans for periods prior to the then applicable Latest Maturity Date may not be increased, (iv) the Weighted Average Life to Maturity of any Extended Term Loans shall be no shorter than the remaining Weighted Average Life to Maturity of the Term Loans extended thereby, (v) any Extended Term Loans may participate on a pro rata basis or on a less than pro rata basis (but not on a greater than pro rata basis) in any voluntary or mandatory prepayments hereunder, as specified in the applicable Extension Offer, (vi) if the aggregate principal amount of Term Loans (calculated on the face amount thereof) in respect of which Term Lenders shall have accepted the relevant Extension Offer shall exceed the maximum aggregate principal amount of Term Loans offered to be extended by the Borrower pursuant to such Extension Offer, then the Term Loans of such Term Lenders shall be extended ratably up to such maximum amount based on the respective principal amounts (but not to exceed actual holdings of record) with respect to which such Term Lenders have accepted such Extension Offer, (vii) all documentation in respect of such Extension shall be consistent with the foregoing, and (viii) any applicable Minimum Extension Condition shall be satisfied unless waived by the Borrower.</w:t>
      </w:r>
    </w:p>
    <w:p>
      <w:pPr>
        <w:spacing w:after="0" w:line="176" w:lineRule="exact"/>
        <w:rPr>
          <w:rFonts w:ascii="Arial" w:cs="Arial" w:eastAsia="Arial" w:hAnsi="Arial"/>
          <w:sz w:val="18"/>
          <w:szCs w:val="18"/>
          <w:color w:val="auto"/>
        </w:rPr>
      </w:pPr>
    </w:p>
    <w:p>
      <w:pPr>
        <w:jc w:val="both"/>
        <w:ind w:firstLine="4"/>
        <w:spacing w:after="0" w:line="250" w:lineRule="auto"/>
        <w:tabs>
          <w:tab w:leader="none" w:pos="431" w:val="left"/>
        </w:tabs>
        <w:numPr>
          <w:ilvl w:val="0"/>
          <w:numId w:val="93"/>
        </w:numPr>
        <w:rPr>
          <w:rFonts w:ascii="Arial" w:cs="Arial" w:eastAsia="Arial" w:hAnsi="Arial"/>
          <w:sz w:val="20"/>
          <w:szCs w:val="20"/>
          <w:color w:val="auto"/>
        </w:rPr>
      </w:pPr>
      <w:r>
        <w:rPr>
          <w:rFonts w:ascii="Arial" w:cs="Arial" w:eastAsia="Arial" w:hAnsi="Arial"/>
          <w:sz w:val="20"/>
          <w:szCs w:val="20"/>
          <w:color w:val="auto"/>
        </w:rPr>
        <w:t xml:space="preserve">With respect to all Extensions consummated by the Borrower pursuant to this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(i) such Extensions shall not constitute voluntary or mandatory payments or prepayments for purposes of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w:t>
      </w:r>
      <w:r>
        <w:rPr>
          <w:rFonts w:ascii="Arial" w:cs="Arial" w:eastAsia="Arial" w:hAnsi="Arial"/>
          <w:sz w:val="20"/>
          <w:szCs w:val="20"/>
          <w:u w:val="single" w:color="auto"/>
          <w:color w:val="auto"/>
        </w:rPr>
        <w:t>2.13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2.15</w:t>
      </w:r>
      <w:r>
        <w:rPr>
          <w:rFonts w:ascii="Arial" w:cs="Arial" w:eastAsia="Arial" w:hAnsi="Arial"/>
          <w:sz w:val="20"/>
          <w:szCs w:val="20"/>
          <w:color w:val="auto"/>
        </w:rPr>
        <w:t xml:space="preserve"> and (ii) no Extension Offer is required to be in any minimum amount</w:t>
      </w:r>
    </w:p>
    <w:p>
      <w:pPr>
        <w:spacing w:after="0" w:line="18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157480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6" w:right="339" w:bottom="1440" w:gutter="0" w:footer="0" w:header="0"/>
        </w:sectPr>
      </w:pPr>
    </w:p>
    <w:bookmarkStart w:id="104" w:name="page105"/>
    <w:bookmarkEnd w:id="104"/>
    <w:p>
      <w:pPr>
        <w:jc w:val="both"/>
        <w:ind w:left="660"/>
        <w:spacing w:after="0" w:line="258" w:lineRule="auto"/>
        <w:rPr>
          <w:sz w:val="20"/>
          <w:szCs w:val="20"/>
          <w:color w:val="auto"/>
        </w:rPr>
      </w:pPr>
      <w:r>
        <w:rPr>
          <w:rFonts w:ascii="Arial" w:cs="Arial" w:eastAsia="Arial" w:hAnsi="Arial"/>
          <w:sz w:val="19"/>
          <w:szCs w:val="19"/>
          <w:color w:val="auto"/>
        </w:rPr>
        <w:t xml:space="preserve">or any minimum increment,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may at its election specify as a condition (a “</w:t>
      </w:r>
      <w:r>
        <w:rPr>
          <w:rFonts w:ascii="Arial" w:cs="Arial" w:eastAsia="Arial" w:hAnsi="Arial"/>
          <w:sz w:val="19"/>
          <w:szCs w:val="19"/>
          <w:b w:val="1"/>
          <w:bCs w:val="1"/>
          <w:color w:val="auto"/>
        </w:rPr>
        <w:t>Minimum Extension</w:t>
      </w:r>
      <w:r>
        <w:rPr>
          <w:rFonts w:ascii="Arial" w:cs="Arial" w:eastAsia="Arial" w:hAnsi="Arial"/>
          <w:sz w:val="19"/>
          <w:szCs w:val="19"/>
          <w:color w:val="auto"/>
        </w:rPr>
        <w:t xml:space="preserve"> </w:t>
      </w:r>
      <w:r>
        <w:rPr>
          <w:rFonts w:ascii="Arial" w:cs="Arial" w:eastAsia="Arial" w:hAnsi="Arial"/>
          <w:sz w:val="19"/>
          <w:szCs w:val="19"/>
          <w:b w:val="1"/>
          <w:bCs w:val="1"/>
          <w:color w:val="auto"/>
        </w:rPr>
        <w:t>Condition</w:t>
      </w:r>
      <w:r>
        <w:rPr>
          <w:rFonts w:ascii="Arial" w:cs="Arial" w:eastAsia="Arial" w:hAnsi="Arial"/>
          <w:sz w:val="19"/>
          <w:szCs w:val="19"/>
          <w:color w:val="auto"/>
        </w:rPr>
        <w:t>”) to consummating any such Extension that a minimum amount (to be determined and specified in the relevant Extension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Offer in the Borrower’s sole discretion and may be waived by the Borrower) of Term Loans of any or all applicable Classes be tendered. The Administrative Agent and the Lenders hereby consent to the Extensions and the other transactions contemplated by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(including, for the avoidance of doubt, payment of any interest, fees or premium in respect of any Extended Term Loans on such terms as may be set forth in the relevant Extension Offer) and hereby waive the requirements of any provision of this Agreement (including, without limitation,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or any other Loan Document that may otherwise prohibit any such Extension or any other transaction contemplated by this </w:t>
      </w:r>
      <w:r>
        <w:rPr>
          <w:rFonts w:ascii="Arial" w:cs="Arial" w:eastAsia="Arial" w:hAnsi="Arial"/>
          <w:sz w:val="19"/>
          <w:szCs w:val="19"/>
          <w:u w:val="single" w:color="auto"/>
          <w:color w:val="auto"/>
        </w:rPr>
        <w:t>Section 2.19</w:t>
      </w:r>
      <w:r>
        <w:rPr>
          <w:rFonts w:ascii="Arial" w:cs="Arial" w:eastAsia="Arial" w:hAnsi="Arial"/>
          <w:sz w:val="19"/>
          <w:szCs w:val="19"/>
          <w:color w:val="auto"/>
        </w:rPr>
        <w:t>.</w:t>
      </w:r>
    </w:p>
    <w:p>
      <w:pPr>
        <w:spacing w:after="0" w:line="179" w:lineRule="exact"/>
        <w:rPr>
          <w:sz w:val="20"/>
          <w:szCs w:val="20"/>
          <w:color w:val="auto"/>
        </w:rPr>
      </w:pPr>
    </w:p>
    <w:p>
      <w:pPr>
        <w:jc w:val="both"/>
        <w:ind w:left="660" w:firstLine="4"/>
        <w:spacing w:after="0" w:line="269" w:lineRule="auto"/>
        <w:tabs>
          <w:tab w:leader="none" w:pos="1061"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the parties hereto hereby (A) agrees that this Agreement and the other Loan Documents may be amended to give effect to each Extension (an “</w:t>
      </w:r>
      <w:r>
        <w:rPr>
          <w:rFonts w:ascii="Arial" w:cs="Arial" w:eastAsia="Arial" w:hAnsi="Arial"/>
          <w:sz w:val="18"/>
          <w:szCs w:val="18"/>
          <w:b w:val="1"/>
          <w:bCs w:val="1"/>
          <w:color w:val="auto"/>
        </w:rPr>
        <w:t>Extension Amendment</w:t>
      </w:r>
      <w:r>
        <w:rPr>
          <w:rFonts w:ascii="Arial" w:cs="Arial" w:eastAsia="Arial" w:hAnsi="Arial"/>
          <w:sz w:val="18"/>
          <w:szCs w:val="18"/>
          <w:color w:val="auto"/>
        </w:rPr>
        <w:t xml:space="preserve">”), without the consent of any other Lenders, to the extent (but only to the extent) necessary to (i) reflect the existence and terms of the Extended Term Loans incurred pursuant thereto, (ii) modify the scheduled repayments set forth in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with respect to any Class of Term Loans subject to an Extension to reflect a reduction in the principal amount of the Term Loans thereunder in an amount equal to the aggregate principal amount of the Extended Term Loans amended pursuant to the applicable Extension (with such amount to be applied ratably to reduce scheduled repayments of such Term Loans required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(iii) modify the prepayments set forth in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to reflect the existence of the Extended Term Loans and the application of prepayments with respect thereto, and (iv) effect such other amendments to this Agreement and the other Loan Documents as may be necessary or appropriate, in the reasonable opinion of the Administrative Agent and the Borrower, to effect the provisions of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and the Required Lenders hereby expressly and irrevocably, for the benefit of all parties hereto, authorize the Administrative Agent to enter into any such Extension Amendment and (B) consent to the transactions contemplated by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(including, for the avoidance of doubt, payment of interest, fees or premiums in respect of any Extended Term Loans on such terms as may be set forth in the relevant Extension Amendment). Without limiting the foregoing, in connection with any Extension, the respective Loan Parties shall (at their expense) amend (and the Collateral Agent is hereby directed to amend) any Mortgage that has a maturity date prior to the then Latest Maturity Date so that such maturity date is extended to the Latest Maturity Date after giving effect to such Extension (or such later date as may be advised by local counsel to the Collateral Agent).</w:t>
      </w:r>
    </w:p>
    <w:p>
      <w:pPr>
        <w:spacing w:after="0" w:line="173" w:lineRule="exact"/>
        <w:rPr>
          <w:rFonts w:ascii="Arial" w:cs="Arial" w:eastAsia="Arial" w:hAnsi="Arial"/>
          <w:sz w:val="18"/>
          <w:szCs w:val="18"/>
          <w:color w:val="auto"/>
        </w:rPr>
      </w:pPr>
    </w:p>
    <w:p>
      <w:pPr>
        <w:jc w:val="both"/>
        <w:ind w:left="660" w:firstLine="4"/>
        <w:spacing w:after="0" w:line="263" w:lineRule="auto"/>
        <w:tabs>
          <w:tab w:leader="none" w:pos="1059"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In connection with any Extension, the Borrower shall provide the Administrative Agent at least five (5) Business Days’ (or such shorter period as may reasonably be agreed by the Administrative Agent at the direction of the Required Lenders) prior written notice thereof, and shall agree to such procedures, if any, as may be established by, or acceptable to, the Administrative Agent, in each case acting reasonably to accomplish the purposes of this </w:t>
      </w:r>
      <w:r>
        <w:rPr>
          <w:rFonts w:ascii="Arial" w:cs="Arial" w:eastAsia="Arial" w:hAnsi="Arial"/>
          <w:sz w:val="19"/>
          <w:szCs w:val="19"/>
          <w:u w:val="single" w:color="auto"/>
          <w:color w:val="auto"/>
        </w:rPr>
        <w:t>Section 2.19</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ind w:left="1060" w:hanging="396"/>
        <w:spacing w:after="0"/>
        <w:tabs>
          <w:tab w:leader="none" w:pos="1060"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w:t>
      </w:r>
      <w:r>
        <w:rPr>
          <w:rFonts w:ascii="Arial" w:cs="Arial" w:eastAsia="Arial" w:hAnsi="Arial"/>
          <w:sz w:val="20"/>
          <w:szCs w:val="20"/>
          <w:u w:val="single" w:color="auto"/>
          <w:color w:val="auto"/>
        </w:rPr>
        <w:t>2.15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10.08</w:t>
      </w:r>
      <w:r>
        <w:rPr>
          <w:rFonts w:ascii="Arial" w:cs="Arial" w:eastAsia="Arial" w:hAnsi="Arial"/>
          <w:sz w:val="20"/>
          <w:szCs w:val="20"/>
          <w:color w:val="auto"/>
        </w:rPr>
        <w:t xml:space="preserve"> to the contrary.</w:t>
      </w:r>
    </w:p>
    <w:p>
      <w:pPr>
        <w:spacing w:after="0" w:line="205" w:lineRule="exact"/>
        <w:rPr>
          <w:sz w:val="20"/>
          <w:szCs w:val="20"/>
          <w:color w:val="auto"/>
        </w:rPr>
      </w:pPr>
    </w:p>
    <w:p>
      <w:pPr>
        <w:jc w:val="center"/>
        <w:ind w:right="7100"/>
        <w:spacing w:after="0"/>
        <w:rPr>
          <w:sz w:val="20"/>
          <w:szCs w:val="20"/>
          <w:color w:val="auto"/>
        </w:rPr>
      </w:pPr>
      <w:r>
        <w:rPr>
          <w:rFonts w:ascii="Arial" w:cs="Arial" w:eastAsia="Arial" w:hAnsi="Arial"/>
          <w:sz w:val="22"/>
          <w:szCs w:val="22"/>
          <w:b w:val="1"/>
          <w:bCs w:val="1"/>
          <w:color w:val="auto"/>
        </w:rPr>
        <w:t>ARTICLE 3</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axes</w:t>
      </w:r>
      <w:r>
        <w:rPr>
          <w:rFonts w:ascii="Arial" w:cs="Arial" w:eastAsia="Arial" w:hAnsi="Arial"/>
          <w:sz w:val="20"/>
          <w:szCs w:val="20"/>
          <w:color w:val="auto"/>
        </w:rPr>
        <w:t>, I</w:t>
      </w:r>
      <w:r>
        <w:rPr>
          <w:rFonts w:ascii="Arial" w:cs="Arial" w:eastAsia="Arial" w:hAnsi="Arial"/>
          <w:sz w:val="13"/>
          <w:szCs w:val="13"/>
          <w:color w:val="auto"/>
        </w:rPr>
        <w:t>ncreased</w:t>
      </w:r>
      <w:r>
        <w:rPr>
          <w:rFonts w:ascii="Arial" w:cs="Arial" w:eastAsia="Arial" w:hAnsi="Arial"/>
          <w:sz w:val="20"/>
          <w:szCs w:val="20"/>
          <w:color w:val="auto"/>
        </w:rPr>
        <w:t xml:space="preserve"> C</w:t>
      </w:r>
      <w:r>
        <w:rPr>
          <w:rFonts w:ascii="Arial" w:cs="Arial" w:eastAsia="Arial" w:hAnsi="Arial"/>
          <w:sz w:val="13"/>
          <w:szCs w:val="13"/>
          <w:color w:val="auto"/>
        </w:rPr>
        <w:t>osts</w:t>
      </w:r>
      <w:r>
        <w:rPr>
          <w:rFonts w:ascii="Arial" w:cs="Arial" w:eastAsia="Arial" w:hAnsi="Arial"/>
          <w:sz w:val="20"/>
          <w:szCs w:val="20"/>
          <w:color w:val="auto"/>
        </w:rPr>
        <w:t xml:space="preserve"> P</w:t>
      </w:r>
      <w:r>
        <w:rPr>
          <w:rFonts w:ascii="Arial" w:cs="Arial" w:eastAsia="Arial" w:hAnsi="Arial"/>
          <w:sz w:val="13"/>
          <w:szCs w:val="13"/>
          <w:color w:val="auto"/>
        </w:rPr>
        <w:t>rotection and</w:t>
      </w:r>
      <w:r>
        <w:rPr>
          <w:rFonts w:ascii="Arial" w:cs="Arial" w:eastAsia="Arial" w:hAnsi="Arial"/>
          <w:sz w:val="20"/>
          <w:szCs w:val="20"/>
          <w:color w:val="auto"/>
        </w:rPr>
        <w:t xml:space="preserve"> I</w:t>
      </w:r>
      <w:r>
        <w:rPr>
          <w:rFonts w:ascii="Arial" w:cs="Arial" w:eastAsia="Arial" w:hAnsi="Arial"/>
          <w:sz w:val="13"/>
          <w:szCs w:val="13"/>
          <w:color w:val="auto"/>
        </w:rPr>
        <w:t>llegality</w:t>
      </w:r>
    </w:p>
    <w:p>
      <w:pPr>
        <w:spacing w:after="0" w:line="20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3.01. </w:t>
      </w:r>
      <w:r>
        <w:rPr>
          <w:rFonts w:ascii="Arial" w:cs="Arial" w:eastAsia="Arial" w:hAnsi="Arial"/>
          <w:sz w:val="20"/>
          <w:szCs w:val="20"/>
          <w:i w:val="1"/>
          <w:iCs w:val="1"/>
          <w:color w:val="auto"/>
        </w:rPr>
        <w:t>Taxes</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50" w:lineRule="auto"/>
        <w:tabs>
          <w:tab w:leader="none" w:pos="509" w:val="left"/>
        </w:tabs>
        <w:numPr>
          <w:ilvl w:val="0"/>
          <w:numId w:val="95"/>
        </w:numPr>
        <w:rPr>
          <w:rFonts w:ascii="Arial" w:cs="Arial" w:eastAsia="Arial" w:hAnsi="Arial"/>
          <w:sz w:val="20"/>
          <w:szCs w:val="20"/>
          <w:color w:val="auto"/>
        </w:rPr>
      </w:pPr>
      <w:r>
        <w:rPr>
          <w:rFonts w:ascii="Arial" w:cs="Arial" w:eastAsia="Arial" w:hAnsi="Arial"/>
          <w:sz w:val="20"/>
          <w:szCs w:val="20"/>
          <w:color w:val="auto"/>
        </w:rPr>
        <w:t xml:space="preserve">Except as provided in this </w:t>
      </w:r>
      <w:r>
        <w:rPr>
          <w:rFonts w:ascii="Arial" w:cs="Arial" w:eastAsia="Arial" w:hAnsi="Arial"/>
          <w:sz w:val="20"/>
          <w:szCs w:val="20"/>
          <w:u w:val="single" w:color="auto"/>
          <w:color w:val="auto"/>
        </w:rPr>
        <w:t>Section 3.01</w:t>
      </w:r>
      <w:r>
        <w:rPr>
          <w:rFonts w:ascii="Arial" w:cs="Arial" w:eastAsia="Arial" w:hAnsi="Arial"/>
          <w:sz w:val="20"/>
          <w:szCs w:val="20"/>
          <w:color w:val="auto"/>
        </w:rPr>
        <w:t>, any and all payments made by or on account of the Borrower or any Guarantor under any Loan Document to any Lender or Agent shall be made free and clear of and without deduction for any and all present or future taxes, duties, levies, imposts, assessments, withholdings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5" w:name="page106"/>
    <w:bookmarkEnd w:id="105"/>
    <w:p>
      <w:pPr>
        <w:jc w:val="both"/>
        <w:ind w:firstLine="509"/>
        <w:spacing w:after="0" w:line="268" w:lineRule="auto"/>
        <w:rPr>
          <w:sz w:val="20"/>
          <w:szCs w:val="20"/>
          <w:color w:val="auto"/>
        </w:rPr>
      </w:pPr>
      <w:r>
        <w:rPr>
          <w:rFonts w:ascii="Arial" w:cs="Arial" w:eastAsia="Arial" w:hAnsi="Arial"/>
          <w:sz w:val="18"/>
          <w:szCs w:val="18"/>
          <w:color w:val="auto"/>
        </w:rPr>
        <w:t>(including backup withholding), fees or similar charges imposed by any Governmental Authority including interest, penalties and additions to tax (collectively “</w:t>
      </w:r>
      <w:r>
        <w:rPr>
          <w:rFonts w:ascii="Arial" w:cs="Arial" w:eastAsia="Arial" w:hAnsi="Arial"/>
          <w:sz w:val="18"/>
          <w:szCs w:val="18"/>
          <w:b w:val="1"/>
          <w:bCs w:val="1"/>
          <w:color w:val="auto"/>
        </w:rPr>
        <w:t>Taxes</w:t>
      </w:r>
      <w:r>
        <w:rPr>
          <w:rFonts w:ascii="Arial" w:cs="Arial" w:eastAsia="Arial" w:hAnsi="Arial"/>
          <w:sz w:val="18"/>
          <w:szCs w:val="18"/>
          <w:color w:val="auto"/>
        </w:rPr>
        <w:t xml:space="preserve">”), excluding (i) Taxes imposed on or measured by net income, however denominated, and franchise (and similar) Taxes imposed on it in lieu of net income Taxes, (ii) Taxes attributable to the failure by the relevant Lender or Agent to deliver the documentation required to be delivered pursuant to clause (d) of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(iii) Taxes imposed by a jurisdiction as a result of any connection between such Lender or Agent and such jurisdiction other than any connection arising from executing, delivering, being a party to, engaging in any transactions pursuant to, performing its obligations under, or enforcing any Loan Document, (iv) any branch profits Taxes imposed by the United States or any similar Tax imposed by any other jurisdiction in which the Borrower or any Guarantor (as appropriate) is located, (v) any U.S. federal withholding tax imposed on amounts payable hereunder pursuant to a law in effect at such time the Lender or Agent becomes a party to this Agreement (other than pursuant to an assignment request by the Borrower under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or designates a new lending office, except in each case to the extent such Lender (or its assignor, if any) was entitled at the time of designation of a new lending office (or assignment) to receive additional amounts with respect to such withholding tax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(vi) any Tax imposed under FATCA (all such non-excluded Taxes imposed on such payments, being hereinafter referred to as “ </w:t>
      </w:r>
      <w:r>
        <w:rPr>
          <w:rFonts w:ascii="Arial" w:cs="Arial" w:eastAsia="Arial" w:hAnsi="Arial"/>
          <w:sz w:val="18"/>
          <w:szCs w:val="18"/>
          <w:b w:val="1"/>
          <w:bCs w:val="1"/>
          <w:color w:val="auto"/>
        </w:rPr>
        <w:t>Indemnified Taxes</w:t>
      </w:r>
      <w:r>
        <w:rPr>
          <w:rFonts w:ascii="Arial" w:cs="Arial" w:eastAsia="Arial" w:hAnsi="Arial"/>
          <w:sz w:val="18"/>
          <w:szCs w:val="18"/>
          <w:color w:val="auto"/>
        </w:rPr>
        <w:t xml:space="preserve">”). If the Borrower, any Guarantor or other applicable withholding agent shall be required by any Laws to deduct any Indemnified Taxes or Other Taxes (as defined below) from or in respect of any sum payable under any Loan Document to any Agent or any Lender, (i) the sum payable by the Borrower or Guarantor shall be increased as necessary so that after making all required deductions (including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such Agent or Lender (as the case may be) receives an amount equal to the sum it would have received had no such deductions been made, (ii) the applicable withholding agent shall make such deductions, (iii) the applicable withholding agent shall pay the full amount deducted to the relevant Governmental Authority in accordance with applicable Laws, and (iv) within thirty (30) days after the date of such payment (or, if receipts or evidence are not available within thirty (30) days, as soon as possible thereafter), if the Borrower or any Guarantor is the applicable withholding agent, the applicable withholding agent shall furnish to such Agent or Lender (as the case may be) the original or a copy of a receipt evidencing payment thereof or other evidence acceptable to such Agent or Lender.</w:t>
      </w:r>
    </w:p>
    <w:p>
      <w:pPr>
        <w:spacing w:after="0" w:line="180" w:lineRule="exact"/>
        <w:rPr>
          <w:sz w:val="20"/>
          <w:szCs w:val="20"/>
          <w:color w:val="auto"/>
        </w:rPr>
      </w:pPr>
    </w:p>
    <w:p>
      <w:pPr>
        <w:jc w:val="both"/>
        <w:ind w:firstLine="8"/>
        <w:spacing w:after="0" w:line="273" w:lineRule="auto"/>
        <w:tabs>
          <w:tab w:leader="none" w:pos="509"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addition, the Borrower agrees to pay any and all present or future stamp, court or documentary taxes and any other excise, property, intangible or mortgage recording taxes, or charges or levies of the same character, imposed by any Governmental Authority, which arise from any payment made under any Loan Document or from the execution, delivery, performance, enforcement or registration of, or otherwise with respect to, any Loan Document (including additions to tax, penalties and interest related thereto) excluding, in each case, such amounts that result from an Agent or Lender’s Assignment and Acceptance, grant of a Participation, transfer or assignment to or designation of a new applicable lending office or other office for receiving payments under any Loan Document (collectively, “</w:t>
      </w:r>
      <w:r>
        <w:rPr>
          <w:rFonts w:ascii="Arial" w:cs="Arial" w:eastAsia="Arial" w:hAnsi="Arial"/>
          <w:sz w:val="18"/>
          <w:szCs w:val="18"/>
          <w:b w:val="1"/>
          <w:bCs w:val="1"/>
          <w:color w:val="auto"/>
        </w:rPr>
        <w:t>Assignment Taxes</w:t>
      </w:r>
      <w:r>
        <w:rPr>
          <w:rFonts w:ascii="Arial" w:cs="Arial" w:eastAsia="Arial" w:hAnsi="Arial"/>
          <w:sz w:val="18"/>
          <w:szCs w:val="18"/>
          <w:color w:val="auto"/>
        </w:rPr>
        <w:t xml:space="preserve">”) except for Assignment Taxes resulting from assignment or participation that is requested or required in writing by the Borrower (all such non-excluded taxes described in this </w:t>
      </w:r>
      <w:r>
        <w:rPr>
          <w:rFonts w:ascii="Arial" w:cs="Arial" w:eastAsia="Arial" w:hAnsi="Arial"/>
          <w:sz w:val="18"/>
          <w:szCs w:val="18"/>
          <w:u w:val="single" w:color="auto"/>
          <w:color w:val="auto"/>
        </w:rPr>
        <w:t>Section 3.01(b)</w:t>
      </w:r>
      <w:r>
        <w:rPr>
          <w:rFonts w:ascii="Arial" w:cs="Arial" w:eastAsia="Arial" w:hAnsi="Arial"/>
          <w:sz w:val="18"/>
          <w:szCs w:val="18"/>
          <w:color w:val="auto"/>
        </w:rPr>
        <w:t xml:space="preserve"> being hereinafter referred to as “</w:t>
      </w:r>
      <w:r>
        <w:rPr>
          <w:rFonts w:ascii="Arial" w:cs="Arial" w:eastAsia="Arial" w:hAnsi="Arial"/>
          <w:sz w:val="18"/>
          <w:szCs w:val="18"/>
          <w:b w:val="1"/>
          <w:bCs w:val="1"/>
          <w:color w:val="auto"/>
        </w:rPr>
        <w:t>Other Taxes</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firstLine="8"/>
        <w:spacing w:after="0" w:line="244" w:lineRule="auto"/>
        <w:tabs>
          <w:tab w:leader="none" w:pos="509"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Without duplication of </w:t>
      </w:r>
      <w:r>
        <w:rPr>
          <w:rFonts w:ascii="Arial" w:cs="Arial" w:eastAsia="Arial" w:hAnsi="Arial"/>
          <w:sz w:val="20"/>
          <w:szCs w:val="20"/>
          <w:u w:val="single" w:color="auto"/>
          <w:color w:val="auto"/>
        </w:rPr>
        <w:t>Section 3.01(a)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the Borrower and each Guarantor agree to indemnify each Agent and each Lender for (i) the full amount of Indemnified Taxes and Other Taxes paid by such Agent or Lender (including Indemnified Taxes and Other Taxes imposed or asserted on or attributable to amounts payable under this Section) and (ii) any expenses arising therefrom or with respect thereto,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such Agent or Lender, as the case may be, provides Borrower or Guarantor with a written statement thereof setting forth in reasonable detail the basis and calculation of such amounts.</w:t>
      </w:r>
    </w:p>
    <w:p>
      <w:pPr>
        <w:spacing w:after="0" w:line="194" w:lineRule="exact"/>
        <w:rPr>
          <w:rFonts w:ascii="Arial" w:cs="Arial" w:eastAsia="Arial" w:hAnsi="Arial"/>
          <w:sz w:val="20"/>
          <w:szCs w:val="20"/>
          <w:color w:val="auto"/>
        </w:rPr>
      </w:pPr>
    </w:p>
    <w:p>
      <w:pPr>
        <w:jc w:val="both"/>
        <w:ind w:firstLine="8"/>
        <w:spacing w:after="0" w:line="250" w:lineRule="auto"/>
        <w:tabs>
          <w:tab w:leader="none" w:pos="509" w:val="left"/>
        </w:tabs>
        <w:numPr>
          <w:ilvl w:val="0"/>
          <w:numId w:val="96"/>
        </w:numPr>
        <w:rPr>
          <w:rFonts w:ascii="Arial" w:cs="Arial" w:eastAsia="Arial" w:hAnsi="Arial"/>
          <w:sz w:val="20"/>
          <w:szCs w:val="20"/>
          <w:color w:val="auto"/>
        </w:rPr>
      </w:pPr>
      <w:r>
        <w:rPr>
          <w:rFonts w:ascii="Arial" w:cs="Arial" w:eastAsia="Arial" w:hAnsi="Arial"/>
          <w:sz w:val="20"/>
          <w:szCs w:val="20"/>
          <w:color w:val="auto"/>
        </w:rPr>
        <w:t>Each Lender and Agent shall, at such times as are reasonably requested by the Borrower or the Administrative Agent, provide the Borrower and the Administrative Agent with any documentation prescribed by Law certifying as to any entitlement of such Lender or Agent to an exemption from,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6" w:name="page107"/>
    <w:bookmarkEnd w:id="106"/>
    <w:p>
      <w:pPr>
        <w:jc w:val="both"/>
        <w:ind w:firstLine="509"/>
        <w:spacing w:after="0" w:line="270" w:lineRule="auto"/>
        <w:rPr>
          <w:sz w:val="20"/>
          <w:szCs w:val="20"/>
          <w:color w:val="auto"/>
        </w:rPr>
      </w:pPr>
      <w:r>
        <w:rPr>
          <w:rFonts w:ascii="Arial" w:cs="Arial" w:eastAsia="Arial" w:hAnsi="Arial"/>
          <w:sz w:val="18"/>
          <w:szCs w:val="18"/>
          <w:color w:val="auto"/>
        </w:rPr>
        <w:t>reduction in, withholding tax with respect to any payments to be made to such Lender under the Loan Documents. Each such Lender and Agent shall, whenever a lapse in time or change in circumstances renders such documentation obsolete or inaccurate in any material respect, deliver promptly to the Borrower and the Administrative Agent updated or other appropriate documentation (including any new documentation reasonably requested by the applicable withholding agent) or promptly notify the Borrower and the Administrative Agent of its inability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the Borrower, the Administrative Agent or other applicable withholding agent shall withhold amounts required to be withheld by applicable Law from such payments at the applicable statutory rate. Notwithstanding the foregoing, a Lender shall not be required to deliver any form pursuant to this clause (d) that such Lender is not legally able to deliver. In addition, each Lender and Agent shall deliver to the Borrower and the Administrative Agent such other tax forms or other documents as shall be prescribed by applicable Law or reasonably requested by the Borrower or the Administrative Agent as will enable the Borrower or the Administrative Agent to determine whether or not such Lender or Agent is subject to backup withholding or information reporting requirements. Without limiting the foregoing:</w:t>
      </w:r>
    </w:p>
    <w:p>
      <w:pPr>
        <w:spacing w:after="0" w:line="189" w:lineRule="exact"/>
        <w:rPr>
          <w:sz w:val="20"/>
          <w:szCs w:val="20"/>
          <w:color w:val="auto"/>
        </w:rPr>
      </w:pPr>
    </w:p>
    <w:p>
      <w:pPr>
        <w:jc w:val="both"/>
        <w:ind w:left="2260" w:hanging="6"/>
        <w:spacing w:after="0" w:line="277" w:lineRule="auto"/>
        <w:tabs>
          <w:tab w:leader="none" w:pos="2560" w:val="left"/>
        </w:tabs>
        <w:numPr>
          <w:ilvl w:val="1"/>
          <w:numId w:val="97"/>
        </w:numPr>
        <w:rPr>
          <w:rFonts w:ascii="Arial" w:cs="Arial" w:eastAsia="Arial" w:hAnsi="Arial"/>
          <w:sz w:val="19"/>
          <w:szCs w:val="19"/>
          <w:color w:val="auto"/>
        </w:rPr>
      </w:pPr>
      <w:r>
        <w:rPr>
          <w:rFonts w:ascii="Arial" w:cs="Arial" w:eastAsia="Arial" w:hAnsi="Arial"/>
          <w:sz w:val="18"/>
          <w:szCs w:val="18"/>
          <w:color w:val="auto"/>
        </w:rPr>
        <w:t>Each Lender and Agent that is a United States person (as defined in Section 7701(a)(30) of the Code) shall deliver to the Borrower and the Administrative Agent on or before the date on which it becomes a party to this Agreement two properly completed and duly signed executed copies of Internal Revenue Service Form W-9 certifying that such Lender or Agent (as the case may be) is exempt from federal backup withholding.</w:t>
      </w:r>
    </w:p>
    <w:p>
      <w:pPr>
        <w:spacing w:after="0" w:line="178" w:lineRule="exact"/>
        <w:rPr>
          <w:rFonts w:ascii="Arial" w:cs="Arial" w:eastAsia="Arial" w:hAnsi="Arial"/>
          <w:sz w:val="19"/>
          <w:szCs w:val="19"/>
          <w:color w:val="auto"/>
        </w:rPr>
      </w:pPr>
    </w:p>
    <w:p>
      <w:pPr>
        <w:jc w:val="both"/>
        <w:ind w:left="2260" w:hanging="6"/>
        <w:spacing w:after="0" w:line="238" w:lineRule="auto"/>
        <w:tabs>
          <w:tab w:leader="none" w:pos="2560" w:val="left"/>
        </w:tabs>
        <w:numPr>
          <w:ilvl w:val="1"/>
          <w:numId w:val="97"/>
        </w:numPr>
        <w:rPr>
          <w:rFonts w:ascii="Arial" w:cs="Arial" w:eastAsia="Arial" w:hAnsi="Arial"/>
          <w:sz w:val="22"/>
          <w:szCs w:val="22"/>
          <w:color w:val="auto"/>
        </w:rPr>
      </w:pPr>
      <w:r>
        <w:rPr>
          <w:rFonts w:ascii="Arial" w:cs="Arial" w:eastAsia="Arial" w:hAnsi="Arial"/>
          <w:sz w:val="20"/>
          <w:szCs w:val="20"/>
          <w:color w:val="auto"/>
        </w:rPr>
        <w:t>Each Lender and Agent that is not a United States person (as defined in Section 7701(a)(30) of the Code) shall deliver to the Borrower and the Administrative Agent on or before the date on which it becomes a party to this Agreement whichever of the following is applicable:</w:t>
      </w:r>
    </w:p>
    <w:p>
      <w:pPr>
        <w:spacing w:after="0" w:line="197" w:lineRule="exact"/>
        <w:rPr>
          <w:rFonts w:ascii="Arial" w:cs="Arial" w:eastAsia="Arial" w:hAnsi="Arial"/>
          <w:sz w:val="22"/>
          <w:szCs w:val="22"/>
          <w:color w:val="auto"/>
        </w:rPr>
      </w:pPr>
    </w:p>
    <w:p>
      <w:pPr>
        <w:jc w:val="both"/>
        <w:ind w:firstLine="851"/>
        <w:spacing w:after="0" w:line="250" w:lineRule="auto"/>
        <w:tabs>
          <w:tab w:leader="none" w:pos="1211" w:val="left"/>
        </w:tabs>
        <w:numPr>
          <w:ilvl w:val="0"/>
          <w:numId w:val="98"/>
        </w:numPr>
        <w:rPr>
          <w:rFonts w:ascii="Arial" w:cs="Arial" w:eastAsia="Arial" w:hAnsi="Arial"/>
          <w:sz w:val="20"/>
          <w:szCs w:val="20"/>
          <w:color w:val="auto"/>
        </w:rPr>
      </w:pPr>
      <w:r>
        <w:rPr>
          <w:rFonts w:ascii="Arial" w:cs="Arial" w:eastAsia="Arial" w:hAnsi="Arial"/>
          <w:sz w:val="20"/>
          <w:szCs w:val="20"/>
          <w:color w:val="auto"/>
        </w:rPr>
        <w:t>two properly completed and duly signed executed copies of Internal Revenue Service Form W-8BEN or Internal Revenue Service Form W-8BEN-E (or any successor forms) claiming eligibility for the benefits of an income tax treaty to which the United States is a party, and such other documentation as required under the Code,</w:t>
      </w:r>
    </w:p>
    <w:p>
      <w:pPr>
        <w:spacing w:after="0" w:line="185" w:lineRule="exact"/>
        <w:rPr>
          <w:rFonts w:ascii="Arial" w:cs="Arial" w:eastAsia="Arial" w:hAnsi="Arial"/>
          <w:sz w:val="20"/>
          <w:szCs w:val="20"/>
          <w:color w:val="auto"/>
        </w:rPr>
      </w:pPr>
    </w:p>
    <w:p>
      <w:pPr>
        <w:jc w:val="both"/>
        <w:ind w:firstLine="851"/>
        <w:spacing w:after="0" w:line="291" w:lineRule="auto"/>
        <w:tabs>
          <w:tab w:leader="none" w:pos="119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two properly completed and duly signed executed copies of Internal Revenue Service Form W-8ECI (or any successor forms) and, in the case of an Agent, a withholding certificate that satisfies the requirements of Treasury Regulation Sections 1.1441-1(b)(2)(iv) and 1.1441-1(e)(3)(v) as applicable to a U.S. branch that has agreed to be treated as a U.S. person for withholding tax purposes,</w:t>
      </w:r>
    </w:p>
    <w:p>
      <w:pPr>
        <w:spacing w:after="0" w:line="151" w:lineRule="exact"/>
        <w:rPr>
          <w:rFonts w:ascii="Arial" w:cs="Arial" w:eastAsia="Arial" w:hAnsi="Arial"/>
          <w:sz w:val="18"/>
          <w:szCs w:val="18"/>
          <w:color w:val="auto"/>
        </w:rPr>
      </w:pPr>
    </w:p>
    <w:p>
      <w:pPr>
        <w:jc w:val="both"/>
        <w:ind w:firstLine="851"/>
        <w:spacing w:after="0" w:line="246" w:lineRule="auto"/>
        <w:tabs>
          <w:tab w:leader="none" w:pos="12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in the case of a Lender claiming the benefits of the exemption for portfolio interest under Section 881(c) of the Code, (A) a certificate substantially in the form of </w:t>
      </w:r>
      <w:r>
        <w:rPr>
          <w:rFonts w:ascii="Arial" w:cs="Arial" w:eastAsia="Arial" w:hAnsi="Arial"/>
          <w:sz w:val="20"/>
          <w:szCs w:val="20"/>
          <w:u w:val="single" w:color="auto"/>
          <w:color w:val="auto"/>
        </w:rPr>
        <w:t>Exhibit G-1</w:t>
      </w:r>
      <w:r>
        <w:rPr>
          <w:rFonts w:ascii="Arial" w:cs="Arial" w:eastAsia="Arial" w:hAnsi="Arial"/>
          <w:sz w:val="20"/>
          <w:szCs w:val="20"/>
          <w:color w:val="auto"/>
        </w:rPr>
        <w:t xml:space="preserve">, </w:t>
      </w:r>
      <w:r>
        <w:rPr>
          <w:rFonts w:ascii="Arial" w:cs="Arial" w:eastAsia="Arial" w:hAnsi="Arial"/>
          <w:sz w:val="20"/>
          <w:szCs w:val="20"/>
          <w:u w:val="single" w:color="auto"/>
          <w:color w:val="auto"/>
        </w:rPr>
        <w:t>G-2</w:t>
      </w:r>
      <w:r>
        <w:rPr>
          <w:rFonts w:ascii="Arial" w:cs="Arial" w:eastAsia="Arial" w:hAnsi="Arial"/>
          <w:sz w:val="20"/>
          <w:szCs w:val="20"/>
          <w:color w:val="auto"/>
        </w:rPr>
        <w:t xml:space="preserve">, </w:t>
      </w:r>
      <w:r>
        <w:rPr>
          <w:rFonts w:ascii="Arial" w:cs="Arial" w:eastAsia="Arial" w:hAnsi="Arial"/>
          <w:sz w:val="20"/>
          <w:szCs w:val="20"/>
          <w:u w:val="single" w:color="auto"/>
          <w:color w:val="auto"/>
        </w:rPr>
        <w:t>G-3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G-4</w:t>
      </w:r>
      <w:r>
        <w:rPr>
          <w:rFonts w:ascii="Arial" w:cs="Arial" w:eastAsia="Arial" w:hAnsi="Arial"/>
          <w:sz w:val="20"/>
          <w:szCs w:val="20"/>
          <w:color w:val="auto"/>
        </w:rPr>
        <w:t>, as applicable (any such certificate a “</w:t>
      </w:r>
      <w:r>
        <w:rPr>
          <w:rFonts w:ascii="Arial" w:cs="Arial" w:eastAsia="Arial" w:hAnsi="Arial"/>
          <w:sz w:val="20"/>
          <w:szCs w:val="20"/>
          <w:b w:val="1"/>
          <w:bCs w:val="1"/>
          <w:color w:val="auto"/>
        </w:rPr>
        <w:t>United States Tax Compliance</w:t>
      </w:r>
      <w:r>
        <w:rPr>
          <w:rFonts w:ascii="Arial" w:cs="Arial" w:eastAsia="Arial" w:hAnsi="Arial"/>
          <w:sz w:val="20"/>
          <w:szCs w:val="20"/>
          <w:color w:val="auto"/>
        </w:rPr>
        <w:t xml:space="preserve"> </w:t>
      </w:r>
      <w:r>
        <w:rPr>
          <w:rFonts w:ascii="Arial" w:cs="Arial" w:eastAsia="Arial" w:hAnsi="Arial"/>
          <w:sz w:val="20"/>
          <w:szCs w:val="20"/>
          <w:b w:val="1"/>
          <w:bCs w:val="1"/>
          <w:color w:val="auto"/>
        </w:rPr>
        <w:t>Certificate</w:t>
      </w:r>
      <w:r>
        <w:rPr>
          <w:rFonts w:ascii="Arial" w:cs="Arial" w:eastAsia="Arial" w:hAnsi="Arial"/>
          <w:sz w:val="20"/>
          <w:szCs w:val="20"/>
          <w:color w:val="auto"/>
        </w:rPr>
        <w:t>”) and (B) two properly completed and duly signed executed copies of Internal Revenue Service Form W-8BEN or Internal</w:t>
      </w:r>
      <w:r>
        <w:rPr>
          <w:rFonts w:ascii="Arial" w:cs="Arial" w:eastAsia="Arial" w:hAnsi="Arial"/>
          <w:sz w:val="20"/>
          <w:szCs w:val="20"/>
          <w:b w:val="1"/>
          <w:bCs w:val="1"/>
          <w:color w:val="auto"/>
        </w:rPr>
        <w:t xml:space="preserve"> </w:t>
      </w:r>
      <w:r>
        <w:rPr>
          <w:rFonts w:ascii="Arial" w:cs="Arial" w:eastAsia="Arial" w:hAnsi="Arial"/>
          <w:sz w:val="20"/>
          <w:szCs w:val="20"/>
          <w:color w:val="auto"/>
        </w:rPr>
        <w:t>Revenue Service Form W-8BEN-E, or</w:t>
      </w:r>
    </w:p>
    <w:p>
      <w:pPr>
        <w:spacing w:after="0" w:line="191" w:lineRule="exact"/>
        <w:rPr>
          <w:rFonts w:ascii="Arial" w:cs="Arial" w:eastAsia="Arial" w:hAnsi="Arial"/>
          <w:sz w:val="20"/>
          <w:szCs w:val="20"/>
          <w:color w:val="auto"/>
        </w:rPr>
      </w:pPr>
    </w:p>
    <w:p>
      <w:pPr>
        <w:jc w:val="both"/>
        <w:ind w:firstLine="851"/>
        <w:spacing w:after="0" w:line="260" w:lineRule="auto"/>
        <w:tabs>
          <w:tab w:leader="none" w:pos="1191" w:val="left"/>
        </w:tabs>
        <w:numPr>
          <w:ilvl w:val="0"/>
          <w:numId w:val="98"/>
        </w:numPr>
        <w:rPr>
          <w:rFonts w:ascii="Arial" w:cs="Arial" w:eastAsia="Arial" w:hAnsi="Arial"/>
          <w:sz w:val="19"/>
          <w:szCs w:val="19"/>
          <w:color w:val="auto"/>
        </w:rPr>
      </w:pPr>
      <w:r>
        <w:rPr>
          <w:rFonts w:ascii="Arial" w:cs="Arial" w:eastAsia="Arial" w:hAnsi="Arial"/>
          <w:sz w:val="19"/>
          <w:szCs w:val="19"/>
          <w:color w:val="auto"/>
        </w:rPr>
        <w:t>to the extent a Lender is not the beneficial owner (for example, where the Lender is a partnership, or is a participant holding a participation granted by a participating Lender), Internal Revenue Service Form W-8IMY (or any successor forms) of the Lender, accompanied by a Form W-8ECI, W-8BEN, W-8BEN-E, United States Tax Compliance Certificate, Form W-9, Form W-8IMY or any other required information from each beneficial owner,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one or more beneficial owners are claiming the portfolio interest exemption, the United States Tax Compliance Certificate may be provided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7" w:name="page108"/>
    <w:bookmarkEnd w:id="107"/>
    <w:p>
      <w:pPr>
        <w:jc w:val="both"/>
        <w:spacing w:after="0" w:line="243" w:lineRule="auto"/>
        <w:rPr>
          <w:sz w:val="20"/>
          <w:szCs w:val="20"/>
          <w:color w:val="auto"/>
        </w:rPr>
      </w:pPr>
      <w:r>
        <w:rPr>
          <w:rFonts w:ascii="Arial" w:cs="Arial" w:eastAsia="Arial" w:hAnsi="Arial"/>
          <w:sz w:val="20"/>
          <w:szCs w:val="20"/>
          <w:color w:val="auto"/>
        </w:rPr>
        <w:t>by such Lender on behalf of such beneficial owner). Each Lender and Agent shall deliver to the Borrower and the Administrative Agent two further executed copies of any previously delivered form or certification (or any applicable successor form) on or before the date that any such form or certification expires or becomes obsolete or inaccurate and promptly after the occurrence of any event requiring a change in the most recent form previously delivered by it to the Borrower or the Administrative Agent, or promptly notify the Borrower and the Administrative Agent that it is unable to do so. Each Lender and Agent shall promptly notify the Administrative Agent at any time it determines that it is no longer in a position to provide any previously delivered form or certification to the Borrower or the Administrative Agent.</w:t>
      </w:r>
    </w:p>
    <w:p>
      <w:pPr>
        <w:spacing w:after="0" w:line="193" w:lineRule="exact"/>
        <w:rPr>
          <w:sz w:val="20"/>
          <w:szCs w:val="20"/>
          <w:color w:val="auto"/>
        </w:rPr>
      </w:pPr>
    </w:p>
    <w:p>
      <w:pPr>
        <w:jc w:val="both"/>
        <w:ind w:left="2720" w:firstLine="837"/>
        <w:spacing w:after="0" w:line="243" w:lineRule="auto"/>
        <w:tabs>
          <w:tab w:leader="none" w:pos="4083"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Any Lender or Agent claiming any additional amounts payable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3.01</w:t>
      </w:r>
      <w:r>
        <w:rPr>
          <w:rFonts w:ascii="Arial" w:cs="Arial" w:eastAsia="Arial" w:hAnsi="Arial"/>
          <w:sz w:val="20"/>
          <w:szCs w:val="20"/>
          <w:color w:val="auto"/>
        </w:rPr>
        <w:t xml:space="preserve"> shall use its reasonable efforts to change the jurisdiction of its lending office (or take any other measures reasonably requested by the Borrower) if such a change or other measures would reduce any such additional amounts (or any similar amount that may thereafter accrue) and would not, in the reasonable, good faith determination of such Lender, result in any unreimbursed cost or expense or be otherwise materially disadvantageous to such Lender.</w:t>
      </w:r>
    </w:p>
    <w:p>
      <w:pPr>
        <w:spacing w:after="0" w:line="195" w:lineRule="exact"/>
        <w:rPr>
          <w:rFonts w:ascii="Arial" w:cs="Arial" w:eastAsia="Arial" w:hAnsi="Arial"/>
          <w:sz w:val="20"/>
          <w:szCs w:val="20"/>
          <w:color w:val="auto"/>
        </w:rPr>
      </w:pPr>
    </w:p>
    <w:p>
      <w:pPr>
        <w:jc w:val="both"/>
        <w:ind w:left="2720" w:firstLine="837"/>
        <w:spacing w:after="0" w:line="270" w:lineRule="auto"/>
        <w:tabs>
          <w:tab w:leader="none" w:pos="4083"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If any Lender or Agent determines, in its reasonable, good faith discretion, that it has received a refund in respect of any Taxes as to which indemnification or additional amounts have been paid to it by the Borrower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(including by payment of additional amounts pursuant to this Section) it shall promptly remit such refund to the Borrower or Guarantor, net of all out-of-pocket expenses of the Lender or Agent, as the case may be and without interest (other than any interest paid by the relevant Governmental Authority with respect to such refund net of any Taxes payable by any Agent or Lender on such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and Guarantors, upon the request of the Lender or Agent, as the case may be, agree promptly to return such refund (plus any penalties, interest or other charges imposed by the relevant Governmental Authority) to such party in the event such party is required to repay such refund to the relevant Governmental Authority. This section shall not be construed to require the Administrative Agent or any Lender to make available its tax returns (or any other information relating to Taxes that it deems confidential) to the Borrower or any other person.</w:t>
      </w:r>
    </w:p>
    <w:p>
      <w:pPr>
        <w:spacing w:after="0" w:line="175" w:lineRule="exact"/>
        <w:rPr>
          <w:rFonts w:ascii="Arial" w:cs="Arial" w:eastAsia="Arial" w:hAnsi="Arial"/>
          <w:sz w:val="18"/>
          <w:szCs w:val="18"/>
          <w:color w:val="auto"/>
        </w:rPr>
      </w:pPr>
    </w:p>
    <w:p>
      <w:pPr>
        <w:jc w:val="both"/>
        <w:ind w:left="2720" w:firstLine="837"/>
        <w:spacing w:after="0" w:line="271" w:lineRule="auto"/>
        <w:tabs>
          <w:tab w:leader="none" w:pos="4083"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If a payment made to a Lender or Agent under any Loan Document would be subject to withholding Tax imposed by FATCA if such Lender or Agent were to fail to comply with the applicable reporting requirements of FATCA (including those contained in Section 1471(b) or 1472(b) of the Code, as applicable), such Lender or Agent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or Agent has complied with such Lender’s or Agent’s obligations under FATCA or to determine the amount, if any, to deduct and withhold from such payment. Solely for purposes of this </w:t>
      </w:r>
      <w:r>
        <w:rPr>
          <w:rFonts w:ascii="Arial" w:cs="Arial" w:eastAsia="Arial" w:hAnsi="Arial"/>
          <w:sz w:val="18"/>
          <w:szCs w:val="18"/>
          <w:u w:val="single" w:color="auto"/>
          <w:color w:val="auto"/>
        </w:rPr>
        <w:t>Section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8" w:name="page109"/>
    <w:bookmarkEnd w:id="108"/>
    <w:p>
      <w:pPr>
        <w:ind w:left="2720"/>
        <w:spacing w:after="0"/>
        <w:rPr>
          <w:sz w:val="20"/>
          <w:szCs w:val="20"/>
          <w:color w:val="auto"/>
        </w:rPr>
      </w:pPr>
      <w:r>
        <w:rPr>
          <w:rFonts w:ascii="Arial" w:cs="Arial" w:eastAsia="Arial" w:hAnsi="Arial"/>
          <w:sz w:val="19"/>
          <w:szCs w:val="19"/>
          <w:u w:val="single" w:color="auto"/>
          <w:color w:val="auto"/>
        </w:rPr>
        <w:t>3.01(h)</w:t>
      </w:r>
      <w:r>
        <w:rPr>
          <w:rFonts w:ascii="Arial" w:cs="Arial" w:eastAsia="Arial" w:hAnsi="Arial"/>
          <w:sz w:val="19"/>
          <w:szCs w:val="19"/>
          <w:color w:val="auto"/>
        </w:rPr>
        <w:t>, “FATCA” shall include any amendments made to FATCA after the date of this Agreement.</w:t>
      </w:r>
    </w:p>
    <w:p>
      <w:pPr>
        <w:spacing w:after="0" w:line="227" w:lineRule="exact"/>
        <w:rPr>
          <w:sz w:val="20"/>
          <w:szCs w:val="20"/>
          <w:color w:val="auto"/>
        </w:rPr>
      </w:pPr>
    </w:p>
    <w:p>
      <w:pPr>
        <w:jc w:val="both"/>
        <w:ind w:left="2720" w:firstLine="837"/>
        <w:spacing w:after="0" w:line="250" w:lineRule="auto"/>
        <w:tabs>
          <w:tab w:leader="none" w:pos="4083" w:val="left"/>
        </w:tabs>
        <w:numPr>
          <w:ilvl w:val="0"/>
          <w:numId w:val="100"/>
        </w:numPr>
        <w:rPr>
          <w:rFonts w:ascii="Arial" w:cs="Arial" w:eastAsia="Arial" w:hAnsi="Arial"/>
          <w:sz w:val="20"/>
          <w:szCs w:val="20"/>
          <w:color w:val="auto"/>
        </w:rPr>
      </w:pPr>
      <w:r>
        <w:rPr>
          <w:rFonts w:ascii="Arial" w:cs="Arial" w:eastAsia="Arial" w:hAnsi="Arial"/>
          <w:sz w:val="20"/>
          <w:szCs w:val="20"/>
          <w:color w:val="auto"/>
        </w:rPr>
        <w:t xml:space="preserve">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any assignment of rights by, or the replacement of, a Lender, the termination of the Commitments and the repayment, satisfaction or discharge of all obligations under any Loan Document.</w:t>
      </w:r>
    </w:p>
    <w:p>
      <w:pPr>
        <w:spacing w:after="0" w:line="185" w:lineRule="exact"/>
        <w:rPr>
          <w:rFonts w:ascii="Arial" w:cs="Arial" w:eastAsia="Arial" w:hAnsi="Arial"/>
          <w:sz w:val="20"/>
          <w:szCs w:val="20"/>
          <w:color w:val="auto"/>
        </w:rPr>
      </w:pPr>
    </w:p>
    <w:p>
      <w:pPr>
        <w:jc w:val="both"/>
        <w:ind w:left="2720" w:firstLine="837"/>
        <w:spacing w:after="0" w:line="272" w:lineRule="auto"/>
        <w:tabs>
          <w:tab w:leader="none" w:pos="408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Each Lender shall indemnify each Agent, within 10 days following written demand therefor, for (i) the full amount of any Indemnified Taxes and Other Taxes attributable to such Lender (but only to the extent that such Agent has not already been indemnified by the Borrower and each Guarantor for such Indemnified Taxes and Other Taxes and without limiting the obligation of the Borrower and each Guarantor to do so), and (ii) any Taxes attributable to such Lender’s failure to comply with the provision of </w:t>
      </w:r>
      <w:r>
        <w:rPr>
          <w:rFonts w:ascii="Arial" w:cs="Arial" w:eastAsia="Arial" w:hAnsi="Arial"/>
          <w:sz w:val="18"/>
          <w:szCs w:val="18"/>
          <w:u w:val="single" w:color="auto"/>
          <w:color w:val="auto"/>
        </w:rPr>
        <w:t>Section 10.04(f)</w:t>
      </w:r>
      <w:r>
        <w:rPr>
          <w:rFonts w:ascii="Arial" w:cs="Arial" w:eastAsia="Arial" w:hAnsi="Arial"/>
          <w:sz w:val="18"/>
          <w:szCs w:val="18"/>
          <w:color w:val="auto"/>
        </w:rPr>
        <w:t xml:space="preserve"> relating to the maintenance of a Participant Register, in each case, that are payable or paid by such Agent in connection with any Loan Documents, and any expenses arising therefrom or with respect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Agent provides such lender with a written statement thereof setting forth in reasonable detail the basis and calculation of such amounts.</w:t>
      </w:r>
    </w:p>
    <w:p>
      <w:pPr>
        <w:spacing w:after="0" w:line="170"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Illegality.</w:t>
      </w:r>
      <w:r>
        <w:rPr>
          <w:rFonts w:ascii="Arial" w:cs="Arial" w:eastAsia="Arial" w:hAnsi="Arial"/>
          <w:sz w:val="18"/>
          <w:szCs w:val="18"/>
          <w:color w:val="auto"/>
        </w:rPr>
        <w:t xml:space="preserve"> If any Law has made it unlawful, or that any Governmental Authority has asserted that it is unlawful, for any Lender or its applicable lending office to make, maintain or fund SOFR Loans, or to determine or charge interest rates based upon SOFR, then, on notice thereof by such Lender to the Borrower through the Administrative Agent, any obligation of such Lender to make or continue SOFR Loans or to convert ABR Loans to SOFR Loans shall be suspended until such Lender notifies the Administrative Agent and the Borrower that the circumstances giving rise to such determination no longer exist. Upon receipt of such notice, the Borrower shall promptly following written demand from such Lender (with a copy to the Administrative Agent), prepay or, if applicable, convert all applicable SOFR Loans of such Lender to ABR Loans, either on the last day of the Interest Period therefor, if such Lender may lawfully continue to maintain such SOFR Loans to such day, or promptly, if such Lender may not lawfully continue to maintain such SOFR Loans. Upon any such prepayment or conversion, the Borrower shall also pay accrued interest on the amount so prepaid or converted and all amounts due. Each Lender agrees to designate a different lending office if such designation will avoid the need for such notice and will not, in the good faith judgment of such Lender, otherwise be materially disadvantageous to such Lender.</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3.03. </w:t>
      </w:r>
      <w:r>
        <w:rPr>
          <w:rFonts w:ascii="Arial" w:cs="Arial" w:eastAsia="Arial" w:hAnsi="Arial"/>
          <w:sz w:val="20"/>
          <w:szCs w:val="20"/>
          <w:i w:val="1"/>
          <w:iCs w:val="1"/>
          <w:color w:val="auto"/>
        </w:rPr>
        <w:t>Increased Cost and Reduced Return; Capital Adequacy; Reserves on SOFR Loans</w:t>
      </w:r>
      <w:r>
        <w:rPr>
          <w:rFonts w:ascii="Arial" w:cs="Arial" w:eastAsia="Arial" w:hAnsi="Arial"/>
          <w:sz w:val="20"/>
          <w:szCs w:val="20"/>
          <w:color w:val="auto"/>
        </w:rPr>
        <w:t>.</w:t>
      </w:r>
    </w:p>
    <w:p>
      <w:pPr>
        <w:spacing w:after="0" w:line="216" w:lineRule="exact"/>
        <w:rPr>
          <w:sz w:val="20"/>
          <w:szCs w:val="20"/>
          <w:color w:val="auto"/>
        </w:rPr>
      </w:pPr>
    </w:p>
    <w:p>
      <w:pPr>
        <w:jc w:val="both"/>
        <w:ind w:left="100" w:firstLine="656"/>
        <w:spacing w:after="0" w:line="257" w:lineRule="auto"/>
        <w:tabs>
          <w:tab w:leader="none" w:pos="102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If any Lender reasonably determines that as a result of the introduction of or any change in or in the interpretation of any Law, in each case after the Restatement Effective Date, or such Lender’s compliance therewith, there shall be any material increase in the cost to such Lender of agreeing to make or making, funding or maintaining any SOFR Loans, or a material reduction in the amount received or receivable by such Lender in connection with any of the foregoing (excluding for purposes of this </w:t>
      </w:r>
      <w:r>
        <w:rPr>
          <w:rFonts w:ascii="Arial" w:cs="Arial" w:eastAsia="Arial" w:hAnsi="Arial"/>
          <w:sz w:val="19"/>
          <w:szCs w:val="19"/>
          <w:u w:val="single" w:color="auto"/>
          <w:color w:val="auto"/>
        </w:rPr>
        <w:t>Section 3.03(a)</w:t>
      </w:r>
      <w:r>
        <w:rPr>
          <w:rFonts w:ascii="Arial" w:cs="Arial" w:eastAsia="Arial" w:hAnsi="Arial"/>
          <w:sz w:val="19"/>
          <w:szCs w:val="19"/>
          <w:color w:val="auto"/>
        </w:rPr>
        <w:t xml:space="preserve"> any such increased costs or reduction in amount resulting from (i) Indemnified Taxes or Other Taxes for which additional amounts are payable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w:t>
      </w:r>
      <w:r>
        <w:rPr>
          <w:rFonts w:ascii="Arial" w:cs="Arial" w:eastAsia="Arial" w:hAnsi="Arial"/>
          <w:sz w:val="19"/>
          <w:szCs w:val="19"/>
          <w:color w:val="auto"/>
        </w:rPr>
        <w:t>, or any Taxes excluded from the definition of Indemnified Taxes under exception (iii) thereof to the extent such Taxes are imposed on or measured by net income or profits or are franchise taxes (imposed in lieu of the foregoing taxes) and any Taxes excluded from the definition of Indemnified Taxes under exceptions (i), (ii), (iv), (v) and (vi) thereof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9" w:name="page110"/>
    <w:bookmarkEnd w:id="109"/>
    <w:p>
      <w:pPr>
        <w:jc w:val="both"/>
        <w:ind w:left="100"/>
        <w:spacing w:after="0" w:line="243" w:lineRule="auto"/>
        <w:rPr>
          <w:sz w:val="20"/>
          <w:szCs w:val="20"/>
          <w:color w:val="auto"/>
        </w:rPr>
      </w:pPr>
      <w:r>
        <w:rPr>
          <w:rFonts w:ascii="Arial" w:cs="Arial" w:eastAsia="Arial" w:hAnsi="Arial"/>
          <w:sz w:val="20"/>
          <w:szCs w:val="20"/>
          <w:color w:val="auto"/>
        </w:rPr>
        <w:t xml:space="preserve">or (ii) reserve requirements contemplated by </w:t>
      </w:r>
      <w:r>
        <w:rPr>
          <w:rFonts w:ascii="Arial" w:cs="Arial" w:eastAsia="Arial" w:hAnsi="Arial"/>
          <w:sz w:val="20"/>
          <w:szCs w:val="20"/>
          <w:u w:val="single" w:color="auto"/>
          <w:color w:val="auto"/>
        </w:rPr>
        <w:t>Section 3.03(c)</w:t>
      </w:r>
      <w:r>
        <w:rPr>
          <w:rFonts w:ascii="Arial" w:cs="Arial" w:eastAsia="Arial" w:hAnsi="Arial"/>
          <w:sz w:val="20"/>
          <w:szCs w:val="20"/>
          <w:color w:val="auto"/>
        </w:rPr>
        <w:t xml:space="preserve"> or reflected in Adjusted Term SOFR) and the result of any of the foregoing shall be to increase the cost to such Lender of making or maintaining any SOFR Loan (or of maintaining its obligations to make any Loan), or to reduce the amount of any sum received or receivable by such Lender, then from time to time within fifteen (15) days after written demand by such Lender setting forth in reasonable detail such increased costs (with a copy of such written demand to the Administrative Agent given in accordance with </w:t>
      </w:r>
      <w:r>
        <w:rPr>
          <w:rFonts w:ascii="Arial" w:cs="Arial" w:eastAsia="Arial" w:hAnsi="Arial"/>
          <w:sz w:val="20"/>
          <w:szCs w:val="20"/>
          <w:u w:val="single" w:color="auto"/>
          <w:color w:val="auto"/>
        </w:rPr>
        <w:t>Section 3.05</w:t>
      </w:r>
      <w:r>
        <w:rPr>
          <w:rFonts w:ascii="Arial" w:cs="Arial" w:eastAsia="Arial" w:hAnsi="Arial"/>
          <w:sz w:val="20"/>
          <w:szCs w:val="20"/>
          <w:color w:val="auto"/>
        </w:rPr>
        <w:t>), the Borrower shall pay to such Lender such additional amounts as will compensate such Lender for such increased cost or reduction.</w:t>
      </w:r>
    </w:p>
    <w:p>
      <w:pPr>
        <w:spacing w:after="0" w:line="196" w:lineRule="exact"/>
        <w:rPr>
          <w:sz w:val="20"/>
          <w:szCs w:val="20"/>
          <w:color w:val="auto"/>
        </w:rPr>
      </w:pPr>
    </w:p>
    <w:p>
      <w:pPr>
        <w:jc w:val="both"/>
        <w:ind w:firstLine="8"/>
        <w:spacing w:after="0" w:line="257" w:lineRule="auto"/>
        <w:tabs>
          <w:tab w:leader="none" w:pos="50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If any Lender determines that the introduction of any Law regarding capital adequacy or liquidity or any change therein or in the interpretation thereof, in each case after the Restatement Effective Date, or compliance by such Lender (or its lending office) therewith, has the effect of reducing the rate of return on the capital of such Lender or any entity controlling such Lender as a consequence of such Lender’s obligations hereunder (taking into consideration its policies with respect to capital adequacy and liquidity and such Lender’s desired return on capital), then from time to time upon written demand of such Lender setting forth in reasonable detail the charge and the calculation of such reduced rate of return (with a copy of such written demand to the Administrative Agent given in accordance with </w:t>
      </w:r>
      <w:r>
        <w:rPr>
          <w:rFonts w:ascii="Arial" w:cs="Arial" w:eastAsia="Arial" w:hAnsi="Arial"/>
          <w:sz w:val="19"/>
          <w:szCs w:val="19"/>
          <w:u w:val="single" w:color="auto"/>
          <w:color w:val="auto"/>
        </w:rPr>
        <w:t>Section 3.05</w:t>
      </w:r>
      <w:r>
        <w:rPr>
          <w:rFonts w:ascii="Arial" w:cs="Arial" w:eastAsia="Arial" w:hAnsi="Arial"/>
          <w:sz w:val="19"/>
          <w:szCs w:val="19"/>
          <w:color w:val="auto"/>
        </w:rPr>
        <w:t>), the Borrower shall pay to such Lender such additional amounts as will compensate such Lender or controlling entity for such reduction within fifteen (15) days after receipt of such written demand.</w:t>
      </w:r>
    </w:p>
    <w:p>
      <w:pPr>
        <w:spacing w:after="0" w:line="180" w:lineRule="exact"/>
        <w:rPr>
          <w:rFonts w:ascii="Arial" w:cs="Arial" w:eastAsia="Arial" w:hAnsi="Arial"/>
          <w:sz w:val="19"/>
          <w:szCs w:val="19"/>
          <w:color w:val="auto"/>
        </w:rPr>
      </w:pPr>
    </w:p>
    <w:p>
      <w:pPr>
        <w:jc w:val="both"/>
        <w:ind w:firstLine="8"/>
        <w:spacing w:after="0" w:line="272" w:lineRule="auto"/>
        <w:tabs>
          <w:tab w:leader="none" w:pos="50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Except to the extent already reflected in Adjusted Term SOFR, the Borrower shall pay to each Lender, as long as such Lender shall be required to comply with any reserve ratio requirement or analogous requirement of any other central banking or financial regulatory authority imposed in respect of the maintenance of the Commitments or the funding of any SOFR Loans of the Borrower,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Borrower shall have received at least fifteen (15) days’ prior written notice (with a copy to the Administrative Agent) of such additional interest or cost from such Lender. If a Lender fails to give written notice fifteen (15) days prior to the relevant Interest Payment Date, such additional interest or cost shall be due and payable fifteen (15) days from receipt of such written notice.</w:t>
      </w:r>
    </w:p>
    <w:p>
      <w:pPr>
        <w:spacing w:after="0" w:line="170" w:lineRule="exact"/>
        <w:rPr>
          <w:rFonts w:ascii="Arial" w:cs="Arial" w:eastAsia="Arial" w:hAnsi="Arial"/>
          <w:sz w:val="18"/>
          <w:szCs w:val="18"/>
          <w:color w:val="auto"/>
        </w:rPr>
      </w:pPr>
    </w:p>
    <w:p>
      <w:pPr>
        <w:ind w:firstLine="8"/>
        <w:spacing w:after="0" w:line="260" w:lineRule="auto"/>
        <w:tabs>
          <w:tab w:leader="none" w:pos="509"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Failure or delay on the part of any Lender to demand compensation pursuant to this </w:t>
      </w:r>
      <w:r>
        <w:rPr>
          <w:rFonts w:ascii="Arial" w:cs="Arial" w:eastAsia="Arial" w:hAnsi="Arial"/>
          <w:sz w:val="20"/>
          <w:szCs w:val="20"/>
          <w:u w:val="single" w:color="auto"/>
          <w:color w:val="auto"/>
        </w:rPr>
        <w:t>Section 3.03</w:t>
      </w:r>
      <w:r>
        <w:rPr>
          <w:rFonts w:ascii="Arial" w:cs="Arial" w:eastAsia="Arial" w:hAnsi="Arial"/>
          <w:sz w:val="20"/>
          <w:szCs w:val="20"/>
          <w:color w:val="auto"/>
        </w:rPr>
        <w:t xml:space="preserve"> shall not constitute a waiver of such Lender’s right to demand such compensation.</w:t>
      </w:r>
    </w:p>
    <w:p>
      <w:pPr>
        <w:spacing w:after="0" w:line="176" w:lineRule="exact"/>
        <w:rPr>
          <w:rFonts w:ascii="Arial" w:cs="Arial" w:eastAsia="Arial" w:hAnsi="Arial"/>
          <w:sz w:val="20"/>
          <w:szCs w:val="20"/>
          <w:color w:val="auto"/>
        </w:rPr>
      </w:pPr>
    </w:p>
    <w:p>
      <w:pPr>
        <w:jc w:val="both"/>
        <w:ind w:firstLine="8"/>
        <w:spacing w:after="0" w:line="260" w:lineRule="auto"/>
        <w:tabs>
          <w:tab w:leader="none" w:pos="50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If any Lender requests compensation under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then such Lender will, if requested by the Borrower, use commercially reasonable efforts to designate another lending office for any Loan affected by such event;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efforts are made on terms that, in the reasonable judgment of such Lender, cause such Lender and its lending office(s) to suffer no material economic, legal or regulatory disadvantage,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3.03(e)</w:t>
      </w:r>
      <w:r>
        <w:rPr>
          <w:rFonts w:ascii="Arial" w:cs="Arial" w:eastAsia="Arial" w:hAnsi="Arial"/>
          <w:sz w:val="19"/>
          <w:szCs w:val="19"/>
          <w:color w:val="auto"/>
        </w:rPr>
        <w:t xml:space="preserve"> shall affect or postpone any of the Obligations of the Borrower or the rights of such Lender pursuant to </w:t>
      </w:r>
      <w:r>
        <w:rPr>
          <w:rFonts w:ascii="Arial" w:cs="Arial" w:eastAsia="Arial" w:hAnsi="Arial"/>
          <w:sz w:val="19"/>
          <w:szCs w:val="19"/>
          <w:u w:val="single" w:color="auto"/>
          <w:color w:val="auto"/>
        </w:rPr>
        <w:t>Section 3.03(a)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3.04. </w:t>
      </w:r>
      <w:r>
        <w:rPr>
          <w:rFonts w:ascii="Arial" w:cs="Arial" w:eastAsia="Arial" w:hAnsi="Arial"/>
          <w:sz w:val="20"/>
          <w:szCs w:val="20"/>
          <w:i w:val="1"/>
          <w:iCs w:val="1"/>
          <w:color w:val="auto"/>
        </w:rPr>
        <w:t>[Reserved].</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3.05. </w:t>
      </w:r>
      <w:r>
        <w:rPr>
          <w:rFonts w:ascii="Arial" w:cs="Arial" w:eastAsia="Arial" w:hAnsi="Arial"/>
          <w:sz w:val="20"/>
          <w:szCs w:val="20"/>
          <w:i w:val="1"/>
          <w:iCs w:val="1"/>
          <w:color w:val="auto"/>
        </w:rPr>
        <w:t>Matters Applicable to all Requests for Compensation</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69" w:lineRule="auto"/>
        <w:tabs>
          <w:tab w:leader="none" w:pos="50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Any Agent or any Lender claiming compensation under this Article 3 shall deliver a certificate to the Borrower setting forth the additional amount or amounts to be paid to it hereunder which shall be conclusive in the absence of manifest error. In determining such amount, such Agent or such Lender may use any reasonable and customary averaging and attribution methods.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0" w:name="page111"/>
    <w:bookmarkEnd w:id="110"/>
    <w:p>
      <w:pPr>
        <w:jc w:val="both"/>
        <w:ind w:firstLine="8"/>
        <w:spacing w:after="0" w:line="273" w:lineRule="auto"/>
        <w:tabs>
          <w:tab w:leader="none" w:pos="50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With respect to any Lender’s claim for compensation under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the Borrower shall not be required to compensate such Lender for any amount incurred more than one hundred and eighty (180) days prior to the date that such Lender notifies the Borrower of the event that gives rise to such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circumstance giving rise to such claim is retroactive, then such 180-day period referred to above shall be extended to include the period of retroactive effect thereof. If any Lender requests compensation by the Borrower under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the Borrower may, by notice to such Lender (with a copy to the Administrative Agent), suspend the obligation of such Lender to make or continue from one Interest Period to another any applicable SOFR Loan, or, if applicable, to convert ABR Loans into SOFR Loans, until the event or condition giving rise to such request ceases to be in effect (in which case the provisions of </w:t>
      </w:r>
      <w:r>
        <w:rPr>
          <w:rFonts w:ascii="Arial" w:cs="Arial" w:eastAsia="Arial" w:hAnsi="Arial"/>
          <w:sz w:val="18"/>
          <w:szCs w:val="18"/>
          <w:u w:val="single" w:color="auto"/>
          <w:color w:val="auto"/>
        </w:rPr>
        <w:t>Section 3.05(c)</w:t>
      </w:r>
      <w:r>
        <w:rPr>
          <w:rFonts w:ascii="Arial" w:cs="Arial" w:eastAsia="Arial" w:hAnsi="Arial"/>
          <w:sz w:val="18"/>
          <w:szCs w:val="18"/>
          <w:color w:val="auto"/>
        </w:rPr>
        <w:t xml:space="preserve"> shall be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suspension shall not affect the right of such Lender to receive the compensation so requested.</w:t>
      </w:r>
    </w:p>
    <w:p>
      <w:pPr>
        <w:spacing w:after="0" w:line="168" w:lineRule="exact"/>
        <w:rPr>
          <w:rFonts w:ascii="Arial" w:cs="Arial" w:eastAsia="Arial" w:hAnsi="Arial"/>
          <w:sz w:val="18"/>
          <w:szCs w:val="18"/>
          <w:color w:val="auto"/>
        </w:rPr>
      </w:pPr>
    </w:p>
    <w:p>
      <w:pPr>
        <w:jc w:val="both"/>
        <w:ind w:firstLine="8"/>
        <w:spacing w:after="0" w:line="278" w:lineRule="auto"/>
        <w:tabs>
          <w:tab w:leader="none" w:pos="50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If the obligation of any Lender to make or continue any SOFR Loan, or to convert ABR Loans into SOFR Loans shall be suspended pursuant to </w:t>
      </w:r>
      <w:r>
        <w:rPr>
          <w:rFonts w:ascii="Arial" w:cs="Arial" w:eastAsia="Arial" w:hAnsi="Arial"/>
          <w:sz w:val="18"/>
          <w:szCs w:val="18"/>
          <w:u w:val="single" w:color="auto"/>
          <w:color w:val="auto"/>
        </w:rPr>
        <w:t>Section 3.05(b)</w:t>
      </w:r>
      <w:r>
        <w:rPr>
          <w:rFonts w:ascii="Arial" w:cs="Arial" w:eastAsia="Arial" w:hAnsi="Arial"/>
          <w:sz w:val="18"/>
          <w:szCs w:val="18"/>
          <w:color w:val="auto"/>
        </w:rPr>
        <w:t xml:space="preserve"> hereof, such Lender’s applicable SOFR Loans shall be automatically converted into ABR Loans (or, if such conversion is not possible, repaid) on the last day(s) of the then current Interest Period(s) for such SOFR Loans (or, in the case of an immediate conversion required by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on such earlier date as required by Law) and, unless and until such Lender gives notice as provided below that the circumstances specified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hereof that gave rise to such conversion no longer exist:</w:t>
      </w:r>
    </w:p>
    <w:p>
      <w:pPr>
        <w:spacing w:after="0" w:line="178" w:lineRule="exact"/>
        <w:rPr>
          <w:rFonts w:ascii="Arial" w:cs="Arial" w:eastAsia="Arial" w:hAnsi="Arial"/>
          <w:sz w:val="18"/>
          <w:szCs w:val="18"/>
          <w:color w:val="auto"/>
        </w:rPr>
      </w:pPr>
    </w:p>
    <w:p>
      <w:pPr>
        <w:jc w:val="both"/>
        <w:ind w:left="2260" w:hanging="6"/>
        <w:spacing w:after="0" w:line="238" w:lineRule="auto"/>
        <w:tabs>
          <w:tab w:leader="none" w:pos="2560" w:val="left"/>
        </w:tabs>
        <w:numPr>
          <w:ilvl w:val="1"/>
          <w:numId w:val="104"/>
        </w:numPr>
        <w:rPr>
          <w:rFonts w:ascii="Arial" w:cs="Arial" w:eastAsia="Arial" w:hAnsi="Arial"/>
          <w:sz w:val="22"/>
          <w:szCs w:val="22"/>
          <w:color w:val="auto"/>
        </w:rPr>
      </w:pPr>
      <w:r>
        <w:rPr>
          <w:rFonts w:ascii="Arial" w:cs="Arial" w:eastAsia="Arial" w:hAnsi="Arial"/>
          <w:sz w:val="20"/>
          <w:szCs w:val="20"/>
          <w:color w:val="auto"/>
        </w:rPr>
        <w:t>to the extent that such Lender’s SOFR Loans have been so converted, all payments and prepayments of principal that would otherwise be applied to such Lender’s applicable SOFR Loans shall be applied instead to its ABR Loans; and</w:t>
      </w:r>
    </w:p>
    <w:p>
      <w:pPr>
        <w:spacing w:after="0" w:line="211" w:lineRule="exact"/>
        <w:rPr>
          <w:rFonts w:ascii="Arial" w:cs="Arial" w:eastAsia="Arial" w:hAnsi="Arial"/>
          <w:sz w:val="22"/>
          <w:szCs w:val="22"/>
          <w:color w:val="auto"/>
        </w:rPr>
      </w:pPr>
    </w:p>
    <w:p>
      <w:pPr>
        <w:jc w:val="both"/>
        <w:ind w:left="2260" w:hanging="6"/>
        <w:spacing w:after="0" w:line="256" w:lineRule="auto"/>
        <w:tabs>
          <w:tab w:leader="none" w:pos="2560" w:val="left"/>
        </w:tabs>
        <w:numPr>
          <w:ilvl w:val="1"/>
          <w:numId w:val="104"/>
        </w:numPr>
        <w:rPr>
          <w:rFonts w:ascii="Arial" w:cs="Arial" w:eastAsia="Arial" w:hAnsi="Arial"/>
          <w:sz w:val="21"/>
          <w:szCs w:val="21"/>
          <w:color w:val="auto"/>
        </w:rPr>
      </w:pPr>
      <w:r>
        <w:rPr>
          <w:rFonts w:ascii="Arial" w:cs="Arial" w:eastAsia="Arial" w:hAnsi="Arial"/>
          <w:sz w:val="19"/>
          <w:szCs w:val="19"/>
          <w:color w:val="auto"/>
        </w:rPr>
        <w:t>all Loans that would otherwise be made or continued from one Interest Period to another by such Lender as SOFR Loans shall be made or continued instead as ABR Loans (if possible), and all ABR Loans of such Lender that would otherwise be converted into SOFR Loans shall remain as ABR Loans.</w:t>
      </w:r>
    </w:p>
    <w:p>
      <w:pPr>
        <w:spacing w:after="0" w:line="180" w:lineRule="exact"/>
        <w:rPr>
          <w:rFonts w:ascii="Arial" w:cs="Arial" w:eastAsia="Arial" w:hAnsi="Arial"/>
          <w:sz w:val="21"/>
          <w:szCs w:val="21"/>
          <w:color w:val="auto"/>
        </w:rPr>
      </w:pPr>
    </w:p>
    <w:p>
      <w:pPr>
        <w:jc w:val="both"/>
        <w:ind w:firstLine="8"/>
        <w:spacing w:after="0" w:line="274" w:lineRule="auto"/>
        <w:tabs>
          <w:tab w:leader="none" w:pos="50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If any Lender gives notice to the Borrower (with a copy to the Administrative Agent) that the circumstances specified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hereof that gave rise to the conversion of any of such Lender’s SOFR Loans pursuant to this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no longer exist (which such Lender agrees to do promptly upon such circumstances ceasing to exist) at a time when SOFR Loans made by other Lenders under the applicable Facility are outstanding, if applicable, such Lender’s ABR Loans shall be automatically converted, on the first day(s) of the next succeeding Interest Period(s) for such outstanding SOFR Loans, to the extent necessary so that, after giving effect thereto, all Loans held by the Lenders holding SOFR Loans under such Facility and by such Lender are held pro rata (as to principal amounts, interest rate basis, and Interest Periods) in accordance with their respective Commitments for the applicable Facility.</w:t>
      </w:r>
    </w:p>
    <w:p>
      <w:pPr>
        <w:spacing w:after="0" w:line="168" w:lineRule="exact"/>
        <w:rPr>
          <w:rFonts w:ascii="Arial" w:cs="Arial" w:eastAsia="Arial" w:hAnsi="Arial"/>
          <w:sz w:val="18"/>
          <w:szCs w:val="18"/>
          <w:color w:val="auto"/>
        </w:rPr>
      </w:pPr>
    </w:p>
    <w:p>
      <w:pPr>
        <w:jc w:val="both"/>
        <w:ind w:firstLine="8"/>
        <w:spacing w:after="0" w:line="260" w:lineRule="auto"/>
        <w:tabs>
          <w:tab w:leader="none" w:pos="509" w:val="left"/>
        </w:tabs>
        <w:numPr>
          <w:ilvl w:val="0"/>
          <w:numId w:val="104"/>
        </w:numPr>
        <w:rPr>
          <w:rFonts w:ascii="Arial" w:cs="Arial" w:eastAsia="Arial" w:hAnsi="Arial"/>
          <w:sz w:val="19"/>
          <w:szCs w:val="19"/>
          <w:color w:val="auto"/>
        </w:rPr>
      </w:pPr>
      <w:r>
        <w:rPr>
          <w:rFonts w:ascii="Arial" w:cs="Arial" w:eastAsia="Arial" w:hAnsi="Arial"/>
          <w:sz w:val="19"/>
          <w:szCs w:val="19"/>
          <w:color w:val="auto"/>
        </w:rPr>
        <w:t>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have been adopted or made after the Restatement Effective Date, regardless of the date enacted or adopted.</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3.06. </w:t>
      </w:r>
      <w:r>
        <w:rPr>
          <w:rFonts w:ascii="Arial" w:cs="Arial" w:eastAsia="Arial" w:hAnsi="Arial"/>
          <w:sz w:val="20"/>
          <w:szCs w:val="20"/>
          <w:i w:val="1"/>
          <w:iCs w:val="1"/>
          <w:color w:val="auto"/>
        </w:rPr>
        <w:t>Replacement of Lenders under Certain Circumstances</w:t>
      </w:r>
      <w:r>
        <w:rPr>
          <w:rFonts w:ascii="Arial" w:cs="Arial" w:eastAsia="Arial" w:hAnsi="Arial"/>
          <w:sz w:val="20"/>
          <w:szCs w:val="20"/>
          <w:color w:val="auto"/>
        </w:rPr>
        <w:t>.</w:t>
      </w:r>
    </w:p>
    <w:p>
      <w:pPr>
        <w:spacing w:after="0" w:line="216" w:lineRule="exact"/>
        <w:rPr>
          <w:sz w:val="20"/>
          <w:szCs w:val="20"/>
          <w:color w:val="auto"/>
        </w:rPr>
      </w:pPr>
    </w:p>
    <w:p>
      <w:pPr>
        <w:ind w:firstLine="8"/>
        <w:spacing w:after="0" w:line="260" w:lineRule="auto"/>
        <w:tabs>
          <w:tab w:leader="none" w:pos="509"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If at any time (i) the Borrower becomes obligated to pay additional amounts or indemnity payments described in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3.03</w:t>
      </w:r>
      <w:r>
        <w:rPr>
          <w:rFonts w:ascii="Arial" w:cs="Arial" w:eastAsia="Arial" w:hAnsi="Arial"/>
          <w:sz w:val="20"/>
          <w:szCs w:val="20"/>
          <w:color w:val="auto"/>
        </w:rPr>
        <w:t xml:space="preserve"> as a result of any condition described in such Sections or any Lender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1" w:name="page112"/>
    <w:bookmarkEnd w:id="111"/>
    <w:p>
      <w:pPr>
        <w:jc w:val="both"/>
        <w:ind w:firstLine="509"/>
        <w:spacing w:after="0" w:line="269" w:lineRule="auto"/>
        <w:rPr>
          <w:sz w:val="20"/>
          <w:szCs w:val="20"/>
          <w:color w:val="auto"/>
        </w:rPr>
      </w:pPr>
      <w:r>
        <w:rPr>
          <w:rFonts w:ascii="Arial" w:cs="Arial" w:eastAsia="Arial" w:hAnsi="Arial"/>
          <w:sz w:val="18"/>
          <w:szCs w:val="18"/>
          <w:color w:val="auto"/>
        </w:rPr>
        <w:t xml:space="preserve">ceases to make any SOFR Loans as a result of any condition described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or (ii) any Lender becomes a Non-Consenting Lender, then the Borrower may, on prior written notice to the Administrative Agent and such Lender, (x) replace such Lender by causing such Lender to (and such Lender shall be obligated to) assign pursuant to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(unless otherwise agreed, with the assignment fee to be paid by the Borrower in such instance) (it being understood that any such assignment shall become effective only in accordance with </w:t>
      </w:r>
      <w:r>
        <w:rPr>
          <w:rFonts w:ascii="Arial" w:cs="Arial" w:eastAsia="Arial" w:hAnsi="Arial"/>
          <w:sz w:val="18"/>
          <w:szCs w:val="18"/>
          <w:u w:val="single" w:color="auto"/>
          <w:color w:val="auto"/>
        </w:rPr>
        <w:t>Section 10.04(e)</w:t>
      </w:r>
      <w:r>
        <w:rPr>
          <w:rFonts w:ascii="Arial" w:cs="Arial" w:eastAsia="Arial" w:hAnsi="Arial"/>
          <w:sz w:val="18"/>
          <w:szCs w:val="18"/>
          <w:color w:val="auto"/>
        </w:rPr>
        <w:t xml:space="preserve">), all of its rights and obligations under this Agreement (in respect of any applicable Facility only in the case of clause (i) or, with respect to a Class vote, clause (ii)) to one or more Eligible Assignees;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the Administrative Agent nor any Lender shall have any obligation to the Borrower to find a replacement Lender or other such Person;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 in the case of any such assignment resulting from a claim for compensation under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such assignment will result in a reduction in such compensation or payments and (B) in the case of any such assignment resulting from a Lender becoming a Non-Consenting Lender, the applicable Eligible Assignees shall have agreed to, and shall be sufficient (together with all other consenting Lenders) to cause the adoption of, the applicable departure, waiver or amendment of the Loan Documents; or (y) terminate the Commitment of such Lender and repay all Obligations of the Borrower owing to such Lender relating to the Loans and participations held by such Lender as of such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such termination of a Non-Consenting Lender, such termination shall be sufficient (together with all other consenting Lenders) to cause the adoption of the applicable departure, waiver or amendment of the Loan Documents and such termination shall be in respect of any applicable Facility only in the case of clause (i) or, with respect to a Class vote, clause (ii).</w:t>
      </w:r>
    </w:p>
    <w:p>
      <w:pPr>
        <w:spacing w:after="0" w:line="176" w:lineRule="exact"/>
        <w:rPr>
          <w:sz w:val="20"/>
          <w:szCs w:val="20"/>
          <w:color w:val="auto"/>
        </w:rPr>
      </w:pPr>
    </w:p>
    <w:p>
      <w:pPr>
        <w:jc w:val="both"/>
        <w:ind w:firstLine="8"/>
        <w:spacing w:after="0" w:line="257" w:lineRule="auto"/>
        <w:tabs>
          <w:tab w:leader="none" w:pos="509"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In the event that (i) the Borrower or the Administrative Agent has requested that the Lenders consent to a departure or waiver of any provisions of the Loan Documents or agree to any amendment thereto, (ii) the consent, waiver or amendment in question requires the agreement of each Lender, each directly and adversely affected Lender, each Lender with respect to a certain Class of Loans or each directly and adversely affected Lender with respect to a certain Class of Loans, in each case in accordance with </w:t>
      </w:r>
      <w:r>
        <w:rPr>
          <w:rFonts w:ascii="Arial" w:cs="Arial" w:eastAsia="Arial" w:hAnsi="Arial"/>
          <w:sz w:val="19"/>
          <w:szCs w:val="19"/>
          <w:u w:val="single" w:color="auto"/>
          <w:color w:val="auto"/>
        </w:rPr>
        <w:t>Section 10.08</w:t>
      </w:r>
      <w:r>
        <w:rPr>
          <w:rFonts w:ascii="Arial" w:cs="Arial" w:eastAsia="Arial" w:hAnsi="Arial"/>
          <w:sz w:val="19"/>
          <w:szCs w:val="19"/>
          <w:color w:val="auto"/>
        </w:rPr>
        <w:t>, and (iii) the Required Lenders (or, in the case of a consent, waiver or amendment involving all Lenders or all directly and adversely affected Lenders of a certain Class, the Required Class Lenders) have agreed to such consent, waiver or amendment, then any Lender who does not agree to such consent, waiver or amendment shall be deemed a “</w:t>
      </w:r>
      <w:r>
        <w:rPr>
          <w:rFonts w:ascii="Arial" w:cs="Arial" w:eastAsia="Arial" w:hAnsi="Arial"/>
          <w:sz w:val="19"/>
          <w:szCs w:val="19"/>
          <w:b w:val="1"/>
          <w:bCs w:val="1"/>
          <w:color w:val="auto"/>
        </w:rPr>
        <w:t>Non-Consenting Lender</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firstLine="8"/>
        <w:spacing w:after="0" w:line="270" w:lineRule="auto"/>
        <w:tabs>
          <w:tab w:leader="none" w:pos="50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Any Lender being replaced pursuant to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above shall (i) execute and deliver an Assignment and Acceptance with respect to such Lender’s applicable Commitment and outstanding Loans, and (ii) deliver any Term Notes evidencing such Loans to the Borrower or Administrative Agent. Pursuant to such Assignment and Acceptance, (A) the assignee Lender shall acquire all or a portion, as the case may be, of the assigning Lender’s outstanding Loans, (B) all obligations of the Borrower owing to the assigning Lender relating to the Loans and participations so assigned shall be paid in full by the assignee Lender to such assigning Lender concurrently with such Assignment and Acceptance and (C) upon such payment and, if so requested by the assignee Lender, delivery to the assignee Lender of the appropriate Term Note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Non-Consenting Lender does not execute and deliver to the Administrative Agent a duly executed Assignment and Acceptance reflecting such replacement within five (5) Business Days of the date on which the assignee Lender executes and delivers such Assignment and Acceptance to such Non-Consenting Lender, then such Non-Consenting Lender shall be deemed to have executed and delivered such Assignment and Acceptance without any action on the part of the Non-Consenting Lender.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2" w:name="page113"/>
    <w:bookmarkEnd w:id="112"/>
    <w:p>
      <w:pPr>
        <w:ind w:firstLine="8"/>
        <w:spacing w:after="0" w:line="260" w:lineRule="auto"/>
        <w:tabs>
          <w:tab w:leader="none" w:pos="50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above, the Lender that acts as the Administrative Agent may not be replaced hereunder except in accordance with Article 9.</w:t>
      </w:r>
    </w:p>
    <w:p>
      <w:pPr>
        <w:spacing w:after="0" w:line="177"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 xml:space="preserve">Section 3.07. </w:t>
      </w:r>
      <w:r>
        <w:rPr>
          <w:rFonts w:ascii="Arial" w:cs="Arial" w:eastAsia="Arial" w:hAnsi="Arial"/>
          <w:sz w:val="20"/>
          <w:szCs w:val="20"/>
          <w:i w:val="1"/>
          <w:iCs w:val="1"/>
          <w:color w:val="auto"/>
        </w:rPr>
        <w:t>Survival</w:t>
      </w:r>
      <w:r>
        <w:rPr>
          <w:rFonts w:ascii="Arial" w:cs="Arial" w:eastAsia="Arial" w:hAnsi="Arial"/>
          <w:sz w:val="20"/>
          <w:szCs w:val="20"/>
          <w:color w:val="auto"/>
        </w:rPr>
        <w:t>. All of the Borrower’s obligations under this Article 3 shall survive termination of the Commitments and repayment of all other Obligations hereunder.</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ARTICLE 4</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onditions</w:t>
      </w:r>
      <w:r>
        <w:rPr>
          <w:rFonts w:ascii="Arial" w:cs="Arial" w:eastAsia="Arial" w:hAnsi="Arial"/>
          <w:sz w:val="20"/>
          <w:szCs w:val="20"/>
          <w:color w:val="auto"/>
        </w:rPr>
        <w:t xml:space="preserve"> P</w:t>
      </w:r>
      <w:r>
        <w:rPr>
          <w:rFonts w:ascii="Arial" w:cs="Arial" w:eastAsia="Arial" w:hAnsi="Arial"/>
          <w:sz w:val="13"/>
          <w:szCs w:val="13"/>
          <w:color w:val="auto"/>
        </w:rPr>
        <w:t>recedent to</w:t>
      </w:r>
      <w:r>
        <w:rPr>
          <w:rFonts w:ascii="Arial" w:cs="Arial" w:eastAsia="Arial" w:hAnsi="Arial"/>
          <w:sz w:val="20"/>
          <w:szCs w:val="20"/>
          <w:color w:val="auto"/>
        </w:rPr>
        <w:t xml:space="preserve"> C</w:t>
      </w:r>
      <w:r>
        <w:rPr>
          <w:rFonts w:ascii="Arial" w:cs="Arial" w:eastAsia="Arial" w:hAnsi="Arial"/>
          <w:sz w:val="13"/>
          <w:szCs w:val="13"/>
          <w:color w:val="auto"/>
        </w:rPr>
        <w:t>redit</w:t>
      </w:r>
      <w:r>
        <w:rPr>
          <w:rFonts w:ascii="Arial" w:cs="Arial" w:eastAsia="Arial" w:hAnsi="Arial"/>
          <w:sz w:val="20"/>
          <w:szCs w:val="20"/>
          <w:color w:val="auto"/>
        </w:rPr>
        <w:t xml:space="preserve"> E</w:t>
      </w:r>
      <w:r>
        <w:rPr>
          <w:rFonts w:ascii="Arial" w:cs="Arial" w:eastAsia="Arial" w:hAnsi="Arial"/>
          <w:sz w:val="13"/>
          <w:szCs w:val="13"/>
          <w:color w:val="auto"/>
        </w:rPr>
        <w:t>xtensions</w:t>
      </w:r>
    </w:p>
    <w:p>
      <w:pPr>
        <w:spacing w:after="0" w:line="200"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Section 4.01. </w:t>
      </w:r>
      <w:r>
        <w:rPr>
          <w:rFonts w:ascii="Arial" w:cs="Arial" w:eastAsia="Arial" w:hAnsi="Arial"/>
          <w:sz w:val="20"/>
          <w:szCs w:val="20"/>
          <w:i w:val="1"/>
          <w:iCs w:val="1"/>
          <w:color w:val="auto"/>
        </w:rPr>
        <w:t>All Credit Extensions.</w:t>
      </w:r>
      <w:r>
        <w:rPr>
          <w:rFonts w:ascii="Arial" w:cs="Arial" w:eastAsia="Arial" w:hAnsi="Arial"/>
          <w:sz w:val="20"/>
          <w:szCs w:val="20"/>
          <w:color w:val="auto"/>
        </w:rPr>
        <w:t xml:space="preserve"> The obligation of each Lender to honor any Request for Credit Extension (other than a Request for Credit Extension requesting only a conversion of Loans to the other Type, or a continuation of SOFR Loans) is subject to satisfaction (or waiver) of the following conditions precedent:</w:t>
      </w:r>
    </w:p>
    <w:p>
      <w:pPr>
        <w:spacing w:after="0" w:line="186" w:lineRule="exact"/>
        <w:rPr>
          <w:sz w:val="20"/>
          <w:szCs w:val="20"/>
          <w:color w:val="auto"/>
        </w:rPr>
      </w:pPr>
    </w:p>
    <w:p>
      <w:pPr>
        <w:jc w:val="both"/>
        <w:ind w:firstLine="8"/>
        <w:spacing w:after="0" w:line="276" w:lineRule="auto"/>
        <w:tabs>
          <w:tab w:leader="none" w:pos="50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Article 5 and in each other Loan Document shall be true and correct in all material respects on and as of the date of such Credit Extension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8"/>
          <w:szCs w:val="18"/>
          <w:i w:val="1"/>
          <w:iCs w:val="1"/>
          <w:color w:val="auto"/>
        </w:rPr>
        <w:t>provided</w:t>
      </w:r>
      <w:r>
        <w:rPr>
          <w:rFonts w:ascii="Arial" w:cs="Arial" w:eastAsia="Arial" w:hAnsi="Arial"/>
          <w:sz w:val="18"/>
          <w:szCs w:val="18"/>
          <w:color w:val="auto"/>
        </w:rPr>
        <w:t>, that any such representation and warranty that is qualified by “materiality”, “material adverse effect” or similar language shall be true and correct in all respects (after giving effect to such qualification therein) on and as of the date of such Credit Extension with the same effect as though made on and as of such date or such earlier date, as applicable.</w:t>
      </w:r>
    </w:p>
    <w:p>
      <w:pPr>
        <w:spacing w:after="0" w:line="164" w:lineRule="exact"/>
        <w:rPr>
          <w:rFonts w:ascii="Arial" w:cs="Arial" w:eastAsia="Arial" w:hAnsi="Arial"/>
          <w:sz w:val="18"/>
          <w:szCs w:val="18"/>
          <w:color w:val="auto"/>
        </w:rPr>
      </w:pPr>
    </w:p>
    <w:p>
      <w:pPr>
        <w:ind w:left="520" w:hanging="512"/>
        <w:spacing w:after="0"/>
        <w:tabs>
          <w:tab w:leader="none" w:pos="52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No Default shall exist or would result from such proposed Credit Extension or from the application of the proceeds therefrom.</w:t>
      </w:r>
    </w:p>
    <w:p>
      <w:pPr>
        <w:spacing w:after="0" w:line="227" w:lineRule="exact"/>
        <w:rPr>
          <w:rFonts w:ascii="Arial" w:cs="Arial" w:eastAsia="Arial" w:hAnsi="Arial"/>
          <w:sz w:val="19"/>
          <w:szCs w:val="19"/>
          <w:color w:val="auto"/>
        </w:rPr>
      </w:pPr>
    </w:p>
    <w:p>
      <w:pPr>
        <w:ind w:left="520" w:hanging="512"/>
        <w:spacing w:after="0"/>
        <w:tabs>
          <w:tab w:leader="none" w:pos="52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Administrative Agent shall have received a Request for Credit Extension in accordance with the requirements hereof.</w:t>
      </w:r>
    </w:p>
    <w:p>
      <w:pPr>
        <w:spacing w:after="0" w:line="227" w:lineRule="exact"/>
        <w:rPr>
          <w:rFonts w:ascii="Arial" w:cs="Arial" w:eastAsia="Arial" w:hAnsi="Arial"/>
          <w:sz w:val="19"/>
          <w:szCs w:val="19"/>
          <w:color w:val="auto"/>
        </w:rPr>
      </w:pPr>
    </w:p>
    <w:p>
      <w:pPr>
        <w:ind w:firstLine="8"/>
        <w:spacing w:after="0" w:line="260" w:lineRule="auto"/>
        <w:tabs>
          <w:tab w:leader="none" w:pos="509"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Collateral and Guarantee Requirement shall have been satisfied in all material respects with respect to each Material Real Property and, without duplication, each Pension Real Property.</w:t>
      </w:r>
    </w:p>
    <w:p>
      <w:pPr>
        <w:spacing w:after="0" w:line="177"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 xml:space="preserve">Each Request for Credit Extension (other than a Request for Credit Extension requesting only a conversion of Loans to the other Type, or a continuation of SOFR Loans) submitted by the Borrower shall be deemed to be a representation and warranty by the Borrower that the conditions specified in </w:t>
      </w:r>
      <w:r>
        <w:rPr>
          <w:rFonts w:ascii="Arial" w:cs="Arial" w:eastAsia="Arial" w:hAnsi="Arial"/>
          <w:sz w:val="16"/>
          <w:szCs w:val="16"/>
          <w:u w:val="single" w:color="auto"/>
          <w:color w:val="auto"/>
        </w:rPr>
        <w:t>Sections 4.01(a)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have been satisfied or waived on and as of the date of the applicable Credit Extension.</w:t>
      </w:r>
    </w:p>
    <w:p>
      <w:pPr>
        <w:spacing w:after="0" w:line="118"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Section 4.02. </w:t>
      </w:r>
      <w:r>
        <w:rPr>
          <w:rFonts w:ascii="Arial" w:cs="Arial" w:eastAsia="Arial" w:hAnsi="Arial"/>
          <w:sz w:val="20"/>
          <w:szCs w:val="20"/>
          <w:i w:val="1"/>
          <w:iCs w:val="1"/>
          <w:color w:val="auto"/>
        </w:rPr>
        <w:t>First Credit Extension.</w:t>
      </w:r>
      <w:r>
        <w:rPr>
          <w:rFonts w:ascii="Arial" w:cs="Arial" w:eastAsia="Arial" w:hAnsi="Arial"/>
          <w:sz w:val="20"/>
          <w:szCs w:val="20"/>
          <w:color w:val="auto"/>
        </w:rPr>
        <w:t xml:space="preserve"> The amendment and restatement of the Existing Credit Agreement provided for hereby and the obligation of each Tranche B-2 Term Lender to make Tranche B-2 Term Loans, shall be subject to satisfaction (or waiver) of the following conditions precedent:</w:t>
      </w:r>
    </w:p>
    <w:p>
      <w:pPr>
        <w:spacing w:after="0" w:line="186" w:lineRule="exact"/>
        <w:rPr>
          <w:sz w:val="20"/>
          <w:szCs w:val="20"/>
          <w:color w:val="auto"/>
        </w:rPr>
      </w:pPr>
    </w:p>
    <w:p>
      <w:pPr>
        <w:ind w:firstLine="8"/>
        <w:spacing w:after="0" w:line="260" w:lineRule="auto"/>
        <w:tabs>
          <w:tab w:leader="none" w:pos="509"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Administrative Agent and the Required Lenders shall have received the following, each properly executed by a Responsible Officer of the signing Loan Party, each dated as of the Restatement Effective Date:</w:t>
      </w:r>
    </w:p>
    <w:p>
      <w:pPr>
        <w:spacing w:after="0" w:line="187" w:lineRule="exact"/>
        <w:rPr>
          <w:rFonts w:ascii="Arial" w:cs="Arial" w:eastAsia="Arial" w:hAnsi="Arial"/>
          <w:sz w:val="20"/>
          <w:szCs w:val="20"/>
          <w:color w:val="auto"/>
        </w:rPr>
      </w:pPr>
    </w:p>
    <w:p>
      <w:pPr>
        <w:ind w:left="2560" w:hanging="306"/>
        <w:spacing w:after="0"/>
        <w:tabs>
          <w:tab w:leader="none" w:pos="2560" w:val="left"/>
        </w:tabs>
        <w:numPr>
          <w:ilvl w:val="1"/>
          <w:numId w:val="109"/>
        </w:numPr>
        <w:rPr>
          <w:rFonts w:ascii="Arial" w:cs="Arial" w:eastAsia="Arial" w:hAnsi="Arial"/>
          <w:sz w:val="22"/>
          <w:szCs w:val="22"/>
          <w:color w:val="auto"/>
        </w:rPr>
      </w:pPr>
      <w:r>
        <w:rPr>
          <w:rFonts w:ascii="Arial" w:cs="Arial" w:eastAsia="Arial" w:hAnsi="Arial"/>
          <w:sz w:val="20"/>
          <w:szCs w:val="20"/>
          <w:color w:val="auto"/>
        </w:rPr>
        <w:t>executed counterparts of this Agreement duly executed by the Borrower and each Guarantor;</w:t>
      </w:r>
    </w:p>
    <w:p>
      <w:pPr>
        <w:spacing w:after="0" w:line="208" w:lineRule="exact"/>
        <w:rPr>
          <w:rFonts w:ascii="Arial" w:cs="Arial" w:eastAsia="Arial" w:hAnsi="Arial"/>
          <w:sz w:val="22"/>
          <w:szCs w:val="22"/>
          <w:color w:val="auto"/>
        </w:rPr>
      </w:pPr>
    </w:p>
    <w:p>
      <w:pPr>
        <w:ind w:left="2260" w:hanging="6"/>
        <w:spacing w:after="0" w:line="238" w:lineRule="auto"/>
        <w:tabs>
          <w:tab w:leader="none" w:pos="2560" w:val="left"/>
        </w:tabs>
        <w:numPr>
          <w:ilvl w:val="1"/>
          <w:numId w:val="109"/>
        </w:numPr>
        <w:rPr>
          <w:rFonts w:ascii="Arial" w:cs="Arial" w:eastAsia="Arial" w:hAnsi="Arial"/>
          <w:sz w:val="22"/>
          <w:szCs w:val="22"/>
          <w:color w:val="auto"/>
        </w:rPr>
      </w:pPr>
      <w:r>
        <w:rPr>
          <w:rFonts w:ascii="Arial" w:cs="Arial" w:eastAsia="Arial" w:hAnsi="Arial"/>
          <w:sz w:val="20"/>
          <w:szCs w:val="20"/>
          <w:color w:val="auto"/>
        </w:rPr>
        <w:t>a Term Note executed by the Borrower in favor of each Lender that has requested a Term Note at least two Business Days in advance of the Restatement Effective Date;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3" w:name="page114"/>
    <w:bookmarkEnd w:id="113"/>
    <w:p>
      <w:pPr>
        <w:ind w:left="2260"/>
        <w:spacing w:after="0"/>
        <w:rPr>
          <w:sz w:val="20"/>
          <w:szCs w:val="20"/>
          <w:color w:val="auto"/>
        </w:rPr>
      </w:pPr>
      <w:r>
        <w:rPr>
          <w:rFonts w:ascii="Arial" w:cs="Arial" w:eastAsia="Arial" w:hAnsi="Arial"/>
          <w:sz w:val="22"/>
          <w:szCs w:val="22"/>
          <w:color w:val="auto"/>
        </w:rPr>
        <w:t>(iii)</w:t>
      </w:r>
      <w:r>
        <w:rPr>
          <w:rFonts w:ascii="Arial" w:cs="Arial" w:eastAsia="Arial" w:hAnsi="Arial"/>
          <w:sz w:val="19"/>
          <w:szCs w:val="19"/>
          <w:color w:val="auto"/>
        </w:rPr>
        <w:t>the Security Agreement duly executed by the parties thereto; and</w:t>
      </w:r>
    </w:p>
    <w:p>
      <w:pPr>
        <w:spacing w:after="0" w:line="206"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(iv)</w:t>
      </w:r>
      <w:r>
        <w:rPr>
          <w:rFonts w:ascii="Arial" w:cs="Arial" w:eastAsia="Arial" w:hAnsi="Arial"/>
          <w:sz w:val="19"/>
          <w:szCs w:val="19"/>
          <w:color w:val="auto"/>
        </w:rPr>
        <w:t>the Fee Letter and the Administrative Fee Letter duly executed by the respective parties thereto.</w:t>
      </w:r>
    </w:p>
    <w:p>
      <w:pPr>
        <w:spacing w:after="0" w:line="211" w:lineRule="exact"/>
        <w:rPr>
          <w:sz w:val="20"/>
          <w:szCs w:val="20"/>
          <w:color w:val="auto"/>
        </w:rPr>
      </w:pPr>
    </w:p>
    <w:p>
      <w:pPr>
        <w:jc w:val="both"/>
        <w:ind w:firstLine="8"/>
        <w:spacing w:after="0" w:line="282" w:lineRule="auto"/>
        <w:tabs>
          <w:tab w:leader="none" w:pos="50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The Administrative Agent and the Required Lenders shall have received, on behalf of themselves, the Collateral Agent and the Lenders, an opinion of (i) Kirkland &amp; Ellis LLP, counsel for the Loan Parties, and (ii) from each local counsel for the Loan Parties listed on </w:t>
      </w:r>
      <w:r>
        <w:rPr>
          <w:rFonts w:ascii="Arial" w:cs="Arial" w:eastAsia="Arial" w:hAnsi="Arial"/>
          <w:sz w:val="18"/>
          <w:szCs w:val="18"/>
          <w:u w:val="single" w:color="auto"/>
          <w:color w:val="auto"/>
        </w:rPr>
        <w:t>Schedule 4.02(b)</w:t>
      </w:r>
      <w:r>
        <w:rPr>
          <w:rFonts w:ascii="Arial" w:cs="Arial" w:eastAsia="Arial" w:hAnsi="Arial"/>
          <w:sz w:val="18"/>
          <w:szCs w:val="18"/>
          <w:color w:val="auto"/>
        </w:rPr>
        <w:t>, in each case, dated the Restatement Effective Date and addressed to the Administrative Agent, the Collateral Agent and the Lenders and in customary form and substance, and the Borrower hereby requests such counsel to deliver such opinions.</w:t>
      </w:r>
    </w:p>
    <w:p>
      <w:pPr>
        <w:spacing w:after="0" w:line="161" w:lineRule="exact"/>
        <w:rPr>
          <w:rFonts w:ascii="Arial" w:cs="Arial" w:eastAsia="Arial" w:hAnsi="Arial"/>
          <w:sz w:val="18"/>
          <w:szCs w:val="18"/>
          <w:color w:val="auto"/>
        </w:rPr>
      </w:pPr>
    </w:p>
    <w:p>
      <w:pPr>
        <w:jc w:val="both"/>
        <w:ind w:firstLine="8"/>
        <w:spacing w:after="0" w:line="254" w:lineRule="auto"/>
        <w:tabs>
          <w:tab w:leader="none" w:pos="509"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Administrative Agent and the Required Lenders shall have received (i) a copy of the certificate or articles of incorporation or organization or certificate of formation, including all amendments thereto, of each Loan Party, certified, if applicable, as of a recent date by the Secretary of State of the state of its organization, and a certificate as to the good standing (to the extent applicable) of each Loan Party as of a recent date, from such Secretary of State or similar Governmental Authority; (ii) a certificate of the Secretary or Assistant Secretary of each Loan Party dated the Restatement Effective Date and certifying (A) that attached thereto is a true and complete copy of the by-laws or operating (or limited liability company) agreement of such Loan Party as in effect on the Restatement Effective Date and at all times since a date prior to the date of the resolutions described in clause (B) below, (B) that attached thereto is a true and complete copy of resolutions duly adopted by the board of directors (or equivalent governing body) of such Loan Party authorizing the execution, delivery and performance of the Loan Documents to which such Loan Party is a party and, in the case of the Borrower, the borrowings hereunder, and that such resolutions have not been modified, rescinded or amended and are in full force and effect, (C) that the certificate or articles of incorporation or organization or certificate of formation of such Loan Party have not been amended since the date of the last amendment thereto shown on the certificate of good standing furnished pursuant to clause (i) above, (D) as to the incumbency and specimen signature of each officer executing any Loan Document or any other document delivered in connection herewith on behalf of such Loan Party on the Restatement Effective Date, and (E) as to the absence of any proceeding for the dissolution or liquidation of such Loan Party; and (iii) a certificate of another officer as to the incumbency and specimen signature of the Secretary or Assistant Secretary executing the certificate pursuant to clause (ii) above.</w:t>
      </w:r>
    </w:p>
    <w:p>
      <w:pPr>
        <w:spacing w:after="0" w:line="188" w:lineRule="exact"/>
        <w:rPr>
          <w:rFonts w:ascii="Arial" w:cs="Arial" w:eastAsia="Arial" w:hAnsi="Arial"/>
          <w:sz w:val="19"/>
          <w:szCs w:val="19"/>
          <w:color w:val="auto"/>
        </w:rPr>
      </w:pPr>
    </w:p>
    <w:p>
      <w:pPr>
        <w:jc w:val="both"/>
        <w:ind w:firstLine="8"/>
        <w:spacing w:after="0" w:line="273" w:lineRule="auto"/>
        <w:tabs>
          <w:tab w:leader="none" w:pos="50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(i) The Administrative Agent and the Required Lenders shall have received the results of (x) searches of the Uniform Commercial Code filings (or equivalent filings) and (y) judgment and tax lien searches, made with respect to each Loan Party in the states or other jurisdictions of formation of such Loan Party and with respect to such other locations and names listed on the Perfection Certificate, together with copies of the financing statements (or similar documents) disclosed by such search and (ii) each of the Security Agreement, the Custodial Administration Agreement and the Intellectual Property Security Agreement shall have been duly executed and delivered by each Loan Party that is to be a party thereto, together with (x) certificates, if any, representing the Equity Interests pledged by the Borrower and the Guarantors accompanied by undated stock powers executed in blank and (y) documents and instruments to be recorded or filed that the Administrative Agent may deem, subject to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reasonably necessary to satisfy the Collateral and Guarantee Requirement.</w:t>
      </w:r>
    </w:p>
    <w:p>
      <w:pPr>
        <w:spacing w:after="0" w:line="168" w:lineRule="exact"/>
        <w:rPr>
          <w:rFonts w:ascii="Arial" w:cs="Arial" w:eastAsia="Arial" w:hAnsi="Arial"/>
          <w:sz w:val="18"/>
          <w:szCs w:val="18"/>
          <w:color w:val="auto"/>
        </w:rPr>
      </w:pPr>
    </w:p>
    <w:p>
      <w:pPr>
        <w:ind w:firstLine="8"/>
        <w:spacing w:after="0" w:line="260" w:lineRule="auto"/>
        <w:tabs>
          <w:tab w:leader="none" w:pos="509"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Collateral and Guarantee Requirement shall have been satisfied in all material respects with respect to each Material Real Property.</w:t>
      </w:r>
    </w:p>
    <w:p>
      <w:pPr>
        <w:spacing w:after="0" w:line="176" w:lineRule="exact"/>
        <w:rPr>
          <w:rFonts w:ascii="Arial" w:cs="Arial" w:eastAsia="Arial" w:hAnsi="Arial"/>
          <w:sz w:val="20"/>
          <w:szCs w:val="20"/>
          <w:color w:val="auto"/>
        </w:rPr>
      </w:pPr>
    </w:p>
    <w:p>
      <w:pPr>
        <w:ind w:left="520" w:hanging="512"/>
        <w:spacing w:after="0"/>
        <w:tabs>
          <w:tab w:leader="none" w:pos="52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[Reserved].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4" w:name="page115"/>
    <w:bookmarkEnd w:id="114"/>
    <w:p>
      <w:pPr>
        <w:ind w:firstLine="8"/>
        <w:spacing w:after="0" w:line="260" w:lineRule="auto"/>
        <w:tabs>
          <w:tab w:leader="none" w:pos="509"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Succession Agreement shall have been duly executed and delivered by the parties thereto and actions required to assign the Collateral to the Collateral Agent shall have been consummated.</w:t>
      </w:r>
    </w:p>
    <w:p>
      <w:pPr>
        <w:spacing w:after="0" w:line="176" w:lineRule="exact"/>
        <w:rPr>
          <w:rFonts w:ascii="Arial" w:cs="Arial" w:eastAsia="Arial" w:hAnsi="Arial"/>
          <w:sz w:val="20"/>
          <w:szCs w:val="20"/>
          <w:color w:val="auto"/>
        </w:rPr>
      </w:pPr>
    </w:p>
    <w:p>
      <w:pPr>
        <w:jc w:val="both"/>
        <w:ind w:firstLine="8"/>
        <w:spacing w:after="0" w:line="243" w:lineRule="auto"/>
        <w:tabs>
          <w:tab w:leader="none" w:pos="509" w:val="left"/>
        </w:tabs>
        <w:numPr>
          <w:ilvl w:val="0"/>
          <w:numId w:val="111"/>
        </w:numPr>
        <w:rPr>
          <w:rFonts w:ascii="Arial" w:cs="Arial" w:eastAsia="Arial" w:hAnsi="Arial"/>
          <w:sz w:val="20"/>
          <w:szCs w:val="20"/>
          <w:color w:val="auto"/>
        </w:rPr>
      </w:pPr>
      <w:r>
        <w:rPr>
          <w:rFonts w:ascii="Arial" w:cs="Arial" w:eastAsia="Arial" w:hAnsi="Arial"/>
          <w:sz w:val="20"/>
          <w:szCs w:val="20"/>
          <w:color w:val="auto"/>
        </w:rPr>
        <w:t xml:space="preserve">Prior to or substantially concurrently with the funding of the Loans on the Restatement Effective Date, (i) the IBT Agreement shall be in full force and effect, and (ii) the Refinancing Transaction shall have been consummated and the Administrative Agent shall have received evidence thereof reasonably satisfactory to the Administrative Agent. Immediately after giving effect to the Refinancing Transaction and the other transactions contemplated hereby, the Borrower and the Subsidiaries shall have outstanding no Indebtedness for borrowed money other than (i) Indebtedness outstanding under this Agreement, (ii) the ABL Facility Indebtedness, and (iii) Indebtedness permitted pursuant to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jc w:val="both"/>
        <w:ind w:firstLine="8"/>
        <w:spacing w:after="0" w:line="246" w:lineRule="auto"/>
        <w:tabs>
          <w:tab w:leader="none" w:pos="509" w:val="left"/>
        </w:tabs>
        <w:numPr>
          <w:ilvl w:val="0"/>
          <w:numId w:val="111"/>
        </w:numPr>
        <w:rPr>
          <w:rFonts w:ascii="Arial" w:cs="Arial" w:eastAsia="Arial" w:hAnsi="Arial"/>
          <w:sz w:val="20"/>
          <w:szCs w:val="20"/>
          <w:color w:val="auto"/>
        </w:rPr>
      </w:pPr>
      <w:r>
        <w:rPr>
          <w:rFonts w:ascii="Arial" w:cs="Arial" w:eastAsia="Arial" w:hAnsi="Arial"/>
          <w:sz w:val="20"/>
          <w:szCs w:val="20"/>
          <w:color w:val="auto"/>
        </w:rPr>
        <w:t xml:space="preserve">The Administrative Agent and the Required Lenders shall have received a solvency certificate, substantially in the form set forth in </w:t>
      </w:r>
      <w:r>
        <w:rPr>
          <w:rFonts w:ascii="Arial" w:cs="Arial" w:eastAsia="Arial" w:hAnsi="Arial"/>
          <w:sz w:val="20"/>
          <w:szCs w:val="20"/>
          <w:u w:val="single" w:color="auto"/>
          <w:color w:val="auto"/>
        </w:rPr>
        <w:t>Exhibit H</w:t>
      </w:r>
      <w:r>
        <w:rPr>
          <w:rFonts w:ascii="Arial" w:cs="Arial" w:eastAsia="Arial" w:hAnsi="Arial"/>
          <w:sz w:val="20"/>
          <w:szCs w:val="20"/>
          <w:color w:val="auto"/>
        </w:rPr>
        <w:t>, from the chief financial officer or chief accounting officer or other officer with equivalent duties of the Borrower, or in lieu thereof at the option of the Borrower, an opinion of a nationally recognized valuation firm as to the solvency (on a consolidated basis) of the Borrower and its Subsidiaries as of the Restatement Effective Date.</w:t>
      </w:r>
    </w:p>
    <w:p>
      <w:pPr>
        <w:spacing w:after="0" w:line="191" w:lineRule="exact"/>
        <w:rPr>
          <w:rFonts w:ascii="Arial" w:cs="Arial" w:eastAsia="Arial" w:hAnsi="Arial"/>
          <w:sz w:val="20"/>
          <w:szCs w:val="20"/>
          <w:color w:val="auto"/>
        </w:rPr>
      </w:pPr>
    </w:p>
    <w:p>
      <w:pPr>
        <w:ind w:firstLine="8"/>
        <w:spacing w:after="0" w:line="260" w:lineRule="auto"/>
        <w:tabs>
          <w:tab w:leader="none" w:pos="509"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ABL Credit Agreement shall have been amended pursuant to an amendment agreement, in form and substance reasonably satisfactory to the Required Lenders, to permit the Transactions.</w:t>
      </w:r>
    </w:p>
    <w:p>
      <w:pPr>
        <w:spacing w:after="0" w:line="176" w:lineRule="exact"/>
        <w:rPr>
          <w:rFonts w:ascii="Arial" w:cs="Arial" w:eastAsia="Arial" w:hAnsi="Arial"/>
          <w:sz w:val="20"/>
          <w:szCs w:val="20"/>
          <w:color w:val="auto"/>
        </w:rPr>
      </w:pPr>
    </w:p>
    <w:p>
      <w:pPr>
        <w:jc w:val="both"/>
        <w:ind w:firstLine="8"/>
        <w:spacing w:after="0" w:line="263" w:lineRule="auto"/>
        <w:tabs>
          <w:tab w:leader="none" w:pos="50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Administrative Agent and the Required Lenders shall have received all documentation and other information about the Borrower and the Guarantors required under applicable “know your customer” and anti-money laundering rules and regulations, including the USA PATRIOT Act, including without limitation, a duly executed W-9 tax form (or such other applicable IRS tax form) of the Borrower, that has been reasonably requested in writing at least five Business Days prior to the Restatement Effective Date.</w:t>
      </w:r>
    </w:p>
    <w:p>
      <w:pPr>
        <w:spacing w:after="0" w:line="176" w:lineRule="exact"/>
        <w:rPr>
          <w:rFonts w:ascii="Arial" w:cs="Arial" w:eastAsia="Arial" w:hAnsi="Arial"/>
          <w:sz w:val="19"/>
          <w:szCs w:val="19"/>
          <w:color w:val="auto"/>
        </w:rPr>
      </w:pPr>
    </w:p>
    <w:p>
      <w:pPr>
        <w:ind w:firstLine="8"/>
        <w:spacing w:after="0" w:line="260" w:lineRule="auto"/>
        <w:tabs>
          <w:tab w:leader="none" w:pos="509"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Administrative Agent and the Required Lenders shall have received a certificate from an officer of the Borrower certifying that since December 31, 2018, there has not occurred any Material Adverse Effect.</w:t>
      </w:r>
    </w:p>
    <w:p>
      <w:pPr>
        <w:spacing w:after="0" w:line="176" w:lineRule="exact"/>
        <w:rPr>
          <w:rFonts w:ascii="Arial" w:cs="Arial" w:eastAsia="Arial" w:hAnsi="Arial"/>
          <w:sz w:val="20"/>
          <w:szCs w:val="20"/>
          <w:color w:val="auto"/>
        </w:rPr>
      </w:pPr>
    </w:p>
    <w:p>
      <w:pPr>
        <w:jc w:val="both"/>
        <w:ind w:firstLine="8"/>
        <w:spacing w:after="0" w:line="282" w:lineRule="auto"/>
        <w:tabs>
          <w:tab w:leader="none" w:pos="50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Administrative Agent and the Required Lenders shall have received all applicable fees and other amounts due and payable on or prior to the Restatement Effective Date, including, to the extent invoiced at least three Business Days prior to the Restatement Effective Date (except as otherwise reasonably agreed by the Borrower), reimbursement or payment of all out-of-pocket expenses required to be reimbursed or paid by the Borrower hereunder or under any other Loan Document on or prior to the Restatement Effective Date.</w:t>
      </w:r>
    </w:p>
    <w:p>
      <w:pPr>
        <w:spacing w:after="0" w:line="161" w:lineRule="exact"/>
        <w:rPr>
          <w:rFonts w:ascii="Arial" w:cs="Arial" w:eastAsia="Arial" w:hAnsi="Arial"/>
          <w:sz w:val="18"/>
          <w:szCs w:val="18"/>
          <w:color w:val="auto"/>
        </w:rPr>
      </w:pPr>
    </w:p>
    <w:p>
      <w:pPr>
        <w:ind w:left="520" w:hanging="512"/>
        <w:spacing w:after="0"/>
        <w:tabs>
          <w:tab w:leader="none" w:pos="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To the extent required by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the Administrative Agent shall have received evidence that the insurance required by </w:t>
      </w:r>
      <w:r>
        <w:rPr>
          <w:rFonts w:ascii="Arial" w:cs="Arial" w:eastAsia="Arial" w:hAnsi="Arial"/>
          <w:sz w:val="18"/>
          <w:szCs w:val="18"/>
          <w:u w:val="single" w:color="auto"/>
          <w:color w:val="auto"/>
        </w:rPr>
        <w:t>Section</w:t>
      </w:r>
    </w:p>
    <w:p>
      <w:pPr>
        <w:spacing w:after="0" w:line="39" w:lineRule="exact"/>
        <w:rPr>
          <w:sz w:val="20"/>
          <w:szCs w:val="20"/>
          <w:color w:val="auto"/>
        </w:rPr>
      </w:pPr>
    </w:p>
    <w:p>
      <w:pPr>
        <w:ind w:right="300"/>
        <w:spacing w:after="0" w:line="244" w:lineRule="auto"/>
        <w:rPr>
          <w:sz w:val="20"/>
          <w:szCs w:val="20"/>
          <w:color w:val="auto"/>
        </w:rPr>
      </w:pPr>
      <w:r>
        <w:rPr>
          <w:rFonts w:ascii="Arial" w:cs="Arial" w:eastAsia="Arial" w:hAnsi="Arial"/>
          <w:sz w:val="20"/>
          <w:szCs w:val="20"/>
          <w:u w:val="single" w:color="auto"/>
          <w:color w:val="auto"/>
        </w:rPr>
        <w:t>6.07</w:t>
      </w:r>
      <w:r>
        <w:rPr>
          <w:rFonts w:ascii="Arial" w:cs="Arial" w:eastAsia="Arial" w:hAnsi="Arial"/>
          <w:sz w:val="20"/>
          <w:szCs w:val="20"/>
          <w:color w:val="auto"/>
        </w:rPr>
        <w:t xml:space="preserve"> is in effect, together with endorsements naming the Administrative Agent, for the benefit of the Secured Parties, as additional insured and loss payee thereunder.</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Solely for purposes of determining whether the conditions set forth in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4.02</w:t>
      </w:r>
      <w:r>
        <w:rPr>
          <w:rFonts w:ascii="Arial" w:cs="Arial" w:eastAsia="Arial" w:hAnsi="Arial"/>
          <w:sz w:val="20"/>
          <w:szCs w:val="20"/>
          <w:color w:val="auto"/>
        </w:rPr>
        <w:t xml:space="preserve"> have been satisfied in respect of any Credit Extension, the Agents and each Lender party hereto shall be deemed to have consented to, approved, accepted or be reasonably satisfied with any document delivered prior to such Credit Extension or other matter (in each case, for which such consent, approval, acceptance or satisfaction is expressly required by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4.02</w:t>
      </w:r>
      <w:r>
        <w:rPr>
          <w:rFonts w:ascii="Arial" w:cs="Arial" w:eastAsia="Arial" w:hAnsi="Arial"/>
          <w:sz w:val="20"/>
          <w:szCs w:val="20"/>
          <w:color w:val="auto"/>
        </w:rPr>
        <w:t>, as applicable) by releasing its signature page to this Agreement or to an Assignment and Acceptance, as the case may be.</w:t>
      </w:r>
    </w:p>
    <w:p>
      <w:pPr>
        <w:spacing w:after="0" w:line="184"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ARTICLE 5</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R</w:t>
      </w:r>
      <w:r>
        <w:rPr>
          <w:rFonts w:ascii="Arial" w:cs="Arial" w:eastAsia="Arial" w:hAnsi="Arial"/>
          <w:sz w:val="13"/>
          <w:szCs w:val="13"/>
          <w:color w:val="auto"/>
        </w:rPr>
        <w:t>epresentations and</w:t>
      </w:r>
      <w:r>
        <w:rPr>
          <w:rFonts w:ascii="Arial" w:cs="Arial" w:eastAsia="Arial" w:hAnsi="Arial"/>
          <w:sz w:val="20"/>
          <w:szCs w:val="20"/>
          <w:color w:val="auto"/>
        </w:rPr>
        <w:t xml:space="preserve"> W</w:t>
      </w:r>
      <w:r>
        <w:rPr>
          <w:rFonts w:ascii="Arial" w:cs="Arial" w:eastAsia="Arial" w:hAnsi="Arial"/>
          <w:sz w:val="13"/>
          <w:szCs w:val="13"/>
          <w:color w:val="auto"/>
        </w:rPr>
        <w:t>arranties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5" w:name="page116"/>
    <w:bookmarkEnd w:id="115"/>
    <w:p>
      <w:pPr>
        <w:jc w:val="both"/>
        <w:ind w:firstLine="749"/>
        <w:spacing w:after="0" w:line="260" w:lineRule="auto"/>
        <w:rPr>
          <w:sz w:val="20"/>
          <w:szCs w:val="20"/>
          <w:color w:val="auto"/>
        </w:rPr>
      </w:pPr>
      <w:r>
        <w:rPr>
          <w:rFonts w:ascii="Arial" w:cs="Arial" w:eastAsia="Arial" w:hAnsi="Arial"/>
          <w:sz w:val="20"/>
          <w:szCs w:val="20"/>
          <w:color w:val="auto"/>
        </w:rPr>
        <w:t>Each of the Borrower and each of the Guarantors party hereto represents and warrants to the Administrative Agent, the Collateral Agent and each of the Lenders that:</w:t>
      </w:r>
    </w:p>
    <w:p>
      <w:pPr>
        <w:spacing w:after="0" w:line="177"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i w:val="1"/>
          <w:iCs w:val="1"/>
          <w:color w:val="auto"/>
        </w:rPr>
        <w:t>Existence, Qualification and Power; Compliance with Laws.</w:t>
      </w:r>
      <w:r>
        <w:rPr>
          <w:rFonts w:ascii="Arial" w:cs="Arial" w:eastAsia="Arial" w:hAnsi="Arial"/>
          <w:sz w:val="19"/>
          <w:szCs w:val="19"/>
          <w:color w:val="auto"/>
        </w:rPr>
        <w:t xml:space="preserve"> Each Loan Party and each Restricted Subsidiary (a) is a Person duly organized or formed, validly existing and in good standing (where relevant) under the Laws of the jurisdiction of its incorporation or organization, (b) has all requisite organizational power and authority to execute, deliver and perform its obligations under the Loan Documents to which it is a party and, in the case of the Borrower, to borrow hereunder, (c) is duly qualified and in good standing (where relevant) under the Laws of each jurisdiction where its ownership, lease or operation of properties or the conduct of its business requires such qualification, (d) is in compliance with all Laws, orders, writs and injunctions, and (e) has all requisite franchises, licenses, authorizations, qualifications, consents and approvals to operate its business as currently conducted; except in each case, referred to in clause (a) (other than with respect to any Loan Party), (c), (d) or (e), to the extent that failure to do so, individually or in the aggregate, would not reasonably be expected to have a Material Adverse Effect.</w:t>
      </w:r>
    </w:p>
    <w:p>
      <w:pPr>
        <w:spacing w:after="0" w:line="184"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Authorization; No Contravention.</w:t>
      </w:r>
      <w:r>
        <w:rPr>
          <w:rFonts w:ascii="Arial" w:cs="Arial" w:eastAsia="Arial" w:hAnsi="Arial"/>
          <w:sz w:val="18"/>
          <w:szCs w:val="18"/>
          <w:color w:val="auto"/>
        </w:rPr>
        <w:t xml:space="preserve"> The execution, delivery and performance by each Loan Party of each Loan Document to which such Person is a party, and the consummation of the Transactions, (a) are within such Loan Party’s organizational powers, (b) have been duly authorized by all necessary corporate or other organizational action, and (c) do not (i) contravene the terms of any of such Person’s Organization Documents, (ii) conflict with or result in any breach or contravention of, or the creation of (or the requirement to create) any Lien under (other than as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or require any payment to be made under (x) any Indebtedness of such Person in excess of the Threshold Amount or (y) any material order, injunction, writ or decree of any Governmental Authority or any arbitral award to which such Person or its property is subject; or (iii) violate any material Law; except with respect to any conflict, breach or contravention or payment (but not creation of Liens) referred to in clause (c)(ii)(x), to the extent that such violation, conflict, breach, contravention or payment, individually or in the aggregate, could not reasonably be expected to have a Material Adverse Effect.</w:t>
      </w:r>
    </w:p>
    <w:p>
      <w:pPr>
        <w:spacing w:after="0" w:line="170"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i w:val="1"/>
          <w:iCs w:val="1"/>
          <w:color w:val="auto"/>
        </w:rPr>
        <w:t>Governmental Authorization; Other Consents.</w:t>
      </w:r>
      <w:r>
        <w:rPr>
          <w:rFonts w:ascii="Arial" w:cs="Arial" w:eastAsia="Arial" w:hAnsi="Arial"/>
          <w:sz w:val="19"/>
          <w:szCs w:val="19"/>
          <w:color w:val="auto"/>
        </w:rPr>
        <w:t xml:space="preserve"> No approval, consent, exemption, authorization, or other action by, or notice to, or filing with, any Governmental Authority is necessary or required in connection with (a) the execution, delivery or performance by, or enforcement against, any Loan Party of this Agreement or any other Loan Document, or for the consummation of the Transactions, (b) the grant by any Loan Party of the Liens granted by it pursuant to the Collateral Documents, (c) the perfection or maintenance of the Liens created under the Collateral Documents (including the priority thereof) to the extent required thereunder or (d) the exercise by the Administrative Agent, the Collateral Agent or any Lender of its rights under the Loan Documents or the remedies in respect of the Collateral pursuant to the Collateral Documents, except for (i) approvals, consents, exemptions, authorizations or other actions by, or notices to, or filings necessary to perfect the Liens on the Collateral granted by the Loan Parties in favor of the Secured Parties (or release existing Liens), (ii) the approvals, consents, exemptions, authorizations, actions, notices and filings which have been duly obtained, taken, given or made and are in full force and effect (except to the extent not required to be obtained, taken, given or made or to be in full force and effect pursuant to the Collateral and Guarantee Requirement) and (iii) those approvals, consents, exemptions, authorizations or other actions, notices or filings, the failure of which to obtain or make, individually or in the aggregate, could not reasonably be expected to have a Material Adverse Effect.</w:t>
      </w:r>
    </w:p>
    <w:p>
      <w:pPr>
        <w:spacing w:after="0" w:line="182" w:lineRule="exact"/>
        <w:rPr>
          <w:sz w:val="20"/>
          <w:szCs w:val="20"/>
          <w:color w:val="auto"/>
        </w:rPr>
      </w:pPr>
    </w:p>
    <w:p>
      <w:pPr>
        <w:jc w:val="both"/>
        <w:ind w:firstLine="1497"/>
        <w:spacing w:after="0" w:line="291"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Binding Effect.</w:t>
      </w:r>
      <w:r>
        <w:rPr>
          <w:rFonts w:ascii="Arial" w:cs="Arial" w:eastAsia="Arial" w:hAnsi="Arial"/>
          <w:sz w:val="18"/>
          <w:szCs w:val="18"/>
          <w:color w:val="auto"/>
        </w:rPr>
        <w:t xml:space="preserve"> This Agreement and each other Loan Document has been duly executed and delivered by each Loan Party that is a party thereto. This Agreement and each other Loan Document constitutes a legal, valid and binding obligation of each such Loan Party, enforceable against each Loan Party that is a party thereto in accordance with its terms, except as such enforceability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color w:val="auto"/>
        </w:rPr>
        <w:t>may be limited by Debtor Relief Laws and by general principles of equity.</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5.05. </w:t>
      </w:r>
      <w:r>
        <w:rPr>
          <w:rFonts w:ascii="Arial" w:cs="Arial" w:eastAsia="Arial" w:hAnsi="Arial"/>
          <w:sz w:val="20"/>
          <w:szCs w:val="20"/>
          <w:i w:val="1"/>
          <w:iCs w:val="1"/>
          <w:color w:val="auto"/>
        </w:rPr>
        <w:t>Financial Statements; No Material Adverse Effect</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50" w:lineRule="auto"/>
        <w:tabs>
          <w:tab w:leader="none" w:pos="509"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 The Audited Financial Statements fairly present in all material respects the financial condition of the Borrower and its consolidated Subsidiaries as of the dates thereof and their results of operations for the period covered thereby in accordance with GAAP consistently applied throughout the periods covered thereby, except as otherwise expressly noted therein.</w:t>
      </w:r>
    </w:p>
    <w:p>
      <w:pPr>
        <w:spacing w:after="0" w:line="199" w:lineRule="exact"/>
        <w:rPr>
          <w:rFonts w:ascii="Arial" w:cs="Arial" w:eastAsia="Arial" w:hAnsi="Arial"/>
          <w:sz w:val="20"/>
          <w:szCs w:val="20"/>
          <w:color w:val="auto"/>
        </w:rPr>
      </w:pPr>
    </w:p>
    <w:p>
      <w:pPr>
        <w:jc w:val="both"/>
        <w:ind w:left="2260" w:hanging="6"/>
        <w:spacing w:after="0" w:line="254" w:lineRule="auto"/>
        <w:tabs>
          <w:tab w:leader="none" w:pos="2560" w:val="left"/>
        </w:tabs>
        <w:numPr>
          <w:ilvl w:val="1"/>
          <w:numId w:val="112"/>
        </w:numPr>
        <w:rPr>
          <w:rFonts w:ascii="Arial" w:cs="Arial" w:eastAsia="Arial" w:hAnsi="Arial"/>
          <w:sz w:val="21"/>
          <w:szCs w:val="21"/>
          <w:color w:val="auto"/>
        </w:rPr>
      </w:pPr>
      <w:r>
        <w:rPr>
          <w:rFonts w:ascii="Arial" w:cs="Arial" w:eastAsia="Arial" w:hAnsi="Arial"/>
          <w:sz w:val="19"/>
          <w:szCs w:val="19"/>
          <w:color w:val="auto"/>
        </w:rPr>
        <w:t>The Unaudited Financial Statements fairly present in all material respects the financial condition of the Borrower and its consolidated Subsidiaries as of the dates thereof and their results of operations for the period covered thereby in accordance with GAAP consistently applied throughout the periods covered thereby, except as otherwise expressly noted therein and the absence of footnotes.</w:t>
      </w:r>
    </w:p>
    <w:p>
      <w:pPr>
        <w:spacing w:after="0" w:line="184" w:lineRule="exact"/>
        <w:rPr>
          <w:rFonts w:ascii="Arial" w:cs="Arial" w:eastAsia="Arial" w:hAnsi="Arial"/>
          <w:sz w:val="21"/>
          <w:szCs w:val="21"/>
          <w:color w:val="auto"/>
        </w:rPr>
      </w:pPr>
    </w:p>
    <w:p>
      <w:pPr>
        <w:jc w:val="both"/>
        <w:ind w:firstLine="8"/>
        <w:spacing w:after="0" w:line="256" w:lineRule="auto"/>
        <w:tabs>
          <w:tab w:leader="none" w:pos="50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forecasts of income statements of the Borrower and its Subsidiaries which have been furnished to the Administrative Agent and the Required Lenders prior to the Restatement Effective Date have been prepared in good faith on the basis of the assumptions stated therein, which assumptions were believed to be reasonable at the time of preparation of such forecasts it being understood by the Agents and the Lenders that such projections as to future events (i) are not to be viewed as facts, (ii)(A) are subject to significant uncertainties and contingencies, which may be beyond the control of the Borrower and its Restricted Subsidiaries, (B) no assurance is given by the Borrower and its Restricted Subsidiaries that the results or forecast in any such projections will be realized and (C) the actual results may differ from the forecast results set forth in such projections and such differences may be material and (iii) are not a guarantee of performance and that actual results during the period or periods covered by any such projections may vary significantly from the projected results and such differences may be material.</w:t>
      </w:r>
    </w:p>
    <w:p>
      <w:pPr>
        <w:spacing w:after="0" w:line="184" w:lineRule="exact"/>
        <w:rPr>
          <w:rFonts w:ascii="Arial" w:cs="Arial" w:eastAsia="Arial" w:hAnsi="Arial"/>
          <w:sz w:val="19"/>
          <w:szCs w:val="19"/>
          <w:color w:val="auto"/>
        </w:rPr>
      </w:pPr>
    </w:p>
    <w:p>
      <w:pPr>
        <w:ind w:firstLine="8"/>
        <w:spacing w:after="0" w:line="260" w:lineRule="auto"/>
        <w:tabs>
          <w:tab w:leader="none" w:pos="509" w:val="left"/>
        </w:tabs>
        <w:numPr>
          <w:ilvl w:val="0"/>
          <w:numId w:val="112"/>
        </w:numPr>
        <w:rPr>
          <w:rFonts w:ascii="Arial" w:cs="Arial" w:eastAsia="Arial" w:hAnsi="Arial"/>
          <w:sz w:val="20"/>
          <w:szCs w:val="20"/>
          <w:color w:val="auto"/>
        </w:rPr>
      </w:pPr>
      <w:r>
        <w:rPr>
          <w:rFonts w:ascii="Arial" w:cs="Arial" w:eastAsia="Arial" w:hAnsi="Arial"/>
          <w:sz w:val="20"/>
          <w:szCs w:val="20"/>
          <w:color w:val="auto"/>
        </w:rPr>
        <w:t>Since December 31, 2018, there has been no event or circumstance, either individually or in the aggregate, that has had or would reasonably be expected to have a Material Adverse Effect.</w:t>
      </w:r>
    </w:p>
    <w:p>
      <w:pPr>
        <w:spacing w:after="0" w:line="177"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 xml:space="preserve">Section 5.06. </w:t>
      </w:r>
      <w:r>
        <w:rPr>
          <w:rFonts w:ascii="Arial" w:cs="Arial" w:eastAsia="Arial" w:hAnsi="Arial"/>
          <w:sz w:val="20"/>
          <w:szCs w:val="20"/>
          <w:i w:val="1"/>
          <w:iCs w:val="1"/>
          <w:color w:val="auto"/>
        </w:rPr>
        <w:t>Compliance With Laws</w:t>
      </w:r>
      <w:r>
        <w:rPr>
          <w:rFonts w:ascii="Arial" w:cs="Arial" w:eastAsia="Arial" w:hAnsi="Arial"/>
          <w:sz w:val="20"/>
          <w:szCs w:val="20"/>
          <w:color w:val="auto"/>
        </w:rPr>
        <w:t>. Neither the Borrower nor any of the Restricted Subsidiaries or any of their respective properties or assets is in violation of, nor will the continued operation of their properties and assets as currently conducted violate, any law, rule or regulation (including any zoning, building, ordinance, code or approval or any building permits) or any restrictions of record or agreements affecting the Mortgaged Property, or is in default with respect to any judgment, writ, injunction, decree or order of any Governmental Authority, where in each case such violation or default, individually or in the aggregate, would reasonably be expected to result in a Material Adverse Effect.</w:t>
      </w:r>
    </w:p>
    <w:p>
      <w:pPr>
        <w:spacing w:after="0" w:line="19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5.07. </w:t>
      </w:r>
      <w:r>
        <w:rPr>
          <w:rFonts w:ascii="Arial" w:cs="Arial" w:eastAsia="Arial" w:hAnsi="Arial"/>
          <w:sz w:val="20"/>
          <w:szCs w:val="20"/>
          <w:i w:val="1"/>
          <w:iCs w:val="1"/>
          <w:color w:val="auto"/>
        </w:rPr>
        <w:t>Ownership of Property; Liens</w:t>
      </w:r>
      <w:r>
        <w:rPr>
          <w:rFonts w:ascii="Arial" w:cs="Arial" w:eastAsia="Arial" w:hAnsi="Arial"/>
          <w:sz w:val="20"/>
          <w:szCs w:val="20"/>
          <w:color w:val="auto"/>
        </w:rPr>
        <w:t>.</w:t>
      </w:r>
    </w:p>
    <w:p>
      <w:pPr>
        <w:spacing w:after="0" w:line="216" w:lineRule="exact"/>
        <w:rPr>
          <w:sz w:val="20"/>
          <w:szCs w:val="20"/>
          <w:color w:val="auto"/>
        </w:rPr>
      </w:pPr>
    </w:p>
    <w:p>
      <w:pPr>
        <w:ind w:right="320" w:firstLine="8"/>
        <w:spacing w:after="0" w:line="287" w:lineRule="auto"/>
        <w:tabs>
          <w:tab w:leader="none" w:pos="50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Schedule 1.01(c) sets forth a true, complete and correct list of all Real Property owned (whether in fee or through a leasehold estate under any ground lease) by Borrower and the Restricted Subsidiaries as of the Restatement Effective Date.</w:t>
      </w:r>
    </w:p>
    <w:p>
      <w:pPr>
        <w:spacing w:after="0" w:line="152" w:lineRule="exact"/>
        <w:rPr>
          <w:rFonts w:ascii="Arial" w:cs="Arial" w:eastAsia="Arial" w:hAnsi="Arial"/>
          <w:sz w:val="19"/>
          <w:szCs w:val="19"/>
          <w:color w:val="auto"/>
        </w:rPr>
      </w:pPr>
    </w:p>
    <w:p>
      <w:pPr>
        <w:ind w:right="20" w:firstLine="8"/>
        <w:spacing w:after="0" w:line="244" w:lineRule="auto"/>
        <w:tabs>
          <w:tab w:leader="none" w:pos="509" w:val="left"/>
        </w:tabs>
        <w:numPr>
          <w:ilvl w:val="0"/>
          <w:numId w:val="113"/>
        </w:numPr>
        <w:rPr>
          <w:rFonts w:ascii="Arial" w:cs="Arial" w:eastAsia="Arial" w:hAnsi="Arial"/>
          <w:sz w:val="20"/>
          <w:szCs w:val="20"/>
          <w:color w:val="auto"/>
        </w:rPr>
      </w:pPr>
      <w:r>
        <w:rPr>
          <w:rFonts w:ascii="Arial" w:cs="Arial" w:eastAsia="Arial" w:hAnsi="Arial"/>
          <w:sz w:val="20"/>
          <w:szCs w:val="20"/>
          <w:color w:val="auto"/>
        </w:rPr>
        <w:t>Each of the Borrower and the Restricted Subsidiaries has good record title to, or valid leasehold interests in, or easements or other limited property interests in, all its properties and assets (including all Mortgaged Property material to its business), free and clear of all Liens except for minor defects in title that do not materially interfere with its ability to conduct its business or to utilize such assets for their intended purposes and except where the failure to have such title or interest would not reasonably be expected to have, individually or in the aggregate, a Material Adverse Effect.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7" w:name="page118"/>
    <w:bookmarkEnd w:id="117"/>
    <w:p>
      <w:pPr>
        <w:ind w:firstLine="8"/>
        <w:spacing w:after="0" w:line="287" w:lineRule="auto"/>
        <w:tabs>
          <w:tab w:leader="none" w:pos="50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As of the Restatement Effective Date, </w:t>
      </w:r>
      <w:r>
        <w:rPr>
          <w:rFonts w:ascii="Arial" w:cs="Arial" w:eastAsia="Arial" w:hAnsi="Arial"/>
          <w:sz w:val="19"/>
          <w:szCs w:val="19"/>
          <w:u w:val="single" w:color="auto"/>
          <w:color w:val="auto"/>
        </w:rPr>
        <w:t>Schedule 9</w:t>
      </w:r>
      <w:r>
        <w:rPr>
          <w:rFonts w:ascii="Arial" w:cs="Arial" w:eastAsia="Arial" w:hAnsi="Arial"/>
          <w:sz w:val="19"/>
          <w:szCs w:val="19"/>
          <w:color w:val="auto"/>
        </w:rPr>
        <w:t xml:space="preserve"> to the Perfection Certificate dated the Restatement Effective Date contains a true and complete list of each Material Real Property owned by the Borrower each other Loan Party and its Restricted Subsidiaries.</w:t>
      </w:r>
    </w:p>
    <w:p>
      <w:pPr>
        <w:spacing w:after="0" w:line="152" w:lineRule="exact"/>
        <w:rPr>
          <w:rFonts w:ascii="Arial" w:cs="Arial" w:eastAsia="Arial" w:hAnsi="Arial"/>
          <w:sz w:val="19"/>
          <w:szCs w:val="19"/>
          <w:color w:val="auto"/>
        </w:rPr>
      </w:pPr>
    </w:p>
    <w:p>
      <w:pPr>
        <w:jc w:val="both"/>
        <w:ind w:firstLine="8"/>
        <w:spacing w:after="0" w:line="246" w:lineRule="auto"/>
        <w:tabs>
          <w:tab w:leader="none" w:pos="509"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As of the Restatement Effective Date, except as otherwise disclosed in writing to the Collateral Agent and the Required Lenders, no Mortgage encumbers improved Mortgaged Property that is located in an area that has been identified by the Secretary of Housing and Urban Development as an area having special flood hazards within the meaning of the Flood Laws unless Evidence of Flood Insurance has been delivered to the Collateral Agent.</w:t>
      </w:r>
    </w:p>
    <w:p>
      <w:pPr>
        <w:spacing w:after="0" w:line="191" w:lineRule="exact"/>
        <w:rPr>
          <w:sz w:val="20"/>
          <w:szCs w:val="20"/>
          <w:color w:val="auto"/>
        </w:rPr>
      </w:pPr>
    </w:p>
    <w:p>
      <w:pPr>
        <w:ind w:firstLine="1497"/>
        <w:spacing w:after="0" w:line="260" w:lineRule="auto"/>
        <w:rPr>
          <w:sz w:val="20"/>
          <w:szCs w:val="20"/>
          <w:color w:val="auto"/>
        </w:rPr>
      </w:pPr>
      <w:r>
        <w:rPr>
          <w:rFonts w:ascii="Arial" w:cs="Arial" w:eastAsia="Arial" w:hAnsi="Arial"/>
          <w:sz w:val="20"/>
          <w:szCs w:val="20"/>
          <w:color w:val="auto"/>
        </w:rPr>
        <w:t xml:space="preserve">Section 5.08. </w:t>
      </w:r>
      <w:r>
        <w:rPr>
          <w:rFonts w:ascii="Arial" w:cs="Arial" w:eastAsia="Arial" w:hAnsi="Arial"/>
          <w:sz w:val="20"/>
          <w:szCs w:val="20"/>
          <w:i w:val="1"/>
          <w:iCs w:val="1"/>
          <w:color w:val="auto"/>
        </w:rPr>
        <w:t>Environmental Matters.</w:t>
      </w:r>
      <w:r>
        <w:rPr>
          <w:rFonts w:ascii="Arial" w:cs="Arial" w:eastAsia="Arial" w:hAnsi="Arial"/>
          <w:sz w:val="20"/>
          <w:szCs w:val="20"/>
          <w:color w:val="auto"/>
        </w:rPr>
        <w:t xml:space="preserve"> Except as would not reasonably be expected to have, individually or in the aggregate, a Material Adverse Effect:</w:t>
      </w:r>
    </w:p>
    <w:p>
      <w:pPr>
        <w:spacing w:after="0" w:line="177" w:lineRule="exact"/>
        <w:rPr>
          <w:sz w:val="20"/>
          <w:szCs w:val="20"/>
          <w:color w:val="auto"/>
        </w:rPr>
      </w:pPr>
    </w:p>
    <w:p>
      <w:pPr>
        <w:jc w:val="both"/>
        <w:ind w:firstLine="8"/>
        <w:spacing w:after="0" w:line="250" w:lineRule="auto"/>
        <w:tabs>
          <w:tab w:leader="none" w:pos="509" w:val="left"/>
        </w:tabs>
        <w:numPr>
          <w:ilvl w:val="0"/>
          <w:numId w:val="115"/>
        </w:numPr>
        <w:rPr>
          <w:rFonts w:ascii="Arial" w:cs="Arial" w:eastAsia="Arial" w:hAnsi="Arial"/>
          <w:sz w:val="20"/>
          <w:szCs w:val="20"/>
          <w:color w:val="auto"/>
        </w:rPr>
      </w:pPr>
      <w:r>
        <w:rPr>
          <w:rFonts w:ascii="Arial" w:cs="Arial" w:eastAsia="Arial" w:hAnsi="Arial"/>
          <w:sz w:val="20"/>
          <w:szCs w:val="20"/>
          <w:color w:val="auto"/>
        </w:rPr>
        <w:t>Each Loan Party and each Restricted Subsidiary is and has been in compliance with all Environmental Laws, which includes obtaining and maintaining all Environmental Permits required under such Environmental Laws to carry on the business of the Loan Parties and the Restricted Subsidiaries;</w:t>
      </w:r>
    </w:p>
    <w:p>
      <w:pPr>
        <w:spacing w:after="0" w:line="185" w:lineRule="exact"/>
        <w:rPr>
          <w:rFonts w:ascii="Arial" w:cs="Arial" w:eastAsia="Arial" w:hAnsi="Arial"/>
          <w:sz w:val="20"/>
          <w:szCs w:val="20"/>
          <w:color w:val="auto"/>
        </w:rPr>
      </w:pPr>
    </w:p>
    <w:p>
      <w:pPr>
        <w:jc w:val="both"/>
        <w:ind w:firstLine="8"/>
        <w:spacing w:after="0" w:line="269" w:lineRule="auto"/>
        <w:tabs>
          <w:tab w:leader="none" w:pos="509"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Loan Parties and the Restricted Subsidiaries have not received notice alleging any Environmental Liability or proposing or seeking to revoke, modify or deny the renewal of any Environmental Permit required to be held by the Loan Parties or the Restricted Subsidiaries, and neither the Loan Parties nor the Restricted Subsidiaries have become subject to any Environmental Liability;</w:t>
      </w:r>
    </w:p>
    <w:p>
      <w:pPr>
        <w:spacing w:after="0" w:line="169" w:lineRule="exact"/>
        <w:rPr>
          <w:rFonts w:ascii="Arial" w:cs="Arial" w:eastAsia="Arial" w:hAnsi="Arial"/>
          <w:sz w:val="19"/>
          <w:szCs w:val="19"/>
          <w:color w:val="auto"/>
        </w:rPr>
      </w:pPr>
    </w:p>
    <w:p>
      <w:pPr>
        <w:jc w:val="both"/>
        <w:ind w:firstLine="8"/>
        <w:spacing w:after="0" w:line="259" w:lineRule="auto"/>
        <w:tabs>
          <w:tab w:leader="none" w:pos="509"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there has been no Release, discharge or disposal of Hazardous Materials (i) on, to, at, under or from any Real Property or any vehicles or facilities owned or leased by any of the Loan Parties or the Restricted Subsidiaries, or, to the knowledge of the Borrower, formerly owned, operated or leased by any Loan Party or any Restricted Subsidiary, or (ii) arising out of the conduct of the Loan Parties or the Restricted Subsidiaries that, in the case of (i) or (ii), could reasonably be expected to require investigation, remedial activity or corrective action or cleanup by or on behalf of any Loan Party or any Restricted Subsidiary or for which any Loan Party or Restricted Subsidiary reasonably could be expected to otherwise incur any Environmental Liability; and</w:t>
      </w:r>
    </w:p>
    <w:p>
      <w:pPr>
        <w:spacing w:after="0" w:line="178" w:lineRule="exact"/>
        <w:rPr>
          <w:rFonts w:ascii="Arial" w:cs="Arial" w:eastAsia="Arial" w:hAnsi="Arial"/>
          <w:sz w:val="19"/>
          <w:szCs w:val="19"/>
          <w:color w:val="auto"/>
        </w:rPr>
      </w:pPr>
    </w:p>
    <w:p>
      <w:pPr>
        <w:jc w:val="both"/>
        <w:ind w:firstLine="8"/>
        <w:spacing w:after="0" w:line="257" w:lineRule="auto"/>
        <w:tabs>
          <w:tab w:leader="none" w:pos="509"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there are no facts, circumstances or conditions arising out of or relating to, and there are no pending or reasonably anticipated requirements under Environmental Law associated with, the operations of the Loan Parties or the Restricted Subsidiaries or any Real Property, vehicles or facilities currently or, to the knowledge of the Borrower, previously owned or leased by the Loan Parties or any Restricted Subsidiary that, in such case, are known to or would reasonably be likely to require investigation, remedial activity or corrective action or cleanup by or on behalf of any Loan Party or any Restricted Subsidiary or that are known to or would reasonably be likely to result in the Borrower or any other Loan Party or Restricted Subsidiary incurring any Environmental Liability or capital expenditures to achieve or maintain compliance with Environmental Laws.</w:t>
      </w:r>
    </w:p>
    <w:p>
      <w:pPr>
        <w:spacing w:after="0" w:line="185"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Taxes.</w:t>
      </w:r>
      <w:r>
        <w:rPr>
          <w:rFonts w:ascii="Arial" w:cs="Arial" w:eastAsia="Arial" w:hAnsi="Arial"/>
          <w:sz w:val="18"/>
          <w:szCs w:val="18"/>
          <w:color w:val="auto"/>
        </w:rPr>
        <w:t xml:space="preserve"> Except as would not, either individually or in the aggregate, reasonably be expected to result in a Material Adverse Effect: each of the Loan Parties and their Restricted Subsidiaries have timely filed all tax returns required to be filed (taking into account any extensions), and have paid all Taxes levied or imposed upon them or their properties, that are due and payable (including in their capacity as a withholding agent), except those which are being contested in good faith by appropriate proceedings diligently conducted if such contest shall have the effect of suspending enforcement or collection of such Taxes and for which adequate reserves have been provided in accordance with GAAP. There is no proposed Tax deficiency or assessment known to any Loan Party against any Loan Party or any Restricted Subsidiary that would, if made, individually or in the aggregate, have a Material Adverse Effect.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8" w:name="page119"/>
    <w:bookmarkEnd w:id="118"/>
    <w:p>
      <w:pPr>
        <w:ind w:left="1500"/>
        <w:spacing w:after="0"/>
        <w:rPr>
          <w:sz w:val="20"/>
          <w:szCs w:val="20"/>
          <w:color w:val="auto"/>
        </w:rPr>
      </w:pPr>
      <w:r>
        <w:rPr>
          <w:rFonts w:ascii="Arial" w:cs="Arial" w:eastAsia="Arial" w:hAnsi="Arial"/>
          <w:sz w:val="20"/>
          <w:szCs w:val="20"/>
          <w:color w:val="auto"/>
        </w:rPr>
        <w:t xml:space="preserve">Section 5.10. </w:t>
      </w:r>
      <w:r>
        <w:rPr>
          <w:rFonts w:ascii="Arial" w:cs="Arial" w:eastAsia="Arial" w:hAnsi="Arial"/>
          <w:sz w:val="20"/>
          <w:szCs w:val="20"/>
          <w:i w:val="1"/>
          <w:iCs w:val="1"/>
          <w:color w:val="auto"/>
        </w:rPr>
        <w:t>ERISA Compliance</w:t>
      </w:r>
      <w:r>
        <w:rPr>
          <w:rFonts w:ascii="Arial" w:cs="Arial" w:eastAsia="Arial" w:hAnsi="Arial"/>
          <w:sz w:val="20"/>
          <w:szCs w:val="20"/>
          <w:color w:val="auto"/>
        </w:rPr>
        <w:t>.</w:t>
      </w:r>
    </w:p>
    <w:p>
      <w:pPr>
        <w:spacing w:after="0" w:line="21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Except as would not, either individually or in the aggregate, reasonably be expected to result in a Material Adverse Effect:</w:t>
      </w:r>
    </w:p>
    <w:p>
      <w:pPr>
        <w:spacing w:after="0" w:line="216" w:lineRule="exact"/>
        <w:rPr>
          <w:sz w:val="20"/>
          <w:szCs w:val="20"/>
          <w:color w:val="auto"/>
        </w:rPr>
      </w:pPr>
    </w:p>
    <w:p>
      <w:pPr>
        <w:ind w:firstLine="8"/>
        <w:spacing w:after="0" w:line="260" w:lineRule="auto"/>
        <w:tabs>
          <w:tab w:leader="none" w:pos="509" w:val="left"/>
        </w:tabs>
        <w:numPr>
          <w:ilvl w:val="0"/>
          <w:numId w:val="116"/>
        </w:numPr>
        <w:rPr>
          <w:rFonts w:ascii="Arial" w:cs="Arial" w:eastAsia="Arial" w:hAnsi="Arial"/>
          <w:sz w:val="20"/>
          <w:szCs w:val="20"/>
          <w:color w:val="auto"/>
        </w:rPr>
      </w:pPr>
      <w:r>
        <w:rPr>
          <w:rFonts w:ascii="Arial" w:cs="Arial" w:eastAsia="Arial" w:hAnsi="Arial"/>
          <w:sz w:val="20"/>
          <w:szCs w:val="20"/>
          <w:color w:val="auto"/>
        </w:rPr>
        <w:t>Each Plan is in compliance with the applicable provisions of ERISA, the Code and other Federal or state Laws (and the regulations and published interpretations thereunder).</w:t>
      </w:r>
    </w:p>
    <w:p>
      <w:pPr>
        <w:spacing w:after="0" w:line="176" w:lineRule="exact"/>
        <w:rPr>
          <w:rFonts w:ascii="Arial" w:cs="Arial" w:eastAsia="Arial" w:hAnsi="Arial"/>
          <w:sz w:val="20"/>
          <w:szCs w:val="20"/>
          <w:color w:val="auto"/>
        </w:rPr>
      </w:pPr>
    </w:p>
    <w:p>
      <w:pPr>
        <w:ind w:firstLine="8"/>
        <w:spacing w:after="0" w:line="316" w:lineRule="auto"/>
        <w:tabs>
          <w:tab w:leader="none" w:pos="50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The Loan Parties, their Restricted Subsidiaries and their respective ERISA Affiliates may incur liability for ordinary course contributions to (and make payments in satisfaction of such liabilities) plans listed on </w:t>
      </w:r>
      <w:r>
        <w:rPr>
          <w:rFonts w:ascii="Arial" w:cs="Arial" w:eastAsia="Arial" w:hAnsi="Arial"/>
          <w:sz w:val="18"/>
          <w:szCs w:val="18"/>
          <w:u w:val="single" w:color="auto"/>
          <w:color w:val="auto"/>
        </w:rPr>
        <w:t>Schedule 5.10(b)</w:t>
      </w:r>
      <w:r>
        <w:rPr>
          <w:rFonts w:ascii="Arial" w:cs="Arial" w:eastAsia="Arial" w:hAnsi="Arial"/>
          <w:sz w:val="18"/>
          <w:szCs w:val="18"/>
          <w:color w:val="auto"/>
        </w:rPr>
        <w:t>, which are Multiemployer Plans.</w:t>
      </w:r>
    </w:p>
    <w:p>
      <w:pPr>
        <w:spacing w:after="0" w:line="129" w:lineRule="exact"/>
        <w:rPr>
          <w:rFonts w:ascii="Arial" w:cs="Arial" w:eastAsia="Arial" w:hAnsi="Arial"/>
          <w:sz w:val="18"/>
          <w:szCs w:val="18"/>
          <w:color w:val="auto"/>
        </w:rPr>
      </w:pPr>
    </w:p>
    <w:p>
      <w:pPr>
        <w:ind w:left="1020" w:hanging="263"/>
        <w:spacing w:after="0"/>
        <w:tabs>
          <w:tab w:leader="none" w:pos="102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No ERISA Event has occurred.</w:t>
      </w:r>
    </w:p>
    <w:p>
      <w:pPr>
        <w:spacing w:after="0" w:line="216"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i w:val="1"/>
          <w:iCs w:val="1"/>
          <w:color w:val="auto"/>
        </w:rPr>
        <w:t>Subsidiaries.</w:t>
      </w:r>
      <w:r>
        <w:rPr>
          <w:rFonts w:ascii="Arial" w:cs="Arial" w:eastAsia="Arial" w:hAnsi="Arial"/>
          <w:sz w:val="19"/>
          <w:szCs w:val="19"/>
          <w:color w:val="auto"/>
        </w:rPr>
        <w:t xml:space="preserve"> As of the Restatement Effective Date (after giving effect to the Transactions), no Loan Party has any direct or indirect Restricted Subsidiaries other than those specifically disclosed in </w:t>
      </w:r>
      <w:r>
        <w:rPr>
          <w:rFonts w:ascii="Arial" w:cs="Arial" w:eastAsia="Arial" w:hAnsi="Arial"/>
          <w:sz w:val="19"/>
          <w:szCs w:val="19"/>
          <w:u w:val="single" w:color="auto"/>
          <w:color w:val="auto"/>
        </w:rPr>
        <w:t>Schedule 5.11</w:t>
      </w:r>
      <w:r>
        <w:rPr>
          <w:rFonts w:ascii="Arial" w:cs="Arial" w:eastAsia="Arial" w:hAnsi="Arial"/>
          <w:sz w:val="19"/>
          <w:szCs w:val="19"/>
          <w:color w:val="auto"/>
        </w:rPr>
        <w:t xml:space="preserve">, and all of the outstanding Equity Interests owned by the Loan Parties (or a Restricted Subsidiary of any Loan Party) in such Subsidiaries have been validly issued and are fully paid and (if applicable) non-assessable and all Equity Interests owned by a Loan Party (or a Restricted Subsidiary of any Loan Party) in such Subsidiaries are owned free and clear of all Liens except (a) those created under the Collateral Documents or under the ABL Facility Documentation, the UST Tranche A Facility Documentation and the UST Tranche B Facility Documentation (which Liens shall be subject to the ABL Intercreditor Agreement) and (b) any other Lien that is permitted under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As of the Restatement Effective Date, (i) </w:t>
      </w:r>
      <w:r>
        <w:rPr>
          <w:rFonts w:ascii="Arial" w:cs="Arial" w:eastAsia="Arial" w:hAnsi="Arial"/>
          <w:sz w:val="19"/>
          <w:szCs w:val="19"/>
          <w:u w:val="single" w:color="auto"/>
          <w:color w:val="auto"/>
        </w:rPr>
        <w:t>Section 2(c)</w:t>
      </w:r>
      <w:r>
        <w:rPr>
          <w:rFonts w:ascii="Arial" w:cs="Arial" w:eastAsia="Arial" w:hAnsi="Arial"/>
          <w:sz w:val="19"/>
          <w:szCs w:val="19"/>
          <w:color w:val="auto"/>
        </w:rPr>
        <w:t xml:space="preserve"> of the Perfection Certificate sets forth the name and jurisdiction of each Loan Party and (ii) Schedule 5 to the Perfection Certificate sets forth the direct ownership interest of the Borrower and any Loan Party thereof in each such Subsidiary, including the percentage of such ownership.</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5.12. </w:t>
      </w:r>
      <w:r>
        <w:rPr>
          <w:rFonts w:ascii="Arial" w:cs="Arial" w:eastAsia="Arial" w:hAnsi="Arial"/>
          <w:sz w:val="20"/>
          <w:szCs w:val="20"/>
          <w:i w:val="1"/>
          <w:iCs w:val="1"/>
          <w:color w:val="auto"/>
        </w:rPr>
        <w:t>Margin Regulations; Investment Company Act</w:t>
      </w:r>
      <w:r>
        <w:rPr>
          <w:rFonts w:ascii="Arial" w:cs="Arial" w:eastAsia="Arial" w:hAnsi="Arial"/>
          <w:sz w:val="20"/>
          <w:szCs w:val="20"/>
          <w:color w:val="auto"/>
        </w:rPr>
        <w:t>.</w:t>
      </w:r>
    </w:p>
    <w:p>
      <w:pPr>
        <w:spacing w:after="0" w:line="216" w:lineRule="exact"/>
        <w:rPr>
          <w:sz w:val="20"/>
          <w:szCs w:val="20"/>
          <w:color w:val="auto"/>
        </w:rPr>
      </w:pPr>
    </w:p>
    <w:p>
      <w:pPr>
        <w:jc w:val="both"/>
        <w:ind w:firstLine="839"/>
        <w:spacing w:after="0" w:line="263" w:lineRule="auto"/>
        <w:rPr>
          <w:sz w:val="20"/>
          <w:szCs w:val="20"/>
          <w:color w:val="auto"/>
        </w:rPr>
      </w:pPr>
      <w:r>
        <w:rPr>
          <w:rFonts w:ascii="Arial" w:cs="Arial" w:eastAsia="Arial" w:hAnsi="Arial"/>
          <w:sz w:val="19"/>
          <w:szCs w:val="19"/>
          <w:color w:val="auto"/>
        </w:rPr>
        <w:t>(a)No Loan Party or Restricted Subsidiary is engaged nor will it engage, principally, or as one of its important activities in the business of purchasing or carrying Margin Stock, or extending credit for the purpose of purchasing or carrying Margin Stock, and no proceeds of any Borrowings will be used, whether directly or indirectly, and whether immediately, incidentally or ultimately, for any purpose that entails a violation of the provisions of the Regulations of the Board, including Regulation T, U or X.</w:t>
      </w:r>
    </w:p>
    <w:p>
      <w:pPr>
        <w:spacing w:after="0" w:line="176" w:lineRule="exact"/>
        <w:rPr>
          <w:sz w:val="20"/>
          <w:szCs w:val="20"/>
          <w:color w:val="auto"/>
        </w:rPr>
      </w:pPr>
    </w:p>
    <w:p>
      <w:pPr>
        <w:jc w:val="both"/>
        <w:ind w:firstLine="839"/>
        <w:spacing w:after="0" w:line="260" w:lineRule="auto"/>
        <w:rPr>
          <w:sz w:val="20"/>
          <w:szCs w:val="20"/>
          <w:color w:val="auto"/>
        </w:rPr>
      </w:pPr>
      <w:r>
        <w:rPr>
          <w:rFonts w:ascii="Arial" w:cs="Arial" w:eastAsia="Arial" w:hAnsi="Arial"/>
          <w:sz w:val="20"/>
          <w:szCs w:val="20"/>
          <w:color w:val="auto"/>
        </w:rPr>
        <w:t>(b)Neither the Borrower, nor any of the Restricted Subsidiaries is or is required to be registered as an “investment company” under the Investment Company Act of 1940.</w:t>
      </w:r>
    </w:p>
    <w:p>
      <w:pPr>
        <w:spacing w:after="0" w:line="177"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19"/>
          <w:szCs w:val="19"/>
          <w:color w:val="auto"/>
        </w:rPr>
        <w:t xml:space="preserve">Section 5.13. </w:t>
      </w:r>
      <w:r>
        <w:rPr>
          <w:rFonts w:ascii="Arial" w:cs="Arial" w:eastAsia="Arial" w:hAnsi="Arial"/>
          <w:sz w:val="19"/>
          <w:szCs w:val="19"/>
          <w:i w:val="1"/>
          <w:iCs w:val="1"/>
          <w:color w:val="auto"/>
        </w:rPr>
        <w:t>Disclosure.</w:t>
      </w:r>
      <w:r>
        <w:rPr>
          <w:rFonts w:ascii="Arial" w:cs="Arial" w:eastAsia="Arial" w:hAnsi="Arial"/>
          <w:sz w:val="19"/>
          <w:szCs w:val="19"/>
          <w:color w:val="auto"/>
        </w:rPr>
        <w:t xml:space="preserve"> No report, financial statement, certificate or other written information furnished by or on behalf of any Loan Party (other than projected financial information, pro forma financial information, budgets, estimates and information of a general economic or industry nature) to any Agent or any Lender about the Borrower and its Subsidiaries in connection with the transactions contemplated hereby and the negotiation of this Agreement or delivered hereunder or under any other Loan Document (as modified or supplemented by other information so furnished) when taken as a whole contains or will contain any material misstatement of fact or omits or will omit to state any material fact necessary to make the statements therein (when taken as a whole), in the light of the circumstances under which they were or will be made, not materially misleading. With respect to projected financial information and pro forma financial information, the Borrower represents that such information was prepared in good faith based upon assumptions believed to be reasonable at the time of preparation; it being understood and agreed by the Agents and the Lenders that such projections as to future events (i) are not to be viewed as facts,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19" w:name="page120"/>
    <w:bookmarkEnd w:id="119"/>
    <w:p>
      <w:pPr>
        <w:jc w:val="both"/>
        <w:spacing w:after="0" w:line="250" w:lineRule="auto"/>
        <w:rPr>
          <w:sz w:val="20"/>
          <w:szCs w:val="20"/>
          <w:color w:val="auto"/>
        </w:rPr>
      </w:pPr>
      <w:r>
        <w:rPr>
          <w:rFonts w:ascii="Arial" w:cs="Arial" w:eastAsia="Arial" w:hAnsi="Arial"/>
          <w:sz w:val="20"/>
          <w:szCs w:val="20"/>
          <w:color w:val="auto"/>
        </w:rPr>
        <w:t>are subject to significant uncertainties and contingencies, which may be beyond the control of the Borrower and its Restricted Subsidiaries and (iii) are not a guarantee of performance and that actual results during the period or periods covered by any such projections may vary significantly from the projected results and such differences may be material.</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5.14. </w:t>
      </w:r>
      <w:r>
        <w:rPr>
          <w:rFonts w:ascii="Arial" w:cs="Arial" w:eastAsia="Arial" w:hAnsi="Arial"/>
          <w:sz w:val="20"/>
          <w:szCs w:val="20"/>
          <w:i w:val="1"/>
          <w:iCs w:val="1"/>
          <w:color w:val="auto"/>
        </w:rPr>
        <w:t>Labor Matters</w:t>
      </w:r>
      <w:r>
        <w:rPr>
          <w:rFonts w:ascii="Arial" w:cs="Arial" w:eastAsia="Arial" w:hAnsi="Arial"/>
          <w:sz w:val="20"/>
          <w:szCs w:val="20"/>
          <w:color w:val="auto"/>
        </w:rPr>
        <w:t>.</w:t>
      </w:r>
    </w:p>
    <w:p>
      <w:pPr>
        <w:spacing w:after="0" w:line="216" w:lineRule="exact"/>
        <w:rPr>
          <w:sz w:val="20"/>
          <w:szCs w:val="20"/>
          <w:color w:val="auto"/>
        </w:rPr>
      </w:pPr>
    </w:p>
    <w:p>
      <w:pPr>
        <w:jc w:val="both"/>
        <w:ind w:firstLine="757"/>
        <w:spacing w:after="0" w:line="255" w:lineRule="auto"/>
        <w:tabs>
          <w:tab w:leader="none" w:pos="118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Except as, in the aggregate, would not reasonably be expected to result in a Material Adverse Effect: (i) there are no strikes or other labor disputes against the Borrower or any of its Restricted Subsidiaries pending or, to the knowledge of the Borrower, threatened in writing; (ii) hours worked by and payment made to employees of the Borrower or any of its Restricted Subsidiaries have not been in violation of the Fair Labor Standards Act or any other applicable Law dealing with such matters; and (iii) all payments due from the Borrower or any of its Restricted Subsidiaries on account of employee health and welfare insurance have been paid or accrued as a liability on the books of the relevant party. Except as disclosed on </w:t>
      </w:r>
      <w:r>
        <w:rPr>
          <w:rFonts w:ascii="Arial" w:cs="Arial" w:eastAsia="Arial" w:hAnsi="Arial"/>
          <w:sz w:val="19"/>
          <w:szCs w:val="19"/>
          <w:u w:val="single" w:color="auto"/>
          <w:color w:val="auto"/>
        </w:rPr>
        <w:t>Schedule 5.14</w:t>
      </w:r>
      <w:r>
        <w:rPr>
          <w:rFonts w:ascii="Arial" w:cs="Arial" w:eastAsia="Arial" w:hAnsi="Arial"/>
          <w:sz w:val="19"/>
          <w:szCs w:val="19"/>
          <w:color w:val="auto"/>
        </w:rPr>
        <w:t>, as of the Restatement Effective Date no Loan Party is a party to or bound by any collective bargaining agreement or, with respect to any Foreign Subsidiary, any similar agreement. To the knowledge of any Loan Party, the consummation of the transactions contemplated by the Loan Documents will not give rise to any right of termination or right of renegotiation on the part of any union under any collective bargaining agreement to which any Loan Party is bound to the extent that such would be reasonably expected to result in a Material Adverse Effect.</w:t>
      </w:r>
    </w:p>
    <w:p>
      <w:pPr>
        <w:spacing w:after="0" w:line="189" w:lineRule="exact"/>
        <w:rPr>
          <w:rFonts w:ascii="Arial" w:cs="Arial" w:eastAsia="Arial" w:hAnsi="Arial"/>
          <w:sz w:val="19"/>
          <w:szCs w:val="19"/>
          <w:color w:val="auto"/>
        </w:rPr>
      </w:pPr>
    </w:p>
    <w:p>
      <w:pPr>
        <w:jc w:val="both"/>
        <w:ind w:firstLine="757"/>
        <w:spacing w:after="0" w:line="244" w:lineRule="auto"/>
        <w:tabs>
          <w:tab w:leader="none" w:pos="1222"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(i) The IBT Agreement is in full force and effect and (ii) other than as contemplated by the IBT Transactions, the IBT Agreement has not been amended, waived or otherwise modified in any respect materially adverse to the Borrower and its Subsidiaries (taken as a whole). For purposes of this </w:t>
      </w:r>
      <w:r>
        <w:rPr>
          <w:rFonts w:ascii="Arial" w:cs="Arial" w:eastAsia="Arial" w:hAnsi="Arial"/>
          <w:sz w:val="20"/>
          <w:szCs w:val="20"/>
          <w:u w:val="single" w:color="auto"/>
          <w:color w:val="auto"/>
        </w:rPr>
        <w:t>Section 5.14(b)</w:t>
      </w:r>
      <w:r>
        <w:rPr>
          <w:rFonts w:ascii="Arial" w:cs="Arial" w:eastAsia="Arial" w:hAnsi="Arial"/>
          <w:sz w:val="20"/>
          <w:szCs w:val="20"/>
          <w:color w:val="auto"/>
        </w:rPr>
        <w:t>, it is understood that the resolution in the ordinary course of business of an employee grievance seeking to enforce the IBT Agreement terms will not be deemed to constitute an amendment, waiver or other modification to the IBT Agreement.</w:t>
      </w:r>
    </w:p>
    <w:p>
      <w:pPr>
        <w:spacing w:after="0" w:line="194"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0"/>
          <w:szCs w:val="20"/>
          <w:color w:val="auto"/>
        </w:rPr>
        <w:t xml:space="preserve">Section 5.15. </w:t>
      </w:r>
      <w:r>
        <w:rPr>
          <w:rFonts w:ascii="Arial" w:cs="Arial" w:eastAsia="Arial" w:hAnsi="Arial"/>
          <w:sz w:val="20"/>
          <w:szCs w:val="20"/>
          <w:i w:val="1"/>
          <w:iCs w:val="1"/>
          <w:color w:val="auto"/>
        </w:rPr>
        <w:t>Insurance.</w:t>
      </w:r>
      <w:r>
        <w:rPr>
          <w:rFonts w:ascii="Arial" w:cs="Arial" w:eastAsia="Arial" w:hAnsi="Arial"/>
          <w:sz w:val="20"/>
          <w:szCs w:val="20"/>
          <w:color w:val="auto"/>
        </w:rPr>
        <w:t xml:space="preserve"> Each of the Borrower and its Subsidiaries maintains, with financially sound and reputable insurance companies, insurance in such amounts and against such risks as are customarily maintained by companies engaged in the same or similar businesses operating in the same or similar locations; </w:t>
      </w:r>
      <w:r>
        <w:rPr>
          <w:rFonts w:ascii="Arial" w:cs="Arial" w:eastAsia="Arial" w:hAnsi="Arial"/>
          <w:sz w:val="20"/>
          <w:szCs w:val="20"/>
          <w:i w:val="1"/>
          <w:iCs w:val="1"/>
          <w:color w:val="auto"/>
        </w:rPr>
        <w:t>provided</w:t>
      </w:r>
      <w:r>
        <w:rPr>
          <w:rFonts w:ascii="Arial" w:cs="Arial" w:eastAsia="Arial" w:hAnsi="Arial"/>
          <w:sz w:val="20"/>
          <w:szCs w:val="20"/>
          <w:color w:val="auto"/>
        </w:rPr>
        <w:t>, that each of the Borrower and its Subsidiaries may self-insure to the same extent as other companies engaged in similar businesses and owning similar properties in the same general areas in which the Borrower or each such Subsidiary, as applicable, operates.</w:t>
      </w:r>
    </w:p>
    <w:p>
      <w:pPr>
        <w:spacing w:after="0" w:line="194"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19"/>
          <w:szCs w:val="19"/>
          <w:color w:val="auto"/>
        </w:rPr>
        <w:t xml:space="preserve">Section 5.16. </w:t>
      </w:r>
      <w:r>
        <w:rPr>
          <w:rFonts w:ascii="Arial" w:cs="Arial" w:eastAsia="Arial" w:hAnsi="Arial"/>
          <w:sz w:val="19"/>
          <w:szCs w:val="19"/>
          <w:i w:val="1"/>
          <w:iCs w:val="1"/>
          <w:color w:val="auto"/>
        </w:rPr>
        <w:t>Solvency.</w:t>
      </w:r>
      <w:r>
        <w:rPr>
          <w:rFonts w:ascii="Arial" w:cs="Arial" w:eastAsia="Arial" w:hAnsi="Arial"/>
          <w:sz w:val="19"/>
          <w:szCs w:val="19"/>
          <w:color w:val="auto"/>
        </w:rPr>
        <w:t xml:space="preserve"> Immediately after giving effect to the consummation of the Transactions to occur on the Restatement Effective Date, including the making of the Loans under this Agreement, and immediately after giving effect to the application of the proceeds of such Loans, on the Restatement Effective Date (a) the fair value of the assets of the Borrower and its Subsidiaries, on a consolidated basis (on a going concern basis), exceeds, on a consolidated basis, their debts and liabilities, subordinated, contingent or otherwise; (b)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in the ordinary course of business; (c) the Borrower and its Subsidiaries, on a consolidated basis, are able to pay their debts and liabilities, subordinated, contingent or otherwise, as such liabilities become absolute and matured; and (d) the Borrower and its Subsidiaries, on a consolidated basis, are not engaged in, and are not about to engage in, business for which they have unreasonably small capital. For purposes of this </w:t>
      </w:r>
      <w:r>
        <w:rPr>
          <w:rFonts w:ascii="Arial" w:cs="Arial" w:eastAsia="Arial" w:hAnsi="Arial"/>
          <w:sz w:val="19"/>
          <w:szCs w:val="19"/>
          <w:u w:val="single" w:color="auto"/>
          <w:color w:val="auto"/>
        </w:rPr>
        <w:t>Section 5.16</w:t>
      </w:r>
      <w:r>
        <w:rPr>
          <w:rFonts w:ascii="Arial" w:cs="Arial" w:eastAsia="Arial" w:hAnsi="Arial"/>
          <w:sz w:val="19"/>
          <w:szCs w:val="19"/>
          <w:color w:val="auto"/>
        </w:rPr>
        <w:t>, the amount of any contingent liability at any time shall be computed as the amount that would reasonably be expected to become an actual and matured liability in the ordinary course of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0" w:name="page121"/>
    <w:bookmarkEnd w:id="120"/>
    <w:p>
      <w:pPr>
        <w:jc w:val="both"/>
        <w:ind w:firstLine="1497"/>
        <w:spacing w:after="0" w:line="246" w:lineRule="auto"/>
        <w:rPr>
          <w:sz w:val="20"/>
          <w:szCs w:val="20"/>
          <w:color w:val="auto"/>
        </w:rPr>
      </w:pPr>
      <w:r>
        <w:rPr>
          <w:rFonts w:ascii="Arial" w:cs="Arial" w:eastAsia="Arial" w:hAnsi="Arial"/>
          <w:sz w:val="20"/>
          <w:szCs w:val="20"/>
          <w:color w:val="auto"/>
        </w:rPr>
        <w:t xml:space="preserve">Section 5.17. </w:t>
      </w:r>
      <w:r>
        <w:rPr>
          <w:rFonts w:ascii="Arial" w:cs="Arial" w:eastAsia="Arial" w:hAnsi="Arial"/>
          <w:sz w:val="20"/>
          <w:szCs w:val="20"/>
          <w:i w:val="1"/>
          <w:iCs w:val="1"/>
          <w:color w:val="auto"/>
        </w:rPr>
        <w:t>No Other Borrowed Money Indebtedness.</w:t>
      </w:r>
      <w:r>
        <w:rPr>
          <w:rFonts w:ascii="Arial" w:cs="Arial" w:eastAsia="Arial" w:hAnsi="Arial"/>
          <w:sz w:val="20"/>
          <w:szCs w:val="20"/>
          <w:color w:val="auto"/>
        </w:rPr>
        <w:t xml:space="preserve"> Immediately after giving effect to the consummation of the Transactions to occur on the Restatement Effective Date the Borrower and its Subsidiaries shall have outstanding no Indebtedness for borrowed money other than (a) Indebtedness outstanding under this Agreement, (b) the ABL Facility Indebtedness, (c) Indebtedness set forth on Schedule 7.03(b) and (d) Indebtedness permitted pursuant to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5.18. </w:t>
      </w:r>
      <w:r>
        <w:rPr>
          <w:rFonts w:ascii="Arial" w:cs="Arial" w:eastAsia="Arial" w:hAnsi="Arial"/>
          <w:sz w:val="20"/>
          <w:szCs w:val="20"/>
          <w:i w:val="1"/>
          <w:iCs w:val="1"/>
          <w:color w:val="auto"/>
        </w:rPr>
        <w:t>Collateral Documents</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69" w:lineRule="auto"/>
        <w:tabs>
          <w:tab w:leader="none" w:pos="509"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Valid Liens</w:t>
      </w:r>
      <w:r>
        <w:rPr>
          <w:rFonts w:ascii="Arial" w:cs="Arial" w:eastAsia="Arial" w:hAnsi="Arial"/>
          <w:sz w:val="18"/>
          <w:szCs w:val="18"/>
          <w:color w:val="auto"/>
        </w:rPr>
        <w:t>. The Collateral Documents are, or on execution and delivery thereof by the parties thereto will be, effective to create in</w:t>
      </w:r>
      <w:r>
        <w:rPr>
          <w:rFonts w:ascii="Arial" w:cs="Arial" w:eastAsia="Arial" w:hAnsi="Arial"/>
          <w:sz w:val="18"/>
          <w:szCs w:val="18"/>
          <w:i w:val="1"/>
          <w:iCs w:val="1"/>
          <w:color w:val="auto"/>
        </w:rPr>
        <w:t xml:space="preserve"> </w:t>
      </w:r>
      <w:r>
        <w:rPr>
          <w:rFonts w:ascii="Arial" w:cs="Arial" w:eastAsia="Arial" w:hAnsi="Arial"/>
          <w:sz w:val="18"/>
          <w:szCs w:val="18"/>
          <w:color w:val="auto"/>
        </w:rPr>
        <w:t>favor of the Collateral Agent for the benefit of the Secured Parties, legal, valid and enforceable Liens on, and security interests in, the Collateral described therein to the extent intended to be created thereby, except as the enforceability thereof may be limited by bankruptcy, insolvency or similar laws affecting creditors’ rights generally and subject to general principles of equity and (i) when financing statements and other filings in appropriate form are filed in the offices specified in Section 2 of the Perfection Certificate (and payments of all fees) and</w:t>
      </w:r>
    </w:p>
    <w:p>
      <w:pPr>
        <w:spacing w:after="0" w:line="3" w:lineRule="exact"/>
        <w:rPr>
          <w:rFonts w:ascii="Arial" w:cs="Arial" w:eastAsia="Arial" w:hAnsi="Arial"/>
          <w:sz w:val="18"/>
          <w:szCs w:val="18"/>
          <w:color w:val="auto"/>
        </w:rPr>
      </w:pPr>
    </w:p>
    <w:p>
      <w:pPr>
        <w:jc w:val="both"/>
        <w:ind w:firstLine="8"/>
        <w:spacing w:after="0"/>
        <w:tabs>
          <w:tab w:leader="none" w:pos="318" w:val="left"/>
        </w:tabs>
        <w:numPr>
          <w:ilvl w:val="0"/>
          <w:numId w:val="119"/>
        </w:numPr>
        <w:rPr>
          <w:rFonts w:ascii="Arial" w:cs="Arial" w:eastAsia="Arial" w:hAnsi="Arial"/>
          <w:sz w:val="20"/>
          <w:szCs w:val="20"/>
          <w:color w:val="auto"/>
        </w:rPr>
      </w:pPr>
      <w:r>
        <w:rPr>
          <w:rFonts w:ascii="Arial" w:cs="Arial" w:eastAsia="Arial" w:hAnsi="Arial"/>
          <w:sz w:val="20"/>
          <w:szCs w:val="20"/>
          <w:color w:val="auto"/>
        </w:rPr>
        <w:t xml:space="preserve">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Security Agreement), and (iii) upon the notating of the Lien of the Collateral Agent on all certificates of title in respect of any Collateral, the Liens created by the Collateral Documents (other than the Mortgages) shall constitute fully perfected Liens on, and security interests in, all right, title and interest of the grantors in such Collateral, in each case prior and superior in right to any other Person, other than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(other than Liens securing Permitted Junior Priority Additional Debt or any Permitted Refinancing thereof and Liens securing ABL Facility Indebtedness, UST Tranche A Facility Indebtedness and UST Tranche B Facility Indebtedness or, in each case, a Permitted Refinancing thereof, that are intended to be junior to the Liens of the Collateral Documents).</w:t>
      </w:r>
    </w:p>
    <w:p>
      <w:pPr>
        <w:spacing w:after="0" w:line="195" w:lineRule="exact"/>
        <w:rPr>
          <w:rFonts w:ascii="Arial" w:cs="Arial" w:eastAsia="Arial" w:hAnsi="Arial"/>
          <w:sz w:val="20"/>
          <w:szCs w:val="20"/>
          <w:color w:val="auto"/>
        </w:rPr>
      </w:pPr>
    </w:p>
    <w:p>
      <w:pPr>
        <w:jc w:val="both"/>
        <w:ind w:firstLine="8"/>
        <w:spacing w:after="0" w:line="271" w:lineRule="auto"/>
        <w:tabs>
          <w:tab w:leader="none" w:pos="509"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PTO Filing; Copyright Office Filing</w:t>
      </w:r>
      <w:r>
        <w:rPr>
          <w:rFonts w:ascii="Arial" w:cs="Arial" w:eastAsia="Arial" w:hAnsi="Arial"/>
          <w:sz w:val="18"/>
          <w:szCs w:val="18"/>
          <w:color w:val="auto"/>
        </w:rPr>
        <w:t>. When the Security Agreement or a short form thereof is properly filed (and payments of all fees)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the United States Patent and Trademark Office and the United States Copyright Office, to the extent such filings may perfect such interests, the Liens created by such Security Agreement shall constitute fully perfected Liens on, and security interests in, all right, title and interest of the grantors thereunder in Patents and Trademarks (each as defined in the Security Agreement) registered or applied for with the United States Patent and Trademark Office or Copyrights (as defined in such Security Agreement) registered or applied for with the United States Copyright Office, as the case may be, in each case prior and superior in right to any other Person, other than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(other than Liens securing Permitted Junior Priority Additional Debt or any Permitted Refinancing thereof and Liens securing ABL Facility Indebtedness, UST Tranche A Facility Indebtedness and UST Tranche B Facility Indebtedness or, in each case, a Permitted Refinancing thereof, that are intended to be junior to the Liens of the Collateral Documents) (it being understood that subsequent recordings in the United States Patent and Trademark Office and the United States Copyright Office may be necessary to establish a Lien on registered Patents, Trademarks and Copyrights acquired by the grantors thereof after the Restatement Effective Date).</w:t>
      </w:r>
    </w:p>
    <w:p>
      <w:pPr>
        <w:spacing w:after="0" w:line="169" w:lineRule="exact"/>
        <w:rPr>
          <w:rFonts w:ascii="Arial" w:cs="Arial" w:eastAsia="Arial" w:hAnsi="Arial"/>
          <w:sz w:val="18"/>
          <w:szCs w:val="18"/>
          <w:color w:val="auto"/>
        </w:rPr>
      </w:pPr>
    </w:p>
    <w:p>
      <w:pPr>
        <w:jc w:val="both"/>
        <w:ind w:firstLine="8"/>
        <w:spacing w:after="0" w:line="243" w:lineRule="auto"/>
        <w:tabs>
          <w:tab w:leader="none" w:pos="509" w:val="left"/>
        </w:tabs>
        <w:numPr>
          <w:ilvl w:val="0"/>
          <w:numId w:val="120"/>
        </w:numPr>
        <w:rPr>
          <w:rFonts w:ascii="Arial" w:cs="Arial" w:eastAsia="Arial" w:hAnsi="Arial"/>
          <w:sz w:val="20"/>
          <w:szCs w:val="20"/>
          <w:color w:val="auto"/>
        </w:rPr>
      </w:pPr>
      <w:r>
        <w:rPr>
          <w:rFonts w:ascii="Arial" w:cs="Arial" w:eastAsia="Arial" w:hAnsi="Arial"/>
          <w:sz w:val="20"/>
          <w:szCs w:val="20"/>
          <w:i w:val="1"/>
          <w:iCs w:val="1"/>
          <w:color w:val="auto"/>
        </w:rPr>
        <w:t>Mortgages</w:t>
      </w:r>
      <w:r>
        <w:rPr>
          <w:rFonts w:ascii="Arial" w:cs="Arial" w:eastAsia="Arial" w:hAnsi="Arial"/>
          <w:sz w:val="20"/>
          <w:szCs w:val="20"/>
          <w:color w:val="auto"/>
        </w:rPr>
        <w:t>. Upon recording thereof in the appropriate recording office (and payments of all applicable fees), each Mortgage is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effective to create, in favor of the Collateral Agent, for its benefit and the benefit of the Secured Parties, legal, valid and enforceable (except as the enforceability thereof may be limited by bankruptcy, insolvency or similar laws affecting creditors’ rights generally and subject to general principles of equity) perfected Liens on, and a security interest in, all of the Loan Parties’ right, title and interest in and to the Mortgaged Property thereunder and the proceeds thereof, subject only to Liens permitted hereunder, and when such Mortgage is filed in the offices specified in the local counsel opinion delivered with respect thereto in accordance with the provisions of </w:t>
      </w:r>
      <w:r>
        <w:rPr>
          <w:rFonts w:ascii="Arial" w:cs="Arial" w:eastAsia="Arial" w:hAnsi="Arial"/>
          <w:sz w:val="20"/>
          <w:szCs w:val="20"/>
          <w:u w:val="single" w:color="auto"/>
          <w:color w:val="auto"/>
        </w:rPr>
        <w:t>Sections 6.11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6.13</w:t>
      </w:r>
      <w:r>
        <w:rPr>
          <w:rFonts w:ascii="Arial" w:cs="Arial" w:eastAsia="Arial" w:hAnsi="Arial"/>
          <w:sz w:val="20"/>
          <w:szCs w:val="20"/>
          <w:color w:val="auto"/>
        </w:rPr>
        <w:t>, such Mortgage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1" w:name="page122"/>
    <w:bookmarkEnd w:id="121"/>
    <w:p>
      <w:pPr>
        <w:jc w:val="both"/>
        <w:ind w:firstLine="509"/>
        <w:spacing w:after="0" w:line="250" w:lineRule="auto"/>
        <w:rPr>
          <w:sz w:val="20"/>
          <w:szCs w:val="20"/>
          <w:color w:val="auto"/>
        </w:rPr>
      </w:pPr>
      <w:r>
        <w:rPr>
          <w:rFonts w:ascii="Arial" w:cs="Arial" w:eastAsia="Arial" w:hAnsi="Arial"/>
          <w:sz w:val="20"/>
          <w:szCs w:val="20"/>
          <w:color w:val="auto"/>
        </w:rPr>
        <w:t xml:space="preserve">shall constitute a fully perfected Lien on, and security interest in, all right, title and interest of the Loan Party to such Mortgage in the Mortgaged Property described therein and the proceeds thereof, in each case prior and superior in right to any other Person, other than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186" w:lineRule="exact"/>
        <w:rPr>
          <w:sz w:val="20"/>
          <w:szCs w:val="20"/>
          <w:color w:val="auto"/>
        </w:rPr>
      </w:pPr>
    </w:p>
    <w:p>
      <w:pPr>
        <w:jc w:val="both"/>
        <w:ind w:firstLine="8"/>
        <w:spacing w:after="0" w:line="257" w:lineRule="auto"/>
        <w:tabs>
          <w:tab w:leader="none" w:pos="509" w:val="left"/>
        </w:tabs>
        <w:numPr>
          <w:ilvl w:val="0"/>
          <w:numId w:val="121"/>
        </w:numPr>
        <w:rPr>
          <w:rFonts w:ascii="Arial" w:cs="Arial" w:eastAsia="Arial" w:hAnsi="Arial"/>
          <w:sz w:val="19"/>
          <w:szCs w:val="19"/>
          <w:color w:val="auto"/>
        </w:rPr>
      </w:pPr>
      <w:r>
        <w:rPr>
          <w:rFonts w:ascii="Arial" w:cs="Arial" w:eastAsia="Arial" w:hAnsi="Arial"/>
          <w:sz w:val="19"/>
          <w:szCs w:val="19"/>
          <w:i w:val="1"/>
          <w:iCs w:val="1"/>
          <w:color w:val="auto"/>
        </w:rPr>
        <w:t>Rolling Stock</w:t>
      </w:r>
      <w:r>
        <w:rPr>
          <w:rFonts w:ascii="Arial" w:cs="Arial" w:eastAsia="Arial" w:hAnsi="Arial"/>
          <w:sz w:val="19"/>
          <w:szCs w:val="19"/>
          <w:color w:val="auto"/>
        </w:rPr>
        <w:t>. Upon the recording thereof on the applicable certificate of title (and filing of financing statements and payment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applicable fees, which shall be for the account of the Borrower), the notation of the Administrative Agent’s lien on any rolling stock or other goods subject to a certificate of title is effective to create, in favor of the Collateral Agent, for its benefit and the benefit of the Secured Parties, legal, valid and enforceable (except as the enforceability thereof may be limited by bankruptcy, insolvency or similar laws affecting creditors’ rights generally and subject to general principles of equity) perfected Liens on, and a security interest in, all of the Loan Parties’ right, title and interest in and to such Collateral and the proceeds thereof, subject only to Liens permitted hereunder, in each case prior and superior in right to any other Person, other than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 xml:space="preserve">Notwithstanding anything herein (including this </w:t>
      </w:r>
      <w:r>
        <w:rPr>
          <w:rFonts w:ascii="Arial" w:cs="Arial" w:eastAsia="Arial" w:hAnsi="Arial"/>
          <w:sz w:val="19"/>
          <w:szCs w:val="19"/>
          <w:u w:val="single" w:color="auto"/>
          <w:color w:val="auto"/>
        </w:rPr>
        <w:t>Section 5.18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5.04</w:t>
      </w:r>
      <w:r>
        <w:rPr>
          <w:rFonts w:ascii="Arial" w:cs="Arial" w:eastAsia="Arial" w:hAnsi="Arial"/>
          <w:sz w:val="19"/>
          <w:szCs w:val="19"/>
          <w:color w:val="auto"/>
        </w:rPr>
        <w:t xml:space="preserve">) or in any other Loan Document to the contrary, neither the Borrower nor any other Loan Party makes any representation or warranty as to (A) [reserved], (B) the pledge or creation of any security interest, or the effects of perfection or non-perfection, the priority or the enforceability of any pledge of or security interest to the extent such pledge, security interest, perfection or priority is not required pursuant to the Collateral and Guarantee Requirement or (C) on the Restatement Effective Date and until required pursuant to </w:t>
      </w:r>
      <w:r>
        <w:rPr>
          <w:rFonts w:ascii="Arial" w:cs="Arial" w:eastAsia="Arial" w:hAnsi="Arial"/>
          <w:sz w:val="19"/>
          <w:szCs w:val="19"/>
          <w:u w:val="single" w:color="auto"/>
          <w:color w:val="auto"/>
        </w:rPr>
        <w:t>Section 4.02(d)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 the pledge or creation of any security interest, or the effects of perfection or non-perfection, the priority or enforceability of any pledge or security interest to the extent not required on the Restatement Effective Date pursuant to </w:t>
      </w:r>
      <w:r>
        <w:rPr>
          <w:rFonts w:ascii="Arial" w:cs="Arial" w:eastAsia="Arial" w:hAnsi="Arial"/>
          <w:sz w:val="19"/>
          <w:szCs w:val="19"/>
          <w:u w:val="single" w:color="auto"/>
          <w:color w:val="auto"/>
        </w:rPr>
        <w:t>Section 4.02(d)</w:t>
      </w:r>
      <w:r>
        <w:rPr>
          <w:rFonts w:ascii="Arial" w:cs="Arial" w:eastAsia="Arial" w:hAnsi="Arial"/>
          <w:sz w:val="19"/>
          <w:szCs w:val="19"/>
          <w:color w:val="auto"/>
        </w:rPr>
        <w:t>.</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5.19. </w:t>
      </w:r>
      <w:r>
        <w:rPr>
          <w:rFonts w:ascii="Arial" w:cs="Arial" w:eastAsia="Arial" w:hAnsi="Arial"/>
          <w:sz w:val="20"/>
          <w:szCs w:val="20"/>
          <w:i w:val="1"/>
          <w:iCs w:val="1"/>
          <w:color w:val="auto"/>
        </w:rPr>
        <w:t>Compliance with Anti-Terrorism and Corruption Laws</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69" w:lineRule="auto"/>
        <w:tabs>
          <w:tab w:leader="none" w:pos="509"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To the extent applicable, the Borrower and the Restricted Subsidiaries are in compliance, in all material respects, with (i) the Trading with the Enemy Act and each of the foreign assets control regulations of the United States Treasury Department (31 CFR, Subtitle B, Chapter V) and any other enabling legislation or executive order relating thereto, and (ii) the USA PATRIOT Act.</w:t>
      </w:r>
    </w:p>
    <w:p>
      <w:pPr>
        <w:spacing w:after="0" w:line="169" w:lineRule="exact"/>
        <w:rPr>
          <w:rFonts w:ascii="Arial" w:cs="Arial" w:eastAsia="Arial" w:hAnsi="Arial"/>
          <w:sz w:val="19"/>
          <w:szCs w:val="19"/>
          <w:color w:val="auto"/>
        </w:rPr>
      </w:pPr>
    </w:p>
    <w:p>
      <w:pPr>
        <w:jc w:val="both"/>
        <w:ind w:firstLine="8"/>
        <w:spacing w:after="0" w:line="244" w:lineRule="auto"/>
        <w:tabs>
          <w:tab w:leader="none" w:pos="509" w:val="left"/>
        </w:tabs>
        <w:numPr>
          <w:ilvl w:val="0"/>
          <w:numId w:val="122"/>
        </w:numPr>
        <w:rPr>
          <w:rFonts w:ascii="Arial" w:cs="Arial" w:eastAsia="Arial" w:hAnsi="Arial"/>
          <w:sz w:val="20"/>
          <w:szCs w:val="20"/>
          <w:color w:val="auto"/>
        </w:rPr>
      </w:pPr>
      <w:r>
        <w:rPr>
          <w:rFonts w:ascii="Arial" w:cs="Arial" w:eastAsia="Arial" w:hAnsi="Arial"/>
          <w:sz w:val="20"/>
          <w:szCs w:val="20"/>
          <w:color w:val="auto"/>
        </w:rPr>
        <w:t>None of the Borrower or any Restricted Subsidiary nor, to the knowledge of the Borrower, any director, officer, agent, employee or controlled Affiliate of the Borrower or any Restricted Subsidiary, (i) is a Blocked Person or (ii) is currently subject to any U.S. sanctions administered by OFAC that could, individually or in the aggregate, reasonably be expected to have a Material Adverse Effect; and none of the Borrower or any Restricted Subsidiary will use the proceeds of the Loans for the purpose of financing the activities of any Person currently subject to any U.S. sanctions administered by OFAC.</w:t>
      </w:r>
    </w:p>
    <w:p>
      <w:pPr>
        <w:spacing w:after="0" w:line="19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No part of the proceeds of the Loans will be used by the Borrower or any of the Restricted Subsidiaries,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9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i w:val="1"/>
          <w:iCs w:val="1"/>
          <w:color w:val="auto"/>
        </w:rPr>
        <w:t>Section 5.20. Real Property Permits</w:t>
      </w:r>
      <w:r>
        <w:rPr>
          <w:rFonts w:ascii="Arial" w:cs="Arial" w:eastAsia="Arial" w:hAnsi="Arial"/>
          <w:sz w:val="20"/>
          <w:szCs w:val="20"/>
          <w:color w:val="auto"/>
        </w:rPr>
        <w:t>. Borrower has all Permits, all of which are in full force and effect as of the date hereof</w:t>
      </w:r>
      <w:r>
        <w:rPr>
          <w:rFonts w:ascii="Arial" w:cs="Arial" w:eastAsia="Arial" w:hAnsi="Arial"/>
          <w:sz w:val="20"/>
          <w:szCs w:val="20"/>
          <w:i w:val="1"/>
          <w:iCs w:val="1"/>
          <w:color w:val="auto"/>
        </w:rPr>
        <w:t xml:space="preserve"> </w:t>
      </w:r>
      <w:r>
        <w:rPr>
          <w:rFonts w:ascii="Arial" w:cs="Arial" w:eastAsia="Arial" w:hAnsi="Arial"/>
          <w:sz w:val="20"/>
          <w:szCs w:val="20"/>
          <w:color w:val="auto"/>
        </w:rPr>
        <w:t>required by the applicable Governmental Authorities in connection with the ownership and operation of any Material Real Property, except to the extent that the failure to have any such Permits would not, individually or in the aggregate, reasonably be expected to have a Material Adverse Effect.</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ARTICLE 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ffirmative</w:t>
      </w:r>
      <w:r>
        <w:rPr>
          <w:rFonts w:ascii="Arial" w:cs="Arial" w:eastAsia="Arial" w:hAnsi="Arial"/>
          <w:sz w:val="20"/>
          <w:szCs w:val="20"/>
          <w:color w:val="auto"/>
        </w:rPr>
        <w:t xml:space="preserve"> C</w:t>
      </w:r>
      <w:r>
        <w:rPr>
          <w:rFonts w:ascii="Arial" w:cs="Arial" w:eastAsia="Arial" w:hAnsi="Arial"/>
          <w:sz w:val="13"/>
          <w:szCs w:val="13"/>
          <w:color w:val="auto"/>
        </w:rPr>
        <w:t>ovenants</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 xml:space="preserve">So long as any Lender shall have any Commitment hereunder or any Loan or other Obligation (other than contingent indemnification or reimbursement obligations) hereunder which is accrued or payable shall remain unpaid or unsatisfied, then from and after the Restatement Effective Date, the Borrower shall and shall (except in the case of the covenants set forth in </w:t>
      </w:r>
      <w:r>
        <w:rPr>
          <w:rFonts w:ascii="Arial" w:cs="Arial" w:eastAsia="Arial" w:hAnsi="Arial"/>
          <w:sz w:val="20"/>
          <w:szCs w:val="20"/>
          <w:u w:val="single" w:color="auto"/>
          <w:color w:val="auto"/>
        </w:rPr>
        <w:t>Sections 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w:t>
      </w:r>
      <w:r>
        <w:rPr>
          <w:rFonts w:ascii="Arial" w:cs="Arial" w:eastAsia="Arial" w:hAnsi="Arial"/>
          <w:sz w:val="20"/>
          <w:szCs w:val="20"/>
          <w:u w:val="single" w:color="auto"/>
          <w:color w:val="auto"/>
        </w:rPr>
        <w:t>6.03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6.15</w:t>
      </w:r>
      <w:r>
        <w:rPr>
          <w:rFonts w:ascii="Arial" w:cs="Arial" w:eastAsia="Arial" w:hAnsi="Arial"/>
          <w:sz w:val="20"/>
          <w:szCs w:val="20"/>
          <w:color w:val="auto"/>
        </w:rPr>
        <w:t>) cause each of the Restricted Subsidiaries to:</w:t>
      </w:r>
    </w:p>
    <w:p>
      <w:pPr>
        <w:spacing w:after="0" w:line="191"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 xml:space="preserve">Section 6.01. </w:t>
      </w:r>
      <w:r>
        <w:rPr>
          <w:rFonts w:ascii="Arial" w:cs="Arial" w:eastAsia="Arial" w:hAnsi="Arial"/>
          <w:sz w:val="20"/>
          <w:szCs w:val="20"/>
          <w:i w:val="1"/>
          <w:iCs w:val="1"/>
          <w:color w:val="auto"/>
        </w:rPr>
        <w:t>Financial Statements, Reports, Etc.</w:t>
      </w:r>
      <w:r>
        <w:rPr>
          <w:rFonts w:ascii="Arial" w:cs="Arial" w:eastAsia="Arial" w:hAnsi="Arial"/>
          <w:sz w:val="20"/>
          <w:szCs w:val="20"/>
          <w:color w:val="auto"/>
        </w:rPr>
        <w:t xml:space="preserve"> In the case of the Borrower, deliver to the Administrative Agent for prompt further distribution to each Lender:</w:t>
      </w:r>
    </w:p>
    <w:p>
      <w:pPr>
        <w:spacing w:after="0" w:line="177" w:lineRule="exact"/>
        <w:rPr>
          <w:sz w:val="20"/>
          <w:szCs w:val="20"/>
          <w:color w:val="auto"/>
        </w:rPr>
      </w:pPr>
    </w:p>
    <w:p>
      <w:pPr>
        <w:jc w:val="both"/>
        <w:ind w:firstLine="8"/>
        <w:spacing w:after="0" w:line="271" w:lineRule="auto"/>
        <w:tabs>
          <w:tab w:leader="none" w:pos="50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within 90 days after the end of each fiscal year of the Borrower (beginning with the fiscal year ending December 31, 2019), a consolidated balance sheet of the Borrower and its Subsidiaries as at the end of such fiscal year, and the related consolidated statements of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KPMG LLP, any other independent registered public accounting firm of nationally recognized standing or any other independent registered public accounting firm approved by the Administrative Agent and the Required Lenders (such approval not to be unreasonably withheld, conditioned or delayed), which report and opinion (i) shall be prepared in accordance with generally accepted auditing standards, (ii) shall not be subject to qualifications or exceptions as to the scope of such audit, (iii) shall be without a “going concern” disclosure or like qualification or exception (other than with respect to, or disclosure or an exception or qualification solely resulting from, (x) the impending maturity of any Indebtedness, (y) any prospective or actual default under any financial covenant or (z) the impact of COVID 19 on the business of the Borrower and its Subsidiaries) and (iv) shall be accompanied with customary management discussion and analysis;</w:t>
      </w:r>
    </w:p>
    <w:p>
      <w:pPr>
        <w:spacing w:after="0" w:line="169" w:lineRule="exact"/>
        <w:rPr>
          <w:rFonts w:ascii="Arial" w:cs="Arial" w:eastAsia="Arial" w:hAnsi="Arial"/>
          <w:sz w:val="18"/>
          <w:szCs w:val="18"/>
          <w:color w:val="auto"/>
        </w:rPr>
      </w:pPr>
    </w:p>
    <w:p>
      <w:pPr>
        <w:jc w:val="both"/>
        <w:ind w:firstLine="8"/>
        <w:spacing w:after="0" w:line="273" w:lineRule="auto"/>
        <w:tabs>
          <w:tab w:leader="none" w:pos="50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within 45 days after the end of each of the first three (3) fiscal quarters of each fiscal year of the Borrower (commencing with the fiscal quarter ended September 30, 2019), a consolidated balance sheet of the Borrower and its Subsidiaries as at the end of such fiscal quarter, and the related (x) consolidated statements of income or operations for such fiscal quarter and for the portion of the fiscal year then ended and (y) consolidated statements of cash flows for such fiscal quarter and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the Borrower as fairly presenting in all material respects the financial condition, results of operations and cash flows of the Borrower and its Subsidiaries in accordance with GAAP, subject only to normal year-end audit adjustments and the absence of footnotes and accompanied by customary management discussion and analysis; and</w:t>
      </w:r>
    </w:p>
    <w:p>
      <w:pPr>
        <w:spacing w:after="0" w:line="168" w:lineRule="exact"/>
        <w:rPr>
          <w:rFonts w:ascii="Arial" w:cs="Arial" w:eastAsia="Arial" w:hAnsi="Arial"/>
          <w:sz w:val="18"/>
          <w:szCs w:val="18"/>
          <w:color w:val="auto"/>
        </w:rPr>
      </w:pPr>
    </w:p>
    <w:p>
      <w:pPr>
        <w:jc w:val="both"/>
        <w:ind w:firstLine="8"/>
        <w:spacing w:after="0" w:line="302" w:lineRule="auto"/>
        <w:tabs>
          <w:tab w:leader="none" w:pos="50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within 90 days after the end of each fiscal year (commencing with the fiscal year ending December 31, 2019) of the Borrower, a reasonably detailed consolidated budget for the following fiscal year on a quarterly basis (including a projected consolidated balance sheet of the Borrower and its Subsidiaries as of the end of the following fiscal year, the related consolidated statements of projected cash flows and projected income and a summary of the material underlying assumptions applicable thereto) (collectively, the “</w:t>
      </w:r>
      <w:r>
        <w:rPr>
          <w:rFonts w:ascii="Arial" w:cs="Arial" w:eastAsia="Arial" w:hAnsi="Arial"/>
          <w:sz w:val="16"/>
          <w:szCs w:val="16"/>
          <w:u w:val="single" w:color="auto"/>
          <w:color w:val="auto"/>
        </w:rPr>
        <w:t>Projections</w:t>
      </w:r>
      <w:r>
        <w:rPr>
          <w:rFonts w:ascii="Arial" w:cs="Arial" w:eastAsia="Arial" w:hAnsi="Arial"/>
          <w:sz w:val="16"/>
          <w:szCs w:val="16"/>
          <w:color w:val="auto"/>
        </w:rPr>
        <w:t>”), which Projections shall in each case be accompanied by a certificate of a Responsible Officer stating that such Projections have been prepared in good faith on the basis of the assumptions stated therein, which assumptions were believed to be reasonable at the time of preparation of such Projections, it being understood by the Agents and the Lenders that such projections as to future events (i) are not to be viewed as facts, (ii)</w:t>
      </w:r>
    </w:p>
    <w:p>
      <w:pPr>
        <w:spacing w:after="0" w:line="1" w:lineRule="exact"/>
        <w:rPr>
          <w:rFonts w:ascii="Arial" w:cs="Arial" w:eastAsia="Arial" w:hAnsi="Arial"/>
          <w:sz w:val="16"/>
          <w:szCs w:val="16"/>
          <w:color w:val="auto"/>
        </w:rPr>
      </w:pPr>
    </w:p>
    <w:p>
      <w:pPr>
        <w:jc w:val="both"/>
        <w:spacing w:after="0" w:line="241" w:lineRule="auto"/>
        <w:rPr>
          <w:rFonts w:ascii="Arial" w:cs="Arial" w:eastAsia="Arial" w:hAnsi="Arial"/>
          <w:sz w:val="16"/>
          <w:szCs w:val="16"/>
          <w:color w:val="auto"/>
        </w:rPr>
      </w:pPr>
      <w:r>
        <w:rPr>
          <w:rFonts w:ascii="Arial" w:cs="Arial" w:eastAsia="Arial" w:hAnsi="Arial"/>
          <w:sz w:val="20"/>
          <w:szCs w:val="20"/>
          <w:color w:val="auto"/>
        </w:rPr>
        <w:t>(A) are subject to significant uncertainties and contingencies, which may be beyond the control of the Borrower and its Restricted Subsidiaries, (B) no assurance is given by the Borrower and its Restricted Subsidiaries that the results or forecast in any such projections will be realized and (C) the actual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3" w:name="page124"/>
    <w:bookmarkEnd w:id="123"/>
    <w:p>
      <w:pPr>
        <w:jc w:val="both"/>
        <w:ind w:firstLine="509"/>
        <w:spacing w:after="0" w:line="250" w:lineRule="auto"/>
        <w:rPr>
          <w:sz w:val="20"/>
          <w:szCs w:val="20"/>
          <w:color w:val="auto"/>
        </w:rPr>
      </w:pPr>
      <w:r>
        <w:rPr>
          <w:rFonts w:ascii="Arial" w:cs="Arial" w:eastAsia="Arial" w:hAnsi="Arial"/>
          <w:sz w:val="20"/>
          <w:szCs w:val="20"/>
          <w:color w:val="auto"/>
        </w:rPr>
        <w:t>results may differ from the forecast results set forth in such projections and such differences may be material and (iii) are not a guarantee of performance and that actual results during the period or periods covered by any such projections may vary significantly from the projected results and such differences may be material.</w:t>
      </w:r>
    </w:p>
    <w:p>
      <w:pPr>
        <w:spacing w:after="0" w:line="18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 xml:space="preserve">Notwithstanding the foregoing, the obligations in paragraphs (a) and (b)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may be satisfied with respect to information of the Borrower and the Subsidiaries by furnishing within the time period specified in the applicable paragraph</w:t>
      </w:r>
    </w:p>
    <w:p>
      <w:pPr>
        <w:spacing w:after="0" w:line="1" w:lineRule="exact"/>
        <w:rPr>
          <w:sz w:val="20"/>
          <w:szCs w:val="20"/>
          <w:color w:val="auto"/>
        </w:rPr>
      </w:pPr>
    </w:p>
    <w:p>
      <w:pPr>
        <w:jc w:val="both"/>
        <w:ind w:firstLine="8"/>
        <w:spacing w:after="0" w:line="270" w:lineRule="auto"/>
        <w:tabs>
          <w:tab w:leader="none" w:pos="32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applicable financial statements of the Borrower or (B) the Borrower’s Form 10-K or 10-Q, as applicable, filed with the SEC;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clauses (A) and (B), to the extent such information is in lieu of information required to be provided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w:t>
      </w:r>
      <w:r>
        <w:rPr>
          <w:rFonts w:ascii="Arial" w:cs="Arial" w:eastAsia="Arial" w:hAnsi="Arial"/>
          <w:sz w:val="18"/>
          <w:szCs w:val="18"/>
          <w:color w:val="auto"/>
        </w:rPr>
        <w:t>, such materials are accompanied by a report and opinion of KPMG LLP, any other independent registered public accounting firm of nationally recognized standing or any other independent registered public accounting firm approved by the Administrative Agent and the Required Lenders (such approval not to be unreasonably withheld, conditioned or delayed), which report and opinion (i) shall be prepared in accordance with generally accepted auditing standards, (ii) shall not be subject to qualifications or exceptions as to the scope of such audit and (iii) shall be without a “going concern” disclosure or like qualification or exception (other than with respect to, or disclosure or an exception or qualification solely resulting from, (A) the impending maturity of any Indebtedness, (B) any prospective or actual default under any financial covenant or (C) the impact of COVID 19 on the business of the Borrower and its Subsidiaries).</w:t>
      </w:r>
    </w:p>
    <w:p>
      <w:pPr>
        <w:spacing w:after="0" w:line="17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may be delivered electronically and if so delivered, shall be deemed to have been delivered on the earliest date on which (i) Borrower posts such documents, or provides a link thereto on Borrower’s website on the Internet and provides notice thereof to the Administrative Agent; (ii) such documents are posted on Borrower’s behalf on IntraLinks/IntraAgency or another website, if any, to which each Lender and the Administrative Agent have access (whether a commercial, third-party website or whether sponsored by the Administrative Agent), or (iii) such financial statements and/or other documents are posted on the SEC’s website on the internet at www.sec.gov;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promptly following written request by the Administrative Agent, the Borrower shall deliver paper copies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Notwithstanding anything contained herein, in every instance the Borrower shall be required to provide paper copies of the Compliance Certificates required by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to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if such Compliance Certificate is first delivered by electronic means, the date of such delivery by electronic means shall constitute the date of delivery for purposes of compliance with </w:t>
      </w:r>
      <w:r>
        <w:rPr>
          <w:rFonts w:ascii="Arial" w:cs="Arial" w:eastAsia="Arial" w:hAnsi="Arial"/>
          <w:sz w:val="18"/>
          <w:szCs w:val="18"/>
          <w:u w:val="single" w:color="auto"/>
          <w:color w:val="auto"/>
        </w:rPr>
        <w:t>Section 6.02(a)</w:t>
      </w:r>
      <w:r>
        <w:rPr>
          <w:rFonts w:ascii="Arial" w:cs="Arial" w:eastAsia="Arial" w:hAnsi="Arial"/>
          <w:sz w:val="18"/>
          <w:szCs w:val="18"/>
          <w:color w:val="auto"/>
        </w:rPr>
        <w:t>.</w:t>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Certificates; Other Information.</w:t>
      </w:r>
      <w:r>
        <w:rPr>
          <w:rFonts w:ascii="Arial" w:cs="Arial" w:eastAsia="Arial" w:hAnsi="Arial"/>
          <w:sz w:val="18"/>
          <w:szCs w:val="18"/>
          <w:color w:val="auto"/>
        </w:rPr>
        <w:t xml:space="preserve"> Deliver to the Administrative Agent for prompt further distribution to each</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Lender (or, with respect to clauses (l) through (o), deliver directly to the Lenders):</w:t>
      </w:r>
    </w:p>
    <w:p>
      <w:pPr>
        <w:spacing w:after="0" w:line="200" w:lineRule="exact"/>
        <w:rPr>
          <w:sz w:val="20"/>
          <w:szCs w:val="20"/>
          <w:color w:val="auto"/>
        </w:rPr>
      </w:pPr>
    </w:p>
    <w:p>
      <w:pPr>
        <w:jc w:val="both"/>
        <w:ind w:firstLine="8"/>
        <w:spacing w:after="0" w:line="243" w:lineRule="auto"/>
        <w:tabs>
          <w:tab w:leader="none" w:pos="509" w:val="left"/>
        </w:tabs>
        <w:numPr>
          <w:ilvl w:val="0"/>
          <w:numId w:val="125"/>
        </w:numPr>
        <w:rPr>
          <w:rFonts w:ascii="Arial" w:cs="Arial" w:eastAsia="Arial" w:hAnsi="Arial"/>
          <w:sz w:val="20"/>
          <w:szCs w:val="20"/>
          <w:color w:val="auto"/>
        </w:rPr>
      </w:pPr>
      <w:r>
        <w:rPr>
          <w:rFonts w:ascii="Arial" w:cs="Arial" w:eastAsia="Arial" w:hAnsi="Arial"/>
          <w:sz w:val="20"/>
          <w:szCs w:val="20"/>
          <w:color w:val="auto"/>
        </w:rPr>
        <w:t xml:space="preserve">no later than five (5) Business Days after the delivery of the financial statements referred to in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6.01(b)</w:t>
      </w:r>
      <w:r>
        <w:rPr>
          <w:rFonts w:ascii="Arial" w:cs="Arial" w:eastAsia="Arial" w:hAnsi="Arial"/>
          <w:sz w:val="20"/>
          <w:szCs w:val="20"/>
          <w:color w:val="auto"/>
        </w:rPr>
        <w:t xml:space="preserve"> (or the date on which such delivery is required), commencing with the first full fiscal quarter completed after the Restatement Effective Date, a duly completed Compliance Certificate signed by a Responsible Officer of the Borrower; it being understood that , if applicable for such period of delivery, such Compliance Certificate shall include (i) information about Net Proceeds received in the period for individual amounts greater than $5,000,000 and set forth statements of the Borrower’s intention regarding the use of any portion of such Net Proceeds to acquire, maintain, develop, construct, improve, upgrade 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4" w:name="page125"/>
    <w:bookmarkEnd w:id="124"/>
    <w:p>
      <w:pPr>
        <w:jc w:val="both"/>
        <w:ind w:firstLine="509"/>
        <w:spacing w:after="0" w:line="243" w:lineRule="auto"/>
        <w:rPr>
          <w:sz w:val="20"/>
          <w:szCs w:val="20"/>
          <w:color w:val="auto"/>
        </w:rPr>
      </w:pPr>
      <w:r>
        <w:rPr>
          <w:rFonts w:ascii="Arial" w:cs="Arial" w:eastAsia="Arial" w:hAnsi="Arial"/>
          <w:sz w:val="20"/>
          <w:szCs w:val="20"/>
          <w:color w:val="auto"/>
        </w:rPr>
        <w:t xml:space="preserve">repair assets useful in the business of the Borrower or its Restricted Subsidiaries or to make Permitted Acquisitions or any acquisition permitted hereunder of all or substantially all the assets of, or all the Equity Interests (other than directors qualifying shares) in a Person, division or line of business previously acquired) and (ii) calculations setting forth in reasonable detail the amount of any Cumulative Credit available at the beginning of the applicable period and at the end of such period and the amount and application of any Cumulative Credit during such period (it being understood that the Borrower has the right to reallocate usage of the Cumulative Credit in accordance with </w:t>
      </w:r>
      <w:r>
        <w:rPr>
          <w:rFonts w:ascii="Arial" w:cs="Arial" w:eastAsia="Arial" w:hAnsi="Arial"/>
          <w:sz w:val="20"/>
          <w:szCs w:val="20"/>
          <w:u w:val="single" w:color="auto"/>
          <w:color w:val="auto"/>
        </w:rPr>
        <w:t>Section 1.02(i)</w:t>
      </w:r>
      <w:r>
        <w:rPr>
          <w:rFonts w:ascii="Arial" w:cs="Arial" w:eastAsia="Arial" w:hAnsi="Arial"/>
          <w:sz w:val="20"/>
          <w:szCs w:val="20"/>
          <w:color w:val="auto"/>
        </w:rPr>
        <w:t xml:space="preserve"> from time to time);</w:t>
      </w:r>
    </w:p>
    <w:p>
      <w:pPr>
        <w:spacing w:after="0" w:line="196" w:lineRule="exact"/>
        <w:rPr>
          <w:sz w:val="20"/>
          <w:szCs w:val="20"/>
          <w:color w:val="auto"/>
        </w:rPr>
      </w:pPr>
    </w:p>
    <w:p>
      <w:pPr>
        <w:jc w:val="both"/>
        <w:ind w:firstLine="8"/>
        <w:spacing w:after="0" w:line="244" w:lineRule="auto"/>
        <w:tabs>
          <w:tab w:leader="none" w:pos="509" w:val="left"/>
        </w:tabs>
        <w:numPr>
          <w:ilvl w:val="0"/>
          <w:numId w:val="126"/>
        </w:numPr>
        <w:rPr>
          <w:rFonts w:ascii="Arial" w:cs="Arial" w:eastAsia="Arial" w:hAnsi="Arial"/>
          <w:sz w:val="20"/>
          <w:szCs w:val="20"/>
          <w:color w:val="auto"/>
        </w:rPr>
      </w:pPr>
      <w:r>
        <w:rPr>
          <w:rFonts w:ascii="Arial" w:cs="Arial" w:eastAsia="Arial" w:hAnsi="Arial"/>
          <w:sz w:val="20"/>
          <w:szCs w:val="20"/>
          <w:color w:val="auto"/>
        </w:rPr>
        <w:t>promptly after the same are publicly available, copies of all annual, regular, periodic and special reports and registration statements which the Borrower or any Restricted Subsidiary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hereto;</w:t>
      </w:r>
    </w:p>
    <w:p>
      <w:pPr>
        <w:spacing w:after="0" w:line="194" w:lineRule="exact"/>
        <w:rPr>
          <w:rFonts w:ascii="Arial" w:cs="Arial" w:eastAsia="Arial" w:hAnsi="Arial"/>
          <w:sz w:val="20"/>
          <w:szCs w:val="20"/>
          <w:color w:val="auto"/>
        </w:rPr>
      </w:pPr>
    </w:p>
    <w:p>
      <w:pPr>
        <w:jc w:val="both"/>
        <w:ind w:firstLine="8"/>
        <w:spacing w:after="0" w:line="254" w:lineRule="auto"/>
        <w:tabs>
          <w:tab w:leader="none" w:pos="50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(i) promptly after the furnishing thereof, copies of any material notices of default received by any Loan Party or Restricted Subsidiary (other than in the ordinary course of business) or furnished to any holder of Indebtedness or debt securities of any Loan Party or of any of its Restricted Subsidiaries pursuant to the terms of the ABL Facility Documentation, the UST Tranche A Facility Documentation, UST Tranche B Facility Documentation, any Junior Financing Documentation, any Permitted Additional Debt or any Permitted Refinancing of any thereof, in each case in a principal amount in excess of the Threshold Amount and not otherwise required to be furnished to the Lenders pursuant to any clause of this </w:t>
      </w:r>
      <w:r>
        <w:rPr>
          <w:rFonts w:ascii="Arial" w:cs="Arial" w:eastAsia="Arial" w:hAnsi="Arial"/>
          <w:sz w:val="19"/>
          <w:szCs w:val="19"/>
          <w:u w:val="single" w:color="auto"/>
          <w:color w:val="auto"/>
        </w:rPr>
        <w:t>Section 6.02</w:t>
      </w:r>
      <w:r>
        <w:rPr>
          <w:rFonts w:ascii="Arial" w:cs="Arial" w:eastAsia="Arial" w:hAnsi="Arial"/>
          <w:sz w:val="19"/>
          <w:szCs w:val="19"/>
          <w:color w:val="auto"/>
        </w:rPr>
        <w:t>, (ii) promptly after the execution thereof, copies of any amendments, modifications or waivers to the ABL Facility Documentation, the UST Tranche A Facility Documentation or UST Tranche B Facility Documentation, (iii) promptly after delivery thereof, copies of each “Approved CapEx Plan” and</w:t>
      </w:r>
    </w:p>
    <w:p>
      <w:pPr>
        <w:spacing w:after="0" w:line="2" w:lineRule="exact"/>
        <w:rPr>
          <w:rFonts w:ascii="Arial" w:cs="Arial" w:eastAsia="Arial" w:hAnsi="Arial"/>
          <w:sz w:val="19"/>
          <w:szCs w:val="19"/>
          <w:color w:val="auto"/>
        </w:rPr>
      </w:pPr>
    </w:p>
    <w:p>
      <w:pPr>
        <w:spacing w:after="0" w:line="244" w:lineRule="auto"/>
        <w:rPr>
          <w:rFonts w:ascii="Arial" w:cs="Arial" w:eastAsia="Arial" w:hAnsi="Arial"/>
          <w:sz w:val="19"/>
          <w:szCs w:val="19"/>
          <w:color w:val="auto"/>
        </w:rPr>
      </w:pPr>
      <w:r>
        <w:rPr>
          <w:rFonts w:ascii="Arial" w:cs="Arial" w:eastAsia="Arial" w:hAnsi="Arial"/>
          <w:sz w:val="20"/>
          <w:szCs w:val="20"/>
          <w:color w:val="auto"/>
        </w:rPr>
        <w:t>“CapEx Plan” under (and as defined in) the UST Tranche B Credit Agreement, and (iv) promptly after the execution thereof, copies of the Treasury Equity Documents;</w:t>
      </w:r>
    </w:p>
    <w:p>
      <w:pPr>
        <w:spacing w:after="0" w:line="191" w:lineRule="exact"/>
        <w:rPr>
          <w:rFonts w:ascii="Arial" w:cs="Arial" w:eastAsia="Arial" w:hAnsi="Arial"/>
          <w:sz w:val="19"/>
          <w:szCs w:val="19"/>
          <w:color w:val="auto"/>
        </w:rPr>
      </w:pPr>
    </w:p>
    <w:p>
      <w:pPr>
        <w:jc w:val="both"/>
        <w:ind w:firstLine="8"/>
        <w:spacing w:after="0" w:line="257" w:lineRule="auto"/>
        <w:tabs>
          <w:tab w:leader="none" w:pos="50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together with the delivery of each Compliance Certificate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(i) in the case of annual Compliance Certificates only, a report setting forth the information required by sections of the Perfection Certificate describing the legal name and the jurisdiction of organization or formation of each Loan Party and the location of the chief executive office of each Loan Party or confirming that there has been no change in such information since the Restatement Effective Date or the date of the last such report, (ii) a description of each (x) event, condition or circumstance during the last fiscal quarter covered by such Compliance Certificate requiring a mandatory prepayment under </w:t>
      </w:r>
      <w:r>
        <w:rPr>
          <w:rFonts w:ascii="Arial" w:cs="Arial" w:eastAsia="Arial" w:hAnsi="Arial"/>
          <w:sz w:val="19"/>
          <w:szCs w:val="19"/>
          <w:u w:val="single" w:color="auto"/>
          <w:color w:val="auto"/>
        </w:rPr>
        <w:t>Section 2.13(a)</w:t>
      </w:r>
      <w:r>
        <w:rPr>
          <w:rFonts w:ascii="Arial" w:cs="Arial" w:eastAsia="Arial" w:hAnsi="Arial"/>
          <w:sz w:val="19"/>
          <w:szCs w:val="19"/>
          <w:color w:val="auto"/>
        </w:rPr>
        <w:t xml:space="preserve"> and (y) Disposition of owned Real Property on which sits a trucking terminal and adjacent/vacant land located nearby and (iii) a list of each Subsidiary of the Borrower that identifies each Subsidiary as a Loan Party or a non-Loan Party as of the date of delivery of such Compliance Certificate;</w:t>
      </w:r>
    </w:p>
    <w:p>
      <w:pPr>
        <w:spacing w:after="0" w:line="180" w:lineRule="exact"/>
        <w:rPr>
          <w:rFonts w:ascii="Arial" w:cs="Arial" w:eastAsia="Arial" w:hAnsi="Arial"/>
          <w:sz w:val="19"/>
          <w:szCs w:val="19"/>
          <w:color w:val="auto"/>
        </w:rPr>
      </w:pPr>
    </w:p>
    <w:p>
      <w:pPr>
        <w:jc w:val="both"/>
        <w:ind w:firstLine="8"/>
        <w:spacing w:after="0" w:line="291" w:lineRule="auto"/>
        <w:tabs>
          <w:tab w:leader="none" w:pos="50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legal, financial or corporate affairs of the Loan Parties or any of their respective Restricted Subsidiaries, including the business performance and tax and collateral due diligence of the Borrower and its Restricted Subsidiaries, as the Administrative Agent or any Lender through the Administrative Agent may from time to time reasonably request;</w:t>
      </w:r>
    </w:p>
    <w:p>
      <w:pPr>
        <w:spacing w:after="0" w:line="151" w:lineRule="exact"/>
        <w:rPr>
          <w:rFonts w:ascii="Arial" w:cs="Arial" w:eastAsia="Arial" w:hAnsi="Arial"/>
          <w:sz w:val="18"/>
          <w:szCs w:val="18"/>
          <w:color w:val="auto"/>
        </w:rPr>
      </w:pPr>
    </w:p>
    <w:p>
      <w:pPr>
        <w:jc w:val="both"/>
        <w:ind w:firstLine="8"/>
        <w:spacing w:after="0" w:line="250" w:lineRule="auto"/>
        <w:tabs>
          <w:tab w:leader="none" w:pos="509" w:val="left"/>
        </w:tabs>
        <w:numPr>
          <w:ilvl w:val="0"/>
          <w:numId w:val="126"/>
        </w:numPr>
        <w:rPr>
          <w:rFonts w:ascii="Arial" w:cs="Arial" w:eastAsia="Arial" w:hAnsi="Arial"/>
          <w:sz w:val="20"/>
          <w:szCs w:val="20"/>
          <w:color w:val="auto"/>
        </w:rPr>
      </w:pPr>
      <w:r>
        <w:rPr>
          <w:rFonts w:ascii="Arial" w:cs="Arial" w:eastAsia="Arial" w:hAnsi="Arial"/>
          <w:sz w:val="20"/>
          <w:szCs w:val="20"/>
          <w:color w:val="auto"/>
        </w:rPr>
        <w:t>promptly after the written request by any Lender, all documentation and other information that such Lender reasonably requests in order to comply with its ongoing obligations under applicable “know your customer” and anti-money laundering rules and regulations, including the USA PATRIOT Act;</w:t>
      </w:r>
    </w:p>
    <w:p>
      <w:pPr>
        <w:spacing w:after="0" w:line="185" w:lineRule="exact"/>
        <w:rPr>
          <w:rFonts w:ascii="Arial" w:cs="Arial" w:eastAsia="Arial" w:hAnsi="Arial"/>
          <w:sz w:val="20"/>
          <w:szCs w:val="20"/>
          <w:color w:val="auto"/>
        </w:rPr>
      </w:pPr>
    </w:p>
    <w:p>
      <w:pPr>
        <w:ind w:firstLine="8"/>
        <w:spacing w:after="0" w:line="260" w:lineRule="auto"/>
        <w:tabs>
          <w:tab w:leader="none" w:pos="509" w:val="left"/>
        </w:tabs>
        <w:numPr>
          <w:ilvl w:val="0"/>
          <w:numId w:val="126"/>
        </w:numPr>
        <w:rPr>
          <w:rFonts w:ascii="Arial" w:cs="Arial" w:eastAsia="Arial" w:hAnsi="Arial"/>
          <w:sz w:val="20"/>
          <w:szCs w:val="20"/>
          <w:color w:val="auto"/>
        </w:rPr>
      </w:pPr>
      <w:r>
        <w:rPr>
          <w:rFonts w:ascii="Arial" w:cs="Arial" w:eastAsia="Arial" w:hAnsi="Arial"/>
          <w:sz w:val="20"/>
          <w:szCs w:val="20"/>
          <w:color w:val="auto"/>
        </w:rPr>
        <w:t>promptly after the receipt thereof by the Borrower or any of the Restricted Subsidiaries, a copy of any final “management letter” received by any such Person from its certified public accountants and the management’s response thereto;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5" w:name="page126"/>
    <w:bookmarkEnd w:id="125"/>
    <w:p>
      <w:pPr>
        <w:jc w:val="both"/>
        <w:ind w:firstLine="8"/>
        <w:spacing w:after="0" w:line="257" w:lineRule="auto"/>
        <w:tabs>
          <w:tab w:leader="none" w:pos="509"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promptly following any request therefor by the Administrative Agent or any Lender, copies of (i) any material documents described in Section 101(k) of ERISA that any Loan Party may request with respect to any Multiemployer Plan and (ii) any material notices described in Section 101(l) of ERISA that any Loan Party may request with respect to any Plan or Multiemployer Plan,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Loan Party has not requested such material documents or material notices from the administrator or sponsor of the applicable Plan or Multiemployer Plan, such Loan Party shall make a request for such material documents or material notices from the such administrator or sponsor at the earliest date on which such Loan Party determines that it is commercially reasonable to so request in order to avoid the occurrence of an event that could reasonably be expected to result in a material liability, and shall provide copies of such material documents and material notices promptly after receipt thereof;</w:t>
      </w:r>
    </w:p>
    <w:p>
      <w:pPr>
        <w:spacing w:after="0" w:line="180" w:lineRule="exact"/>
        <w:rPr>
          <w:rFonts w:ascii="Arial" w:cs="Arial" w:eastAsia="Arial" w:hAnsi="Arial"/>
          <w:sz w:val="19"/>
          <w:szCs w:val="19"/>
          <w:color w:val="auto"/>
        </w:rPr>
      </w:pPr>
    </w:p>
    <w:p>
      <w:pPr>
        <w:ind w:firstLine="8"/>
        <w:spacing w:after="0" w:line="260" w:lineRule="auto"/>
        <w:tabs>
          <w:tab w:leader="none" w:pos="509" w:val="left"/>
        </w:tabs>
        <w:numPr>
          <w:ilvl w:val="0"/>
          <w:numId w:val="127"/>
        </w:numPr>
        <w:rPr>
          <w:rFonts w:ascii="Arial" w:cs="Arial" w:eastAsia="Arial" w:hAnsi="Arial"/>
          <w:sz w:val="20"/>
          <w:szCs w:val="20"/>
          <w:color w:val="auto"/>
        </w:rPr>
      </w:pPr>
      <w:r>
        <w:rPr>
          <w:rFonts w:ascii="Arial" w:cs="Arial" w:eastAsia="Arial" w:hAnsi="Arial"/>
          <w:sz w:val="20"/>
          <w:szCs w:val="20"/>
          <w:color w:val="auto"/>
        </w:rPr>
        <w:t>promptly after the furnishing thereof (and in no event later than three Business Days after the delivery thereof), a copy of each borrowing base certificate delivered under the ABL Credit Agreement;</w:t>
      </w:r>
    </w:p>
    <w:p>
      <w:pPr>
        <w:spacing w:after="0" w:line="176" w:lineRule="exact"/>
        <w:rPr>
          <w:rFonts w:ascii="Arial" w:cs="Arial" w:eastAsia="Arial" w:hAnsi="Arial"/>
          <w:sz w:val="20"/>
          <w:szCs w:val="20"/>
          <w:color w:val="auto"/>
        </w:rPr>
      </w:pPr>
    </w:p>
    <w:p>
      <w:pPr>
        <w:jc w:val="both"/>
        <w:ind w:firstLine="8"/>
        <w:spacing w:after="0" w:line="243" w:lineRule="auto"/>
        <w:tabs>
          <w:tab w:leader="none" w:pos="509" w:val="left"/>
        </w:tabs>
        <w:numPr>
          <w:ilvl w:val="0"/>
          <w:numId w:val="127"/>
        </w:numPr>
        <w:rPr>
          <w:rFonts w:ascii="Arial" w:cs="Arial" w:eastAsia="Arial" w:hAnsi="Arial"/>
          <w:sz w:val="20"/>
          <w:szCs w:val="20"/>
          <w:color w:val="auto"/>
        </w:rPr>
      </w:pPr>
      <w:r>
        <w:rPr>
          <w:rFonts w:ascii="Arial" w:cs="Arial" w:eastAsia="Arial" w:hAnsi="Arial"/>
          <w:sz w:val="20"/>
          <w:szCs w:val="20"/>
          <w:color w:val="auto"/>
        </w:rPr>
        <w:t>commencing as of the Amendment No. 2 Effective Date and promptly after the written request by the Administrative Agent or any Lender, (i) such reasonably available information with respect to purchases of Rolling Stock exceeding $5,000,000 after the Amendment No. 2 Effective Date as the Administrative Agent or such Lender shall request, (ii) all invoices, receipts, agreements or other information detailing or otherwise relating to any Disposition by any Loan Party of Rolling Stock of such Loan Party, which Disposition or series of Dispositions, in each case, results in at least $250,000 of aggregate Net Proceeds during any 12-month period, and (iii) any “Request for Disbursement” or similar notice as defined in and delivered in connection with the UST Tranche A Facility and/or the UST Tranche B Facility;</w:t>
      </w:r>
    </w:p>
    <w:p>
      <w:pPr>
        <w:spacing w:after="0" w:line="192" w:lineRule="exact"/>
        <w:rPr>
          <w:rFonts w:ascii="Arial" w:cs="Arial" w:eastAsia="Arial" w:hAnsi="Arial"/>
          <w:sz w:val="20"/>
          <w:szCs w:val="20"/>
          <w:color w:val="auto"/>
        </w:rPr>
      </w:pPr>
    </w:p>
    <w:p>
      <w:pPr>
        <w:jc w:val="both"/>
        <w:ind w:firstLine="8"/>
        <w:spacing w:after="0" w:line="246" w:lineRule="auto"/>
        <w:tabs>
          <w:tab w:leader="none" w:pos="509"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together with the delivery of each Compliance Certificate pursuant to Section 6.02(a), the Borrower shall promptly deliver to the Administrative Agent or such Lender a list of its Rolling Stock specifying whether such Rolling Stock is (A) First Lien Term Priority Collateral, (B) UST Tranche B Joint Collateral or (C) UST Tranche B Priority Collateral and shall provide such information as the Administrative Agent or any Lender may request to verify such designation of Rolling Stock;</w:t>
      </w:r>
    </w:p>
    <w:p>
      <w:pPr>
        <w:spacing w:after="0" w:line="191" w:lineRule="exact"/>
        <w:rPr>
          <w:rFonts w:ascii="Arial" w:cs="Arial" w:eastAsia="Arial" w:hAnsi="Arial"/>
          <w:sz w:val="20"/>
          <w:szCs w:val="20"/>
          <w:color w:val="auto"/>
        </w:rPr>
      </w:pPr>
    </w:p>
    <w:p>
      <w:pPr>
        <w:jc w:val="both"/>
        <w:ind w:firstLine="8"/>
        <w:spacing w:after="0" w:line="254" w:lineRule="auto"/>
        <w:tabs>
          <w:tab w:leader="none" w:pos="509" w:val="left"/>
        </w:tabs>
        <w:numPr>
          <w:ilvl w:val="0"/>
          <w:numId w:val="127"/>
        </w:numPr>
        <w:rPr>
          <w:rFonts w:ascii="Arial" w:cs="Arial" w:eastAsia="Arial" w:hAnsi="Arial"/>
          <w:sz w:val="19"/>
          <w:szCs w:val="19"/>
          <w:color w:val="auto"/>
        </w:rPr>
      </w:pPr>
      <w:r>
        <w:rPr>
          <w:rFonts w:ascii="Arial" w:cs="Arial" w:eastAsia="Arial" w:hAnsi="Arial"/>
          <w:sz w:val="19"/>
          <w:szCs w:val="19"/>
          <w:color w:val="auto"/>
        </w:rPr>
        <w:t>not later than 5:00 p.m. New York time on the third Business Day of the last full calendar week of each month (commencing with July 26, 2023) occurring after the Amendment No. 3 Closing Date (the “</w:t>
      </w:r>
      <w:r>
        <w:rPr>
          <w:rFonts w:ascii="Arial" w:cs="Arial" w:eastAsia="Arial" w:hAnsi="Arial"/>
          <w:sz w:val="19"/>
          <w:szCs w:val="19"/>
          <w:b w:val="1"/>
          <w:bCs w:val="1"/>
          <w:color w:val="auto"/>
        </w:rPr>
        <w:t>Updated Budget Deadline</w:t>
      </w:r>
      <w:r>
        <w:rPr>
          <w:rFonts w:ascii="Arial" w:cs="Arial" w:eastAsia="Arial" w:hAnsi="Arial"/>
          <w:sz w:val="19"/>
          <w:szCs w:val="19"/>
          <w:color w:val="auto"/>
        </w:rPr>
        <w:t>”), the Borrower shall deliver to the Required Lenders a supplement to, for the first such supplement, the Initial Budget, and for each supplement thereafter, the most-recently delivered Updated Budget (each such supplement which is approved in accordance with the terms of this clause (l), an “</w:t>
      </w:r>
      <w:r>
        <w:rPr>
          <w:rFonts w:ascii="Arial" w:cs="Arial" w:eastAsia="Arial" w:hAnsi="Arial"/>
          <w:sz w:val="19"/>
          <w:szCs w:val="19"/>
          <w:b w:val="1"/>
          <w:bCs w:val="1"/>
          <w:color w:val="auto"/>
        </w:rPr>
        <w:t>Updated Budget</w:t>
      </w:r>
      <w:r>
        <w:rPr>
          <w:rFonts w:ascii="Arial" w:cs="Arial" w:eastAsia="Arial" w:hAnsi="Arial"/>
          <w:sz w:val="19"/>
          <w:szCs w:val="19"/>
          <w:color w:val="auto"/>
        </w:rPr>
        <w:t xml:space="preserve">”), prepared by management of the Borrower in consultation with the Borrower’s Operational Advisor covering the 13-week period that commences with the Saturday of the calendar week that includes such Updated Budget Deadline, consistent with the form and level of details set forth in the Initial Budget. Each Updated Budget shall be, in each case, subject to the written approval of the Required Lenders (in their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Required Lenders shall have not provided written approval of any proposed budget supplement prior to 5:00 (New York City time) on the third Business Day after receipt thereof (the “</w:t>
      </w:r>
      <w:r>
        <w:rPr>
          <w:rFonts w:ascii="Arial" w:cs="Arial" w:eastAsia="Arial" w:hAnsi="Arial"/>
          <w:sz w:val="19"/>
          <w:szCs w:val="19"/>
          <w:b w:val="1"/>
          <w:bCs w:val="1"/>
          <w:color w:val="auto"/>
        </w:rPr>
        <w:t>Budget Review Time</w:t>
      </w:r>
      <w:r>
        <w:rPr>
          <w:rFonts w:ascii="Arial" w:cs="Arial" w:eastAsia="Arial" w:hAnsi="Arial"/>
          <w:sz w:val="19"/>
          <w:szCs w:val="19"/>
          <w:color w:val="auto"/>
        </w:rPr>
        <w:t xml:space="preserve">”), the Required Lenders shall be deemed to have accepted such proposed budget supplement;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(i) if the Required Lenders object in writing to any proposed budget supplement prior to the Budget Review Time, no proposed budget supplement covering the 13-week period covered by such rejected budget supplement shall become an Updated Budget until and unless the Required Lenders approve thereof in writing (in their sole and absolute discretion), and (ii) the prior Approved Budget shall remain in effect until such time as the Required Lenders so approve a revised budget supplement in accordance with the foregoing sub-clause (i). Upon (and subject to) the approval (or deemed approval) of any Updated Budget by the Required Lenders in their sole discretion in accordance with the foregoing procedures, such Updated Budget shall constitute the “</w:t>
      </w:r>
      <w:r>
        <w:rPr>
          <w:rFonts w:ascii="Arial" w:cs="Arial" w:eastAsia="Arial" w:hAnsi="Arial"/>
          <w:sz w:val="19"/>
          <w:szCs w:val="19"/>
          <w:b w:val="1"/>
          <w:bCs w:val="1"/>
          <w:color w:val="auto"/>
        </w:rPr>
        <w:t>Approved Budget</w:t>
      </w:r>
      <w:r>
        <w:rPr>
          <w:rFonts w:ascii="Arial" w:cs="Arial" w:eastAsia="Arial" w:hAnsi="Arial"/>
          <w:sz w:val="19"/>
          <w:szCs w:val="19"/>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6" w:name="page127"/>
    <w:bookmarkEnd w:id="126"/>
    <w:p>
      <w:pPr>
        <w:jc w:val="both"/>
        <w:ind w:firstLine="8"/>
        <w:spacing w:after="0" w:line="260" w:lineRule="auto"/>
        <w:tabs>
          <w:tab w:leader="none" w:pos="50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prior to 5:00 p.m. New York time, on the Wednesday of every week (commencing with Wednesday, July 12, 2023) the Borrower shall deliver to the Lenders a liquidity report (each, a “</w:t>
      </w:r>
      <w:r>
        <w:rPr>
          <w:rFonts w:ascii="Arial" w:cs="Arial" w:eastAsia="Arial" w:hAnsi="Arial"/>
          <w:sz w:val="19"/>
          <w:szCs w:val="19"/>
          <w:b w:val="1"/>
          <w:bCs w:val="1"/>
          <w:color w:val="auto"/>
        </w:rPr>
        <w:t>Liquidity Report</w:t>
      </w:r>
      <w:r>
        <w:rPr>
          <w:rFonts w:ascii="Arial" w:cs="Arial" w:eastAsia="Arial" w:hAnsi="Arial"/>
          <w:sz w:val="19"/>
          <w:szCs w:val="19"/>
          <w:color w:val="auto"/>
        </w:rPr>
        <w:t>”) certified by a Senior Financial Officer of the Borrower (A) certifying as to compliance with the covenant set forth in Section 7.11(a) at all times during the immediately preceding week and (B) setting forth the aggregate amount of Liquidity (as defined below) of the Loan Parties as of the last Business Day of the immediately preceding week and a comparison of the amount set forth on the prior delivered Liquidity Report;</w:t>
      </w:r>
    </w:p>
    <w:p>
      <w:pPr>
        <w:spacing w:after="0" w:line="180" w:lineRule="exact"/>
        <w:rPr>
          <w:rFonts w:ascii="Arial" w:cs="Arial" w:eastAsia="Arial" w:hAnsi="Arial"/>
          <w:sz w:val="19"/>
          <w:szCs w:val="19"/>
          <w:color w:val="auto"/>
        </w:rPr>
      </w:pPr>
    </w:p>
    <w:p>
      <w:pPr>
        <w:ind w:firstLine="8"/>
        <w:spacing w:after="0" w:line="260" w:lineRule="auto"/>
        <w:tabs>
          <w:tab w:leader="none" w:pos="509" w:val="left"/>
        </w:tabs>
        <w:numPr>
          <w:ilvl w:val="0"/>
          <w:numId w:val="128"/>
        </w:numPr>
        <w:rPr>
          <w:rFonts w:ascii="Arial" w:cs="Arial" w:eastAsia="Arial" w:hAnsi="Arial"/>
          <w:sz w:val="20"/>
          <w:szCs w:val="20"/>
          <w:color w:val="auto"/>
        </w:rPr>
      </w:pPr>
      <w:r>
        <w:rPr>
          <w:rFonts w:ascii="Arial" w:cs="Arial" w:eastAsia="Arial" w:hAnsi="Arial"/>
          <w:sz w:val="20"/>
          <w:szCs w:val="20"/>
          <w:color w:val="auto"/>
        </w:rPr>
        <w:t>not later than 5.00 p.m. New York time on the Wednesday of every week (commencing with Wednesday, July 12, 2023), the Borrower shall deliver to the Lenders the following:</w:t>
      </w:r>
    </w:p>
    <w:p>
      <w:pPr>
        <w:spacing w:after="0" w:line="187" w:lineRule="exact"/>
        <w:rPr>
          <w:rFonts w:ascii="Arial" w:cs="Arial" w:eastAsia="Arial" w:hAnsi="Arial"/>
          <w:sz w:val="20"/>
          <w:szCs w:val="20"/>
          <w:color w:val="auto"/>
        </w:rPr>
      </w:pPr>
    </w:p>
    <w:p>
      <w:pPr>
        <w:ind w:left="2560" w:hanging="306"/>
        <w:spacing w:after="0"/>
        <w:tabs>
          <w:tab w:leader="none" w:pos="2560" w:val="left"/>
        </w:tabs>
        <w:numPr>
          <w:ilvl w:val="1"/>
          <w:numId w:val="128"/>
        </w:numPr>
        <w:rPr>
          <w:rFonts w:ascii="Arial" w:cs="Arial" w:eastAsia="Arial" w:hAnsi="Arial"/>
          <w:sz w:val="22"/>
          <w:szCs w:val="22"/>
          <w:color w:val="auto"/>
        </w:rPr>
      </w:pPr>
      <w:r>
        <w:rPr>
          <w:rFonts w:ascii="Arial" w:cs="Arial" w:eastAsia="Arial" w:hAnsi="Arial"/>
          <w:sz w:val="20"/>
          <w:szCs w:val="20"/>
          <w:color w:val="auto"/>
        </w:rPr>
        <w:t>a Budget Variance Report for the most recently ended Budget Variance Test Period; and</w:t>
      </w:r>
    </w:p>
    <w:p>
      <w:pPr>
        <w:spacing w:after="0" w:line="208" w:lineRule="exact"/>
        <w:rPr>
          <w:rFonts w:ascii="Arial" w:cs="Arial" w:eastAsia="Arial" w:hAnsi="Arial"/>
          <w:sz w:val="22"/>
          <w:szCs w:val="22"/>
          <w:color w:val="auto"/>
        </w:rPr>
      </w:pPr>
    </w:p>
    <w:p>
      <w:pPr>
        <w:jc w:val="both"/>
        <w:ind w:left="2260" w:hanging="6"/>
        <w:spacing w:after="0" w:line="277" w:lineRule="auto"/>
        <w:tabs>
          <w:tab w:leader="none" w:pos="2560" w:val="left"/>
        </w:tabs>
        <w:numPr>
          <w:ilvl w:val="1"/>
          <w:numId w:val="128"/>
        </w:numPr>
        <w:rPr>
          <w:rFonts w:ascii="Arial" w:cs="Arial" w:eastAsia="Arial" w:hAnsi="Arial"/>
          <w:sz w:val="19"/>
          <w:szCs w:val="19"/>
          <w:color w:val="auto"/>
        </w:rPr>
      </w:pPr>
      <w:r>
        <w:rPr>
          <w:rFonts w:ascii="Arial" w:cs="Arial" w:eastAsia="Arial" w:hAnsi="Arial"/>
          <w:sz w:val="18"/>
          <w:szCs w:val="18"/>
          <w:color w:val="auto"/>
        </w:rPr>
        <w:t>an updated budget prepared by management of the Borrower (and after the Operational Advisor Appointment Date, in consultation with the Borrower’s Operational Advisor) covering the 13-week period that commences with the calendar week that includes such Wednesday (provided that this clause (n)(ii) may be satisfied, for each week on which an Updated Budget Deadline occurs, by delivery of the Updated Budget);</w:t>
      </w:r>
    </w:p>
    <w:p>
      <w:pPr>
        <w:spacing w:after="0" w:line="165" w:lineRule="exact"/>
        <w:rPr>
          <w:rFonts w:ascii="Arial" w:cs="Arial" w:eastAsia="Arial" w:hAnsi="Arial"/>
          <w:sz w:val="19"/>
          <w:szCs w:val="19"/>
          <w:color w:val="auto"/>
        </w:rPr>
      </w:pPr>
    </w:p>
    <w:p>
      <w:pPr>
        <w:jc w:val="both"/>
        <w:ind w:firstLine="8"/>
        <w:spacing w:after="0" w:line="269" w:lineRule="auto"/>
        <w:tabs>
          <w:tab w:leader="none" w:pos="50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not later than 5.00 p.m. New York time on the tenth (10</w:t>
      </w:r>
      <w:r>
        <w:rPr>
          <w:rFonts w:ascii="Arial" w:cs="Arial" w:eastAsia="Arial" w:hAnsi="Arial"/>
          <w:sz w:val="12"/>
          <w:szCs w:val="12"/>
          <w:color w:val="auto"/>
        </w:rPr>
        <w:t>th</w:t>
      </w:r>
      <w:r>
        <w:rPr>
          <w:rFonts w:ascii="Arial" w:cs="Arial" w:eastAsia="Arial" w:hAnsi="Arial"/>
          <w:sz w:val="18"/>
          <w:szCs w:val="18"/>
          <w:color w:val="auto"/>
        </w:rPr>
        <w:t>) Business Day of each calendar month (commencing with July 17, 2023), the Borrower shall deliver to the Lenders a report in a form reasonably acceptable to the Required Lenders, that describes, in reasonable detail, the following key performance indicators with respect to the Borrower and its Subsidiaries for the calendar month most recently ended; provided that the HNRY Logistics business segment shall be excluded for all purposes of calculating such key performance indicators: (i) number of miles traveled by units of the Borrower and its Subsidiaries, (ii) revenue generating miles traveled by units of the Borrower and its Subsidiaries, (iii) number of miles of third-party transportation purchased by the Borrower and its Subsidiaries, (iv) average length of haul,</w:t>
      </w:r>
    </w:p>
    <w:p>
      <w:pPr>
        <w:spacing w:after="0" w:line="1" w:lineRule="exact"/>
        <w:rPr>
          <w:rFonts w:ascii="Arial" w:cs="Arial" w:eastAsia="Arial" w:hAnsi="Arial"/>
          <w:sz w:val="18"/>
          <w:szCs w:val="18"/>
          <w:color w:val="auto"/>
        </w:rPr>
      </w:pPr>
    </w:p>
    <w:p>
      <w:pPr>
        <w:jc w:val="both"/>
        <w:ind w:firstLine="8"/>
        <w:spacing w:after="0" w:line="241" w:lineRule="auto"/>
        <w:tabs>
          <w:tab w:leader="none" w:pos="297" w:val="left"/>
        </w:tabs>
        <w:numPr>
          <w:ilvl w:val="0"/>
          <w:numId w:val="129"/>
        </w:numPr>
        <w:rPr>
          <w:rFonts w:ascii="Arial" w:cs="Arial" w:eastAsia="Arial" w:hAnsi="Arial"/>
          <w:sz w:val="20"/>
          <w:szCs w:val="20"/>
          <w:color w:val="auto"/>
        </w:rPr>
      </w:pPr>
      <w:r>
        <w:rPr>
          <w:rFonts w:ascii="Arial" w:cs="Arial" w:eastAsia="Arial" w:hAnsi="Arial"/>
          <w:sz w:val="20"/>
          <w:szCs w:val="20"/>
          <w:color w:val="auto"/>
        </w:rPr>
        <w:t>number of tons transported, (vi) number of gallons of fuel consumed, (vii) number of hours worked by hourly and other wage-earning employees, (viii) revenue earned per hundredweight, excluding fuel surcharge and (ix) revenue earned per hundredweight, including the fuel surcharge.</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Notwithstanding anything to the contrary, neither the Borrower nor any Restricted Subsidiary will be required to disclose or permit the inspection or discussion of, any document, information or other matter (i) that constitutes trade secrets or proprietary information, (ii) in respect of which disclosure to the Administrative Agent or any Lender (or their representatives or contractors) is prohibited by law or any binding agreement (to the extent not created in contemplation of such Loan Party’s obligations under this Section 6.02), or (iii) that is subject to attorney client or similar privilege or constitutes attorney work product.</w:t>
      </w:r>
    </w:p>
    <w:p>
      <w:pPr>
        <w:spacing w:after="0" w:line="194" w:lineRule="exact"/>
        <w:rPr>
          <w:sz w:val="20"/>
          <w:szCs w:val="20"/>
          <w:color w:val="auto"/>
        </w:rPr>
      </w:pPr>
    </w:p>
    <w:p>
      <w:pPr>
        <w:ind w:left="1500"/>
        <w:spacing w:after="0"/>
        <w:tabs>
          <w:tab w:leader="none" w:pos="3440" w:val="left"/>
        </w:tabs>
        <w:rPr>
          <w:sz w:val="20"/>
          <w:szCs w:val="20"/>
          <w:color w:val="auto"/>
        </w:rPr>
      </w:pPr>
      <w:r>
        <w:rPr>
          <w:rFonts w:ascii="Arial" w:cs="Arial" w:eastAsia="Arial" w:hAnsi="Arial"/>
          <w:sz w:val="20"/>
          <w:szCs w:val="20"/>
          <w:color w:val="auto"/>
        </w:rPr>
        <w:t xml:space="preserve">Section 6.03. </w:t>
      </w:r>
      <w:r>
        <w:rPr>
          <w:rFonts w:ascii="Arial" w:cs="Arial" w:eastAsia="Arial" w:hAnsi="Arial"/>
          <w:sz w:val="20"/>
          <w:szCs w:val="20"/>
          <w:i w:val="1"/>
          <w:iCs w:val="1"/>
          <w:color w:val="auto"/>
        </w:rPr>
        <w:t>Notices.</w:t>
      </w:r>
      <w:r>
        <w:rPr>
          <w:sz w:val="20"/>
          <w:szCs w:val="20"/>
          <w:color w:val="auto"/>
        </w:rPr>
        <w:tab/>
      </w:r>
      <w:r>
        <w:rPr>
          <w:rFonts w:ascii="Arial" w:cs="Arial" w:eastAsia="Arial" w:hAnsi="Arial"/>
          <w:sz w:val="19"/>
          <w:szCs w:val="19"/>
          <w:color w:val="auto"/>
        </w:rPr>
        <w:t>Promptly after the Borrower or any Guarantor has obtained knowledge thereof, notify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(which shall provide notice to the Lenders):</w:t>
      </w:r>
    </w:p>
    <w:p>
      <w:pPr>
        <w:spacing w:after="0" w:line="200" w:lineRule="exact"/>
        <w:rPr>
          <w:sz w:val="20"/>
          <w:szCs w:val="20"/>
          <w:color w:val="auto"/>
        </w:rPr>
      </w:pPr>
    </w:p>
    <w:p>
      <w:pPr>
        <w:ind w:left="520" w:hanging="512"/>
        <w:spacing w:after="0"/>
        <w:tabs>
          <w:tab w:leader="none" w:pos="52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of the occurrence of any Default;</w:t>
      </w:r>
    </w:p>
    <w:p>
      <w:pPr>
        <w:spacing w:after="0" w:line="215" w:lineRule="exact"/>
        <w:rPr>
          <w:rFonts w:ascii="Arial" w:cs="Arial" w:eastAsia="Arial" w:hAnsi="Arial"/>
          <w:sz w:val="20"/>
          <w:szCs w:val="20"/>
          <w:color w:val="auto"/>
        </w:rPr>
      </w:pPr>
    </w:p>
    <w:p>
      <w:pPr>
        <w:ind w:left="520" w:hanging="512"/>
        <w:spacing w:after="0"/>
        <w:tabs>
          <w:tab w:leader="none" w:pos="52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of any matter that has resulted or could reasonably be expected to result in a Material Adverse Effect;</w:t>
      </w:r>
    </w:p>
    <w:p>
      <w:pPr>
        <w:spacing w:after="0" w:line="215" w:lineRule="exact"/>
        <w:rPr>
          <w:rFonts w:ascii="Arial" w:cs="Arial" w:eastAsia="Arial" w:hAnsi="Arial"/>
          <w:sz w:val="20"/>
          <w:szCs w:val="20"/>
          <w:color w:val="auto"/>
        </w:rPr>
      </w:pPr>
    </w:p>
    <w:p>
      <w:pPr>
        <w:jc w:val="both"/>
        <w:ind w:firstLine="8"/>
        <w:spacing w:after="0" w:line="250" w:lineRule="auto"/>
        <w:tabs>
          <w:tab w:leader="none" w:pos="509" w:val="left"/>
        </w:tabs>
        <w:numPr>
          <w:ilvl w:val="0"/>
          <w:numId w:val="130"/>
        </w:numPr>
        <w:rPr>
          <w:rFonts w:ascii="Arial" w:cs="Arial" w:eastAsia="Arial" w:hAnsi="Arial"/>
          <w:sz w:val="20"/>
          <w:szCs w:val="20"/>
          <w:color w:val="auto"/>
        </w:rPr>
      </w:pPr>
      <w:r>
        <w:rPr>
          <w:rFonts w:ascii="Arial" w:cs="Arial" w:eastAsia="Arial" w:hAnsi="Arial"/>
          <w:sz w:val="20"/>
          <w:szCs w:val="20"/>
          <w:color w:val="auto"/>
        </w:rPr>
        <w:t>of the filing or commencement of, or any written threat or written notice of intention of any person to file or commence any action, suit, litigation or proceeding, whether at law or in equity by or before any Governmental Authority, against the Borrower or any of its Restricted Subsidiaries that has a reasonable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7" w:name="page128"/>
    <w:bookmarkEnd w:id="127"/>
    <w:p>
      <w:pPr>
        <w:ind w:left="520"/>
        <w:spacing w:after="0"/>
        <w:rPr>
          <w:sz w:val="20"/>
          <w:szCs w:val="20"/>
          <w:color w:val="auto"/>
        </w:rPr>
      </w:pPr>
      <w:r>
        <w:rPr>
          <w:rFonts w:ascii="Arial" w:cs="Arial" w:eastAsia="Arial" w:hAnsi="Arial"/>
          <w:sz w:val="19"/>
          <w:szCs w:val="19"/>
          <w:color w:val="auto"/>
        </w:rPr>
        <w:t>likelihood of adverse determination and such determination could reasonably be expected to result in a Material Adverse Effect;</w:t>
      </w:r>
    </w:p>
    <w:p>
      <w:pPr>
        <w:spacing w:after="0" w:line="227" w:lineRule="exact"/>
        <w:rPr>
          <w:sz w:val="20"/>
          <w:szCs w:val="20"/>
          <w:color w:val="auto"/>
        </w:rPr>
      </w:pPr>
    </w:p>
    <w:p>
      <w:pPr>
        <w:ind w:firstLine="8"/>
        <w:spacing w:after="0" w:line="260" w:lineRule="auto"/>
        <w:tabs>
          <w:tab w:leader="none" w:pos="50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of any material developments in any material action, suit, litigation or proceeding, whether at law or in equity, commenced by the Borrower or any of its Subsidiaries; and</w:t>
      </w:r>
    </w:p>
    <w:p>
      <w:pPr>
        <w:spacing w:after="0" w:line="176" w:lineRule="exact"/>
        <w:rPr>
          <w:rFonts w:ascii="Arial" w:cs="Arial" w:eastAsia="Arial" w:hAnsi="Arial"/>
          <w:sz w:val="20"/>
          <w:szCs w:val="20"/>
          <w:color w:val="auto"/>
        </w:rPr>
      </w:pPr>
    </w:p>
    <w:p>
      <w:pPr>
        <w:ind w:firstLine="8"/>
        <w:spacing w:after="0" w:line="316" w:lineRule="auto"/>
        <w:tabs>
          <w:tab w:leader="none" w:pos="50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of the occurrence of any ERISA Event following the Restatement Effective Date that, alone or together with any other ERISA Events that have occurred following the Restatement Effective Date, could reasonably be expected to result in a Material Adverse Effect.</w:t>
      </w:r>
    </w:p>
    <w:p>
      <w:pPr>
        <w:spacing w:after="0" w:line="13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 xml:space="preserve">Each notice pursuant to this Section shall be accompanied by a written statement of a Responsible Officer of the Borrower (x) that such notice is being delivered pursuant to </w:t>
      </w:r>
      <w:r>
        <w:rPr>
          <w:rFonts w:ascii="Arial" w:cs="Arial" w:eastAsia="Arial" w:hAnsi="Arial"/>
          <w:sz w:val="20"/>
          <w:szCs w:val="20"/>
          <w:u w:val="single" w:color="auto"/>
          <w:color w:val="auto"/>
        </w:rPr>
        <w:t>Section 6.03(a)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or (e) (as applicable) and (y) setting forth details of the occurrence referred to in </w:t>
      </w:r>
      <w:r>
        <w:rPr>
          <w:rFonts w:ascii="Arial" w:cs="Arial" w:eastAsia="Arial" w:hAnsi="Arial"/>
          <w:sz w:val="20"/>
          <w:szCs w:val="20"/>
          <w:u w:val="single" w:color="auto"/>
          <w:color w:val="auto"/>
        </w:rPr>
        <w:t>Section 6.03(a)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w:t>
      </w:r>
      <w:r>
        <w:rPr>
          <w:rFonts w:ascii="Arial" w:cs="Arial" w:eastAsia="Arial" w:hAnsi="Arial"/>
          <w:sz w:val="20"/>
          <w:szCs w:val="20"/>
          <w:u w:val="single" w:color="auto"/>
          <w:color w:val="auto"/>
        </w:rPr>
        <w:t>(d) or (e)</w:t>
      </w:r>
      <w:r>
        <w:rPr>
          <w:rFonts w:ascii="Arial" w:cs="Arial" w:eastAsia="Arial" w:hAnsi="Arial"/>
          <w:sz w:val="20"/>
          <w:szCs w:val="20"/>
          <w:color w:val="auto"/>
        </w:rPr>
        <w:t>, as applicable, and stating what action the Borrower has taken and proposes to take with respect thereto.</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Notwithstanding anything to the contrary, neither the Borrower nor any Restricted Subsidiary will be required to disclose or permit the inspection or discussion of, any document, information or other matter (i) that constitutes trade secrets or proprietary information, (ii) in respect of which disclosure to the Administrative Agent or any Lender (or their representatives or contractors) is prohibited by law or any binding agreement (to the extent not created in contemplation of such Loan Party’s obligations under this Section 6.03), or (iii) that is subject to attorney client or similar privilege or constitutes attorney work product.</w:t>
      </w:r>
    </w:p>
    <w:p>
      <w:pPr>
        <w:spacing w:after="0" w:line="208"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 xml:space="preserve">Section 6.04. </w:t>
      </w:r>
      <w:r>
        <w:rPr>
          <w:rFonts w:ascii="Arial" w:cs="Arial" w:eastAsia="Arial" w:hAnsi="Arial"/>
          <w:sz w:val="20"/>
          <w:szCs w:val="20"/>
          <w:i w:val="1"/>
          <w:iCs w:val="1"/>
          <w:color w:val="auto"/>
        </w:rPr>
        <w:t>Payment of Taxes.</w:t>
      </w:r>
      <w:r>
        <w:rPr>
          <w:rFonts w:ascii="Arial" w:cs="Arial" w:eastAsia="Arial" w:hAnsi="Arial"/>
          <w:sz w:val="20"/>
          <w:szCs w:val="20"/>
          <w:color w:val="auto"/>
        </w:rPr>
        <w:t xml:space="preserve"> Promptly pay, discharge or otherwise satisfy as the same shall become due and payable in the normal conduct of its business, all its obligations and liabilities in respect of Taxes imposed upon it or upon its income or profits or in respect of its property, except, to the extent any such Tax is being contested in good faith and by appropriate proceedings for which appropriate reserves have been established in accordance with GAAP if such contest shall have the effect of suspending enforcement or collection of such Taxes or, where the failure to pay, discharge or otherwise satisfy the same would not reasonably be expected to have, individually or in the aggregate, a Material Adverse Effect.</w:t>
      </w:r>
    </w:p>
    <w:p>
      <w:pPr>
        <w:spacing w:after="0" w:line="196"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 xml:space="preserve">Section 6.05. </w:t>
      </w:r>
      <w:r>
        <w:rPr>
          <w:rFonts w:ascii="Arial" w:cs="Arial" w:eastAsia="Arial" w:hAnsi="Arial"/>
          <w:sz w:val="20"/>
          <w:szCs w:val="20"/>
          <w:i w:val="1"/>
          <w:iCs w:val="1"/>
          <w:color w:val="auto"/>
        </w:rPr>
        <w:t>Preservation of Existence, Etc.</w:t>
      </w:r>
      <w:r>
        <w:rPr>
          <w:rFonts w:ascii="Arial" w:cs="Arial" w:eastAsia="Arial" w:hAnsi="Arial"/>
          <w:sz w:val="20"/>
          <w:szCs w:val="20"/>
          <w:color w:val="auto"/>
        </w:rPr>
        <w:t xml:space="preserve"> (a) Preserve, renew and maintain in full force and effect its legal existence under the Laws of the jurisdiction of its organization except in a transaction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and (b) obtain, maintain, renew, extend and keep in full force and effect all rights, privileges (including its good standing where applicable in the relevant jurisdiction), permits, licenses and franchises necessary or desirable in the normal conduct of its business, except, in the case of clause (a) (other than with respect to the Borrower) or (b), to the extent that failure to do so would not reasonably be expected to have, individually or in the aggregate, a Material Adverse Effect.</w:t>
      </w:r>
    </w:p>
    <w:p>
      <w:pPr>
        <w:spacing w:after="0" w:line="196"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Maintenance of Properties.</w:t>
      </w:r>
      <w:r>
        <w:rPr>
          <w:rFonts w:ascii="Arial" w:cs="Arial" w:eastAsia="Arial" w:hAnsi="Arial"/>
          <w:sz w:val="18"/>
          <w:szCs w:val="18"/>
          <w:color w:val="auto"/>
        </w:rPr>
        <w:t xml:space="preserve"> Except if the failure to do so could not reasonably be expected to have, individually or in the aggregate, a Material Adverse Effect, (a) maintain, preserve and protect all of its properties and equipment necessary in the operation of its business in satisfactory working order, repair and condition, ordinary wear and tear excepted and fire, casualty or condemnation excepted, and (b) make all necessary renewals, replacements, modifications, improvements, upgrades, extensions and additions thereof or thereto in accordance with prudent industry practice and in the normal conduct of its business.</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6.07. </w:t>
      </w:r>
      <w:r>
        <w:rPr>
          <w:rFonts w:ascii="Arial" w:cs="Arial" w:eastAsia="Arial" w:hAnsi="Arial"/>
          <w:sz w:val="20"/>
          <w:szCs w:val="20"/>
          <w:i w:val="1"/>
          <w:iCs w:val="1"/>
          <w:color w:val="auto"/>
        </w:rPr>
        <w:t>Maintenance of Insurance</w:t>
      </w:r>
      <w:r>
        <w:rPr>
          <w:rFonts w:ascii="Arial" w:cs="Arial" w:eastAsia="Arial" w:hAnsi="Arial"/>
          <w:sz w:val="20"/>
          <w:szCs w:val="20"/>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8" w:name="page129"/>
    <w:bookmarkEnd w:id="128"/>
    <w:p>
      <w:pPr>
        <w:jc w:val="both"/>
        <w:ind w:firstLine="8"/>
        <w:spacing w:after="0" w:line="276" w:lineRule="auto"/>
        <w:tabs>
          <w:tab w:leader="none" w:pos="509"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Maintain with financially sound and reputable insurance companies, insurance with respect to its properties and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in all material respects with the insurance maintained by Borrower and/or such Restricted Subsidiaries (as applicable) as of the Restatement Effective Date, which insurance shall insure against loss or damage of the kinds customarily insured against by Persons engaged in the same or similar business, and which insurance shall be of such types and in such amounts (after giving effect to any self-insurance reasonable and customary for similarly situated Persons engaged in the same or similar businesses as the Borrower and the Restricted Subsidiaries) as are customarily carried under similar circumstances by such other Persons in such similar or same locations.</w:t>
      </w:r>
    </w:p>
    <w:p>
      <w:pPr>
        <w:spacing w:after="0" w:line="164" w:lineRule="exact"/>
        <w:rPr>
          <w:rFonts w:ascii="Arial" w:cs="Arial" w:eastAsia="Arial" w:hAnsi="Arial"/>
          <w:sz w:val="18"/>
          <w:szCs w:val="18"/>
          <w:color w:val="auto"/>
        </w:rPr>
      </w:pPr>
    </w:p>
    <w:p>
      <w:pPr>
        <w:jc w:val="both"/>
        <w:ind w:firstLine="8"/>
        <w:spacing w:after="0" w:line="304" w:lineRule="auto"/>
        <w:tabs>
          <w:tab w:leader="none" w:pos="509" w:val="left"/>
        </w:tabs>
        <w:numPr>
          <w:ilvl w:val="0"/>
          <w:numId w:val="132"/>
        </w:numPr>
        <w:rPr>
          <w:rFonts w:ascii="Arial" w:cs="Arial" w:eastAsia="Arial" w:hAnsi="Arial"/>
          <w:sz w:val="16"/>
          <w:szCs w:val="16"/>
          <w:color w:val="auto"/>
        </w:rPr>
      </w:pPr>
      <w:r>
        <w:rPr>
          <w:rFonts w:ascii="Arial" w:cs="Arial" w:eastAsia="Arial" w:hAnsi="Arial"/>
          <w:sz w:val="16"/>
          <w:szCs w:val="16"/>
          <w:i w:val="1"/>
          <w:iCs w:val="1"/>
          <w:color w:val="auto"/>
        </w:rPr>
        <w:t>Requirements of Insurance</w:t>
      </w:r>
      <w:r>
        <w:rPr>
          <w:rFonts w:ascii="Arial" w:cs="Arial" w:eastAsia="Arial" w:hAnsi="Arial"/>
          <w:sz w:val="16"/>
          <w:szCs w:val="16"/>
          <w:color w:val="auto"/>
        </w:rPr>
        <w:t>. (A) Use commercially reasonable efforts to cause, not later than 30 days after the Restatement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Date (or such longer period as the Required Lenders may agree in writing in their reasonable discretion), all insurance required pursuant to </w:t>
      </w:r>
      <w:r>
        <w:rPr>
          <w:rFonts w:ascii="Arial" w:cs="Arial" w:eastAsia="Arial" w:hAnsi="Arial"/>
          <w:sz w:val="16"/>
          <w:szCs w:val="16"/>
          <w:u w:val="single" w:color="auto"/>
          <w:color w:val="auto"/>
        </w:rPr>
        <w:t>Section 6.07(a</w:t>
      </w:r>
      <w:r>
        <w:rPr>
          <w:rFonts w:ascii="Arial" w:cs="Arial" w:eastAsia="Arial" w:hAnsi="Arial"/>
          <w:sz w:val="16"/>
          <w:szCs w:val="16"/>
          <w:color w:val="auto"/>
        </w:rPr>
        <w:t>)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(x) to provide (and to continue to provide at all times thereafter) that it shall not be canceled, materially modified or not renewed (i) by reason of nonpayment of premium upon not less than 10 days’ prior written notice thereof by the insurer to the Administrative Agent and the Collateral Agent or (ii) for any other reason upon not less than 20 days’ prior written notice thereof by the insurer to the Administrative Agent and the Collateral Agent and (y) subject to the terms, conditions and provisions of the ABL Intercreditor Agreement to name the Collateral Agent as additional insured on behalf of the Secured Parties (in the case of liability insurance) or loss payee (in the case of property insurance), as applicable (and to continue to so name the Collateral Agent at all times thereafter), (B) use commercially reasonable efforts to deliver, not later than 30 days after the Restatement Effective Date (or such longer period as the Administrative Agent, with the consent of the Required Lenders, may agree in writing in its reasonable discretion), a copy of the policy (and to the extent any such policy is cancelled or not renewed, a renewal or replacement policy) or other evidence thereof to the Administrative Agent and the Collateral Agent, or insurance certificate with respect thereto, and (C) in the case of all property insurance policies located in the United States, not later than 30 days after the Restatement Effective Date (or such longer period as the Administrative Agent may agree in writing in its reasonable discretion) cause such policies to be endorsed or otherwise amended to include a “standard” or “New York” lender’s loss payable endorsement, in form and substance reasonably satisfactory to the Administrative Agent and the Collateral Agent, which endorsement shall provide that, from and after such date, if the insurance carrier shall have received written notice from the Administrative Agent or the Collateral Agent of the occurrence of an Event of Default, the insurance carrier shall pay all proceeds otherwise payable to the Borrower or the Loan Parties under such policies directly to the Collateral Agent during the continuance of such Event of Default.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ind w:firstLine="8"/>
        <w:spacing w:after="0" w:line="316" w:lineRule="auto"/>
        <w:tabs>
          <w:tab w:leader="none" w:pos="509"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Flood Insurance</w:t>
      </w:r>
      <w:r>
        <w:rPr>
          <w:rFonts w:ascii="Arial" w:cs="Arial" w:eastAsia="Arial" w:hAnsi="Arial"/>
          <w:sz w:val="18"/>
          <w:szCs w:val="18"/>
          <w:color w:val="auto"/>
        </w:rPr>
        <w:t>. Following the Restatement Effective Date, the Borrower shall deliver to the Collateral Agent and the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annual renewals of the flood insurance policy under the property policy or annual renewals of a force-placed flood insurance policy.</w:t>
      </w:r>
    </w:p>
    <w:p>
      <w:pPr>
        <w:spacing w:after="0" w:line="129" w:lineRule="exact"/>
        <w:rPr>
          <w:rFonts w:ascii="Arial" w:cs="Arial" w:eastAsia="Arial" w:hAnsi="Arial"/>
          <w:sz w:val="18"/>
          <w:szCs w:val="18"/>
          <w:color w:val="auto"/>
        </w:rPr>
      </w:pPr>
    </w:p>
    <w:p>
      <w:pPr>
        <w:jc w:val="both"/>
        <w:ind w:firstLine="8"/>
        <w:spacing w:after="0" w:line="243" w:lineRule="auto"/>
        <w:tabs>
          <w:tab w:leader="none" w:pos="509" w:val="left"/>
        </w:tabs>
        <w:numPr>
          <w:ilvl w:val="0"/>
          <w:numId w:val="132"/>
        </w:numPr>
        <w:rPr>
          <w:rFonts w:ascii="Arial" w:cs="Arial" w:eastAsia="Arial" w:hAnsi="Arial"/>
          <w:sz w:val="20"/>
          <w:szCs w:val="20"/>
          <w:color w:val="auto"/>
        </w:rPr>
      </w:pPr>
      <w:r>
        <w:rPr>
          <w:rFonts w:ascii="Arial" w:cs="Arial" w:eastAsia="Arial" w:hAnsi="Arial"/>
          <w:sz w:val="20"/>
          <w:szCs w:val="20"/>
          <w:i w:val="1"/>
          <w:iCs w:val="1"/>
          <w:color w:val="auto"/>
        </w:rPr>
        <w:t xml:space="preserve">Environmental Insurance. </w:t>
      </w:r>
      <w:r>
        <w:rPr>
          <w:rFonts w:ascii="Arial" w:cs="Arial" w:eastAsia="Arial" w:hAnsi="Arial"/>
          <w:sz w:val="20"/>
          <w:szCs w:val="20"/>
          <w:color w:val="auto"/>
        </w:rPr>
        <w:t>Maintain with financially sound and reputable insurance companies, a premises pollution liability portfolio</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insurance and storage tank third-party liability, corrective and clean-up insurance policy with respect to its properties and business for an initial three year policy period commencing on the date hereof and with limits not less than, and with terms and conditions comparable to, the limits, terms and conditions in such policies that are in effect as of the date hereof, and subject to annual renewals after such initial three year policy period, which insurance shall be reasonably satisfactory to the Required Lenders. The Borrower shall purchase such insurance required under this </w:t>
      </w:r>
      <w:r>
        <w:rPr>
          <w:rFonts w:ascii="Arial" w:cs="Arial" w:eastAsia="Arial" w:hAnsi="Arial"/>
          <w:sz w:val="20"/>
          <w:szCs w:val="20"/>
          <w:u w:val="single" w:color="auto"/>
          <w:color w:val="auto"/>
        </w:rPr>
        <w:t>Section 6.07(d)</w:t>
      </w:r>
      <w:r>
        <w:rPr>
          <w:rFonts w:ascii="Arial" w:cs="Arial" w:eastAsia="Arial" w:hAnsi="Arial"/>
          <w:sz w:val="20"/>
          <w:szCs w:val="20"/>
          <w:color w:val="auto"/>
        </w:rPr>
        <w:t xml:space="preserve"> within 30 days following the Restatement Effective Date and provide evidence thereof to the Administrative Agent.</w:t>
      </w:r>
    </w:p>
    <w:p>
      <w:pPr>
        <w:spacing w:after="0" w:line="192" w:lineRule="exact"/>
        <w:rPr>
          <w:rFonts w:ascii="Arial" w:cs="Arial" w:eastAsia="Arial" w:hAnsi="Arial"/>
          <w:sz w:val="20"/>
          <w:szCs w:val="20"/>
          <w:color w:val="auto"/>
        </w:rPr>
      </w:pPr>
    </w:p>
    <w:p>
      <w:pPr>
        <w:jc w:val="both"/>
        <w:ind w:firstLine="8"/>
        <w:spacing w:after="0" w:line="250" w:lineRule="auto"/>
        <w:tabs>
          <w:tab w:leader="none" w:pos="509"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Notify the Administrative Agent and the Collateral Agent (for distribution to the Lenders) promptly whenever any separate insurance concurrent in form or contributing in the event of material loss with that required to be maintained under this </w:t>
      </w:r>
      <w:r>
        <w:rPr>
          <w:rFonts w:ascii="Arial" w:cs="Arial" w:eastAsia="Arial" w:hAnsi="Arial"/>
          <w:sz w:val="20"/>
          <w:szCs w:val="20"/>
          <w:u w:val="single" w:color="auto"/>
          <w:color w:val="auto"/>
        </w:rPr>
        <w:t>Section 6.07</w:t>
      </w:r>
      <w:r>
        <w:rPr>
          <w:rFonts w:ascii="Arial" w:cs="Arial" w:eastAsia="Arial" w:hAnsi="Arial"/>
          <w:sz w:val="20"/>
          <w:szCs w:val="20"/>
          <w:color w:val="auto"/>
        </w:rPr>
        <w:t xml:space="preserve"> is taken out by the Borrower or another Loan Party;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29" w:name="page130"/>
    <w:bookmarkEnd w:id="129"/>
    <w:p>
      <w:pPr>
        <w:jc w:val="both"/>
        <w:ind w:firstLine="509"/>
        <w:spacing w:after="0" w:line="260" w:lineRule="auto"/>
        <w:rPr>
          <w:sz w:val="20"/>
          <w:szCs w:val="20"/>
          <w:color w:val="auto"/>
        </w:rPr>
      </w:pPr>
      <w:r>
        <w:rPr>
          <w:rFonts w:ascii="Arial" w:cs="Arial" w:eastAsia="Arial" w:hAnsi="Arial"/>
          <w:sz w:val="20"/>
          <w:szCs w:val="20"/>
          <w:color w:val="auto"/>
        </w:rPr>
        <w:t>promptly deliver to the Administrative Agent and the Collateral Agent a duplicate original copy of such policy or policies, or an insurance certificate with respect thereto once available.</w:t>
      </w:r>
    </w:p>
    <w:p>
      <w:pPr>
        <w:spacing w:after="0" w:line="17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Section 6.08. </w:t>
      </w:r>
      <w:r>
        <w:rPr>
          <w:rFonts w:ascii="Arial" w:cs="Arial" w:eastAsia="Arial" w:hAnsi="Arial"/>
          <w:sz w:val="20"/>
          <w:szCs w:val="20"/>
          <w:i w:val="1"/>
          <w:iCs w:val="1"/>
          <w:color w:val="auto"/>
        </w:rPr>
        <w:t>Compliance with Laws.</w:t>
      </w:r>
      <w:r>
        <w:rPr>
          <w:rFonts w:ascii="Arial" w:cs="Arial" w:eastAsia="Arial" w:hAnsi="Arial"/>
          <w:sz w:val="20"/>
          <w:szCs w:val="20"/>
          <w:color w:val="auto"/>
        </w:rPr>
        <w:t xml:space="preserve"> Comply with the requirements of all Laws and all orders, writs, injunctions and decrees applicable to it or to its business or property, except if the failure to comply therewith would not reasonably be expected to have, individually or in the aggregate, a Material Adverse Effect.</w:t>
      </w:r>
    </w:p>
    <w:p>
      <w:pPr>
        <w:spacing w:after="0" w:line="186"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i w:val="1"/>
          <w:iCs w:val="1"/>
          <w:color w:val="auto"/>
        </w:rPr>
        <w:t>Books and Records.</w:t>
      </w:r>
      <w:r>
        <w:rPr>
          <w:rFonts w:ascii="Arial" w:cs="Arial" w:eastAsia="Arial" w:hAnsi="Arial"/>
          <w:sz w:val="19"/>
          <w:szCs w:val="19"/>
          <w:color w:val="auto"/>
        </w:rPr>
        <w:t xml:space="preserve"> Maintain proper books of record and account, in which entries are made that are full, true and correct in all material respects and are in conformity with GAAP (except as noted therein) and which reflect all material financial transactions and matters involving the assets and business of the Borrower or a Restricted Subsidiary, as the case may be.</w:t>
      </w:r>
    </w:p>
    <w:p>
      <w:pPr>
        <w:spacing w:after="0" w:line="170"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Inspection Rights.</w:t>
      </w:r>
      <w:r>
        <w:rPr>
          <w:rFonts w:ascii="Arial" w:cs="Arial" w:eastAsia="Arial" w:hAnsi="Arial"/>
          <w:sz w:val="18"/>
          <w:szCs w:val="18"/>
          <w:color w:val="auto"/>
        </w:rPr>
        <w:t xml:space="preserve"> Permit representatives and independent contractors of the Administrative Agent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all at the reasonable expense of the Borrower and subject to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confidentiality obligations, limitations imposed by law and attorney-client privilege and at such reasonable times during normal business hours and as often as may be reasonably desired, upon reasonable advance notice to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excluding any such visits and inspections during the continuation of an Event of Default, (x) only the Administrative Agent may exercise rights of the Administrative Agent and the Lenders under this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and (y) the Administrative Agent shall not exercise such rights more often than one time during any calendar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further </w:t>
      </w:r>
      <w:r>
        <w:rPr>
          <w:rFonts w:ascii="Arial" w:cs="Arial" w:eastAsia="Arial" w:hAnsi="Arial"/>
          <w:sz w:val="18"/>
          <w:szCs w:val="18"/>
          <w:color w:val="auto"/>
        </w:rPr>
        <w:t>that when an Event of Default exists, the Administrative Agent or any Lender (or any of their respective representatives or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contractors) may do any of the foregoing at the expense of the Borrower at any time during normal business hours and upon reasonable advance notice. The Administrative Agent and the Lenders shall give the Borrower the opportunity to participate in any discussions with the Borrower’s independent public accountants.</w:t>
      </w:r>
    </w:p>
    <w:p>
      <w:pPr>
        <w:spacing w:after="0" w:line="176" w:lineRule="exact"/>
        <w:rPr>
          <w:sz w:val="20"/>
          <w:szCs w:val="20"/>
          <w:color w:val="auto"/>
        </w:rPr>
      </w:pPr>
    </w:p>
    <w:p>
      <w:pPr>
        <w:jc w:val="both"/>
        <w:ind w:firstLine="1497"/>
        <w:spacing w:after="0" w:line="291"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Additional Collateral; Additional Guarantors.</w:t>
      </w:r>
      <w:r>
        <w:rPr>
          <w:rFonts w:ascii="Arial" w:cs="Arial" w:eastAsia="Arial" w:hAnsi="Arial"/>
          <w:sz w:val="18"/>
          <w:szCs w:val="18"/>
          <w:color w:val="auto"/>
        </w:rPr>
        <w:t xml:space="preserve"> Subject to the terms, conditions and provisions of each Intercreditor Agreement, at the Borrower’s expense, take all reasonable actions which are necessary or reasonably requested by the Administrative Agent or the Collateral Agent to ensure that the Collateral and Guarantee Requirement continues to be satisfied, including:</w:t>
      </w:r>
    </w:p>
    <w:p>
      <w:pPr>
        <w:spacing w:after="0" w:line="152" w:lineRule="exact"/>
        <w:rPr>
          <w:sz w:val="20"/>
          <w:szCs w:val="20"/>
          <w:color w:val="auto"/>
        </w:rPr>
      </w:pPr>
    </w:p>
    <w:p>
      <w:pPr>
        <w:ind w:firstLine="8"/>
        <w:spacing w:after="0" w:line="260" w:lineRule="auto"/>
        <w:tabs>
          <w:tab w:leader="none" w:pos="509" w:val="left"/>
        </w:tabs>
        <w:numPr>
          <w:ilvl w:val="0"/>
          <w:numId w:val="133"/>
        </w:numPr>
        <w:rPr>
          <w:rFonts w:ascii="Arial" w:cs="Arial" w:eastAsia="Arial" w:hAnsi="Arial"/>
          <w:sz w:val="20"/>
          <w:szCs w:val="20"/>
          <w:color w:val="auto"/>
        </w:rPr>
      </w:pPr>
      <w:r>
        <w:rPr>
          <w:rFonts w:ascii="Arial" w:cs="Arial" w:eastAsia="Arial" w:hAnsi="Arial"/>
          <w:sz w:val="20"/>
          <w:szCs w:val="20"/>
          <w:color w:val="auto"/>
        </w:rPr>
        <w:t>Upon (x) the formation or acquisition of any new direct or indirect Subsidiary (in each case, other than an Excluded Subsidiary) by the Borrower or (y) any Subsidiary that is an Excluded Subsidiary ceasing to be an Excluded Subsidiary:</w:t>
      </w:r>
    </w:p>
    <w:p>
      <w:pPr>
        <w:spacing w:after="0" w:line="190" w:lineRule="exact"/>
        <w:rPr>
          <w:rFonts w:ascii="Arial" w:cs="Arial" w:eastAsia="Arial" w:hAnsi="Arial"/>
          <w:sz w:val="20"/>
          <w:szCs w:val="20"/>
          <w:color w:val="auto"/>
        </w:rPr>
      </w:pPr>
    </w:p>
    <w:p>
      <w:pPr>
        <w:jc w:val="both"/>
        <w:ind w:left="2260" w:hanging="6"/>
        <w:spacing w:after="0" w:line="238" w:lineRule="auto"/>
        <w:tabs>
          <w:tab w:leader="none" w:pos="2560" w:val="left"/>
        </w:tabs>
        <w:numPr>
          <w:ilvl w:val="2"/>
          <w:numId w:val="133"/>
        </w:numPr>
        <w:rPr>
          <w:rFonts w:ascii="Arial" w:cs="Arial" w:eastAsia="Arial" w:hAnsi="Arial"/>
          <w:sz w:val="22"/>
          <w:szCs w:val="22"/>
          <w:color w:val="auto"/>
        </w:rPr>
      </w:pPr>
      <w:r>
        <w:rPr>
          <w:rFonts w:ascii="Arial" w:cs="Arial" w:eastAsia="Arial" w:hAnsi="Arial"/>
          <w:sz w:val="20"/>
          <w:szCs w:val="20"/>
          <w:color w:val="auto"/>
        </w:rPr>
        <w:t>within 60 days after such formation, acquisition, designation or other event, or such longer period as the Administrative Agent, with the consent of the Required Lenders (not to be unreasonably withheld, delayed, conditioned or denied), may agree in writing in its reasonable discretion:</w:t>
      </w:r>
    </w:p>
    <w:p>
      <w:pPr>
        <w:spacing w:after="0" w:line="197" w:lineRule="exact"/>
        <w:rPr>
          <w:rFonts w:ascii="Arial" w:cs="Arial" w:eastAsia="Arial" w:hAnsi="Arial"/>
          <w:sz w:val="22"/>
          <w:szCs w:val="22"/>
          <w:color w:val="auto"/>
        </w:rPr>
      </w:pPr>
    </w:p>
    <w:p>
      <w:pPr>
        <w:jc w:val="both"/>
        <w:ind w:firstLine="1505"/>
        <w:spacing w:after="0" w:line="243" w:lineRule="auto"/>
        <w:tabs>
          <w:tab w:leader="none" w:pos="1999" w:val="left"/>
        </w:tabs>
        <w:numPr>
          <w:ilvl w:val="1"/>
          <w:numId w:val="133"/>
        </w:numPr>
        <w:rPr>
          <w:rFonts w:ascii="Arial" w:cs="Arial" w:eastAsia="Arial" w:hAnsi="Arial"/>
          <w:sz w:val="20"/>
          <w:szCs w:val="20"/>
          <w:color w:val="auto"/>
        </w:rPr>
      </w:pPr>
      <w:r>
        <w:rPr>
          <w:rFonts w:ascii="Arial" w:cs="Arial" w:eastAsia="Arial" w:hAnsi="Arial"/>
          <w:sz w:val="20"/>
          <w:szCs w:val="20"/>
          <w:color w:val="auto"/>
        </w:rPr>
        <w:t xml:space="preserve">causing each such Subsidiary to duly execute and deliver to the Administrative Agent or the Collateral Agent (as appropriate) joinders to this Agreement as Guarantors, Security Agreement Supplements, Intellectual Property Security Agreements, a counterpart of the Intercompany Note and other security agreements and documents (including, (I) with respect to any Foreign Subsidiary, local law security agreements and documents in each case consistent with market practice, and (II) with respect to such Mortgages, the documents listed in </w:t>
      </w:r>
      <w:r>
        <w:rPr>
          <w:rFonts w:ascii="Arial" w:cs="Arial" w:eastAsia="Arial" w:hAnsi="Arial"/>
          <w:sz w:val="20"/>
          <w:szCs w:val="20"/>
          <w:u w:val="single" w:color="auto"/>
          <w:color w:val="auto"/>
        </w:rPr>
        <w:t>Section 6.13(b)</w:t>
      </w:r>
      <w:r>
        <w:rPr>
          <w:rFonts w:ascii="Arial" w:cs="Arial" w:eastAsia="Arial" w:hAnsi="Arial"/>
          <w:sz w:val="20"/>
          <w:szCs w:val="20"/>
          <w:color w:val="auto"/>
        </w:rPr>
        <w:t>), as reasonably requested by the Required Lenders and in form and substance reasonably satisfactory to the Required Lenders, Administrative Agent and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0" w:name="page131"/>
    <w:bookmarkEnd w:id="130"/>
    <w:p>
      <w:pPr>
        <w:spacing w:after="0" w:line="316" w:lineRule="auto"/>
        <w:rPr>
          <w:sz w:val="20"/>
          <w:szCs w:val="20"/>
          <w:color w:val="auto"/>
        </w:rPr>
      </w:pPr>
      <w:r>
        <w:rPr>
          <w:rFonts w:ascii="Arial" w:cs="Arial" w:eastAsia="Arial" w:hAnsi="Arial"/>
          <w:sz w:val="18"/>
          <w:szCs w:val="18"/>
          <w:color w:val="auto"/>
        </w:rPr>
        <w:t>Borrower (consistent with the Mortgages (if any), Security Agreement, Intellectual Property Security Agreements and other security agreements in effect on the Restatement Effective Date), in each case granting Liens required by the Collateral and Guarantee Requirement;</w:t>
      </w:r>
    </w:p>
    <w:p>
      <w:pPr>
        <w:spacing w:after="0" w:line="130" w:lineRule="exact"/>
        <w:rPr>
          <w:sz w:val="20"/>
          <w:szCs w:val="20"/>
          <w:color w:val="auto"/>
        </w:rPr>
      </w:pPr>
    </w:p>
    <w:p>
      <w:pPr>
        <w:jc w:val="both"/>
        <w:ind w:firstLine="1505"/>
        <w:spacing w:after="0" w:line="246" w:lineRule="auto"/>
        <w:tabs>
          <w:tab w:leader="none" w:pos="2015" w:val="left"/>
        </w:tabs>
        <w:numPr>
          <w:ilvl w:val="0"/>
          <w:numId w:val="134"/>
        </w:numPr>
        <w:rPr>
          <w:rFonts w:ascii="Arial" w:cs="Arial" w:eastAsia="Arial" w:hAnsi="Arial"/>
          <w:sz w:val="20"/>
          <w:szCs w:val="20"/>
          <w:color w:val="auto"/>
        </w:rPr>
      </w:pPr>
      <w:r>
        <w:rPr>
          <w:rFonts w:ascii="Arial" w:cs="Arial" w:eastAsia="Arial" w:hAnsi="Arial"/>
          <w:sz w:val="20"/>
          <w:szCs w:val="20"/>
          <w:color w:val="auto"/>
        </w:rPr>
        <w:t>causing each such Subsidiary (and the parent of each such Subsidiary that is a Loan Party) to deliver to the Collateral Agent any and all certificates representing Equity Interests (to the extent certificated) and intercompany notes (to the extent certificated) that are required to be pledged pursuant to the Collateral and Guarantee Requirement, accompanied by undated stock powers or other appropriate instruments of transfer executed in blank;</w:t>
      </w:r>
    </w:p>
    <w:p>
      <w:pPr>
        <w:spacing w:after="0" w:line="191" w:lineRule="exact"/>
        <w:rPr>
          <w:rFonts w:ascii="Arial" w:cs="Arial" w:eastAsia="Arial" w:hAnsi="Arial"/>
          <w:sz w:val="20"/>
          <w:szCs w:val="20"/>
          <w:color w:val="auto"/>
        </w:rPr>
      </w:pPr>
    </w:p>
    <w:p>
      <w:pPr>
        <w:jc w:val="both"/>
        <w:ind w:firstLine="1505"/>
        <w:spacing w:after="0" w:line="278" w:lineRule="auto"/>
        <w:tabs>
          <w:tab w:leader="none" w:pos="198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taking and causing each such Restricted Subsidiary and each direct or indirect parent of such Restricted Subsidiary to take whatever action (including the recording of Mortgages, the filing of UCC financing statements and the delivery of stock and membership interest certificates) as may be necessary in the reasonable opinion of the Collateral Agent to vest in the Collateral Agent (or in any representative of the Collateral Agent designated by it) valid and perfected Liens to the extent required by the Collateral and Guarantee Requirement, and to otherwise comply with the requirements of the Collateral and Guarantee Requirement;</w:t>
      </w:r>
    </w:p>
    <w:p>
      <w:pPr>
        <w:spacing w:after="0" w:line="178" w:lineRule="exact"/>
        <w:rPr>
          <w:rFonts w:ascii="Arial" w:cs="Arial" w:eastAsia="Arial" w:hAnsi="Arial"/>
          <w:sz w:val="18"/>
          <w:szCs w:val="18"/>
          <w:color w:val="auto"/>
        </w:rPr>
      </w:pPr>
    </w:p>
    <w:p>
      <w:pPr>
        <w:jc w:val="both"/>
        <w:ind w:left="2260" w:hanging="6"/>
        <w:spacing w:after="0" w:line="254" w:lineRule="auto"/>
        <w:tabs>
          <w:tab w:leader="none" w:pos="2560" w:val="left"/>
        </w:tabs>
        <w:numPr>
          <w:ilvl w:val="1"/>
          <w:numId w:val="134"/>
        </w:numPr>
        <w:rPr>
          <w:rFonts w:ascii="Arial" w:cs="Arial" w:eastAsia="Arial" w:hAnsi="Arial"/>
          <w:sz w:val="21"/>
          <w:szCs w:val="21"/>
          <w:color w:val="auto"/>
        </w:rPr>
      </w:pPr>
      <w:r>
        <w:rPr>
          <w:rFonts w:ascii="Arial" w:cs="Arial" w:eastAsia="Arial" w:hAnsi="Arial"/>
          <w:sz w:val="19"/>
          <w:szCs w:val="19"/>
          <w:color w:val="auto"/>
        </w:rPr>
        <w:t xml:space="preserve">if reasonably requested by the Required Lenders, Administrative Agent or the Collateral Agent, within 45 days after such request (or such longer period as the Administrative Agent may agree in writing in its reasonable discretion), delivering to the Administrative Agent a signed copy of an opinion, addressed to the Administrative Agent and the Lenders, of counsel for the Loan Parties as to such matters set forth in this </w:t>
      </w:r>
      <w:r>
        <w:rPr>
          <w:rFonts w:ascii="Arial" w:cs="Arial" w:eastAsia="Arial" w:hAnsi="Arial"/>
          <w:sz w:val="19"/>
          <w:szCs w:val="19"/>
          <w:u w:val="single" w:color="auto"/>
          <w:color w:val="auto"/>
        </w:rPr>
        <w:t>Section 6.11(a)</w:t>
      </w:r>
      <w:r>
        <w:rPr>
          <w:rFonts w:ascii="Arial" w:cs="Arial" w:eastAsia="Arial" w:hAnsi="Arial"/>
          <w:sz w:val="19"/>
          <w:szCs w:val="19"/>
          <w:color w:val="auto"/>
        </w:rPr>
        <w:t xml:space="preserve"> as the Administrative Agent and the Required Lenders may reasonably request; and</w:t>
      </w:r>
    </w:p>
    <w:p>
      <w:pPr>
        <w:spacing w:after="0" w:line="178" w:lineRule="exact"/>
        <w:rPr>
          <w:sz w:val="20"/>
          <w:szCs w:val="20"/>
          <w:color w:val="auto"/>
        </w:rPr>
      </w:pPr>
    </w:p>
    <w:p>
      <w:pPr>
        <w:jc w:val="both"/>
        <w:ind w:left="2260"/>
        <w:spacing w:after="0" w:line="248" w:lineRule="auto"/>
        <w:rPr>
          <w:sz w:val="20"/>
          <w:szCs w:val="20"/>
          <w:color w:val="auto"/>
        </w:rPr>
      </w:pPr>
      <w:r>
        <w:rPr>
          <w:rFonts w:ascii="Arial" w:cs="Arial" w:eastAsia="Arial" w:hAnsi="Arial"/>
          <w:sz w:val="22"/>
          <w:szCs w:val="22"/>
          <w:color w:val="auto"/>
        </w:rPr>
        <w:t>(iii)</w:t>
      </w:r>
      <w:r>
        <w:rPr>
          <w:rFonts w:ascii="Arial" w:cs="Arial" w:eastAsia="Arial" w:hAnsi="Arial"/>
          <w:sz w:val="19"/>
          <w:szCs w:val="19"/>
          <w:color w:val="auto"/>
        </w:rPr>
        <w:t>promptly after the reasonable request therefor by the Administrative Agent or Collateral Agent, delivering to</w:t>
      </w:r>
      <w:r>
        <w:rPr>
          <w:rFonts w:ascii="Arial" w:cs="Arial" w:eastAsia="Arial" w:hAnsi="Arial"/>
          <w:sz w:val="22"/>
          <w:szCs w:val="22"/>
          <w:color w:val="auto"/>
        </w:rPr>
        <w:t xml:space="preserve"> </w:t>
      </w:r>
      <w:r>
        <w:rPr>
          <w:rFonts w:ascii="Arial" w:cs="Arial" w:eastAsia="Arial" w:hAnsi="Arial"/>
          <w:sz w:val="19"/>
          <w:szCs w:val="19"/>
          <w:color w:val="auto"/>
        </w:rPr>
        <w:t xml:space="preserve">the Collateral Agent with respect to each Material Real Property, any existing surveys, title reports, abstracts or environmental assessment reports, to the extent available and in the possession or control of the Borrower;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there shall be no obligation to deliver to the Collateral Agent any existing environmental</w:t>
      </w:r>
      <w:r>
        <w:rPr>
          <w:rFonts w:ascii="Arial" w:cs="Arial" w:eastAsia="Arial" w:hAnsi="Arial"/>
          <w:sz w:val="19"/>
          <w:szCs w:val="19"/>
          <w:i w:val="1"/>
          <w:iCs w:val="1"/>
          <w:color w:val="auto"/>
        </w:rPr>
        <w:t xml:space="preserve"> </w:t>
      </w:r>
      <w:r>
        <w:rPr>
          <w:rFonts w:ascii="Arial" w:cs="Arial" w:eastAsia="Arial" w:hAnsi="Arial"/>
          <w:sz w:val="19"/>
          <w:szCs w:val="19"/>
          <w:color w:val="auto"/>
        </w:rPr>
        <w:t>assessment report whose disclosure to the Collateral Agent would require the consent of a Person other than the Borrower or one of its Subsidiaries, and where, despite the commercially reasonable efforts of the Borrower to obtain such consent, such consent cannot be obtained.</w:t>
      </w:r>
    </w:p>
    <w:p>
      <w:pPr>
        <w:spacing w:after="0" w:line="189" w:lineRule="exact"/>
        <w:rPr>
          <w:sz w:val="20"/>
          <w:szCs w:val="20"/>
          <w:color w:val="auto"/>
        </w:rPr>
      </w:pPr>
    </w:p>
    <w:p>
      <w:pPr>
        <w:jc w:val="both"/>
        <w:ind w:firstLine="8"/>
        <w:spacing w:after="0" w:line="278" w:lineRule="auto"/>
        <w:tabs>
          <w:tab w:leader="none" w:pos="50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reasonably requested by the Required Lenders, Administrative Agent or the Collateral Agent, within 60 days after such request (or such longer period as the Administrative Agent may agree in writing in its reasonable discretion), delivering to the Collateral Agent any other items necessary from time to time to satisfy the Collateral and Guarantee Requirement with respect to the validity, perfection, existence and priority of security interests with respect to property of any Guarantor acquired after the Restatement Effective Date and subject to the Collateral and Guarantee Requirement, but not specifically covered by the preceding clauses (i), (ii) or (iii) or clause (c) below.</w:t>
      </w:r>
    </w:p>
    <w:p>
      <w:pPr>
        <w:spacing w:after="0" w:line="164" w:lineRule="exact"/>
        <w:rPr>
          <w:rFonts w:ascii="Arial" w:cs="Arial" w:eastAsia="Arial" w:hAnsi="Arial"/>
          <w:sz w:val="18"/>
          <w:szCs w:val="18"/>
          <w:color w:val="auto"/>
        </w:rPr>
      </w:pPr>
    </w:p>
    <w:p>
      <w:pPr>
        <w:jc w:val="both"/>
        <w:ind w:firstLine="8"/>
        <w:spacing w:after="0" w:line="260" w:lineRule="auto"/>
        <w:tabs>
          <w:tab w:leader="none" w:pos="509" w:val="left"/>
        </w:tabs>
        <w:numPr>
          <w:ilvl w:val="0"/>
          <w:numId w:val="135"/>
        </w:numPr>
        <w:rPr>
          <w:rFonts w:ascii="Arial" w:cs="Arial" w:eastAsia="Arial" w:hAnsi="Arial"/>
          <w:sz w:val="19"/>
          <w:szCs w:val="19"/>
          <w:color w:val="auto"/>
        </w:rPr>
      </w:pPr>
      <w:r>
        <w:rPr>
          <w:rFonts w:ascii="Arial" w:cs="Arial" w:eastAsia="Arial" w:hAnsi="Arial"/>
          <w:sz w:val="19"/>
          <w:szCs w:val="19"/>
          <w:color w:val="auto"/>
        </w:rPr>
        <w:t>not later than 120 days after (i) the acquisition by any Loan Party of Material Real Property or (ii) the release of any first lien security interest on any Real Property securing the obligations under the Contribution Deferral Agreement, in each case, that is required to be provided as Collateral pursuant to the Collateral and Guarantee Requirement (or such longer period as the Administrative Agent, with the consent of the Required Lenders, may agree in writing in its reasonable discretion), which Material Real Property would not be automatically subject to another Lien pursuant to pre-existing Collateral Documents, causing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1" w:name="page132"/>
    <w:bookmarkEnd w:id="131"/>
    <w:p>
      <w:pPr>
        <w:jc w:val="both"/>
        <w:ind w:firstLine="509"/>
        <w:spacing w:after="0" w:line="328" w:lineRule="auto"/>
        <w:rPr>
          <w:sz w:val="20"/>
          <w:szCs w:val="20"/>
          <w:color w:val="auto"/>
        </w:rPr>
      </w:pPr>
      <w:r>
        <w:rPr>
          <w:rFonts w:ascii="Arial" w:cs="Arial" w:eastAsia="Arial" w:hAnsi="Arial"/>
          <w:sz w:val="16"/>
          <w:szCs w:val="16"/>
          <w:color w:val="auto"/>
        </w:rPr>
        <w:t>such property to be subject to a Lien in favor of the Collateral Agent for the benefit of the Secured Parties and taking, or causing the relevant Loan Party to take, such actions as shall be necessary or reasonably requested by the Required Lenders, Administrative Agent or the Collateral Agent to grant and perfect or record such Lien, in each case to the extent required by, and subject to the limitations and exceptions of, the Collateral and Guarantee Requirement and to otherwise comply with the requirements of the Collateral and Guarantee Requirement.</w:t>
      </w:r>
    </w:p>
    <w:p>
      <w:pPr>
        <w:spacing w:after="0" w:line="128"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 xml:space="preserve">Section 6.12. </w:t>
      </w:r>
      <w:r>
        <w:rPr>
          <w:rFonts w:ascii="Arial" w:cs="Arial" w:eastAsia="Arial" w:hAnsi="Arial"/>
          <w:sz w:val="20"/>
          <w:szCs w:val="20"/>
          <w:i w:val="1"/>
          <w:iCs w:val="1"/>
          <w:color w:val="auto"/>
        </w:rPr>
        <w:t>Compliance with Environmental Laws.</w:t>
      </w:r>
      <w:r>
        <w:rPr>
          <w:rFonts w:ascii="Arial" w:cs="Arial" w:eastAsia="Arial" w:hAnsi="Arial"/>
          <w:sz w:val="20"/>
          <w:szCs w:val="20"/>
          <w:color w:val="auto"/>
        </w:rPr>
        <w:t xml:space="preserve"> Except, in each case, to the extent that the failure to do so could not reasonably be expected to have, individually or in the aggregate, a Material Adverse Effect: (a) comply, and take all reasonable actions to cause all lessees and other Persons operating or occupying its properties to comply, with all applicable Environmental Laws and Environmental Permits; (b) obtain and renew all Environmental Permits necessary for its operations and properties; and, (c) in each case to the extent the Loan Parties or the Restricted Subsidiaries are required to do so by Environmental Laws, conduct any investigation, remedial or other corrective action necessary to address Hazardous Materials at any property or facility in accordance with applicable Environmental Laws.</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6.13. </w:t>
      </w:r>
      <w:r>
        <w:rPr>
          <w:rFonts w:ascii="Arial" w:cs="Arial" w:eastAsia="Arial" w:hAnsi="Arial"/>
          <w:sz w:val="20"/>
          <w:szCs w:val="20"/>
          <w:i w:val="1"/>
          <w:iCs w:val="1"/>
          <w:color w:val="auto"/>
        </w:rPr>
        <w:t>Further Assurances and Post-Closing Conditions; Amendment No. 3 Conditions Subsequent</w:t>
      </w:r>
      <w:r>
        <w:rPr>
          <w:rFonts w:ascii="Arial" w:cs="Arial" w:eastAsia="Arial" w:hAnsi="Arial"/>
          <w:sz w:val="20"/>
          <w:szCs w:val="20"/>
          <w:color w:val="auto"/>
        </w:rPr>
        <w:t>.</w:t>
      </w:r>
    </w:p>
    <w:p>
      <w:pPr>
        <w:spacing w:after="0" w:line="216" w:lineRule="exact"/>
        <w:rPr>
          <w:sz w:val="20"/>
          <w:szCs w:val="20"/>
          <w:color w:val="auto"/>
        </w:rPr>
      </w:pPr>
    </w:p>
    <w:p>
      <w:pPr>
        <w:jc w:val="both"/>
        <w:ind w:firstLine="1505"/>
        <w:spacing w:after="0" w:line="282" w:lineRule="auto"/>
        <w:tabs>
          <w:tab w:leader="none" w:pos="20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Within the time periods after the Restatement Effective Date set forth in </w:t>
      </w:r>
      <w:r>
        <w:rPr>
          <w:rFonts w:ascii="Arial" w:cs="Arial" w:eastAsia="Arial" w:hAnsi="Arial"/>
          <w:sz w:val="18"/>
          <w:szCs w:val="18"/>
          <w:u w:val="single" w:color="auto"/>
          <w:color w:val="auto"/>
        </w:rPr>
        <w:t>Schedule 6.13(a)</w:t>
      </w:r>
      <w:r>
        <w:rPr>
          <w:rFonts w:ascii="Arial" w:cs="Arial" w:eastAsia="Arial" w:hAnsi="Arial"/>
          <w:sz w:val="18"/>
          <w:szCs w:val="18"/>
          <w:color w:val="auto"/>
        </w:rPr>
        <w:t xml:space="preserve">, deliver each Collateral Document set forth on </w:t>
      </w:r>
      <w:r>
        <w:rPr>
          <w:rFonts w:ascii="Arial" w:cs="Arial" w:eastAsia="Arial" w:hAnsi="Arial"/>
          <w:sz w:val="18"/>
          <w:szCs w:val="18"/>
          <w:u w:val="single" w:color="auto"/>
          <w:color w:val="auto"/>
        </w:rPr>
        <w:t>Schedule 6.13(a)</w:t>
      </w:r>
      <w:r>
        <w:rPr>
          <w:rFonts w:ascii="Arial" w:cs="Arial" w:eastAsia="Arial" w:hAnsi="Arial"/>
          <w:sz w:val="18"/>
          <w:szCs w:val="18"/>
          <w:color w:val="auto"/>
        </w:rPr>
        <w:t>, duly executed by each Loan Party thereto, together with all documents and instruments required to perfect the security interest of the Collateral Agent in the Collateral free of any other pledges, security interests or mortgages, except Liens expressly permitted hereunder, to the extent required pursuant to the Collateral and Guarantee Requirement.</w:t>
      </w:r>
    </w:p>
    <w:p>
      <w:pPr>
        <w:spacing w:after="0" w:line="161" w:lineRule="exact"/>
        <w:rPr>
          <w:rFonts w:ascii="Arial" w:cs="Arial" w:eastAsia="Arial" w:hAnsi="Arial"/>
          <w:sz w:val="18"/>
          <w:szCs w:val="18"/>
          <w:color w:val="auto"/>
        </w:rPr>
      </w:pPr>
    </w:p>
    <w:p>
      <w:pPr>
        <w:jc w:val="both"/>
        <w:ind w:firstLine="1505"/>
        <w:spacing w:after="0" w:line="271" w:lineRule="auto"/>
        <w:tabs>
          <w:tab w:leader="none" w:pos="20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Promptly upon reasonable request by the Required Lenders, Administrative Agent or the Collateral Agent (i) correct any material defect or error that may be discovered in the execution, acknowledgment, filing or recordation of any Collateral Document or other document or instrument relating to any Collateral (including, without limitation, any defect or error related to certificates of title for vehicles and other rolling stock) as to which the Borrower reasonably agrees is a defect or error, and (ii) subject to the terms of the Collateral Documents, do, execute, acknowledge, deliver, record, re-record, file, re-file, register and re-register any and all such further acts, deeds, certificates, assurances and other instruments as the Required Lenders, the Administrative Agent or the Collateral Agent may reasonably request from time to time in order to carry out more effectively the purposes of the Loan Documents and to cause the Collateral and Guarantee Requirement to be and remain satisfied. If the Required Lenders, Administrative Agent or the Collateral Agent reasonably determines that it is required by applicable Law to have appraisals prepared in respect of any Material Real Property of any Loan Party subject to a Mortgage, the Borrower shall cooperate with the Required Lenders, Administrative Agent and/or Collateral Agent, as applicable, in obtaining such appraisals and shall pay all reasonable out-of-pocket costs and expenses relating thereto.</w:t>
      </w:r>
    </w:p>
    <w:p>
      <w:pPr>
        <w:spacing w:after="0" w:line="169" w:lineRule="exact"/>
        <w:rPr>
          <w:rFonts w:ascii="Arial" w:cs="Arial" w:eastAsia="Arial" w:hAnsi="Arial"/>
          <w:sz w:val="18"/>
          <w:szCs w:val="18"/>
          <w:color w:val="auto"/>
        </w:rPr>
      </w:pPr>
    </w:p>
    <w:p>
      <w:pPr>
        <w:ind w:firstLine="1505"/>
        <w:spacing w:after="0" w:line="260" w:lineRule="auto"/>
        <w:tabs>
          <w:tab w:leader="none" w:pos="2036" w:val="left"/>
        </w:tabs>
        <w:numPr>
          <w:ilvl w:val="0"/>
          <w:numId w:val="136"/>
        </w:numPr>
        <w:rPr>
          <w:rFonts w:ascii="Arial" w:cs="Arial" w:eastAsia="Arial" w:hAnsi="Arial"/>
          <w:sz w:val="20"/>
          <w:szCs w:val="20"/>
          <w:color w:val="auto"/>
        </w:rPr>
      </w:pPr>
      <w:r>
        <w:rPr>
          <w:rFonts w:ascii="Arial" w:cs="Arial" w:eastAsia="Arial" w:hAnsi="Arial"/>
          <w:sz w:val="20"/>
          <w:szCs w:val="20"/>
          <w:color w:val="auto"/>
        </w:rPr>
        <w:t>In connection with Amendment No. 3, each of the Loan Parties shall satisfy the requirements set forth below prior to the dates set forth below:</w:t>
      </w:r>
    </w:p>
    <w:p>
      <w:pPr>
        <w:spacing w:after="0" w:line="190" w:lineRule="exact"/>
        <w:rPr>
          <w:rFonts w:ascii="Arial" w:cs="Arial" w:eastAsia="Arial" w:hAnsi="Arial"/>
          <w:sz w:val="20"/>
          <w:szCs w:val="20"/>
          <w:color w:val="auto"/>
        </w:rPr>
      </w:pPr>
    </w:p>
    <w:p>
      <w:pPr>
        <w:jc w:val="both"/>
        <w:ind w:left="2260" w:hanging="6"/>
        <w:spacing w:after="0" w:line="273" w:lineRule="auto"/>
        <w:tabs>
          <w:tab w:leader="none" w:pos="2560" w:val="left"/>
        </w:tabs>
        <w:numPr>
          <w:ilvl w:val="1"/>
          <w:numId w:val="136"/>
        </w:numPr>
        <w:rPr>
          <w:rFonts w:ascii="Arial" w:cs="Arial" w:eastAsia="Arial" w:hAnsi="Arial"/>
          <w:sz w:val="19"/>
          <w:szCs w:val="19"/>
          <w:color w:val="auto"/>
        </w:rPr>
      </w:pPr>
      <w:r>
        <w:rPr>
          <w:rFonts w:ascii="Arial" w:cs="Arial" w:eastAsia="Arial" w:hAnsi="Arial"/>
          <w:sz w:val="18"/>
          <w:szCs w:val="18"/>
          <w:color w:val="auto"/>
        </w:rPr>
        <w:t>on or prior to July 12, 2023 (or such later date as may be agreed in writing by the Required Lenders in their sole and absolute discretion (which may be via e-mail)) (the “</w:t>
      </w:r>
      <w:r>
        <w:rPr>
          <w:rFonts w:ascii="Arial" w:cs="Arial" w:eastAsia="Arial" w:hAnsi="Arial"/>
          <w:sz w:val="18"/>
          <w:szCs w:val="18"/>
          <w:b w:val="1"/>
          <w:bCs w:val="1"/>
          <w:color w:val="auto"/>
        </w:rPr>
        <w:t>Operational Advisor Appointment Date</w:t>
      </w:r>
      <w:r>
        <w:rPr>
          <w:rFonts w:ascii="Arial" w:cs="Arial" w:eastAsia="Arial" w:hAnsi="Arial"/>
          <w:sz w:val="18"/>
          <w:szCs w:val="18"/>
          <w:color w:val="auto"/>
        </w:rPr>
        <w:t>”), the Borrower shall appoint an Operational Advisor and deliver to the Required Lenders a duly executed copy of the engagement letter with respect to such Operational Advisor, which letter shall be in form and substance reasonably satisfactory to the Required Lenders. From and after the Operational Advisor Appointment Date, the Borrower shall continue engage, at the cost of the Borrower, the Operational Advisor for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2" w:name="page133"/>
    <w:bookmarkEnd w:id="132"/>
    <w:p>
      <w:pPr>
        <w:jc w:val="both"/>
        <w:ind w:left="2260" w:firstLine="300"/>
        <w:spacing w:after="0" w:line="244" w:lineRule="auto"/>
        <w:rPr>
          <w:sz w:val="20"/>
          <w:szCs w:val="20"/>
          <w:color w:val="auto"/>
        </w:rPr>
      </w:pPr>
      <w:r>
        <w:rPr>
          <w:rFonts w:ascii="Arial" w:cs="Arial" w:eastAsia="Arial" w:hAnsi="Arial"/>
          <w:sz w:val="20"/>
          <w:szCs w:val="20"/>
          <w:color w:val="auto"/>
        </w:rPr>
        <w:t xml:space="preserve">financial planning and analysis services, including assistance in preparation of cash flow forecasting and budget variance reporting under this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for any reason the Operational Advisor becomes unavailable or unable to perform its duties under this Agreement, the Borrower shall have seven (7) days (or such longer timeframe as the Required Lenders may agree in its sole discretion) to replace the Operational Advisor in accordance with the terms of this Agreement;</w:t>
      </w:r>
    </w:p>
    <w:p>
      <w:pPr>
        <w:spacing w:after="0" w:line="208" w:lineRule="exact"/>
        <w:rPr>
          <w:sz w:val="20"/>
          <w:szCs w:val="20"/>
          <w:color w:val="auto"/>
        </w:rPr>
      </w:pPr>
    </w:p>
    <w:p>
      <w:pPr>
        <w:jc w:val="both"/>
        <w:ind w:left="2260" w:hanging="6"/>
        <w:spacing w:after="0" w:line="239" w:lineRule="auto"/>
        <w:tabs>
          <w:tab w:leader="none" w:pos="2560" w:val="left"/>
        </w:tabs>
        <w:numPr>
          <w:ilvl w:val="0"/>
          <w:numId w:val="137"/>
        </w:numPr>
        <w:rPr>
          <w:rFonts w:ascii="Arial" w:cs="Arial" w:eastAsia="Arial" w:hAnsi="Arial"/>
          <w:sz w:val="22"/>
          <w:szCs w:val="22"/>
          <w:color w:val="auto"/>
        </w:rPr>
      </w:pPr>
      <w:r>
        <w:rPr>
          <w:rFonts w:ascii="Arial" w:cs="Arial" w:eastAsia="Arial" w:hAnsi="Arial"/>
          <w:sz w:val="20"/>
          <w:szCs w:val="20"/>
          <w:color w:val="auto"/>
        </w:rPr>
        <w:t>on or prior to July 21, 2023 (or such later date as may be agreed in writing by the Required Lenders in their sole and absolute discretion (which may be via e-mail)), the Loan Parties shall have delivered to the Administrative Agent and the Required Lenders a Perfection Certificate, dated as of the Amendment No. 3 Closing Date, duly executed by a Responsible Officer of the Borrower, which shall include or be accompanied by, with respect to any Rolling Stock of any Loan Party, such information as the Required Lenders may reasonably request, including the type/make of such Rolling Stock and the state in which such Rolling Stock is registered; and</w:t>
      </w:r>
    </w:p>
    <w:p>
      <w:pPr>
        <w:spacing w:after="0" w:line="192" w:lineRule="exact"/>
        <w:rPr>
          <w:sz w:val="20"/>
          <w:szCs w:val="20"/>
          <w:color w:val="auto"/>
        </w:rPr>
      </w:pPr>
    </w:p>
    <w:p>
      <w:pPr>
        <w:jc w:val="both"/>
        <w:ind w:left="2260"/>
        <w:spacing w:after="0" w:line="264" w:lineRule="auto"/>
        <w:rPr>
          <w:sz w:val="20"/>
          <w:szCs w:val="20"/>
          <w:color w:val="auto"/>
        </w:rPr>
      </w:pPr>
      <w:r>
        <w:rPr>
          <w:rFonts w:ascii="Arial" w:cs="Arial" w:eastAsia="Arial" w:hAnsi="Arial"/>
          <w:sz w:val="21"/>
          <w:szCs w:val="21"/>
          <w:color w:val="auto"/>
        </w:rPr>
        <w:t>(iii)</w:t>
      </w:r>
      <w:r>
        <w:rPr>
          <w:rFonts w:ascii="Arial" w:cs="Arial" w:eastAsia="Arial" w:hAnsi="Arial"/>
          <w:sz w:val="18"/>
          <w:szCs w:val="18"/>
          <w:color w:val="auto"/>
        </w:rPr>
        <w:t>on or prior to two (2) Business Days prior to consummation of the Compton Sale (and in any event, not later</w:t>
      </w:r>
      <w:r>
        <w:rPr>
          <w:rFonts w:ascii="Arial" w:cs="Arial" w:eastAsia="Arial" w:hAnsi="Arial"/>
          <w:sz w:val="21"/>
          <w:szCs w:val="21"/>
          <w:color w:val="auto"/>
        </w:rPr>
        <w:t xml:space="preserve"> </w:t>
      </w:r>
      <w:r>
        <w:rPr>
          <w:rFonts w:ascii="Arial" w:cs="Arial" w:eastAsia="Arial" w:hAnsi="Arial"/>
          <w:sz w:val="18"/>
          <w:szCs w:val="18"/>
          <w:color w:val="auto"/>
        </w:rPr>
        <w:t>than the second (2nd) Business Day after the Amendment No. 3 Closing Date (or such shorter timeframe as agreed in writing by the Required Lenders in their sole and absolute discretion (which may be via e-mail)), the Loan Parties shall have provided to the Required Lenders reasonably satisfactory evidence of delivery by USF Reddaway Inc. to Chicago Title Insurance Company of an irrevocable letter of direction or settlement statement, as applicable, instructing it to wire all Net Proceeds of the Compton Sale to a deposit account designated by the Administrative Agent, for application to the prepayment of the Term Loans, which irrevocable direction letter or settlement statement, as applicable, shall be in form and substance satisfactory to the Required Lenders and the Administrative Agent (in their respective sole discretions).</w:t>
      </w:r>
    </w:p>
    <w:p>
      <w:pPr>
        <w:spacing w:after="0" w:line="175"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i w:val="1"/>
          <w:iCs w:val="1"/>
          <w:color w:val="auto"/>
        </w:rPr>
        <w:t>Lender Calls.</w:t>
      </w:r>
      <w:r>
        <w:rPr>
          <w:rFonts w:ascii="Arial" w:cs="Arial" w:eastAsia="Arial" w:hAnsi="Arial"/>
          <w:sz w:val="19"/>
          <w:szCs w:val="19"/>
          <w:color w:val="auto"/>
        </w:rPr>
        <w:t xml:space="preserve"> The Borrower shall (i) cause the Operational Advisor (after the Operational Advisor Appointment Date) to be available for an update call with the Lenders each calendar week and (ii) provide for an update call, each month, with the Lenders and senior management of the Borrower with appropriate expertise, in each case of the clauses (i) and (ii), at times reasonably acceptable to the Required Lenders and, in the case of clause (i), the Operational Advisor and, in the case of clause (ii) the Borrower, to discuss the then current Approved Budget, the Budget Variance Reports, the Liquidity Reports, other reporting delivered pursuant to Section 6.02, union matters, the status of any monetization strategies being pursued by the Borrower and its Subsidiaries, including an update on the status of the sale of each Specified Amendment No. 3 Real Property, and any other matters (including business, operational and due diligence matters) reasonably requested by the Lenders.</w:t>
      </w:r>
    </w:p>
    <w:p>
      <w:pPr>
        <w:spacing w:after="0" w:line="18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Notwithstanding anything to the contrary, neither the Borrower nor any Subsidiary will be required to disclose or discuss any matter pursuant to this Section 6.14 (i) that constitutes trade secrets or proprietary information, (ii) in respect of which disclosure to the Administrative Agent or any Lender (or their representatives or contractors) is prohibited by law or any binding agreement (to the extent not created in contemplation of such Loan Party’s obligations under this Section 6.14), or (iii) that is subject to attorney client or similar privilege or constitutes attorney work product.</w:t>
      </w:r>
    </w:p>
    <w:p>
      <w:pPr>
        <w:spacing w:after="0" w:line="194"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 xml:space="preserve">Section 6.15. </w:t>
      </w:r>
      <w:r>
        <w:rPr>
          <w:rFonts w:ascii="Arial" w:cs="Arial" w:eastAsia="Arial" w:hAnsi="Arial"/>
          <w:sz w:val="19"/>
          <w:szCs w:val="19"/>
          <w:i w:val="1"/>
          <w:iCs w:val="1"/>
          <w:color w:val="auto"/>
        </w:rPr>
        <w:t>Maintenance of Ratings.</w:t>
      </w:r>
      <w:r>
        <w:rPr>
          <w:rFonts w:ascii="Arial" w:cs="Arial" w:eastAsia="Arial" w:hAnsi="Arial"/>
          <w:sz w:val="19"/>
          <w:szCs w:val="19"/>
          <w:color w:val="auto"/>
        </w:rPr>
        <w:t xml:space="preserve"> In the case of the Borrower, use commercially reasonable efforts to maintain a public corporate rating from S&amp;P and a public corporate family rating from Moody’s, in each case in respect of the Borrower.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3" w:name="page134"/>
    <w:bookmarkEnd w:id="133"/>
    <w:p>
      <w:pPr>
        <w:jc w:val="both"/>
        <w:ind w:firstLine="1497"/>
        <w:spacing w:after="0" w:line="316"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i w:val="1"/>
          <w:iCs w:val="1"/>
          <w:color w:val="auto"/>
        </w:rPr>
        <w:t>Use of Proceeds.</w:t>
      </w:r>
      <w:r>
        <w:rPr>
          <w:rFonts w:ascii="Arial" w:cs="Arial" w:eastAsia="Arial" w:hAnsi="Arial"/>
          <w:sz w:val="18"/>
          <w:szCs w:val="18"/>
          <w:color w:val="auto"/>
        </w:rPr>
        <w:t xml:space="preserve"> The Borrower shall use the proceeds of the Term Loans borrowed on the Restatement Effective Date to fund the Transactions on the Restatement Effective Date, to pay Transaction Expenses and for general corporate purposes.</w:t>
      </w:r>
    </w:p>
    <w:p>
      <w:pPr>
        <w:spacing w:after="0" w:line="130"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 xml:space="preserve">Section 6.17. </w:t>
      </w:r>
      <w:r>
        <w:rPr>
          <w:rFonts w:ascii="Arial" w:cs="Arial" w:eastAsia="Arial" w:hAnsi="Arial"/>
          <w:sz w:val="19"/>
          <w:szCs w:val="19"/>
          <w:i w:val="1"/>
          <w:iCs w:val="1"/>
          <w:color w:val="auto"/>
        </w:rPr>
        <w:t>2020 Financial Plan.</w:t>
      </w:r>
      <w:r>
        <w:rPr>
          <w:rFonts w:ascii="Arial" w:cs="Arial" w:eastAsia="Arial" w:hAnsi="Arial"/>
          <w:sz w:val="19"/>
          <w:szCs w:val="19"/>
          <w:color w:val="auto"/>
        </w:rPr>
        <w:t xml:space="preserve"> From and after the Amendment No. 1 Effective Date, the Borrower shall use its commercially reasonable efforts to achieve the aggregate amount of cost savings and other operational initiatives set forth in the updated consolidated budget for the fiscal year ending December 31, 2020 delivered to the Required Lenders on March 28, 2020.</w:t>
      </w:r>
    </w:p>
    <w:p>
      <w:pPr>
        <w:spacing w:after="0" w:line="170" w:lineRule="exact"/>
        <w:rPr>
          <w:sz w:val="20"/>
          <w:szCs w:val="20"/>
          <w:color w:val="auto"/>
        </w:rPr>
      </w:pPr>
    </w:p>
    <w:p>
      <w:pPr>
        <w:jc w:val="both"/>
        <w:ind w:firstLine="1497"/>
        <w:spacing w:after="0" w:line="267" w:lineRule="auto"/>
        <w:rPr>
          <w:sz w:val="20"/>
          <w:szCs w:val="20"/>
          <w:color w:val="auto"/>
        </w:rPr>
      </w:pPr>
      <w:r>
        <w:rPr>
          <w:rFonts w:ascii="Arial" w:cs="Arial" w:eastAsia="Arial" w:hAnsi="Arial"/>
          <w:sz w:val="18"/>
          <w:szCs w:val="18"/>
          <w:color w:val="auto"/>
        </w:rPr>
        <w:t xml:space="preserve">Section 6.18. </w:t>
      </w:r>
      <w:r>
        <w:rPr>
          <w:rFonts w:ascii="Arial" w:cs="Arial" w:eastAsia="Arial" w:hAnsi="Arial"/>
          <w:sz w:val="18"/>
          <w:szCs w:val="18"/>
          <w:i w:val="1"/>
          <w:iCs w:val="1"/>
          <w:color w:val="auto"/>
        </w:rPr>
        <w:t>Board Observer Rights</w:t>
      </w:r>
      <w:r>
        <w:rPr>
          <w:rFonts w:ascii="Arial" w:cs="Arial" w:eastAsia="Arial" w:hAnsi="Arial"/>
          <w:sz w:val="18"/>
          <w:szCs w:val="18"/>
          <w:color w:val="auto"/>
        </w:rPr>
        <w:t>. The Loan Parties shall allow one representative designated by, from time to time, in writing by the Required Lenders to attend and participate solely as a non-voting observer in all meetings of the board of directors (or other similar body) and any committee of the board of directors (or other similar body) of the Loan Parties (each such meeting, a “</w:t>
      </w:r>
      <w:r>
        <w:rPr>
          <w:rFonts w:ascii="Arial" w:cs="Arial" w:eastAsia="Arial" w:hAnsi="Arial"/>
          <w:sz w:val="18"/>
          <w:szCs w:val="18"/>
          <w:b w:val="1"/>
          <w:bCs w:val="1"/>
          <w:color w:val="auto"/>
        </w:rPr>
        <w:t>Board</w:t>
      </w:r>
      <w:r>
        <w:rPr>
          <w:rFonts w:ascii="Arial" w:cs="Arial" w:eastAsia="Arial" w:hAnsi="Arial"/>
          <w:sz w:val="18"/>
          <w:szCs w:val="18"/>
          <w:color w:val="auto"/>
        </w:rPr>
        <w:t xml:space="preserve"> </w:t>
      </w:r>
      <w:r>
        <w:rPr>
          <w:rFonts w:ascii="Arial" w:cs="Arial" w:eastAsia="Arial" w:hAnsi="Arial"/>
          <w:sz w:val="18"/>
          <w:szCs w:val="18"/>
          <w:b w:val="1"/>
          <w:bCs w:val="1"/>
          <w:color w:val="auto"/>
        </w:rPr>
        <w:t>Meeting</w:t>
      </w:r>
      <w:r>
        <w:rPr>
          <w:rFonts w:ascii="Arial" w:cs="Arial" w:eastAsia="Arial" w:hAnsi="Arial"/>
          <w:sz w:val="18"/>
          <w:szCs w:val="18"/>
          <w:color w:val="auto"/>
        </w:rPr>
        <w:t>”; and such representative, a “</w:t>
      </w:r>
      <w:r>
        <w:rPr>
          <w:rFonts w:ascii="Arial" w:cs="Arial" w:eastAsia="Arial" w:hAnsi="Arial"/>
          <w:sz w:val="18"/>
          <w:szCs w:val="18"/>
          <w:b w:val="1"/>
          <w:bCs w:val="1"/>
          <w:color w:val="auto"/>
        </w:rPr>
        <w:t>Board Observer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the obligation of the Loan Parties to permit a Board Observer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this Section 6.18 shall terminate automatically if the Lenders as of the Amendment No. 3 Closing Date no longer constitute Required Lenders. Each Loan Party shall, or shall cause its Subsidiary to, as the case may be, (i) give the Board Observer notice of all Board Meetings at the same time and in the same manner as such notice is furnished to the members of the board of directors (or other similar body) or committee of the board of directors (or other similar body) of such Loan Party or such subsidiary, (ii) subject to the terms of this Section 6.18, provide to the Board Observer all written notices, documents and information (including proposed written consents) furnished to the members of the board of directors (or other similar body) or committee of the board of directors (or other similar body) of such Loan Party or such subsidiary at the same time and in the same manner furnished to such members, (iii) permit the Board Observer to participate by telephone in each Board Meeting, (iv) provide the Board Observer copies of the minutes of all Board Meetings at the time such minutes are furnished to the members of the board of directors (or other similar body) or committee of the board of directors (or other similar body) of such Loan Party or such subsidiary, (v) cause regularly-scheduled Board Meetings of the Borrower to be held at least once per calendar quarter and (vi) provide the Board Observer with copies of all written consents duly passed by the board of directors (or other similar body) or committee of the board of directors (or other similar body) of such Loan Party or such subsidiary. Borrower shall reimburse the Board Observer for all reasonable and documented out-of-pocket expenses incurred in connection with the Board Observer’s attendance at the Board Meetings. Each Loan Party shall, and shall cause its Subsidiaries to, indemnify the Board Observer solely in its capacity as the Board Observer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the foregoing, such indemnity shall not be available to the extent that any losses, damages, claims, liabilities and expenses resulted from (x) the gross negligence, bad faith or willful misconduct of the Board Observer or of any affiliate, director, officer, employee, counsel, agent or attorney-in-fact of such Board Observer, as determined by the final non-appealable judgment of a court of competent jurisdiction, (y) any dispute solely among the Board Observer, the Lenders or of any affiliate, director, officer, employee, counsel, agent or attorney-in-fact thereof arising as a result of the Board Observer Rights set forth in this Section 6.18 other than any claim arising out of any act or omission of the Borrower or any of its Affiliates or (z) the material breach by the Board Observer or of any affiliate, director, officer, employee, counsel, agent or attorney-in-fact of such Board Observer of its obligations under this Section 6.18, as determined by the final non-appealable judgment of a court of competent jurisdiction. The Board Observer, the minutes, the written consents and all non-public information delivered to the Board Observer pursuant to this Section 6.18 and the proceedings of the board of directors (or other similar body) and any committee of the board of directors (or other similar body) of the Loan Parties, shall be subject to the confidentiality provisions of Section 10.16, except that the Board Observer may disclose information and materials to the Lenders and their respective directors, officers, managers, employees, legal counsel and financial advisors on a “need to know” basis solely in connection with the transactions contemplated hereby (it being understood that the Persons to whom such disclosure is made will be informed of the confidential nature of such Information and instructed to keep such Information confidential). Notwithstanding the forgoing, the Borrower shall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4" w:name="page135"/>
    <w:bookmarkEnd w:id="134"/>
    <w:p>
      <w:pPr>
        <w:jc w:val="both"/>
        <w:spacing w:after="0" w:line="270" w:lineRule="auto"/>
        <w:rPr>
          <w:sz w:val="20"/>
          <w:szCs w:val="20"/>
          <w:color w:val="auto"/>
        </w:rPr>
      </w:pPr>
      <w:r>
        <w:rPr>
          <w:rFonts w:ascii="Arial" w:cs="Arial" w:eastAsia="Arial" w:hAnsi="Arial"/>
          <w:sz w:val="18"/>
          <w:szCs w:val="18"/>
          <w:color w:val="auto"/>
        </w:rPr>
        <w:t>be entitled to exclude the Board Observer from any portion of any meeting or from receiving any portion of the materials distributed to the members of the board of directors (or similar governing body) to the extent if and to the extent the Borrower reasonably believes in good faith in the exercise of its reasonable business judgment that the Board Observer’s presence at or participation in such meeting (or any portion thereof) or receipt of such materials may (i) affect the attorney/client or similar privilege of any Loan Party and their legal advisors,</w:t>
      </w:r>
    </w:p>
    <w:p>
      <w:pPr>
        <w:spacing w:after="0" w:line="3" w:lineRule="exact"/>
        <w:rPr>
          <w:sz w:val="20"/>
          <w:szCs w:val="20"/>
          <w:color w:val="auto"/>
        </w:rPr>
      </w:pPr>
    </w:p>
    <w:p>
      <w:pPr>
        <w:jc w:val="both"/>
        <w:ind w:firstLine="8"/>
        <w:spacing w:after="0" w:line="254" w:lineRule="auto"/>
        <w:tabs>
          <w:tab w:leader="none" w:pos="291" w:val="left"/>
        </w:tabs>
        <w:numPr>
          <w:ilvl w:val="0"/>
          <w:numId w:val="138"/>
        </w:numPr>
        <w:rPr>
          <w:rFonts w:ascii="Arial" w:cs="Arial" w:eastAsia="Arial" w:hAnsi="Arial"/>
          <w:sz w:val="19"/>
          <w:szCs w:val="19"/>
          <w:color w:val="auto"/>
        </w:rPr>
      </w:pPr>
      <w:r>
        <w:rPr>
          <w:rFonts w:ascii="Arial" w:cs="Arial" w:eastAsia="Arial" w:hAnsi="Arial"/>
          <w:sz w:val="19"/>
          <w:szCs w:val="19"/>
          <w:color w:val="auto"/>
        </w:rPr>
        <w:t>adversely affect the Borrower or any of its Subsidiaries under applicable Law, (iii) conflict with confidentiality obligations of Borrower or any of its Subsidiaries to third parties, including Governmental Authorities (so long as such restriction exists or has been negotiated in good faith by the Borrower and not for the purpose of excluding or limiting the Board Observer) or (iv) give rise to a conflict of interest, including as to any discussion and/or materials relating to (I) an actual or potential transaction with a Lender or any Affiliate thereof or other matter in which any Lender or any Affiliate thereof may be involved (including as to discussions or materials regarding this Agreement and the other Loan) or (II) the strategy, negotiating positions or similar matters relating to the relationship of Borrower or any of its subsidiaries or Affiliates, on the one hand, with the Lenders or any of their Affiliates.</w:t>
      </w:r>
    </w:p>
    <w:p>
      <w:pPr>
        <w:spacing w:after="0" w:line="188"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 xml:space="preserve">Section 6.19. </w:t>
      </w:r>
      <w:r>
        <w:rPr>
          <w:rFonts w:ascii="Arial" w:cs="Arial" w:eastAsia="Arial" w:hAnsi="Arial"/>
          <w:sz w:val="20"/>
          <w:szCs w:val="20"/>
          <w:i w:val="1"/>
          <w:iCs w:val="1"/>
          <w:color w:val="auto"/>
        </w:rPr>
        <w:t>Amendment No. 3 Real Property Dispositions</w:t>
      </w:r>
      <w:r>
        <w:rPr>
          <w:rFonts w:ascii="Arial" w:cs="Arial" w:eastAsia="Arial" w:hAnsi="Arial"/>
          <w:sz w:val="20"/>
          <w:szCs w:val="20"/>
          <w:color w:val="auto"/>
        </w:rPr>
        <w:t>. The Loan Parties shall use commercially reasonable efforts, and shall cause their respective Subsidiaries to use commercially reasonable efforts (in each case, in the exercise of such commercially reasonable efforts, taking into account the timing of the consummation of the Borrower’s consolidation plan), to sell each Specified Amendment No. 3 Real Property to a bona fide third party for fair market value and for gross consideration at least equal to the amount identified to or by the Lenders, as applicable, as of the Amendment No. 3 Effective Date (it being understood and agreed that 100% of the Net Proceeds of each such shall be applied to the prepayment of the Term Loans in accordance with Section 2.13(a)(ii) without giving effect to any thresholds or reinvestment rights).</w:t>
      </w:r>
    </w:p>
    <w:p>
      <w:pPr>
        <w:spacing w:after="0" w:line="182"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ARTICLE 7</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N</w:t>
      </w:r>
      <w:r>
        <w:rPr>
          <w:rFonts w:ascii="Arial" w:cs="Arial" w:eastAsia="Arial" w:hAnsi="Arial"/>
          <w:sz w:val="13"/>
          <w:szCs w:val="13"/>
          <w:color w:val="auto"/>
        </w:rPr>
        <w:t>egative</w:t>
      </w:r>
      <w:r>
        <w:rPr>
          <w:rFonts w:ascii="Arial" w:cs="Arial" w:eastAsia="Arial" w:hAnsi="Arial"/>
          <w:sz w:val="20"/>
          <w:szCs w:val="20"/>
          <w:color w:val="auto"/>
        </w:rPr>
        <w:t xml:space="preserve"> C</w:t>
      </w:r>
      <w:r>
        <w:rPr>
          <w:rFonts w:ascii="Arial" w:cs="Arial" w:eastAsia="Arial" w:hAnsi="Arial"/>
          <w:sz w:val="13"/>
          <w:szCs w:val="13"/>
          <w:color w:val="auto"/>
        </w:rPr>
        <w:t>ovenants</w:t>
      </w:r>
    </w:p>
    <w:p>
      <w:pPr>
        <w:spacing w:after="0" w:line="20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So long as any Lender shall have any Commitment hereunder or any Loan or other Obligation (other than contingent indemnification or reimbursement obligations) hereunder which is accrued or payable shall remain unpaid or unsatisfied, then from and after the Restatement Effective Date:</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Section 7.01. </w:t>
      </w:r>
      <w:r>
        <w:rPr>
          <w:rFonts w:ascii="Arial" w:cs="Arial" w:eastAsia="Arial" w:hAnsi="Arial"/>
          <w:sz w:val="20"/>
          <w:szCs w:val="20"/>
          <w:i w:val="1"/>
          <w:iCs w:val="1"/>
          <w:color w:val="auto"/>
        </w:rPr>
        <w:t>Liens.</w:t>
      </w:r>
      <w:r>
        <w:rPr>
          <w:rFonts w:ascii="Arial" w:cs="Arial" w:eastAsia="Arial" w:hAnsi="Arial"/>
          <w:sz w:val="20"/>
          <w:szCs w:val="20"/>
          <w:color w:val="auto"/>
        </w:rPr>
        <w:t xml:space="preserve"> The Borrower shall not, nor shall it permit any Restricted Subsidiary to, directly or indirectly, create, incur, assume or suffer to exist any Lien upon any of its property, assets or revenues, whether now owned or hereafter acquired, other than the following:</w:t>
      </w:r>
    </w:p>
    <w:p>
      <w:pPr>
        <w:spacing w:after="0" w:line="186" w:lineRule="exact"/>
        <w:rPr>
          <w:sz w:val="20"/>
          <w:szCs w:val="20"/>
          <w:color w:val="auto"/>
        </w:rPr>
      </w:pPr>
    </w:p>
    <w:p>
      <w:pPr>
        <w:ind w:left="520" w:hanging="512"/>
        <w:spacing w:after="0"/>
        <w:tabs>
          <w:tab w:leader="none" w:pos="52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Liens created pursuant to any Loan Document;</w:t>
      </w:r>
    </w:p>
    <w:p>
      <w:pPr>
        <w:spacing w:after="0" w:line="215" w:lineRule="exact"/>
        <w:rPr>
          <w:rFonts w:ascii="Arial" w:cs="Arial" w:eastAsia="Arial" w:hAnsi="Arial"/>
          <w:sz w:val="20"/>
          <w:szCs w:val="20"/>
          <w:color w:val="auto"/>
        </w:rPr>
      </w:pPr>
    </w:p>
    <w:p>
      <w:pPr>
        <w:jc w:val="both"/>
        <w:ind w:firstLine="8"/>
        <w:spacing w:after="0" w:line="302" w:lineRule="auto"/>
        <w:tabs>
          <w:tab w:leader="none" w:pos="50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Liens existing or contemplated on the Restatement Effective Date and listed on </w:t>
      </w:r>
      <w:r>
        <w:rPr>
          <w:rFonts w:ascii="Arial" w:cs="Arial" w:eastAsia="Arial" w:hAnsi="Arial"/>
          <w:sz w:val="16"/>
          <w:szCs w:val="16"/>
          <w:u w:val="single" w:color="auto"/>
          <w:color w:val="auto"/>
        </w:rPr>
        <w:t>Schedule 7.01(b)</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Lien does not extend to any additional property other than any replacements of such property or assets and additions and accessions thereto,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or asset of the Borrower or any Restricted Subsidiary and the proceeds and the products thereof and customary security deposits in respect thereof and in the case of multiple financings of equipment provided by any lender, other equipment financed by such lender), and</w:t>
      </w:r>
    </w:p>
    <w:p>
      <w:pPr>
        <w:spacing w:after="0" w:line="1" w:lineRule="exact"/>
        <w:rPr>
          <w:rFonts w:ascii="Arial" w:cs="Arial" w:eastAsia="Arial" w:hAnsi="Arial"/>
          <w:sz w:val="16"/>
          <w:szCs w:val="16"/>
          <w:color w:val="auto"/>
        </w:rPr>
      </w:pPr>
    </w:p>
    <w:p>
      <w:pPr>
        <w:jc w:val="both"/>
        <w:ind w:firstLine="8"/>
        <w:spacing w:after="0" w:line="241" w:lineRule="auto"/>
        <w:tabs>
          <w:tab w:leader="none" w:pos="299" w:val="left"/>
        </w:tabs>
        <w:numPr>
          <w:ilvl w:val="0"/>
          <w:numId w:val="140"/>
        </w:numPr>
        <w:rPr>
          <w:rFonts w:ascii="Arial" w:cs="Arial" w:eastAsia="Arial" w:hAnsi="Arial"/>
          <w:sz w:val="20"/>
          <w:szCs w:val="20"/>
          <w:color w:val="auto"/>
        </w:rPr>
      </w:pPr>
      <w:r>
        <w:rPr>
          <w:rFonts w:ascii="Arial" w:cs="Arial" w:eastAsia="Arial" w:hAnsi="Arial"/>
          <w:sz w:val="20"/>
          <w:szCs w:val="20"/>
          <w:color w:val="auto"/>
        </w:rPr>
        <w:t>such Lien does not secure any obligation (including unused commitments) other than those it secured on the Restatement Effective Date or, to the extent constituting Indebtedness, any Permitted Refinancing of the Indebtedness secured thereby on the Restatement Effective Date and any extensions, renewals, restructurings, refinancings and replacements thereof;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5" w:name="page136"/>
    <w:bookmarkEnd w:id="135"/>
    <w:p>
      <w:pPr>
        <w:jc w:val="both"/>
        <w:ind w:firstLine="8"/>
        <w:spacing w:after="0" w:line="246" w:lineRule="auto"/>
        <w:tabs>
          <w:tab w:leader="none" w:pos="509"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Liens for unpaid utilities, taxes, assessments or governmental charges that are (i) not overdue for a period of more than thirty (30) days and are not otherwise delinquent, securing obligations in an amount not to exceed $500,000, or that are being contested in good faith and by appropriate actions, if adequate reserves with respect thereto are maintained on the books of the applicable Person in accordance with GAAP or (ii) otherwise not required to be paid pursuant to </w:t>
      </w:r>
      <w:r>
        <w:rPr>
          <w:rFonts w:ascii="Arial" w:cs="Arial" w:eastAsia="Arial" w:hAnsi="Arial"/>
          <w:sz w:val="20"/>
          <w:szCs w:val="20"/>
          <w:u w:val="single" w:color="auto"/>
          <w:color w:val="auto"/>
        </w:rPr>
        <w:t>Section 6.04</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8"/>
        <w:spacing w:after="0" w:line="321" w:lineRule="auto"/>
        <w:tabs>
          <w:tab w:leader="none" w:pos="50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Statutory, lease or common law Liens of landlords, sublandlords, carriers, warehousemen, mechanics, materialmen, repairmen, construction contractors or other like Liens, or other customary Liens (other than in respect of Indebtedness) in favor of landlords, in each case arising in the ordinary course of business that secure amounts not overdue for a period of more than thirty (30) days or if more than thirty (30) days overdue, that either secure obligations in an amount not to exceed $1,000,000 or are being contested in good faith and by appropriate actions, if adequate reserves with respect thereto are maintained on the books of the applicable Person in accordance with GAAP;</w:t>
      </w:r>
    </w:p>
    <w:p>
      <w:pPr>
        <w:spacing w:after="0" w:line="133" w:lineRule="exact"/>
        <w:rPr>
          <w:rFonts w:ascii="Arial" w:cs="Arial" w:eastAsia="Arial" w:hAnsi="Arial"/>
          <w:sz w:val="16"/>
          <w:szCs w:val="16"/>
          <w:color w:val="auto"/>
        </w:rPr>
      </w:pPr>
    </w:p>
    <w:p>
      <w:pPr>
        <w:jc w:val="both"/>
        <w:ind w:firstLine="8"/>
        <w:spacing w:after="0" w:line="243" w:lineRule="auto"/>
        <w:tabs>
          <w:tab w:leader="none" w:pos="509"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(i) Liens in the ordinary course of business in connection with workers’ compensation, unemployment insurance and other social security legislation (other than any Lien imposed pursuant to Section 430(k) of the Code or Section 303(k) of ERISA or a violation of Section 436 of the Code) and (ii) Liens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of its Restricted Subsidiaries;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Section 7.01(e)</w:t>
      </w:r>
      <w:r>
        <w:rPr>
          <w:rFonts w:ascii="Arial" w:cs="Arial" w:eastAsia="Arial" w:hAnsi="Arial"/>
          <w:sz w:val="20"/>
          <w:szCs w:val="20"/>
          <w:color w:val="auto"/>
        </w:rPr>
        <w:t xml:space="preserve"> shall not permit liens securing letters of credit;</w:t>
      </w:r>
    </w:p>
    <w:p>
      <w:pPr>
        <w:spacing w:after="0" w:line="195" w:lineRule="exact"/>
        <w:rPr>
          <w:rFonts w:ascii="Arial" w:cs="Arial" w:eastAsia="Arial" w:hAnsi="Arial"/>
          <w:sz w:val="20"/>
          <w:szCs w:val="20"/>
          <w:color w:val="auto"/>
        </w:rPr>
      </w:pPr>
    </w:p>
    <w:p>
      <w:pPr>
        <w:jc w:val="both"/>
        <w:ind w:firstLine="8"/>
        <w:spacing w:after="0" w:line="282" w:lineRule="auto"/>
        <w:tabs>
          <w:tab w:leader="none" w:pos="50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Liens to secure the performance of bids, trade contracts, governmental contracts and leases (in the case of each of the foregoing, other than for Indebtedness for borrowed money), statutory obligations, surety, stay, customs and appeal bonds, performance bonds and other obligations of a like nature (including those to secure health, safety and environmental obligations), in each case incurred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7.01(f)</w:t>
      </w:r>
      <w:r>
        <w:rPr>
          <w:rFonts w:ascii="Arial" w:cs="Arial" w:eastAsia="Arial" w:hAnsi="Arial"/>
          <w:sz w:val="18"/>
          <w:szCs w:val="18"/>
          <w:color w:val="auto"/>
        </w:rPr>
        <w:t xml:space="preserve"> shall not permit liens securing letters of credit;</w:t>
      </w:r>
    </w:p>
    <w:p>
      <w:pPr>
        <w:spacing w:after="0" w:line="161" w:lineRule="exact"/>
        <w:rPr>
          <w:rFonts w:ascii="Arial" w:cs="Arial" w:eastAsia="Arial" w:hAnsi="Arial"/>
          <w:sz w:val="18"/>
          <w:szCs w:val="18"/>
          <w:color w:val="auto"/>
        </w:rPr>
      </w:pPr>
    </w:p>
    <w:p>
      <w:pPr>
        <w:jc w:val="both"/>
        <w:ind w:firstLine="8"/>
        <w:spacing w:after="0" w:line="243" w:lineRule="auto"/>
        <w:tabs>
          <w:tab w:leader="none" w:pos="509"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(i) easements, rights-of-way, restrictions (including zoning restrictions and other land use regulations), encroachments, protrusions, reservations and other similar encumbrances and minor title defects affecting Real Property that do not in the aggregate materially interfere with the ordinary conduct of the business of the Borrower and the Restricted Subsidiaries, taken as a whole and (ii) ground leases in respect of Real Property on which facilities owned or leased by the Borrower or any of the Restricted Subsidiaries are located;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in the case of this clause (ii) that such ground leases do not confer rights on the counter-party(ies) thereto superior to those of the Collateral Agent in the relevant property;</w:t>
      </w:r>
    </w:p>
    <w:p>
      <w:pPr>
        <w:spacing w:after="0" w:line="195" w:lineRule="exact"/>
        <w:rPr>
          <w:rFonts w:ascii="Arial" w:cs="Arial" w:eastAsia="Arial" w:hAnsi="Arial"/>
          <w:sz w:val="20"/>
          <w:szCs w:val="20"/>
          <w:color w:val="auto"/>
        </w:rPr>
      </w:pPr>
    </w:p>
    <w:p>
      <w:pPr>
        <w:ind w:left="520" w:hanging="512"/>
        <w:spacing w:after="0"/>
        <w:tabs>
          <w:tab w:leader="none" w:pos="52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Liens securing judgments not constituting an Event of Default under </w:t>
      </w:r>
      <w:r>
        <w:rPr>
          <w:rFonts w:ascii="Arial" w:cs="Arial" w:eastAsia="Arial" w:hAnsi="Arial"/>
          <w:sz w:val="20"/>
          <w:szCs w:val="20"/>
          <w:u w:val="single" w:color="auto"/>
          <w:color w:val="auto"/>
        </w:rPr>
        <w:t>Section 8.01(h)</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8"/>
        <w:spacing w:after="0" w:line="287" w:lineRule="auto"/>
        <w:tabs>
          <w:tab w:leader="none" w:pos="509" w:val="left"/>
        </w:tabs>
        <w:numPr>
          <w:ilvl w:val="0"/>
          <w:numId w:val="141"/>
        </w:numPr>
        <w:rPr>
          <w:rFonts w:ascii="Arial" w:cs="Arial" w:eastAsia="Arial" w:hAnsi="Arial"/>
          <w:sz w:val="19"/>
          <w:szCs w:val="19"/>
          <w:color w:val="auto"/>
        </w:rPr>
      </w:pPr>
      <w:r>
        <w:rPr>
          <w:rFonts w:ascii="Arial" w:cs="Arial" w:eastAsia="Arial" w:hAnsi="Arial"/>
          <w:sz w:val="19"/>
          <w:szCs w:val="19"/>
          <w:color w:val="auto"/>
        </w:rPr>
        <w:t>leases, licenses, subleases or sublicenses granted to others in the ordinary course of business which do not (i) interfere in any material respect with the business of the Borrower and the Restricted Subsidiaries, taken as a whole, or (ii) secure any Indebtedness</w:t>
      </w:r>
      <w:r>
        <w:rPr>
          <w:rFonts w:ascii="Arial" w:cs="Arial" w:eastAsia="Arial" w:hAnsi="Arial"/>
          <w:sz w:val="19"/>
          <w:szCs w:val="19"/>
          <w:i w:val="1"/>
          <w:iCs w:val="1"/>
          <w:color w:val="auto"/>
        </w:rPr>
        <w:t>;</w:t>
      </w:r>
    </w:p>
    <w:p>
      <w:pPr>
        <w:spacing w:after="0" w:line="152" w:lineRule="exact"/>
        <w:rPr>
          <w:rFonts w:ascii="Arial" w:cs="Arial" w:eastAsia="Arial" w:hAnsi="Arial"/>
          <w:sz w:val="19"/>
          <w:szCs w:val="19"/>
          <w:color w:val="auto"/>
        </w:rPr>
      </w:pPr>
    </w:p>
    <w:p>
      <w:pPr>
        <w:jc w:val="both"/>
        <w:ind w:firstLine="8"/>
        <w:spacing w:after="0" w:line="282" w:lineRule="auto"/>
        <w:tabs>
          <w:tab w:leader="none" w:pos="50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Liens (i) in favor of customs and revenue authorities arising as a matter of Law to secure payment of customs duties in connection with the importation of goods in the ordinary course of business or (ii)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such other goods in the ordinary course of business;</w:t>
      </w:r>
    </w:p>
    <w:p>
      <w:pPr>
        <w:spacing w:after="0" w:line="161" w:lineRule="exact"/>
        <w:rPr>
          <w:rFonts w:ascii="Arial" w:cs="Arial" w:eastAsia="Arial" w:hAnsi="Arial"/>
          <w:sz w:val="18"/>
          <w:szCs w:val="18"/>
          <w:color w:val="auto"/>
        </w:rPr>
      </w:pPr>
    </w:p>
    <w:p>
      <w:pPr>
        <w:ind w:firstLine="8"/>
        <w:spacing w:after="0" w:line="260" w:lineRule="auto"/>
        <w:tabs>
          <w:tab w:leader="none" w:pos="509" w:val="left"/>
        </w:tabs>
        <w:numPr>
          <w:ilvl w:val="0"/>
          <w:numId w:val="141"/>
        </w:numPr>
        <w:rPr>
          <w:rFonts w:ascii="Arial" w:cs="Arial" w:eastAsia="Arial" w:hAnsi="Arial"/>
          <w:sz w:val="20"/>
          <w:szCs w:val="20"/>
          <w:color w:val="auto"/>
        </w:rPr>
      </w:pPr>
      <w:r>
        <w:rPr>
          <w:rFonts w:ascii="Arial" w:cs="Arial" w:eastAsia="Arial" w:hAnsi="Arial"/>
          <w:sz w:val="20"/>
          <w:szCs w:val="20"/>
          <w:color w:val="auto"/>
        </w:rPr>
        <w:t>Liens (i) of a collection bank arising under Section 4-210 of the Uniform Commercial Code on items in the course of collection and (ii) arising in the ordinary course of business in favor of a banking or other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6" w:name="page137"/>
    <w:bookmarkEnd w:id="136"/>
    <w:p>
      <w:pPr>
        <w:jc w:val="both"/>
        <w:ind w:firstLine="509"/>
        <w:spacing w:after="0" w:line="250" w:lineRule="auto"/>
        <w:rPr>
          <w:sz w:val="20"/>
          <w:szCs w:val="20"/>
          <w:color w:val="auto"/>
        </w:rPr>
      </w:pPr>
      <w:r>
        <w:rPr>
          <w:rFonts w:ascii="Arial" w:cs="Arial" w:eastAsia="Arial" w:hAnsi="Arial"/>
          <w:sz w:val="20"/>
          <w:szCs w:val="20"/>
          <w:color w:val="auto"/>
        </w:rPr>
        <w:t>financial institution arising as a matter of Law or under customary general terms and conditions encumbering deposits or other funds maintained with a financial institution (including the right of set-off) and that are within the general parameters customary in the banking industry or arising pursuant to the general terms and conditions of such banking institutions;</w:t>
      </w:r>
    </w:p>
    <w:p>
      <w:pPr>
        <w:spacing w:after="0" w:line="186" w:lineRule="exact"/>
        <w:rPr>
          <w:sz w:val="20"/>
          <w:szCs w:val="20"/>
          <w:color w:val="auto"/>
        </w:rPr>
      </w:pPr>
    </w:p>
    <w:p>
      <w:pPr>
        <w:jc w:val="both"/>
        <w:ind w:firstLine="8"/>
        <w:spacing w:after="0" w:line="275" w:lineRule="auto"/>
        <w:tabs>
          <w:tab w:leader="none" w:pos="50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Liens (i) on cash earnest money deposits or other cash advances in favor of the seller of any property to be acquired in an Investment permitted pursuant to </w:t>
      </w:r>
      <w:r>
        <w:rPr>
          <w:rFonts w:ascii="Arial" w:cs="Arial" w:eastAsia="Arial" w:hAnsi="Arial"/>
          <w:sz w:val="18"/>
          <w:szCs w:val="18"/>
          <w:u w:val="single" w:color="auto"/>
          <w:color w:val="auto"/>
        </w:rPr>
        <w:t>Sections 7.02(e), (h), (l), (p), (r)</w:t>
      </w:r>
      <w:r>
        <w:rPr>
          <w:rFonts w:ascii="Arial" w:cs="Arial" w:eastAsia="Arial" w:hAnsi="Arial"/>
          <w:sz w:val="18"/>
          <w:szCs w:val="18"/>
          <w:color w:val="auto"/>
        </w:rPr>
        <w:t xml:space="preserve"> or (v), in each case to be applied against the purchase price for such Investment, and</w:t>
      </w:r>
    </w:p>
    <w:p>
      <w:pPr>
        <w:ind w:firstLine="8"/>
        <w:spacing w:after="0" w:line="269" w:lineRule="auto"/>
        <w:tabs>
          <w:tab w:leader="none" w:pos="30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consisting of an agreement to Dispose of any property in a Disposition permitted under </w:t>
      </w:r>
      <w:r>
        <w:rPr>
          <w:rFonts w:ascii="Arial" w:cs="Arial" w:eastAsia="Arial" w:hAnsi="Arial"/>
          <w:sz w:val="19"/>
          <w:szCs w:val="19"/>
          <w:u w:val="single" w:color="auto"/>
          <w:color w:val="auto"/>
        </w:rPr>
        <w:t>Section 7.05</w:t>
      </w:r>
      <w:r>
        <w:rPr>
          <w:rFonts w:ascii="Arial" w:cs="Arial" w:eastAsia="Arial" w:hAnsi="Arial"/>
          <w:sz w:val="19"/>
          <w:szCs w:val="19"/>
          <w:color w:val="auto"/>
        </w:rPr>
        <w:t>, in each case, solely to the extent such Investment or Disposition, as the case may be, would have been permitted on the date of the creation of such Lien;</w:t>
      </w:r>
    </w:p>
    <w:p>
      <w:pPr>
        <w:spacing w:after="0" w:line="169" w:lineRule="exact"/>
        <w:rPr>
          <w:rFonts w:ascii="Arial" w:cs="Arial" w:eastAsia="Arial" w:hAnsi="Arial"/>
          <w:sz w:val="19"/>
          <w:szCs w:val="19"/>
          <w:color w:val="auto"/>
        </w:rPr>
      </w:pPr>
    </w:p>
    <w:p>
      <w:pPr>
        <w:ind w:firstLine="8"/>
        <w:spacing w:after="0" w:line="260" w:lineRule="auto"/>
        <w:tabs>
          <w:tab w:leader="none" w:pos="509"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Liens (i) in favor of the Borrower or a Restricted Subsidiary on assets of a Restricted Subsidiary that is not a Loan Party securing Indebtedness permitted under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and (ii) in favor of the Borrower or any Guarantor;</w:t>
      </w:r>
    </w:p>
    <w:p>
      <w:pPr>
        <w:spacing w:after="0" w:line="176" w:lineRule="exact"/>
        <w:rPr>
          <w:rFonts w:ascii="Arial" w:cs="Arial" w:eastAsia="Arial" w:hAnsi="Arial"/>
          <w:sz w:val="20"/>
          <w:szCs w:val="20"/>
          <w:color w:val="auto"/>
        </w:rPr>
      </w:pPr>
    </w:p>
    <w:p>
      <w:pPr>
        <w:jc w:val="both"/>
        <w:ind w:firstLine="8"/>
        <w:spacing w:after="0" w:line="250" w:lineRule="auto"/>
        <w:tabs>
          <w:tab w:leader="none" w:pos="509"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any interest or title (and all encumbrances and other matters affecting such interest or title) of a lessor, sublessor, licensor or sublicensor under leases, subleases, licenses or sublicenses entered into by the Borrower or any of the Restricted Subsidiaries in the ordinary course of business; </w:t>
      </w:r>
      <w:r>
        <w:rPr>
          <w:rFonts w:ascii="Arial" w:cs="Arial" w:eastAsia="Arial" w:hAnsi="Arial"/>
          <w:sz w:val="20"/>
          <w:szCs w:val="20"/>
          <w:i w:val="1"/>
          <w:iCs w:val="1"/>
          <w:color w:val="auto"/>
        </w:rPr>
        <w:t>provided</w:t>
      </w:r>
      <w:r>
        <w:rPr>
          <w:rFonts w:ascii="Arial" w:cs="Arial" w:eastAsia="Arial" w:hAnsi="Arial"/>
          <w:sz w:val="20"/>
          <w:szCs w:val="20"/>
          <w:color w:val="auto"/>
        </w:rPr>
        <w:t>, that no such lease or sublease shall constitute a Capitalized Lease;</w:t>
      </w:r>
    </w:p>
    <w:p>
      <w:pPr>
        <w:spacing w:after="0" w:line="185" w:lineRule="exact"/>
        <w:rPr>
          <w:rFonts w:ascii="Arial" w:cs="Arial" w:eastAsia="Arial" w:hAnsi="Arial"/>
          <w:sz w:val="20"/>
          <w:szCs w:val="20"/>
          <w:color w:val="auto"/>
        </w:rPr>
      </w:pPr>
    </w:p>
    <w:p>
      <w:pPr>
        <w:ind w:left="520" w:hanging="512"/>
        <w:spacing w:after="0"/>
        <w:tabs>
          <w:tab w:leader="none" w:pos="52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Liens deemed to exist in connection with Investments in repurchase agreements permitted under </w:t>
      </w:r>
      <w:r>
        <w:rPr>
          <w:rFonts w:ascii="Arial" w:cs="Arial" w:eastAsia="Arial" w:hAnsi="Arial"/>
          <w:sz w:val="20"/>
          <w:szCs w:val="20"/>
          <w:u w:val="single" w:color="auto"/>
          <w:color w:val="auto"/>
        </w:rPr>
        <w:t>Section 7.02(a)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8"/>
        <w:spacing w:after="0" w:line="260" w:lineRule="auto"/>
        <w:tabs>
          <w:tab w:leader="none" w:pos="509" w:val="left"/>
        </w:tabs>
        <w:numPr>
          <w:ilvl w:val="0"/>
          <w:numId w:val="144"/>
        </w:numPr>
        <w:rPr>
          <w:rFonts w:ascii="Arial" w:cs="Arial" w:eastAsia="Arial" w:hAnsi="Arial"/>
          <w:sz w:val="20"/>
          <w:szCs w:val="20"/>
          <w:color w:val="auto"/>
        </w:rPr>
      </w:pPr>
      <w:r>
        <w:rPr>
          <w:rFonts w:ascii="Arial" w:cs="Arial" w:eastAsia="Arial" w:hAnsi="Arial"/>
          <w:sz w:val="20"/>
          <w:szCs w:val="20"/>
          <w:color w:val="auto"/>
        </w:rPr>
        <w:t>Liens encumbering reasonable customary initial deposits and margin deposits and similar Liens attaching to commodity accounts or other brokerage accounts incurred in the ordinary course of business and not for speculative purposes;</w:t>
      </w:r>
    </w:p>
    <w:p>
      <w:pPr>
        <w:spacing w:after="0" w:line="176" w:lineRule="exact"/>
        <w:rPr>
          <w:rFonts w:ascii="Arial" w:cs="Arial" w:eastAsia="Arial" w:hAnsi="Arial"/>
          <w:sz w:val="20"/>
          <w:szCs w:val="20"/>
          <w:color w:val="auto"/>
        </w:rPr>
      </w:pPr>
    </w:p>
    <w:p>
      <w:pPr>
        <w:jc w:val="both"/>
        <w:ind w:firstLine="8"/>
        <w:spacing w:after="0" w:line="256" w:lineRule="auto"/>
        <w:tabs>
          <w:tab w:leader="none" w:pos="509"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Liens (including any interest or title (and all encumbrances and other matters affecting such interest or title) of a lessor or sublessor under Capitalized Leases) securing Indebtedness constituting Capital Leases and purchase money security interests permitted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7.03(e)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7.03(ff)</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Liens are created within 270 days of the acquisition, construction, repair, lease or improvement, as applicable, of the property subject to such Liens, (ii) such Liens do not at any time encumber property (except for replacements, additions and accessions to such property) other than the property financed by such Indebtedness and the proceeds and products thereof and customary security deposits, and (iii) such Liens do not at any time extend to or cover any assets (except for replacements, additions and accessions to such assets) other than the assets subject to Capitalized Leases and the proceeds and products thereof and customary security deposits;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individual financings of equipment provided by one lender may be cross collateralized to other financings of equipment provided by such lender;</w:t>
      </w:r>
    </w:p>
    <w:p>
      <w:pPr>
        <w:spacing w:after="0" w:line="184" w:lineRule="exact"/>
        <w:rPr>
          <w:rFonts w:ascii="Arial" w:cs="Arial" w:eastAsia="Arial" w:hAnsi="Arial"/>
          <w:sz w:val="19"/>
          <w:szCs w:val="19"/>
          <w:color w:val="auto"/>
        </w:rPr>
      </w:pPr>
    </w:p>
    <w:p>
      <w:pPr>
        <w:ind w:firstLine="8"/>
        <w:spacing w:after="0" w:line="260" w:lineRule="auto"/>
        <w:tabs>
          <w:tab w:leader="none" w:pos="509"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Liens on property (i) of any Foreign Subsidiary that is not a Loan Party and (ii) that does not constitute Collateral, which Liens secure Indebtedness of the applicable Foreign Subsidiary that is not a Loan Party permitted under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8"/>
        <w:spacing w:after="0" w:line="243" w:lineRule="auto"/>
        <w:tabs>
          <w:tab w:leader="none" w:pos="509"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Liens existing on property at the time of its acquisition or existing on the property of any Person at the time such Person becomes a Restricted Subsidiary, in each case after the Restatement Effective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such Lien was not created in contemplation of such acquisition or such Person becoming a Restricted Subsidiary, (ii)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-4921885</wp:posOffset>
            </wp:positionV>
            <wp:extent cx="1841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4150"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7" w:name="page138"/>
    <w:bookmarkEnd w:id="137"/>
    <w:p>
      <w:pPr>
        <w:ind w:firstLine="509"/>
        <w:spacing w:after="0" w:line="287" w:lineRule="auto"/>
        <w:rPr>
          <w:sz w:val="20"/>
          <w:szCs w:val="20"/>
          <w:color w:val="auto"/>
        </w:rPr>
      </w:pPr>
      <w:r>
        <w:rPr>
          <w:rFonts w:ascii="Arial" w:cs="Arial" w:eastAsia="Arial" w:hAnsi="Arial"/>
          <w:sz w:val="19"/>
          <w:szCs w:val="19"/>
          <w:color w:val="auto"/>
        </w:rPr>
        <w:t xml:space="preserve">property, it being understood that such requirement shall not be permitted to apply to any property to which such requirement would not have applied but for such acquisition), and (iii) the Indebtedness secured thereby is permitted under </w:t>
      </w:r>
      <w:r>
        <w:rPr>
          <w:rFonts w:ascii="Arial" w:cs="Arial" w:eastAsia="Arial" w:hAnsi="Arial"/>
          <w:sz w:val="19"/>
          <w:szCs w:val="19"/>
          <w:u w:val="single" w:color="auto"/>
          <w:color w:val="auto"/>
        </w:rPr>
        <w:t>Section 7.03</w:t>
      </w:r>
      <w:r>
        <w:rPr>
          <w:rFonts w:ascii="Arial" w:cs="Arial" w:eastAsia="Arial" w:hAnsi="Arial"/>
          <w:sz w:val="19"/>
          <w:szCs w:val="19"/>
          <w:color w:val="auto"/>
        </w:rPr>
        <w:t>;</w:t>
      </w:r>
    </w:p>
    <w:p>
      <w:pPr>
        <w:spacing w:after="0" w:line="152" w:lineRule="exact"/>
        <w:rPr>
          <w:sz w:val="20"/>
          <w:szCs w:val="20"/>
          <w:color w:val="auto"/>
        </w:rPr>
      </w:pPr>
    </w:p>
    <w:p>
      <w:pPr>
        <w:ind w:left="520" w:hanging="512"/>
        <w:spacing w:after="0"/>
        <w:tabs>
          <w:tab w:leader="none" w:pos="52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Liens arising from precautionary Uniform Commercial Code financing statements or similar filings;</w:t>
      </w:r>
    </w:p>
    <w:p>
      <w:pPr>
        <w:spacing w:after="0" w:line="215" w:lineRule="exact"/>
        <w:rPr>
          <w:rFonts w:ascii="Arial" w:cs="Arial" w:eastAsia="Arial" w:hAnsi="Arial"/>
          <w:sz w:val="20"/>
          <w:szCs w:val="20"/>
          <w:color w:val="auto"/>
        </w:rPr>
      </w:pPr>
    </w:p>
    <w:p>
      <w:pPr>
        <w:ind w:firstLine="8"/>
        <w:spacing w:after="0" w:line="260" w:lineRule="auto"/>
        <w:tabs>
          <w:tab w:leader="none" w:pos="509" w:val="left"/>
        </w:tabs>
        <w:numPr>
          <w:ilvl w:val="0"/>
          <w:numId w:val="145"/>
        </w:numPr>
        <w:rPr>
          <w:rFonts w:ascii="Arial" w:cs="Arial" w:eastAsia="Arial" w:hAnsi="Arial"/>
          <w:sz w:val="20"/>
          <w:szCs w:val="20"/>
          <w:color w:val="auto"/>
        </w:rPr>
      </w:pPr>
      <w:r>
        <w:rPr>
          <w:rFonts w:ascii="Arial" w:cs="Arial" w:eastAsia="Arial" w:hAnsi="Arial"/>
          <w:sz w:val="20"/>
          <w:szCs w:val="20"/>
          <w:color w:val="auto"/>
        </w:rPr>
        <w:t>Liens on insurance policies and the proceeds thereof securing the financing of the premiums with respect thereto in the ordinary course of business;</w:t>
      </w:r>
    </w:p>
    <w:p>
      <w:pPr>
        <w:spacing w:after="0" w:line="176" w:lineRule="exact"/>
        <w:rPr>
          <w:rFonts w:ascii="Arial" w:cs="Arial" w:eastAsia="Arial" w:hAnsi="Arial"/>
          <w:sz w:val="20"/>
          <w:szCs w:val="20"/>
          <w:color w:val="auto"/>
        </w:rPr>
      </w:pPr>
    </w:p>
    <w:p>
      <w:pPr>
        <w:jc w:val="both"/>
        <w:ind w:firstLine="8"/>
        <w:spacing w:after="0" w:line="269" w:lineRule="auto"/>
        <w:tabs>
          <w:tab w:leader="none" w:pos="50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Liens on the Collateral and, with respect to clauses (B) and (C) below, Treasury Only Collateral, securing Indebtedness permitted under Section 7.03(o) or other obligations otherwise secured pursuant to or in connection with the documents governing such Indebtedness;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in the case of Indebtedness permitted pursuant to Section 7.03(o)(x) and all other obligations otherwise secured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or in connection with the documents governing such Indebtedness, the representative in respect thereof shall have entered into the ABL Intercreditor Agreement as the ABL Agent, on behalf of the holders of such Indebtedness, and such Indebtedness and other obligations shall at all times be subject to the ABL Intercreditor Agreement as “ABL Obligations”; (B) in the case of Indebtedness and all other obligations permitted pursuant to Section 7.03(o)(y) or other obligations otherwise secured pursuant to or in connection with the documents governing such Indebtedness, the representative in respect thereof shall have entered into the ABL Intercreditor Agreement as the UST Tranche A Term Agent, on behalf of the holders of such Indebtedness, and such Indebtedness and other obligations shall at all times be subject to the ABL Intercreditor Agreement as “UST Tranche A Obligations”; and (C) in the case of Indebtedness or other obligations permitted pursuant to Section 7.03(o)(z) and all other obligations otherwise secured pursuant to or in connection with the documents governing such Indebtedness, the representative in respect thereof shall have entered into the ABL Intercreditor Agreement as the UST Tranche B Term Agent, on behalf of the holders of such Indebtedness, and such Indebtedness and other obligations shall at all times be subject to the ABL Intercreditor Agreement as “UST Tranche B Obligations”;</w:t>
      </w:r>
    </w:p>
    <w:p>
      <w:pPr>
        <w:spacing w:after="0" w:line="181" w:lineRule="exact"/>
        <w:rPr>
          <w:rFonts w:ascii="Arial" w:cs="Arial" w:eastAsia="Arial" w:hAnsi="Arial"/>
          <w:sz w:val="18"/>
          <w:szCs w:val="18"/>
          <w:color w:val="auto"/>
        </w:rPr>
      </w:pPr>
    </w:p>
    <w:p>
      <w:pPr>
        <w:jc w:val="both"/>
        <w:ind w:firstLine="8"/>
        <w:spacing w:after="0" w:line="250" w:lineRule="auto"/>
        <w:tabs>
          <w:tab w:leader="none" w:pos="509"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Liens on the Collateral securing Credit Agreement Refinancing Indebtedness that is Permitted Junior Priority Additional Debt and any Permitted Refinancing of the foregoing; </w:t>
      </w:r>
      <w:r>
        <w:rPr>
          <w:rFonts w:ascii="Arial" w:cs="Arial" w:eastAsia="Arial" w:hAnsi="Arial"/>
          <w:sz w:val="20"/>
          <w:szCs w:val="20"/>
          <w:i w:val="1"/>
          <w:iCs w:val="1"/>
          <w:color w:val="auto"/>
        </w:rPr>
        <w:t>provided</w:t>
      </w:r>
      <w:r>
        <w:rPr>
          <w:rFonts w:ascii="Arial" w:cs="Arial" w:eastAsia="Arial" w:hAnsi="Arial"/>
          <w:sz w:val="20"/>
          <w:szCs w:val="20"/>
          <w:color w:val="auto"/>
        </w:rPr>
        <w:t>, that any such Liens are secured on a junior lien basis to the Liens securing the Obligations pursuant to, and subject at all times to, the Junior Lien Intercreditor Agreement;</w:t>
      </w:r>
    </w:p>
    <w:p>
      <w:pPr>
        <w:spacing w:after="0" w:line="185" w:lineRule="exact"/>
        <w:rPr>
          <w:rFonts w:ascii="Arial" w:cs="Arial" w:eastAsia="Arial" w:hAnsi="Arial"/>
          <w:sz w:val="20"/>
          <w:szCs w:val="20"/>
          <w:color w:val="auto"/>
        </w:rPr>
      </w:pPr>
    </w:p>
    <w:p>
      <w:pPr>
        <w:ind w:firstLine="8"/>
        <w:spacing w:after="0" w:line="260" w:lineRule="auto"/>
        <w:tabs>
          <w:tab w:leader="none" w:pos="509" w:val="left"/>
        </w:tabs>
        <w:numPr>
          <w:ilvl w:val="0"/>
          <w:numId w:val="145"/>
        </w:numPr>
        <w:rPr>
          <w:rFonts w:ascii="Arial" w:cs="Arial" w:eastAsia="Arial" w:hAnsi="Arial"/>
          <w:sz w:val="20"/>
          <w:szCs w:val="20"/>
          <w:color w:val="auto"/>
        </w:rPr>
      </w:pPr>
      <w:r>
        <w:rPr>
          <w:rFonts w:ascii="Arial" w:cs="Arial" w:eastAsia="Arial" w:hAnsi="Arial"/>
          <w:sz w:val="20"/>
          <w:szCs w:val="20"/>
          <w:color w:val="auto"/>
        </w:rPr>
        <w:t>Liens on the Equity Interests of any joint venture entity of the Borrower consisting of a transfer restriction, purchase option, call or similar right of a third party joint venture partner;</w:t>
      </w:r>
    </w:p>
    <w:p>
      <w:pPr>
        <w:spacing w:after="0" w:line="176" w:lineRule="exact"/>
        <w:rPr>
          <w:rFonts w:ascii="Arial" w:cs="Arial" w:eastAsia="Arial" w:hAnsi="Arial"/>
          <w:sz w:val="20"/>
          <w:szCs w:val="20"/>
          <w:color w:val="auto"/>
        </w:rPr>
      </w:pPr>
    </w:p>
    <w:p>
      <w:pPr>
        <w:ind w:left="520" w:hanging="512"/>
        <w:spacing w:after="0"/>
        <w:tabs>
          <w:tab w:leader="none" w:pos="52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520" w:hanging="512"/>
        <w:spacing w:after="0"/>
        <w:tabs>
          <w:tab w:leader="none" w:pos="52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[reserved];</w:t>
      </w:r>
    </w:p>
    <w:p>
      <w:pPr>
        <w:spacing w:after="0" w:line="216" w:lineRule="exact"/>
        <w:rPr>
          <w:sz w:val="20"/>
          <w:szCs w:val="20"/>
          <w:color w:val="auto"/>
        </w:rPr>
      </w:pPr>
    </w:p>
    <w:p>
      <w:pPr>
        <w:ind w:left="520" w:hanging="512"/>
        <w:spacing w:after="0"/>
        <w:tabs>
          <w:tab w:leader="none" w:pos="52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firstLine="8"/>
        <w:spacing w:after="0" w:line="260" w:lineRule="auto"/>
        <w:tabs>
          <w:tab w:leader="none" w:pos="509" w:val="left"/>
        </w:tabs>
        <w:numPr>
          <w:ilvl w:val="0"/>
          <w:numId w:val="146"/>
        </w:numPr>
        <w:rPr>
          <w:rFonts w:ascii="Arial" w:cs="Arial" w:eastAsia="Arial" w:hAnsi="Arial"/>
          <w:sz w:val="20"/>
          <w:szCs w:val="20"/>
          <w:color w:val="auto"/>
        </w:rPr>
      </w:pPr>
      <w:r>
        <w:rPr>
          <w:rFonts w:ascii="Arial" w:cs="Arial" w:eastAsia="Arial" w:hAnsi="Arial"/>
          <w:sz w:val="20"/>
          <w:szCs w:val="20"/>
          <w:color w:val="auto"/>
        </w:rPr>
        <w:t>Liens (i) arising out of conditional sale, title retention, consignment or similar arrangements for the sale of goods or (ii) encumbering deposits made to secure obligations arising from contractual or warranty requirements;</w:t>
      </w:r>
    </w:p>
    <w:p>
      <w:pPr>
        <w:spacing w:after="0" w:line="176" w:lineRule="exact"/>
        <w:rPr>
          <w:rFonts w:ascii="Arial" w:cs="Arial" w:eastAsia="Arial" w:hAnsi="Arial"/>
          <w:sz w:val="20"/>
          <w:szCs w:val="20"/>
          <w:color w:val="auto"/>
        </w:rPr>
      </w:pPr>
    </w:p>
    <w:p>
      <w:pPr>
        <w:ind w:left="520" w:hanging="512"/>
        <w:spacing w:after="0"/>
        <w:tabs>
          <w:tab w:leader="none" w:pos="52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Utility and similar deposits in the ordinary course of business;</w:t>
      </w:r>
    </w:p>
    <w:p>
      <w:pPr>
        <w:spacing w:after="0" w:line="215" w:lineRule="exact"/>
        <w:rPr>
          <w:rFonts w:ascii="Arial" w:cs="Arial" w:eastAsia="Arial" w:hAnsi="Arial"/>
          <w:sz w:val="20"/>
          <w:szCs w:val="20"/>
          <w:color w:val="auto"/>
        </w:rPr>
      </w:pPr>
    </w:p>
    <w:p>
      <w:pPr>
        <w:ind w:left="520" w:hanging="512"/>
        <w:spacing w:after="0"/>
        <w:tabs>
          <w:tab w:leader="none" w:pos="52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[reserved];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8" w:name="page139"/>
    <w:bookmarkEnd w:id="138"/>
    <w:p>
      <w:pPr>
        <w:jc w:val="both"/>
        <w:ind w:firstLine="8"/>
        <w:spacing w:after="0" w:line="250" w:lineRule="auto"/>
        <w:tabs>
          <w:tab w:leader="none" w:pos="509"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Liens related to Sale and Leaseback Transactions in an aggregate amount of $25,000,000; </w:t>
      </w:r>
      <w:r>
        <w:rPr>
          <w:rFonts w:ascii="Arial" w:cs="Arial" w:eastAsia="Arial" w:hAnsi="Arial"/>
          <w:sz w:val="20"/>
          <w:szCs w:val="20"/>
          <w:i w:val="1"/>
          <w:iCs w:val="1"/>
          <w:color w:val="auto"/>
        </w:rPr>
        <w:t>provided that</w:t>
      </w:r>
      <w:r>
        <w:rPr>
          <w:rFonts w:ascii="Arial" w:cs="Arial" w:eastAsia="Arial" w:hAnsi="Arial"/>
          <w:sz w:val="20"/>
          <w:szCs w:val="20"/>
          <w:color w:val="auto"/>
        </w:rPr>
        <w:t>, as of and after the Amendment No. 3 Effective Date, this clause (ee) shall be unavailable for use under this Agreement and the dollar amount specified in this clause (ee) shall be $0; and</w:t>
      </w:r>
    </w:p>
    <w:p>
      <w:pPr>
        <w:spacing w:after="0" w:line="185" w:lineRule="exact"/>
        <w:rPr>
          <w:rFonts w:ascii="Arial" w:cs="Arial" w:eastAsia="Arial" w:hAnsi="Arial"/>
          <w:sz w:val="20"/>
          <w:szCs w:val="20"/>
          <w:color w:val="auto"/>
        </w:rPr>
      </w:pPr>
    </w:p>
    <w:p>
      <w:pPr>
        <w:jc w:val="both"/>
        <w:ind w:firstLine="8"/>
        <w:spacing w:after="0" w:line="269" w:lineRule="auto"/>
        <w:tabs>
          <w:tab w:leader="none" w:pos="509"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other Liens with respect to property or assets securing obligations of the Borrower or any Restricted Subsidiary in an aggregate principal amount outstanding at any time not to exceed $5,000,000;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Liens do not secure Indebtedness for borrowed money and are not incurred in respect of any pension obligations of the Borrower or any of its Restricted Subsidiaries.</w:t>
      </w:r>
    </w:p>
    <w:p>
      <w:pPr>
        <w:spacing w:after="0" w:line="170" w:lineRule="exact"/>
        <w:rPr>
          <w:sz w:val="20"/>
          <w:szCs w:val="20"/>
          <w:color w:val="auto"/>
        </w:rPr>
      </w:pPr>
    </w:p>
    <w:p>
      <w:pPr>
        <w:ind w:firstLine="1497"/>
        <w:spacing w:after="0" w:line="260" w:lineRule="auto"/>
        <w:rPr>
          <w:sz w:val="20"/>
          <w:szCs w:val="20"/>
          <w:color w:val="auto"/>
        </w:rPr>
      </w:pPr>
      <w:r>
        <w:rPr>
          <w:rFonts w:ascii="Arial" w:cs="Arial" w:eastAsia="Arial" w:hAnsi="Arial"/>
          <w:sz w:val="20"/>
          <w:szCs w:val="20"/>
          <w:color w:val="auto"/>
        </w:rPr>
        <w:t xml:space="preserve">Section 7.02. </w:t>
      </w:r>
      <w:r>
        <w:rPr>
          <w:rFonts w:ascii="Arial" w:cs="Arial" w:eastAsia="Arial" w:hAnsi="Arial"/>
          <w:sz w:val="20"/>
          <w:szCs w:val="20"/>
          <w:i w:val="1"/>
          <w:iCs w:val="1"/>
          <w:color w:val="auto"/>
        </w:rPr>
        <w:t>Investments.</w:t>
      </w:r>
      <w:r>
        <w:rPr>
          <w:rFonts w:ascii="Arial" w:cs="Arial" w:eastAsia="Arial" w:hAnsi="Arial"/>
          <w:sz w:val="20"/>
          <w:szCs w:val="20"/>
          <w:color w:val="auto"/>
        </w:rPr>
        <w:t xml:space="preserve"> The Borrower shall not, nor shall it permit any Restricted Subsidiary to, directly or indirectly, make or hold any Investments, except:</w:t>
      </w:r>
    </w:p>
    <w:p>
      <w:pPr>
        <w:spacing w:after="0" w:line="177" w:lineRule="exact"/>
        <w:rPr>
          <w:sz w:val="20"/>
          <w:szCs w:val="20"/>
          <w:color w:val="auto"/>
        </w:rPr>
      </w:pPr>
    </w:p>
    <w:p>
      <w:pPr>
        <w:ind w:left="520" w:hanging="512"/>
        <w:spacing w:after="0"/>
        <w:tabs>
          <w:tab w:leader="none" w:pos="52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Investments by the Borrower or any of the Restricted Subsidiaries in cash or Cash Equivalents;</w:t>
      </w:r>
    </w:p>
    <w:p>
      <w:pPr>
        <w:spacing w:after="0" w:line="215" w:lineRule="exact"/>
        <w:rPr>
          <w:rFonts w:ascii="Arial" w:cs="Arial" w:eastAsia="Arial" w:hAnsi="Arial"/>
          <w:sz w:val="20"/>
          <w:szCs w:val="20"/>
          <w:color w:val="auto"/>
        </w:rPr>
      </w:pPr>
    </w:p>
    <w:p>
      <w:pPr>
        <w:jc w:val="both"/>
        <w:ind w:firstLine="8"/>
        <w:spacing w:after="0" w:line="243" w:lineRule="auto"/>
        <w:tabs>
          <w:tab w:leader="none" w:pos="509" w:val="left"/>
        </w:tabs>
        <w:numPr>
          <w:ilvl w:val="0"/>
          <w:numId w:val="148"/>
        </w:numPr>
        <w:rPr>
          <w:rFonts w:ascii="Arial" w:cs="Arial" w:eastAsia="Arial" w:hAnsi="Arial"/>
          <w:sz w:val="20"/>
          <w:szCs w:val="20"/>
          <w:color w:val="auto"/>
        </w:rPr>
      </w:pPr>
      <w:r>
        <w:rPr>
          <w:rFonts w:ascii="Arial" w:cs="Arial" w:eastAsia="Arial" w:hAnsi="Arial"/>
          <w:sz w:val="20"/>
          <w:szCs w:val="20"/>
          <w:color w:val="auto"/>
        </w:rPr>
        <w:t xml:space="preserve">loans or advances to officers, directors and employees of any Loan Party or any of its Restricted Subsidiaries (i) for reasonable and customary business-related travel, entertainment, relocation and analogous ordinary business purposes, in each case, consistent with past practice (including pursuant to use of any credit cards, credit card processing services, debit cards, stored value cards, purchase cards (including so-called "procurement cards" or "P-cards") or other similar cash management services), (ii) in connection with such Person’s purchase of Equity Interests of the Borrower and (iii) for any other corporate purposes not described in the foregoing clauses (i) and (ii);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the aggregate principal amount of loans and advances outstanding at any time under this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7.02(b)(ii)</w:t>
      </w:r>
      <w:r>
        <w:rPr>
          <w:rFonts w:ascii="Arial" w:cs="Arial" w:eastAsia="Arial" w:hAnsi="Arial"/>
          <w:sz w:val="20"/>
          <w:szCs w:val="20"/>
          <w:i w:val="1"/>
          <w:iCs w:val="1"/>
          <w:color w:val="auto"/>
        </w:rPr>
        <w:t xml:space="preserve"> </w:t>
      </w:r>
      <w:r>
        <w:rPr>
          <w:rFonts w:ascii="Arial" w:cs="Arial" w:eastAsia="Arial" w:hAnsi="Arial"/>
          <w:sz w:val="20"/>
          <w:szCs w:val="20"/>
          <w:color w:val="auto"/>
        </w:rPr>
        <w:t>and</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(iii)</w:t>
      </w:r>
      <w:r>
        <w:rPr>
          <w:rFonts w:ascii="Arial" w:cs="Arial" w:eastAsia="Arial" w:hAnsi="Arial"/>
          <w:sz w:val="20"/>
          <w:szCs w:val="20"/>
          <w:i w:val="1"/>
          <w:iCs w:val="1"/>
          <w:color w:val="auto"/>
        </w:rPr>
        <w:t xml:space="preserve"> </w:t>
      </w:r>
      <w:r>
        <w:rPr>
          <w:rFonts w:ascii="Arial" w:cs="Arial" w:eastAsia="Arial" w:hAnsi="Arial"/>
          <w:sz w:val="20"/>
          <w:szCs w:val="20"/>
          <w:color w:val="auto"/>
        </w:rPr>
        <w:t>shall not</w:t>
      </w:r>
      <w:r>
        <w:rPr>
          <w:rFonts w:ascii="Arial" w:cs="Arial" w:eastAsia="Arial" w:hAnsi="Arial"/>
          <w:sz w:val="20"/>
          <w:szCs w:val="20"/>
          <w:i w:val="1"/>
          <w:iCs w:val="1"/>
          <w:color w:val="auto"/>
        </w:rPr>
        <w:t xml:space="preserve"> </w:t>
      </w:r>
      <w:r>
        <w:rPr>
          <w:rFonts w:ascii="Arial" w:cs="Arial" w:eastAsia="Arial" w:hAnsi="Arial"/>
          <w:sz w:val="20"/>
          <w:szCs w:val="20"/>
          <w:color w:val="auto"/>
        </w:rPr>
        <w:t>exceed $2,000,000;</w:t>
      </w:r>
    </w:p>
    <w:p>
      <w:pPr>
        <w:spacing w:after="0" w:line="192" w:lineRule="exact"/>
        <w:rPr>
          <w:rFonts w:ascii="Arial" w:cs="Arial" w:eastAsia="Arial" w:hAnsi="Arial"/>
          <w:sz w:val="20"/>
          <w:szCs w:val="20"/>
          <w:color w:val="auto"/>
        </w:rPr>
      </w:pPr>
    </w:p>
    <w:p>
      <w:pPr>
        <w:jc w:val="both"/>
        <w:ind w:firstLine="8"/>
        <w:spacing w:after="0" w:line="244" w:lineRule="auto"/>
        <w:tabs>
          <w:tab w:leader="none" w:pos="509" w:val="left"/>
        </w:tabs>
        <w:numPr>
          <w:ilvl w:val="0"/>
          <w:numId w:val="148"/>
        </w:numPr>
        <w:rPr>
          <w:rFonts w:ascii="Arial" w:cs="Arial" w:eastAsia="Arial" w:hAnsi="Arial"/>
          <w:sz w:val="20"/>
          <w:szCs w:val="20"/>
          <w:color w:val="auto"/>
        </w:rPr>
      </w:pPr>
      <w:r>
        <w:rPr>
          <w:rFonts w:ascii="Arial" w:cs="Arial" w:eastAsia="Arial" w:hAnsi="Arial"/>
          <w:sz w:val="20"/>
          <w:szCs w:val="20"/>
          <w:color w:val="auto"/>
        </w:rPr>
        <w:t xml:space="preserve">Investments (i) by the Borrower or any Restricted Subsidiary in any Loan Party (or any newly formed wholly owned Restricted Subsidiary that is not an Excluded Subsidiary and is to become a Loan Party in accordance with </w:t>
      </w:r>
      <w:r>
        <w:rPr>
          <w:rFonts w:ascii="Arial" w:cs="Arial" w:eastAsia="Arial" w:hAnsi="Arial"/>
          <w:sz w:val="20"/>
          <w:szCs w:val="20"/>
          <w:u w:val="single" w:color="auto"/>
          <w:color w:val="auto"/>
        </w:rPr>
        <w:t>Section 6.11</w:t>
      </w:r>
      <w:r>
        <w:rPr>
          <w:rFonts w:ascii="Arial" w:cs="Arial" w:eastAsia="Arial" w:hAnsi="Arial"/>
          <w:sz w:val="20"/>
          <w:szCs w:val="20"/>
          <w:color w:val="auto"/>
        </w:rPr>
        <w:t xml:space="preserve">), (ii) by any Restricted Subsidiary that is not a Loan Party in any other Restricted Subsidiary that is not a Loan Party and (iii) by any Loan Party in a Restricted Subsidiary that is not a Loan Party; </w:t>
      </w:r>
      <w:r>
        <w:rPr>
          <w:rFonts w:ascii="Arial" w:cs="Arial" w:eastAsia="Arial" w:hAnsi="Arial"/>
          <w:sz w:val="20"/>
          <w:szCs w:val="20"/>
          <w:i w:val="1"/>
          <w:iCs w:val="1"/>
          <w:color w:val="auto"/>
        </w:rPr>
        <w:t>provided</w:t>
      </w:r>
      <w:r>
        <w:rPr>
          <w:rFonts w:ascii="Arial" w:cs="Arial" w:eastAsia="Arial" w:hAnsi="Arial"/>
          <w:sz w:val="20"/>
          <w:szCs w:val="20"/>
          <w:color w:val="auto"/>
        </w:rPr>
        <w:t>, that the aggregate amount of Investments at any time outstanding under this clause (iii) shall not exceed as of and after the Amendment No. 3 Effective Date, $5,000,000;</w:t>
      </w:r>
    </w:p>
    <w:p>
      <w:pPr>
        <w:spacing w:after="0" w:line="194" w:lineRule="exact"/>
        <w:rPr>
          <w:rFonts w:ascii="Arial" w:cs="Arial" w:eastAsia="Arial" w:hAnsi="Arial"/>
          <w:sz w:val="20"/>
          <w:szCs w:val="20"/>
          <w:color w:val="auto"/>
        </w:rPr>
      </w:pPr>
    </w:p>
    <w:p>
      <w:pPr>
        <w:ind w:firstLine="8"/>
        <w:spacing w:after="0" w:line="260" w:lineRule="auto"/>
        <w:tabs>
          <w:tab w:leader="none" w:pos="509" w:val="left"/>
        </w:tabs>
        <w:numPr>
          <w:ilvl w:val="0"/>
          <w:numId w:val="148"/>
        </w:numPr>
        <w:rPr>
          <w:rFonts w:ascii="Arial" w:cs="Arial" w:eastAsia="Arial" w:hAnsi="Arial"/>
          <w:sz w:val="20"/>
          <w:szCs w:val="20"/>
          <w:color w:val="auto"/>
        </w:rPr>
      </w:pPr>
      <w:r>
        <w:rPr>
          <w:rFonts w:ascii="Arial" w:cs="Arial" w:eastAsia="Arial" w:hAnsi="Arial"/>
          <w:sz w:val="20"/>
          <w:szCs w:val="20"/>
          <w:color w:val="auto"/>
        </w:rPr>
        <w:t>Investments consisting of extensions of credit in the nature of accounts receivable or notes receivable arising from the grant of trade credit or other credits to suppliers in the ordinary course of business;</w:t>
      </w:r>
    </w:p>
    <w:p>
      <w:pPr>
        <w:spacing w:after="0" w:line="176" w:lineRule="exact"/>
        <w:rPr>
          <w:rFonts w:ascii="Arial" w:cs="Arial" w:eastAsia="Arial" w:hAnsi="Arial"/>
          <w:sz w:val="20"/>
          <w:szCs w:val="20"/>
          <w:color w:val="auto"/>
        </w:rPr>
      </w:pPr>
    </w:p>
    <w:p>
      <w:pPr>
        <w:jc w:val="both"/>
        <w:ind w:firstLine="8"/>
        <w:spacing w:after="0" w:line="276" w:lineRule="auto"/>
        <w:tabs>
          <w:tab w:leader="none" w:pos="50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Investments (i) existing or contemplated on the Restatement Effective Date and set forth on </w:t>
      </w:r>
      <w:r>
        <w:rPr>
          <w:rFonts w:ascii="Arial" w:cs="Arial" w:eastAsia="Arial" w:hAnsi="Arial"/>
          <w:sz w:val="18"/>
          <w:szCs w:val="18"/>
          <w:u w:val="single" w:color="auto"/>
          <w:color w:val="auto"/>
        </w:rPr>
        <w:t>Schedule 7.02(e)</w:t>
      </w:r>
      <w:r>
        <w:rPr>
          <w:rFonts w:ascii="Arial" w:cs="Arial" w:eastAsia="Arial" w:hAnsi="Arial"/>
          <w:sz w:val="18"/>
          <w:szCs w:val="18"/>
          <w:color w:val="auto"/>
        </w:rPr>
        <w:t xml:space="preserve"> (including unused commitments) and any modification, replacement, renewal or extension thereof and (ii) existing on the Restatement Effective Date by the Borrower or any other Restricted Subsidiary in any Restricted Subsidiary and any modification, replacement, renewal or extension thereof; </w:t>
      </w:r>
      <w:r>
        <w:rPr>
          <w:rFonts w:ascii="Arial" w:cs="Arial" w:eastAsia="Arial" w:hAnsi="Arial"/>
          <w:sz w:val="18"/>
          <w:szCs w:val="18"/>
          <w:i w:val="1"/>
          <w:iCs w:val="1"/>
          <w:color w:val="auto"/>
        </w:rPr>
        <w:t>provided</w:t>
      </w:r>
      <w:r>
        <w:rPr>
          <w:rFonts w:ascii="Arial" w:cs="Arial" w:eastAsia="Arial" w:hAnsi="Arial"/>
          <w:sz w:val="18"/>
          <w:szCs w:val="18"/>
          <w:color w:val="auto"/>
        </w:rPr>
        <w:t>, that in the case of clause (i) and clause (ii) the amount of the original Investment is not increased except by the terms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original Investment as set forth on Schedule 7.02(e) or as otherwise permitted by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in such case made in reliance on the other paragraph of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so permitting such modification, replacement, renewal or extension thereof);</w:t>
      </w:r>
    </w:p>
    <w:p>
      <w:pPr>
        <w:spacing w:after="0" w:line="164" w:lineRule="exact"/>
        <w:rPr>
          <w:rFonts w:ascii="Arial" w:cs="Arial" w:eastAsia="Arial" w:hAnsi="Arial"/>
          <w:sz w:val="18"/>
          <w:szCs w:val="18"/>
          <w:color w:val="auto"/>
        </w:rPr>
      </w:pPr>
    </w:p>
    <w:p>
      <w:pPr>
        <w:ind w:left="520" w:hanging="512"/>
        <w:spacing w:after="0"/>
        <w:tabs>
          <w:tab w:leader="none" w:pos="52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 xml:space="preserve">Investments in Swap Contracts permitted under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520" w:hanging="512"/>
        <w:spacing w:after="0"/>
        <w:tabs>
          <w:tab w:leader="none" w:pos="52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 xml:space="preserve">promissory notes and other non-cash consideration received in connection with Dispositions permitted by </w:t>
      </w:r>
      <w:r>
        <w:rPr>
          <w:rFonts w:ascii="Arial" w:cs="Arial" w:eastAsia="Arial" w:hAnsi="Arial"/>
          <w:sz w:val="20"/>
          <w:szCs w:val="20"/>
          <w:u w:val="single" w:color="auto"/>
          <w:color w:val="auto"/>
        </w:rPr>
        <w:t>Section 7.05</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8"/>
        <w:spacing w:after="0" w:line="250" w:lineRule="auto"/>
        <w:tabs>
          <w:tab w:leader="none" w:pos="509" w:val="left"/>
        </w:tabs>
        <w:numPr>
          <w:ilvl w:val="0"/>
          <w:numId w:val="148"/>
        </w:numPr>
        <w:rPr>
          <w:rFonts w:ascii="Arial" w:cs="Arial" w:eastAsia="Arial" w:hAnsi="Arial"/>
          <w:sz w:val="20"/>
          <w:szCs w:val="20"/>
          <w:color w:val="auto"/>
        </w:rPr>
      </w:pPr>
      <w:r>
        <w:rPr>
          <w:rFonts w:ascii="Arial" w:cs="Arial" w:eastAsia="Arial" w:hAnsi="Arial"/>
          <w:sz w:val="20"/>
          <w:szCs w:val="20"/>
          <w:color w:val="auto"/>
        </w:rPr>
        <w:t>any acquisition by the Borrower or any Restricted Subsidiary of all or substantially all the assets of, or all the Equity Interests (other than directors’ qualifying shares, shares issued to foreign nationals as required by applicable law or any options for Equity Interests that cannot, as a matter of law, be cancelled,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39" w:name="page140"/>
    <w:bookmarkEnd w:id="139"/>
    <w:p>
      <w:pPr>
        <w:jc w:val="both"/>
        <w:ind w:firstLine="509"/>
        <w:spacing w:after="0" w:line="304" w:lineRule="auto"/>
        <w:rPr>
          <w:sz w:val="20"/>
          <w:szCs w:val="20"/>
          <w:color w:val="auto"/>
        </w:rPr>
      </w:pPr>
      <w:r>
        <w:rPr>
          <w:rFonts w:ascii="Arial" w:cs="Arial" w:eastAsia="Arial" w:hAnsi="Arial"/>
          <w:sz w:val="16"/>
          <w:szCs w:val="16"/>
          <w:color w:val="auto"/>
        </w:rPr>
        <w:t xml:space="preserve">redeemed or otherwise extinguished without the express agreement of the holder thereof at or prior to acquisition) in, a Person or division, business unit or line of business of a Person (or any subsequent investment made in a Person, division, business unit or line of business previously acquired in a Permitted Acquisition), in each case in a single transaction or series of related transactions, if (i) no Event of Default shall have occurred and be continuing or would result therefrom at the time of entering in the agreement to consummate such acquisition; (ii) all transactions related thereto shall be consummated in all material respects in accordance with applicable Laws; (iii) as of the most recently ended fiscal quarter for which financial statements of the Borrower and the target are available, (A) the Borrower and the Restricted Subsidiaries shall be in compliance, on a Pro Forma Basis, with the covenant set forth in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and (B) the Total Leverage Ratio, on a Pro Forma Basis, for the Test Period most recently ended shall not be greater than 3.00:1.00, in each case, after giving effect to such acquisition or investment and any related transactions; (iv) any acquired or newly formed Restricted Subsidiary shall not be liable for any Indebtedness except for Indebtedness otherwise permitted by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(v) to the extent required by the Collateral and Guarantee Requirement, (A) the property, assets and businesses acquired in such purchase or other acquisition shall constitute Collateral and (B) any such newly created or acquired Subsidiary (other than an Excluded Subsidiary) shall become a Guarantor, in each case, to the extent required by and in accordance with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 (vi) the businesses acquired in such purchase or other acquisition shall be in compliance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7.07</w:t>
      </w:r>
      <w:r>
        <w:rPr>
          <w:rFonts w:ascii="Arial" w:cs="Arial" w:eastAsia="Arial" w:hAnsi="Arial"/>
          <w:sz w:val="16"/>
          <w:szCs w:val="16"/>
          <w:color w:val="auto"/>
        </w:rPr>
        <w:t xml:space="preserve">; and (vii) the Borrower shall have delivered to the Administrative Agent a certificate of a Responsible Officer of the Borrower certifying that the conditions set forth in the preceding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have been satisfied (any such acquisition, a “</w:t>
      </w:r>
      <w:r>
        <w:rPr>
          <w:rFonts w:ascii="Arial" w:cs="Arial" w:eastAsia="Arial" w:hAnsi="Arial"/>
          <w:sz w:val="16"/>
          <w:szCs w:val="16"/>
          <w:b w:val="1"/>
          <w:bCs w:val="1"/>
          <w:color w:val="auto"/>
        </w:rPr>
        <w:t>Permitted Acquisition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aggregate amount of Investments made by Loan Parties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7.02(h)</w:t>
      </w:r>
      <w:r>
        <w:rPr>
          <w:rFonts w:ascii="Arial" w:cs="Arial" w:eastAsia="Arial" w:hAnsi="Arial"/>
          <w:sz w:val="16"/>
          <w:szCs w:val="16"/>
          <w:i w:val="1"/>
          <w:iCs w:val="1"/>
          <w:color w:val="auto"/>
        </w:rPr>
        <w:t xml:space="preserve"> </w:t>
      </w:r>
      <w:r>
        <w:rPr>
          <w:rFonts w:ascii="Arial" w:cs="Arial" w:eastAsia="Arial" w:hAnsi="Arial"/>
          <w:sz w:val="16"/>
          <w:szCs w:val="16"/>
          <w:color w:val="auto"/>
        </w:rPr>
        <w:t>in assets that are not (or do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become) owned by a Loan Party or in Equity Interests in Persons that do not become Loan Parties upon consummation of such Permitted Acquisition shall not exceed $15,000,000 at any time outstanding; </w:t>
      </w:r>
      <w:r>
        <w:rPr>
          <w:rFonts w:ascii="Arial" w:cs="Arial" w:eastAsia="Arial" w:hAnsi="Arial"/>
          <w:sz w:val="16"/>
          <w:szCs w:val="16"/>
          <w:i w:val="1"/>
          <w:iCs w:val="1"/>
          <w:color w:val="auto"/>
        </w:rPr>
        <w:t>provided, further</w:t>
      </w:r>
      <w:r>
        <w:rPr>
          <w:rFonts w:ascii="Arial" w:cs="Arial" w:eastAsia="Arial" w:hAnsi="Arial"/>
          <w:sz w:val="16"/>
          <w:szCs w:val="16"/>
          <w:color w:val="auto"/>
        </w:rPr>
        <w:t>, that notwithstanding anything to the contrary, as of and after the Amendment No. 3 Effective Date, this clause (h) shall be unavailable under this Agreement and no Permitted Acquisitions may be made (and Permitted Acquisitions shall be disregarded in any reference in any other term or provision herein);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8"/>
        <w:spacing w:after="0" w:line="260" w:lineRule="auto"/>
        <w:tabs>
          <w:tab w:leader="none" w:pos="509" w:val="left"/>
        </w:tabs>
        <w:numPr>
          <w:ilvl w:val="0"/>
          <w:numId w:val="149"/>
        </w:numPr>
        <w:rPr>
          <w:rFonts w:ascii="Arial" w:cs="Arial" w:eastAsia="Arial" w:hAnsi="Arial"/>
          <w:sz w:val="20"/>
          <w:szCs w:val="20"/>
          <w:color w:val="auto"/>
        </w:rPr>
      </w:pPr>
      <w:r>
        <w:rPr>
          <w:rFonts w:ascii="Arial" w:cs="Arial" w:eastAsia="Arial" w:hAnsi="Arial"/>
          <w:sz w:val="20"/>
          <w:szCs w:val="20"/>
          <w:color w:val="auto"/>
        </w:rPr>
        <w:t>Investments in the ordinary course of business consisting of UCC Article 3 endorsements for collection or deposit and UCC Article 4 customary trade arrangements with customers consistent with past practices;</w:t>
      </w:r>
    </w:p>
    <w:p>
      <w:pPr>
        <w:spacing w:after="0" w:line="176" w:lineRule="exact"/>
        <w:rPr>
          <w:rFonts w:ascii="Arial" w:cs="Arial" w:eastAsia="Arial" w:hAnsi="Arial"/>
          <w:sz w:val="20"/>
          <w:szCs w:val="20"/>
          <w:color w:val="auto"/>
        </w:rPr>
      </w:pPr>
    </w:p>
    <w:p>
      <w:pPr>
        <w:ind w:firstLine="8"/>
        <w:spacing w:after="0" w:line="260" w:lineRule="auto"/>
        <w:tabs>
          <w:tab w:leader="none" w:pos="509" w:val="left"/>
        </w:tabs>
        <w:numPr>
          <w:ilvl w:val="0"/>
          <w:numId w:val="149"/>
        </w:numPr>
        <w:rPr>
          <w:rFonts w:ascii="Arial" w:cs="Arial" w:eastAsia="Arial" w:hAnsi="Arial"/>
          <w:sz w:val="20"/>
          <w:szCs w:val="20"/>
          <w:color w:val="auto"/>
        </w:rPr>
      </w:pPr>
      <w:r>
        <w:rPr>
          <w:rFonts w:ascii="Arial" w:cs="Arial" w:eastAsia="Arial" w:hAnsi="Arial"/>
          <w:sz w:val="20"/>
          <w:szCs w:val="20"/>
          <w:color w:val="auto"/>
        </w:rPr>
        <w:t>Investments (including debt obligations and Equity Interests) received in connection with the bankruptcy or reorganization of suppliers and customers or in settlement of delinquent obligations of, or other disputes with, customers and suppliers;</w:t>
      </w:r>
    </w:p>
    <w:p>
      <w:pPr>
        <w:spacing w:after="0" w:line="176" w:lineRule="exact"/>
        <w:rPr>
          <w:rFonts w:ascii="Arial" w:cs="Arial" w:eastAsia="Arial" w:hAnsi="Arial"/>
          <w:sz w:val="20"/>
          <w:szCs w:val="20"/>
          <w:color w:val="auto"/>
        </w:rPr>
      </w:pPr>
    </w:p>
    <w:p>
      <w:pPr>
        <w:ind w:left="520" w:hanging="512"/>
        <w:spacing w:after="0"/>
        <w:tabs>
          <w:tab w:leader="none" w:pos="52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advances of payroll payments to employees in the ordinary course of business;</w:t>
      </w:r>
    </w:p>
    <w:p>
      <w:pPr>
        <w:spacing w:after="0" w:line="215" w:lineRule="exact"/>
        <w:rPr>
          <w:rFonts w:ascii="Arial" w:cs="Arial" w:eastAsia="Arial" w:hAnsi="Arial"/>
          <w:sz w:val="20"/>
          <w:szCs w:val="20"/>
          <w:color w:val="auto"/>
        </w:rPr>
      </w:pPr>
    </w:p>
    <w:p>
      <w:pPr>
        <w:ind w:firstLine="8"/>
        <w:spacing w:after="0" w:line="260" w:lineRule="auto"/>
        <w:tabs>
          <w:tab w:leader="none" w:pos="509" w:val="left"/>
        </w:tabs>
        <w:numPr>
          <w:ilvl w:val="0"/>
          <w:numId w:val="149"/>
        </w:numPr>
        <w:rPr>
          <w:rFonts w:ascii="Arial" w:cs="Arial" w:eastAsia="Arial" w:hAnsi="Arial"/>
          <w:sz w:val="20"/>
          <w:szCs w:val="20"/>
          <w:color w:val="auto"/>
        </w:rPr>
      </w:pPr>
      <w:r>
        <w:rPr>
          <w:rFonts w:ascii="Arial" w:cs="Arial" w:eastAsia="Arial" w:hAnsi="Arial"/>
          <w:sz w:val="20"/>
          <w:szCs w:val="20"/>
          <w:color w:val="auto"/>
        </w:rPr>
        <w:t>Investments to the extent that payment for such Investments is made with Equity Interests (other than Disqualified Equity Interests) of the Borrower or the Net Proceeds received from the issuance thereof;</w:t>
      </w:r>
    </w:p>
    <w:p>
      <w:pPr>
        <w:spacing w:after="0" w:line="176" w:lineRule="exact"/>
        <w:rPr>
          <w:rFonts w:ascii="Arial" w:cs="Arial" w:eastAsia="Arial" w:hAnsi="Arial"/>
          <w:sz w:val="20"/>
          <w:szCs w:val="20"/>
          <w:color w:val="auto"/>
        </w:rPr>
      </w:pPr>
    </w:p>
    <w:p>
      <w:pPr>
        <w:jc w:val="both"/>
        <w:ind w:firstLine="8"/>
        <w:spacing w:after="0" w:line="244" w:lineRule="auto"/>
        <w:tabs>
          <w:tab w:leader="none" w:pos="509"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Investments of a Restricted Subsidiary acquired after the Restatement Effective Date pursuant to a Permitted Acquisition or of a corporation merged or amalgamated or consolidated into the Borrower or merged, amalgamated or consolidated with a Restricted Subsidiary, in each case in accordance with this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after the Restatement Effective Date, to the extent that such Investments were not made in contemplation of or in connection with such acquisition, merger, amalgamation or consolidation and were in existence on the date of such acquisition, merger or consolidation;</w:t>
      </w:r>
    </w:p>
    <w:p>
      <w:pPr>
        <w:spacing w:after="0" w:line="194" w:lineRule="exact"/>
        <w:rPr>
          <w:rFonts w:ascii="Arial" w:cs="Arial" w:eastAsia="Arial" w:hAnsi="Arial"/>
          <w:sz w:val="20"/>
          <w:szCs w:val="20"/>
          <w:color w:val="auto"/>
        </w:rPr>
      </w:pPr>
    </w:p>
    <w:p>
      <w:pPr>
        <w:jc w:val="both"/>
        <w:ind w:firstLine="8"/>
        <w:spacing w:after="0" w:line="250" w:lineRule="auto"/>
        <w:tabs>
          <w:tab w:leader="none" w:pos="509"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Investments made by any Restricted Subsidiary that is not a Loan Party to the extent such Investments are financed with the proceeds received by such Restricted Subsidiary from an Investment in such Restricted Subsidiary made pursuant to </w:t>
      </w:r>
      <w:r>
        <w:rPr>
          <w:rFonts w:ascii="Arial" w:cs="Arial" w:eastAsia="Arial" w:hAnsi="Arial"/>
          <w:sz w:val="20"/>
          <w:szCs w:val="20"/>
          <w:u w:val="single" w:color="auto"/>
          <w:color w:val="auto"/>
        </w:rPr>
        <w:t>Section 7.02(c)(iii)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7.02(p)</w:t>
      </w:r>
      <w:r>
        <w:rPr>
          <w:rFonts w:ascii="Arial" w:cs="Arial" w:eastAsia="Arial" w:hAnsi="Arial"/>
          <w:sz w:val="20"/>
          <w:szCs w:val="20"/>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0" w:name="page141"/>
    <w:bookmarkEnd w:id="140"/>
    <w:p>
      <w:pPr>
        <w:jc w:val="both"/>
        <w:ind w:firstLine="8"/>
        <w:spacing w:after="0" w:line="250" w:lineRule="auto"/>
        <w:tabs>
          <w:tab w:leader="none" w:pos="509" w:val="left"/>
        </w:tabs>
        <w:numPr>
          <w:ilvl w:val="0"/>
          <w:numId w:val="150"/>
        </w:numPr>
        <w:rPr>
          <w:rFonts w:ascii="Arial" w:cs="Arial" w:eastAsia="Arial" w:hAnsi="Arial"/>
          <w:sz w:val="20"/>
          <w:szCs w:val="20"/>
          <w:color w:val="auto"/>
        </w:rPr>
      </w:pPr>
      <w:r>
        <w:rPr>
          <w:rFonts w:ascii="Arial" w:cs="Arial" w:eastAsia="Arial" w:hAnsi="Arial"/>
          <w:sz w:val="20"/>
          <w:szCs w:val="20"/>
          <w:color w:val="auto"/>
        </w:rPr>
        <w:t>Guarantees by the Borrower or any Restricted Subsidiary of operating leases (other than Capitalized Leases) or of other obligations that do not constitute Indebtedness, in each case, which leases or other obligations are entered into by the Borrower or any Guarantor in the ordinary course of business;</w:t>
      </w:r>
    </w:p>
    <w:p>
      <w:pPr>
        <w:spacing w:after="0" w:line="185" w:lineRule="exact"/>
        <w:rPr>
          <w:rFonts w:ascii="Arial" w:cs="Arial" w:eastAsia="Arial" w:hAnsi="Arial"/>
          <w:sz w:val="20"/>
          <w:szCs w:val="20"/>
          <w:color w:val="auto"/>
        </w:rPr>
      </w:pPr>
    </w:p>
    <w:p>
      <w:pPr>
        <w:jc w:val="both"/>
        <w:ind w:firstLine="8"/>
        <w:spacing w:after="0" w:line="271" w:lineRule="auto"/>
        <w:tabs>
          <w:tab w:leader="none" w:pos="50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other Investments (not including Permitted Acquisitions) in an aggregate amount outstanding pursuant to this clause (p) at any time not to exceed (x) together with (I) the aggregate amount of Restricted Payments made under sub-clause (x) of </w:t>
      </w:r>
      <w:r>
        <w:rPr>
          <w:rFonts w:ascii="Arial" w:cs="Arial" w:eastAsia="Arial" w:hAnsi="Arial"/>
          <w:sz w:val="18"/>
          <w:szCs w:val="18"/>
          <w:u w:val="single" w:color="auto"/>
          <w:color w:val="auto"/>
        </w:rPr>
        <w:t>Section 7.06(e)</w:t>
      </w:r>
      <w:r>
        <w:rPr>
          <w:rFonts w:ascii="Arial" w:cs="Arial" w:eastAsia="Arial" w:hAnsi="Arial"/>
          <w:sz w:val="18"/>
          <w:szCs w:val="18"/>
          <w:color w:val="auto"/>
        </w:rPr>
        <w:t xml:space="preserve"> and (II) the aggregate amount of prepayments, redemptions, purchases, defeasances and other payments made pursuant to sub-clause (x)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7.13(a)(vi)</w:t>
      </w:r>
      <w:r>
        <w:rPr>
          <w:rFonts w:ascii="Arial" w:cs="Arial" w:eastAsia="Arial" w:hAnsi="Arial"/>
          <w:sz w:val="18"/>
          <w:szCs w:val="18"/>
          <w:color w:val="auto"/>
        </w:rPr>
        <w:t xml:space="preserve">, $5,000,000 plus, (y) the portion, if any, of the Cumulative Credit on the date of such election that the Borrower elects to apply to this subclause (y);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Investment made pursuant to this </w:t>
      </w:r>
      <w:r>
        <w:rPr>
          <w:rFonts w:ascii="Arial" w:cs="Arial" w:eastAsia="Arial" w:hAnsi="Arial"/>
          <w:sz w:val="18"/>
          <w:szCs w:val="18"/>
          <w:u w:val="single" w:color="auto"/>
          <w:color w:val="auto"/>
        </w:rPr>
        <w:t>Section 7.02(p)</w:t>
      </w:r>
      <w:r>
        <w:rPr>
          <w:rFonts w:ascii="Arial" w:cs="Arial" w:eastAsia="Arial" w:hAnsi="Arial"/>
          <w:sz w:val="18"/>
          <w:szCs w:val="18"/>
          <w:color w:val="auto"/>
        </w:rPr>
        <w:t>, (A) no Event of Default shall have occurred and be continuing or would result from the making of any such Investment and (B) with respect to Investments made in reliance on this subclause (y) (i) other than Investments made in Restricted Subsidiaries organized under the laws of Canada or Mexico or, in each case, any political subdivision thereof, on a Pro Forma Basis after giving effect thereto the Total Leverage Ratio is equal to or less than 2.00:1.00 or (ii) with respect to Investments in Restricted Subsidiaries organized under the laws of Canada or Mexico or, in each case, any political subdivision thereof, on a Pro Forma Basis after giving effect thereto the Total Leverage Ratio is equal to or less than 4.00:1.00;</w:t>
      </w:r>
    </w:p>
    <w:p>
      <w:pPr>
        <w:spacing w:after="0" w:line="173" w:lineRule="exact"/>
        <w:rPr>
          <w:rFonts w:ascii="Arial" w:cs="Arial" w:eastAsia="Arial" w:hAnsi="Arial"/>
          <w:sz w:val="18"/>
          <w:szCs w:val="18"/>
          <w:color w:val="auto"/>
        </w:rPr>
      </w:pPr>
    </w:p>
    <w:p>
      <w:pPr>
        <w:ind w:firstLine="8"/>
        <w:spacing w:after="0" w:line="260" w:lineRule="auto"/>
        <w:tabs>
          <w:tab w:leader="none" w:pos="509"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 make lease, utility and other similar deposits or any other advance or deposit permitted by this Agreement in the ordinary course of business or (ii) make prepayments and deposits to suppliers in the ordinary course of business;</w:t>
      </w:r>
    </w:p>
    <w:p>
      <w:pPr>
        <w:spacing w:after="0" w:line="176" w:lineRule="exact"/>
        <w:rPr>
          <w:rFonts w:ascii="Arial" w:cs="Arial" w:eastAsia="Arial" w:hAnsi="Arial"/>
          <w:sz w:val="20"/>
          <w:szCs w:val="20"/>
          <w:color w:val="auto"/>
        </w:rPr>
      </w:pPr>
    </w:p>
    <w:p>
      <w:pPr>
        <w:ind w:left="520" w:hanging="512"/>
        <w:spacing w:after="0"/>
        <w:tabs>
          <w:tab w:leader="none" w:pos="52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to the extent constituting Investments, capital expenditures otherwise permitted under this Agreement;</w:t>
      </w:r>
    </w:p>
    <w:p>
      <w:pPr>
        <w:spacing w:after="0" w:line="215" w:lineRule="exact"/>
        <w:rPr>
          <w:rFonts w:ascii="Arial" w:cs="Arial" w:eastAsia="Arial" w:hAnsi="Arial"/>
          <w:sz w:val="20"/>
          <w:szCs w:val="20"/>
          <w:color w:val="auto"/>
        </w:rPr>
      </w:pPr>
    </w:p>
    <w:p>
      <w:pPr>
        <w:ind w:left="520" w:hanging="512"/>
        <w:spacing w:after="0"/>
        <w:tabs>
          <w:tab w:leader="none" w:pos="52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Investments in deposit accounts or securities accounts opened in the ordinary course of business;</w:t>
      </w:r>
    </w:p>
    <w:p>
      <w:pPr>
        <w:spacing w:after="0" w:line="215" w:lineRule="exact"/>
        <w:rPr>
          <w:rFonts w:ascii="Arial" w:cs="Arial" w:eastAsia="Arial" w:hAnsi="Arial"/>
          <w:sz w:val="20"/>
          <w:szCs w:val="20"/>
          <w:color w:val="auto"/>
        </w:rPr>
      </w:pPr>
    </w:p>
    <w:p>
      <w:pPr>
        <w:ind w:firstLine="8"/>
        <w:spacing w:after="0" w:line="260" w:lineRule="auto"/>
        <w:tabs>
          <w:tab w:leader="none" w:pos="509" w:val="left"/>
        </w:tabs>
        <w:numPr>
          <w:ilvl w:val="0"/>
          <w:numId w:val="150"/>
        </w:numPr>
        <w:rPr>
          <w:rFonts w:ascii="Arial" w:cs="Arial" w:eastAsia="Arial" w:hAnsi="Arial"/>
          <w:sz w:val="20"/>
          <w:szCs w:val="20"/>
          <w:color w:val="auto"/>
        </w:rPr>
      </w:pPr>
      <w:r>
        <w:rPr>
          <w:rFonts w:ascii="Arial" w:cs="Arial" w:eastAsia="Arial" w:hAnsi="Arial"/>
          <w:sz w:val="20"/>
          <w:szCs w:val="20"/>
          <w:color w:val="auto"/>
        </w:rPr>
        <w:t xml:space="preserve">repurchase, retirement or repayment of any Indebtedness to the extent not otherwise prohibited by this Agreement, including, without limitation, acquisitions of Term Loans pursuant to </w:t>
      </w:r>
      <w:r>
        <w:rPr>
          <w:rFonts w:ascii="Arial" w:cs="Arial" w:eastAsia="Arial" w:hAnsi="Arial"/>
          <w:sz w:val="20"/>
          <w:szCs w:val="20"/>
          <w:u w:val="single" w:color="auto"/>
          <w:color w:val="auto"/>
        </w:rPr>
        <w:t>Section 10.04</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520" w:hanging="512"/>
        <w:spacing w:after="0"/>
        <w:tabs>
          <w:tab w:leader="none" w:pos="52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8"/>
        <w:spacing w:after="0" w:line="250" w:lineRule="auto"/>
        <w:tabs>
          <w:tab w:leader="none" w:pos="509" w:val="left"/>
        </w:tabs>
        <w:numPr>
          <w:ilvl w:val="0"/>
          <w:numId w:val="150"/>
        </w:numPr>
        <w:rPr>
          <w:rFonts w:ascii="Arial" w:cs="Arial" w:eastAsia="Arial" w:hAnsi="Arial"/>
          <w:sz w:val="20"/>
          <w:szCs w:val="20"/>
          <w:color w:val="auto"/>
        </w:rPr>
      </w:pPr>
      <w:r>
        <w:rPr>
          <w:rFonts w:ascii="Arial" w:cs="Arial" w:eastAsia="Arial" w:hAnsi="Arial"/>
          <w:sz w:val="20"/>
          <w:szCs w:val="20"/>
          <w:color w:val="auto"/>
        </w:rPr>
        <w:t xml:space="preserve">Investments consisting of or resulting from (i) Indebtedness permitted under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(ii) Liens permitted under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(iii) Restricted Payments permitted under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(iv) Dispositions permitted by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and (v) fundamental changes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left="520" w:hanging="512"/>
        <w:spacing w:after="0"/>
        <w:tabs>
          <w:tab w:leader="none" w:pos="5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Investments solely to the extent such Investments reflect an increase in the value of Investments otherwise permitted under this </w:t>
      </w:r>
      <w:r>
        <w:rPr>
          <w:rFonts w:ascii="Arial" w:cs="Arial" w:eastAsia="Arial" w:hAnsi="Arial"/>
          <w:sz w:val="16"/>
          <w:szCs w:val="16"/>
          <w:u w:val="single" w:color="auto"/>
          <w:color w:val="auto"/>
        </w:rPr>
        <w:t>Section</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u w:val="single" w:color="auto"/>
          <w:color w:val="auto"/>
        </w:rPr>
        <w:t>7.02</w:t>
      </w:r>
      <w:r>
        <w:rPr>
          <w:rFonts w:ascii="Arial" w:cs="Arial" w:eastAsia="Arial" w:hAnsi="Arial"/>
          <w:sz w:val="20"/>
          <w:szCs w:val="20"/>
          <w:color w:val="auto"/>
        </w:rPr>
        <w:t>;</w:t>
      </w:r>
    </w:p>
    <w:p>
      <w:pPr>
        <w:spacing w:after="0" w:line="199" w:lineRule="exact"/>
        <w:rPr>
          <w:rFonts w:ascii="Arial" w:cs="Arial" w:eastAsia="Arial" w:hAnsi="Arial"/>
          <w:sz w:val="16"/>
          <w:szCs w:val="16"/>
          <w:color w:val="auto"/>
        </w:rPr>
      </w:pPr>
    </w:p>
    <w:p>
      <w:pPr>
        <w:jc w:val="both"/>
        <w:ind w:firstLine="8"/>
        <w:spacing w:after="0" w:line="250" w:lineRule="auto"/>
        <w:tabs>
          <w:tab w:leader="none" w:pos="509" w:val="left"/>
        </w:tabs>
        <w:numPr>
          <w:ilvl w:val="0"/>
          <w:numId w:val="150"/>
        </w:numPr>
        <w:rPr>
          <w:rFonts w:ascii="Arial" w:cs="Arial" w:eastAsia="Arial" w:hAnsi="Arial"/>
          <w:sz w:val="20"/>
          <w:szCs w:val="20"/>
          <w:color w:val="auto"/>
        </w:rPr>
      </w:pPr>
      <w:r>
        <w:rPr>
          <w:rFonts w:ascii="Arial" w:cs="Arial" w:eastAsia="Arial" w:hAnsi="Arial"/>
          <w:sz w:val="20"/>
          <w:szCs w:val="20"/>
          <w:color w:val="auto"/>
        </w:rPr>
        <w:t xml:space="preserve">loans and advances to Borrower in lieu of, and not in excess of the amount of (after giving effect to any other such loans or advances or Restricted Payments in respect thereof), Restricted Payments to the extent permitted to be made in accordance with </w:t>
      </w:r>
      <w:r>
        <w:rPr>
          <w:rFonts w:ascii="Arial" w:cs="Arial" w:eastAsia="Arial" w:hAnsi="Arial"/>
          <w:sz w:val="20"/>
          <w:szCs w:val="20"/>
          <w:u w:val="single" w:color="auto"/>
          <w:color w:val="auto"/>
        </w:rPr>
        <w:t>Section 7.06</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 7.06(i)</w:t>
      </w:r>
      <w:r>
        <w:rPr>
          <w:rFonts w:ascii="Arial" w:cs="Arial" w:eastAsia="Arial" w:hAnsi="Arial"/>
          <w:sz w:val="20"/>
          <w:szCs w:val="20"/>
          <w:color w:val="auto"/>
        </w:rPr>
        <w:t>); and</w:t>
      </w:r>
    </w:p>
    <w:p>
      <w:pPr>
        <w:spacing w:after="0" w:line="185" w:lineRule="exact"/>
        <w:rPr>
          <w:rFonts w:ascii="Arial" w:cs="Arial" w:eastAsia="Arial" w:hAnsi="Arial"/>
          <w:sz w:val="20"/>
          <w:szCs w:val="20"/>
          <w:color w:val="auto"/>
        </w:rPr>
      </w:pPr>
    </w:p>
    <w:p>
      <w:pPr>
        <w:jc w:val="both"/>
        <w:ind w:firstLine="8"/>
        <w:spacing w:after="0" w:line="269" w:lineRule="auto"/>
        <w:tabs>
          <w:tab w:leader="none" w:pos="509" w:val="left"/>
        </w:tabs>
        <w:numPr>
          <w:ilvl w:val="0"/>
          <w:numId w:val="150"/>
        </w:numPr>
        <w:rPr>
          <w:rFonts w:ascii="Arial" w:cs="Arial" w:eastAsia="Arial" w:hAnsi="Arial"/>
          <w:sz w:val="19"/>
          <w:szCs w:val="19"/>
          <w:color w:val="auto"/>
        </w:rPr>
      </w:pPr>
      <w:r>
        <w:rPr>
          <w:rFonts w:ascii="Arial" w:cs="Arial" w:eastAsia="Arial" w:hAnsi="Arial"/>
          <w:sz w:val="19"/>
          <w:szCs w:val="19"/>
          <w:color w:val="auto"/>
        </w:rPr>
        <w:t>Guarantee obligations of the Borrower or any Restricted Subsidiary in respect of letters of support, guarantees or similar obligations issued, made or incurred for the benefit of any Restricted Subsidiary of the Borrower to the extent required by law or in connection with any statutory filing or the delivery of audit opinions performed in jurisdictions other than within the United States.</w:t>
      </w:r>
    </w:p>
    <w:p>
      <w:pPr>
        <w:spacing w:after="0" w:line="170" w:lineRule="exact"/>
        <w:rPr>
          <w:sz w:val="20"/>
          <w:szCs w:val="20"/>
          <w:color w:val="auto"/>
        </w:rPr>
      </w:pPr>
    </w:p>
    <w:p>
      <w:pPr>
        <w:ind w:firstLine="1497"/>
        <w:spacing w:after="0" w:line="260" w:lineRule="auto"/>
        <w:rPr>
          <w:sz w:val="20"/>
          <w:szCs w:val="20"/>
          <w:color w:val="auto"/>
        </w:rPr>
      </w:pPr>
      <w:r>
        <w:rPr>
          <w:rFonts w:ascii="Arial" w:cs="Arial" w:eastAsia="Arial" w:hAnsi="Arial"/>
          <w:sz w:val="20"/>
          <w:szCs w:val="20"/>
          <w:color w:val="auto"/>
        </w:rPr>
        <w:t xml:space="preserve">Section 7.03. </w:t>
      </w:r>
      <w:r>
        <w:rPr>
          <w:rFonts w:ascii="Arial" w:cs="Arial" w:eastAsia="Arial" w:hAnsi="Arial"/>
          <w:sz w:val="20"/>
          <w:szCs w:val="20"/>
          <w:i w:val="1"/>
          <w:iCs w:val="1"/>
          <w:color w:val="auto"/>
        </w:rPr>
        <w:t>Indebtedness.</w:t>
      </w:r>
      <w:r>
        <w:rPr>
          <w:rFonts w:ascii="Arial" w:cs="Arial" w:eastAsia="Arial" w:hAnsi="Arial"/>
          <w:sz w:val="20"/>
          <w:szCs w:val="20"/>
          <w:color w:val="auto"/>
        </w:rPr>
        <w:t xml:space="preserve"> The Borrower shall not, nor shall it permit any Restricted Subsidiary to, directly or indirectly, create, incur, assume or suffer to exist any Indebtedness, except: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1" w:name="page142"/>
    <w:bookmarkEnd w:id="141"/>
    <w:p>
      <w:pPr>
        <w:ind w:left="520" w:hanging="512"/>
        <w:spacing w:after="0"/>
        <w:tabs>
          <w:tab w:leader="none" w:pos="52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Indebtedness of any Loan Party under the Loan Documents;</w:t>
      </w:r>
    </w:p>
    <w:p>
      <w:pPr>
        <w:spacing w:after="0" w:line="215" w:lineRule="exact"/>
        <w:rPr>
          <w:rFonts w:ascii="Arial" w:cs="Arial" w:eastAsia="Arial" w:hAnsi="Arial"/>
          <w:sz w:val="20"/>
          <w:szCs w:val="20"/>
          <w:color w:val="auto"/>
        </w:rPr>
      </w:pPr>
    </w:p>
    <w:p>
      <w:pPr>
        <w:jc w:val="both"/>
        <w:ind w:firstLine="8"/>
        <w:spacing w:after="0" w:line="244" w:lineRule="auto"/>
        <w:tabs>
          <w:tab w:leader="none" w:pos="509" w:val="left"/>
        </w:tabs>
        <w:numPr>
          <w:ilvl w:val="0"/>
          <w:numId w:val="151"/>
        </w:numPr>
        <w:rPr>
          <w:rFonts w:ascii="Arial" w:cs="Arial" w:eastAsia="Arial" w:hAnsi="Arial"/>
          <w:sz w:val="20"/>
          <w:szCs w:val="20"/>
          <w:color w:val="auto"/>
        </w:rPr>
      </w:pPr>
      <w:r>
        <w:rPr>
          <w:rFonts w:ascii="Arial" w:cs="Arial" w:eastAsia="Arial" w:hAnsi="Arial"/>
          <w:sz w:val="20"/>
          <w:szCs w:val="20"/>
          <w:color w:val="auto"/>
        </w:rPr>
        <w:t xml:space="preserve">(i) Indebtedness outstanding on the Restatement Effective Date and listed on </w:t>
      </w:r>
      <w:r>
        <w:rPr>
          <w:rFonts w:ascii="Arial" w:cs="Arial" w:eastAsia="Arial" w:hAnsi="Arial"/>
          <w:sz w:val="20"/>
          <w:szCs w:val="20"/>
          <w:u w:val="single" w:color="auto"/>
          <w:color w:val="auto"/>
        </w:rPr>
        <w:t>Schedule 7.03(b)</w:t>
      </w:r>
      <w:r>
        <w:rPr>
          <w:rFonts w:ascii="Arial" w:cs="Arial" w:eastAsia="Arial" w:hAnsi="Arial"/>
          <w:sz w:val="20"/>
          <w:szCs w:val="20"/>
          <w:color w:val="auto"/>
        </w:rPr>
        <w:t xml:space="preserve"> and any Permitted Refinancing thereof and (ii) intercompany Indebtedness outstanding on the Restatement Effective Date and any Permitted Refinancing thereof; </w:t>
      </w:r>
      <w:r>
        <w:rPr>
          <w:rFonts w:ascii="Arial" w:cs="Arial" w:eastAsia="Arial" w:hAnsi="Arial"/>
          <w:sz w:val="20"/>
          <w:szCs w:val="20"/>
          <w:i w:val="1"/>
          <w:iCs w:val="1"/>
          <w:color w:val="auto"/>
        </w:rPr>
        <w:t>provided</w:t>
      </w:r>
      <w:r>
        <w:rPr>
          <w:rFonts w:ascii="Arial" w:cs="Arial" w:eastAsia="Arial" w:hAnsi="Arial"/>
          <w:sz w:val="20"/>
          <w:szCs w:val="20"/>
          <w:color w:val="auto"/>
        </w:rPr>
        <w:t>, that (x) any intercompany Indebtedness shall be evidenced by an Intercompany Note and (y) any intercompany Indebtedness of any Loan Party owed to any Person that is not a Loan Party shall be unsecured and subordinated to the Obligations pursuant to the subordination provisions reasonably acceptable to the Required Lenders;</w:t>
      </w:r>
    </w:p>
    <w:p>
      <w:pPr>
        <w:spacing w:after="0" w:line="194" w:lineRule="exact"/>
        <w:rPr>
          <w:rFonts w:ascii="Arial" w:cs="Arial" w:eastAsia="Arial" w:hAnsi="Arial"/>
          <w:sz w:val="20"/>
          <w:szCs w:val="20"/>
          <w:color w:val="auto"/>
        </w:rPr>
      </w:pPr>
    </w:p>
    <w:p>
      <w:pPr>
        <w:jc w:val="both"/>
        <w:ind w:firstLine="8"/>
        <w:spacing w:after="0" w:line="256" w:lineRule="auto"/>
        <w:tabs>
          <w:tab w:leader="none" w:pos="509"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Guarantees by the Borrower and any Restricted Subsidiary in respect of Indebtedness of the Borrower or any Restricted Subsidiary of the Borrower otherwise permitted 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no Guarantee by any Restricted Subsidiary of any ABL Facility Indebtedness, any UST Tranche A Facility Indebtedness, any UST Tranche B Facility Indebtedness, any Junior Financing, any Permitted Additional Debt or any Permitted Refinancing of any of the foregoing shall be permitted unless such guaranteeing party shall have also provided a Guarantee of the Obligations on the terms set forth herein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clause (i) shall not apply in the case of a Guarantee by any Foreign Subsidiary that is not a Loan Party of any Indebtedness of another Foreign Subsidiary that is not a Loan Party), and (ii) if the Indebtedness being Guaranteed is Junior Financing that is, or is required by this Agreement to be, Subordinated Indebtedness, such Guarantee shall be subordinated to the Guarantee of the Obligations on terms (taken as a whole) at least as favorable to the Lenders as those contained in the subordination of such Junior Financing;</w:t>
      </w:r>
    </w:p>
    <w:p>
      <w:pPr>
        <w:spacing w:after="0" w:line="184" w:lineRule="exact"/>
        <w:rPr>
          <w:rFonts w:ascii="Arial" w:cs="Arial" w:eastAsia="Arial" w:hAnsi="Arial"/>
          <w:sz w:val="19"/>
          <w:szCs w:val="19"/>
          <w:color w:val="auto"/>
        </w:rPr>
      </w:pPr>
    </w:p>
    <w:p>
      <w:pPr>
        <w:jc w:val="both"/>
        <w:ind w:firstLine="8"/>
        <w:spacing w:after="0" w:line="278" w:lineRule="auto"/>
        <w:tabs>
          <w:tab w:leader="none" w:pos="50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Indebtedness (other than Indebtedness permitted under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of the Borrower or any Restricted Subsidiary owing to any Loan Party or any other Restricted Subsidiary (or consisting of a Guaranty on behalf of any Loan Party or any other Restricted Subsidiary) to the extent constituting an Investment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(other than clause (v)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all such Indebtedness shall be evidenced by an Intercompany Note and (y) all such Indebtedness of any Loan Party owed to any Person that is not a Loan Party shall be unsecured and subordinated to the Obligations pursuant to the subordination provisions reasonably acceptable to the Required Lenders;</w:t>
      </w:r>
    </w:p>
    <w:p>
      <w:pPr>
        <w:spacing w:after="0" w:line="164" w:lineRule="exact"/>
        <w:rPr>
          <w:rFonts w:ascii="Arial" w:cs="Arial" w:eastAsia="Arial" w:hAnsi="Arial"/>
          <w:sz w:val="18"/>
          <w:szCs w:val="18"/>
          <w:color w:val="auto"/>
        </w:rPr>
      </w:pPr>
    </w:p>
    <w:p>
      <w:pPr>
        <w:jc w:val="both"/>
        <w:ind w:firstLine="8"/>
        <w:spacing w:after="0" w:line="246" w:lineRule="auto"/>
        <w:tabs>
          <w:tab w:leader="none" w:pos="509"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Attributable Indebtedness and other Indebtedness of the Borrower or any Restricted Subsidiary (including Capitalized Leases) financing an acquisition, construction, repair, replacement, lease or improvement of a fixed or capital asset incurred prior to or within 270 days after the acquisition, lease or improvement of the applicable asset in an aggregate amount (together with any Permitted Refinancings thereof) not to exceed $25,000,000 at any time outstanding;</w:t>
      </w:r>
    </w:p>
    <w:p>
      <w:pPr>
        <w:spacing w:after="0" w:line="191" w:lineRule="exact"/>
        <w:rPr>
          <w:rFonts w:ascii="Arial" w:cs="Arial" w:eastAsia="Arial" w:hAnsi="Arial"/>
          <w:sz w:val="20"/>
          <w:szCs w:val="20"/>
          <w:color w:val="auto"/>
        </w:rPr>
      </w:pPr>
    </w:p>
    <w:p>
      <w:pPr>
        <w:ind w:firstLine="8"/>
        <w:spacing w:after="0" w:line="287" w:lineRule="auto"/>
        <w:tabs>
          <w:tab w:leader="none" w:pos="509" w:val="left"/>
        </w:tabs>
        <w:numPr>
          <w:ilvl w:val="0"/>
          <w:numId w:val="151"/>
        </w:numPr>
        <w:rPr>
          <w:rFonts w:ascii="Arial" w:cs="Arial" w:eastAsia="Arial" w:hAnsi="Arial"/>
          <w:sz w:val="19"/>
          <w:szCs w:val="19"/>
          <w:color w:val="auto"/>
        </w:rPr>
      </w:pPr>
      <w:r>
        <w:rPr>
          <w:rFonts w:ascii="Arial" w:cs="Arial" w:eastAsia="Arial" w:hAnsi="Arial"/>
          <w:sz w:val="19"/>
          <w:szCs w:val="19"/>
          <w:color w:val="auto"/>
        </w:rPr>
        <w:t>Indebtedness in respect of Swap Contracts designed to hedge against the Borrower’s or any Restricted Subsidiary’s exposure to interest rates, foreign exchange rates or commodities (including fuel) pricing risks incurred not for speculative purposes;</w:t>
      </w:r>
    </w:p>
    <w:p>
      <w:pPr>
        <w:spacing w:after="0" w:line="152" w:lineRule="exact"/>
        <w:rPr>
          <w:rFonts w:ascii="Arial" w:cs="Arial" w:eastAsia="Arial" w:hAnsi="Arial"/>
          <w:sz w:val="19"/>
          <w:szCs w:val="19"/>
          <w:color w:val="auto"/>
        </w:rPr>
      </w:pPr>
    </w:p>
    <w:p>
      <w:pPr>
        <w:jc w:val="both"/>
        <w:ind w:firstLine="8"/>
        <w:spacing w:after="0" w:line="276" w:lineRule="auto"/>
        <w:tabs>
          <w:tab w:leader="none" w:pos="50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Indebtedness of the Borrower or any Restricted Subsidiary assumed in connection with any Permitted Acquisition or other Investment permitted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 such Indebtedness is not incurred in contemplation of such Permitted Acquisition or Investment, and any Permitted Refinancing thereof, (x) such Indebtedness and all Indebtedness resulting from a Permitted Refinancing thereof is unsecured (except for Liens permitted by </w:t>
      </w:r>
      <w:r>
        <w:rPr>
          <w:rFonts w:ascii="Arial" w:cs="Arial" w:eastAsia="Arial" w:hAnsi="Arial"/>
          <w:sz w:val="18"/>
          <w:szCs w:val="18"/>
          <w:u w:val="single" w:color="auto"/>
          <w:color w:val="auto"/>
        </w:rPr>
        <w:t>Section 7.01(s)</w:t>
      </w:r>
      <w:r>
        <w:rPr>
          <w:rFonts w:ascii="Arial" w:cs="Arial" w:eastAsia="Arial" w:hAnsi="Arial"/>
          <w:sz w:val="18"/>
          <w:szCs w:val="18"/>
          <w:color w:val="auto"/>
        </w:rPr>
        <w:t>), and (y) both immediately prior and after giving effect thereto, (1) no Event of Default shall exist or result therefrom, and (2) immediately after giving effect to the related Permitted Acquisition or Investment and the assumption of Indebtedness, the Total Leverage Ratio, on a Pro Forma Basis, for the Test Period most recently ended shall not be greater than 3.00:1.00;</w:t>
      </w:r>
    </w:p>
    <w:p>
      <w:pPr>
        <w:spacing w:after="0" w:line="164" w:lineRule="exact"/>
        <w:rPr>
          <w:rFonts w:ascii="Arial" w:cs="Arial" w:eastAsia="Arial" w:hAnsi="Arial"/>
          <w:sz w:val="18"/>
          <w:szCs w:val="18"/>
          <w:color w:val="auto"/>
        </w:rPr>
      </w:pPr>
    </w:p>
    <w:p>
      <w:pPr>
        <w:ind w:firstLine="8"/>
        <w:spacing w:after="0" w:line="316" w:lineRule="auto"/>
        <w:tabs>
          <w:tab w:leader="none" w:pos="50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Indebtedness representing deferred compensation to employees of the Borrower or any of its Restricted Subsidiaries incurred in the ordinary course of business and other obligations and liabilities arising under employee benefit plans in the ordinary course of business;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2" w:name="page143"/>
    <w:bookmarkEnd w:id="142"/>
    <w:p>
      <w:pPr>
        <w:jc w:val="both"/>
        <w:ind w:firstLine="8"/>
        <w:spacing w:after="0" w:line="250" w:lineRule="auto"/>
        <w:tabs>
          <w:tab w:leader="none" w:pos="509"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Indebtedness consisting of unsecured promissory notes issued by the Borrower or any of its Restricted Subsidiaries to current or former officers, managers, consultants, directors and employees, their respective estates, spouses or former spouses to finance the purchase or redemption of Equity Interests of the Borrower permitted by </w:t>
      </w:r>
      <w:r>
        <w:rPr>
          <w:rFonts w:ascii="Arial" w:cs="Arial" w:eastAsia="Arial" w:hAnsi="Arial"/>
          <w:sz w:val="20"/>
          <w:szCs w:val="20"/>
          <w:u w:val="single" w:color="auto"/>
          <w:color w:val="auto"/>
        </w:rPr>
        <w:t>Section 7.06</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firstLine="8"/>
        <w:spacing w:after="0" w:line="269" w:lineRule="auto"/>
        <w:tabs>
          <w:tab w:leader="none" w:pos="509" w:val="left"/>
        </w:tabs>
        <w:numPr>
          <w:ilvl w:val="0"/>
          <w:numId w:val="152"/>
        </w:numPr>
        <w:rPr>
          <w:rFonts w:ascii="Arial" w:cs="Arial" w:eastAsia="Arial" w:hAnsi="Arial"/>
          <w:sz w:val="19"/>
          <w:szCs w:val="19"/>
          <w:color w:val="auto"/>
        </w:rPr>
      </w:pPr>
      <w:r>
        <w:rPr>
          <w:rFonts w:ascii="Arial" w:cs="Arial" w:eastAsia="Arial" w:hAnsi="Arial"/>
          <w:sz w:val="19"/>
          <w:szCs w:val="19"/>
          <w:color w:val="auto"/>
        </w:rPr>
        <w:t>Indebtedness incurred by the Borrower or any of its Restricted Subsidiaries in a Permitted Acquisition, any other Investment expressly permitted hereunder or any Disposition expressly permitted hereunder, in each case, constituting indemnification obligations or obligations in respect of purchase price (including earnouts and holdbacks) or other similar adjustments;</w:t>
      </w:r>
    </w:p>
    <w:p>
      <w:pPr>
        <w:spacing w:after="0" w:line="169" w:lineRule="exact"/>
        <w:rPr>
          <w:rFonts w:ascii="Arial" w:cs="Arial" w:eastAsia="Arial" w:hAnsi="Arial"/>
          <w:sz w:val="19"/>
          <w:szCs w:val="19"/>
          <w:color w:val="auto"/>
        </w:rPr>
      </w:pPr>
    </w:p>
    <w:p>
      <w:pPr>
        <w:jc w:val="both"/>
        <w:ind w:firstLine="8"/>
        <w:spacing w:after="0" w:line="250" w:lineRule="auto"/>
        <w:tabs>
          <w:tab w:leader="none" w:pos="509" w:val="left"/>
        </w:tabs>
        <w:numPr>
          <w:ilvl w:val="0"/>
          <w:numId w:val="152"/>
        </w:numPr>
        <w:rPr>
          <w:rFonts w:ascii="Arial" w:cs="Arial" w:eastAsia="Arial" w:hAnsi="Arial"/>
          <w:sz w:val="20"/>
          <w:szCs w:val="20"/>
          <w:color w:val="auto"/>
        </w:rPr>
      </w:pPr>
      <w:r>
        <w:rPr>
          <w:rFonts w:ascii="Arial" w:cs="Arial" w:eastAsia="Arial" w:hAnsi="Arial"/>
          <w:sz w:val="20"/>
          <w:szCs w:val="20"/>
          <w:color w:val="auto"/>
        </w:rPr>
        <w:t>Indebtedness in respect of treasury, depository, credit card, debit card and cash management services or automated clearinghouse transfer of funds, overdraft or any similar services incurred in the ordinary course of business or any similar cash management services relating or secured pursuant to the ABL Facility and any hedges related to the ABL Facility;</w:t>
      </w:r>
    </w:p>
    <w:p>
      <w:pPr>
        <w:spacing w:after="0" w:line="185" w:lineRule="exact"/>
        <w:rPr>
          <w:rFonts w:ascii="Arial" w:cs="Arial" w:eastAsia="Arial" w:hAnsi="Arial"/>
          <w:sz w:val="20"/>
          <w:szCs w:val="20"/>
          <w:color w:val="auto"/>
        </w:rPr>
      </w:pPr>
    </w:p>
    <w:p>
      <w:pPr>
        <w:ind w:firstLine="8"/>
        <w:spacing w:after="0" w:line="260" w:lineRule="auto"/>
        <w:tabs>
          <w:tab w:leader="none" w:pos="509" w:val="left"/>
        </w:tabs>
        <w:numPr>
          <w:ilvl w:val="0"/>
          <w:numId w:val="152"/>
        </w:numPr>
        <w:rPr>
          <w:rFonts w:ascii="Arial" w:cs="Arial" w:eastAsia="Arial" w:hAnsi="Arial"/>
          <w:sz w:val="20"/>
          <w:szCs w:val="20"/>
          <w:color w:val="auto"/>
        </w:rPr>
      </w:pPr>
      <w:r>
        <w:rPr>
          <w:rFonts w:ascii="Arial" w:cs="Arial" w:eastAsia="Arial" w:hAnsi="Arial"/>
          <w:sz w:val="20"/>
          <w:szCs w:val="20"/>
          <w:color w:val="auto"/>
        </w:rPr>
        <w:t>Indebtedness consisting of the financing of insurance premiums or take-or-pay obligations contained in supply arrangements that do not constitute Guarantees, in each case, in the ordinary course of business;</w:t>
      </w:r>
    </w:p>
    <w:p>
      <w:pPr>
        <w:spacing w:after="0" w:line="176" w:lineRule="exact"/>
        <w:rPr>
          <w:rFonts w:ascii="Arial" w:cs="Arial" w:eastAsia="Arial" w:hAnsi="Arial"/>
          <w:sz w:val="20"/>
          <w:szCs w:val="20"/>
          <w:color w:val="auto"/>
        </w:rPr>
      </w:pPr>
    </w:p>
    <w:p>
      <w:pPr>
        <w:jc w:val="both"/>
        <w:ind w:firstLine="8"/>
        <w:spacing w:after="0" w:line="244" w:lineRule="auto"/>
        <w:tabs>
          <w:tab w:leader="none" w:pos="509" w:val="left"/>
        </w:tabs>
        <w:numPr>
          <w:ilvl w:val="0"/>
          <w:numId w:val="152"/>
        </w:numPr>
        <w:rPr>
          <w:rFonts w:ascii="Arial" w:cs="Arial" w:eastAsia="Arial" w:hAnsi="Arial"/>
          <w:sz w:val="20"/>
          <w:szCs w:val="20"/>
          <w:color w:val="auto"/>
        </w:rPr>
      </w:pPr>
      <w:r>
        <w:rPr>
          <w:rFonts w:ascii="Arial" w:cs="Arial" w:eastAsia="Arial" w:hAnsi="Arial"/>
          <w:sz w:val="20"/>
          <w:szCs w:val="20"/>
          <w:color w:val="auto"/>
        </w:rPr>
        <w:t>Indebtedness incurred by the Borrower or any of its Restricted Subsidiaries in respect of letters of credit, bank guarantees, bankers’ acceptances or similar instruments issued or created in the ordinary course of business and not in connection with the borrowing of money, including in respect of workers compensation claims, health, disability or other employee benefits or property, casualty or liability insurance or self-insurance or other Indebtedness incurred in the ordinary course of business with respect to reimbursement-type obligations regarding workers compensation claims;</w:t>
      </w:r>
    </w:p>
    <w:p>
      <w:pPr>
        <w:spacing w:after="0" w:line="194" w:lineRule="exact"/>
        <w:rPr>
          <w:rFonts w:ascii="Arial" w:cs="Arial" w:eastAsia="Arial" w:hAnsi="Arial"/>
          <w:sz w:val="20"/>
          <w:szCs w:val="20"/>
          <w:color w:val="auto"/>
        </w:rPr>
      </w:pPr>
    </w:p>
    <w:p>
      <w:pPr>
        <w:jc w:val="both"/>
        <w:ind w:firstLine="8"/>
        <w:spacing w:after="0" w:line="246" w:lineRule="auto"/>
        <w:tabs>
          <w:tab w:leader="none" w:pos="509" w:val="left"/>
        </w:tabs>
        <w:numPr>
          <w:ilvl w:val="0"/>
          <w:numId w:val="152"/>
        </w:numPr>
        <w:rPr>
          <w:rFonts w:ascii="Arial" w:cs="Arial" w:eastAsia="Arial" w:hAnsi="Arial"/>
          <w:sz w:val="20"/>
          <w:szCs w:val="20"/>
          <w:color w:val="auto"/>
        </w:rPr>
      </w:pPr>
      <w:r>
        <w:rPr>
          <w:rFonts w:ascii="Arial" w:cs="Arial" w:eastAsia="Arial" w:hAnsi="Arial"/>
          <w:sz w:val="20"/>
          <w:szCs w:val="20"/>
          <w:color w:val="auto"/>
        </w:rPr>
        <w:t>obligations in respect of performance, bid, appeal and surety bonds and performance and completion guarantees and similar obligations provided by the Borrower or any of its Restricted Subsidiaries or obligations in respect of letters of credit, bank guarantees or similar instruments related thereto, in each case in the ordinary course of business or consistent with past practice and not in connection with the borrowing of money or Swap Contracts;</w:t>
      </w:r>
    </w:p>
    <w:p>
      <w:pPr>
        <w:spacing w:after="0" w:line="191" w:lineRule="exact"/>
        <w:rPr>
          <w:rFonts w:ascii="Arial" w:cs="Arial" w:eastAsia="Arial" w:hAnsi="Arial"/>
          <w:sz w:val="20"/>
          <w:szCs w:val="20"/>
          <w:color w:val="auto"/>
        </w:rPr>
      </w:pPr>
    </w:p>
    <w:p>
      <w:pPr>
        <w:jc w:val="both"/>
        <w:ind w:firstLine="8"/>
        <w:spacing w:after="0" w:line="257" w:lineRule="auto"/>
        <w:tabs>
          <w:tab w:leader="none" w:pos="509"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(x) (i) ABL Facility Indebtedness and (ii) any Permitted Refinancing thereof, in each case, of the Loan Parties;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principal amount outstanding at any time of all such Indebtedness under clauses (i) and (ii) of this </w:t>
      </w:r>
      <w:r>
        <w:rPr>
          <w:rFonts w:ascii="Arial" w:cs="Arial" w:eastAsia="Arial" w:hAnsi="Arial"/>
          <w:sz w:val="19"/>
          <w:szCs w:val="19"/>
          <w:u w:val="single" w:color="auto"/>
          <w:color w:val="auto"/>
        </w:rPr>
        <w:t>Section 7.03(o)(x)</w:t>
      </w:r>
      <w:r>
        <w:rPr>
          <w:rFonts w:ascii="Arial" w:cs="Arial" w:eastAsia="Arial" w:hAnsi="Arial"/>
          <w:sz w:val="19"/>
          <w:szCs w:val="19"/>
          <w:color w:val="auto"/>
        </w:rPr>
        <w:t xml:space="preserve"> shall not exceed $500,000,000, (y) (i) UST Tranche A Facility Indebtedness and (ii) any Permitted Refinancing thereof, in each case, of the Loan Parties; and (z) (i) UST Tranche B Facility Indebtedness and (ii) any Permitted Refinancing thereof, in each case, of the Loan Parties,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aggregate principal amount outstanding (excluding interest paid-in-kind or otherwise capitalized to principal) at any time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all such Indebtedness under clauses (i) and (ii) of this </w:t>
      </w:r>
      <w:r>
        <w:rPr>
          <w:rFonts w:ascii="Arial" w:cs="Arial" w:eastAsia="Arial" w:hAnsi="Arial"/>
          <w:sz w:val="19"/>
          <w:szCs w:val="19"/>
          <w:u w:val="single" w:color="auto"/>
          <w:color w:val="auto"/>
        </w:rPr>
        <w:t>Section 7.03(o)(z)</w:t>
      </w:r>
      <w:r>
        <w:rPr>
          <w:rFonts w:ascii="Arial" w:cs="Arial" w:eastAsia="Arial" w:hAnsi="Arial"/>
          <w:sz w:val="19"/>
          <w:szCs w:val="19"/>
          <w:color w:val="auto"/>
        </w:rPr>
        <w:t xml:space="preserve"> shall not exceed $400,000,000;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principal amount outstanding (excluding interest paid-in-kind or otherwise capitalized to principal) at any time of all such Indebtedness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7.03(o)(y)</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7.03(o)(z)</w:t>
      </w:r>
      <w:r>
        <w:rPr>
          <w:rFonts w:ascii="Arial" w:cs="Arial" w:eastAsia="Arial" w:hAnsi="Arial"/>
          <w:sz w:val="19"/>
          <w:szCs w:val="19"/>
          <w:color w:val="auto"/>
        </w:rPr>
        <w:t>, on a combined basis, shall not exceed $700,000,000;</w:t>
      </w:r>
    </w:p>
    <w:p>
      <w:pPr>
        <w:spacing w:after="0" w:line="180" w:lineRule="exact"/>
        <w:rPr>
          <w:rFonts w:ascii="Arial" w:cs="Arial" w:eastAsia="Arial" w:hAnsi="Arial"/>
          <w:sz w:val="19"/>
          <w:szCs w:val="19"/>
          <w:color w:val="auto"/>
        </w:rPr>
      </w:pPr>
    </w:p>
    <w:p>
      <w:pPr>
        <w:ind w:left="520" w:hanging="512"/>
        <w:spacing w:after="0"/>
        <w:tabs>
          <w:tab w:leader="none" w:pos="52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firstLine="8"/>
        <w:spacing w:after="0" w:line="260" w:lineRule="auto"/>
        <w:tabs>
          <w:tab w:leader="none" w:pos="509" w:val="left"/>
        </w:tabs>
        <w:numPr>
          <w:ilvl w:val="0"/>
          <w:numId w:val="152"/>
        </w:numPr>
        <w:rPr>
          <w:rFonts w:ascii="Arial" w:cs="Arial" w:eastAsia="Arial" w:hAnsi="Arial"/>
          <w:sz w:val="20"/>
          <w:szCs w:val="20"/>
          <w:color w:val="auto"/>
        </w:rPr>
      </w:pPr>
      <w:r>
        <w:rPr>
          <w:rFonts w:ascii="Arial" w:cs="Arial" w:eastAsia="Arial" w:hAnsi="Arial"/>
          <w:sz w:val="20"/>
          <w:szCs w:val="20"/>
          <w:color w:val="auto"/>
        </w:rPr>
        <w:t>(i) Credit Agreement Refinancing Indebtedness (other than any Credit Agreement Refinancing Indebtedness incurred pursuant to a Refinancing Amendment) and (ii) any Permitted Refinancing thereof;</w:t>
      </w:r>
    </w:p>
    <w:p>
      <w:pPr>
        <w:spacing w:after="0" w:line="176" w:lineRule="exact"/>
        <w:rPr>
          <w:rFonts w:ascii="Arial" w:cs="Arial" w:eastAsia="Arial" w:hAnsi="Arial"/>
          <w:sz w:val="20"/>
          <w:szCs w:val="20"/>
          <w:color w:val="auto"/>
        </w:rPr>
      </w:pPr>
    </w:p>
    <w:p>
      <w:pPr>
        <w:ind w:left="520" w:hanging="512"/>
        <w:spacing w:after="0"/>
        <w:tabs>
          <w:tab w:leader="none" w:pos="52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520" w:hanging="512"/>
        <w:spacing w:after="0"/>
        <w:tabs>
          <w:tab w:leader="none" w:pos="52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[reserved];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3" w:name="page144"/>
    <w:bookmarkEnd w:id="143"/>
    <w:p>
      <w:pPr>
        <w:ind w:firstLine="8"/>
        <w:spacing w:after="0" w:line="260" w:lineRule="auto"/>
        <w:tabs>
          <w:tab w:leader="none" w:pos="509" w:val="left"/>
        </w:tabs>
        <w:numPr>
          <w:ilvl w:val="0"/>
          <w:numId w:val="153"/>
        </w:numPr>
        <w:rPr>
          <w:rFonts w:ascii="Arial" w:cs="Arial" w:eastAsia="Arial" w:hAnsi="Arial"/>
          <w:sz w:val="20"/>
          <w:szCs w:val="20"/>
          <w:color w:val="auto"/>
        </w:rPr>
      </w:pPr>
      <w:r>
        <w:rPr>
          <w:rFonts w:ascii="Arial" w:cs="Arial" w:eastAsia="Arial" w:hAnsi="Arial"/>
          <w:sz w:val="20"/>
          <w:szCs w:val="20"/>
          <w:color w:val="auto"/>
        </w:rPr>
        <w:t>all premiums (if any), interest (including post-petition interest and interest paid in kind), fees, expenses, charges and additional or contingent interest on obligations described in clauses (a) through (q) above and (u) through (ff) below;</w:t>
      </w:r>
    </w:p>
    <w:p>
      <w:pPr>
        <w:spacing w:after="0" w:line="176" w:lineRule="exact"/>
        <w:rPr>
          <w:rFonts w:ascii="Arial" w:cs="Arial" w:eastAsia="Arial" w:hAnsi="Arial"/>
          <w:sz w:val="20"/>
          <w:szCs w:val="20"/>
          <w:color w:val="auto"/>
        </w:rPr>
      </w:pPr>
    </w:p>
    <w:p>
      <w:pPr>
        <w:ind w:left="520" w:hanging="512"/>
        <w:spacing w:after="0"/>
        <w:tabs>
          <w:tab w:leader="none" w:pos="52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520" w:hanging="512"/>
        <w:spacing w:after="0"/>
        <w:tabs>
          <w:tab w:leader="none" w:pos="52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520" w:hanging="512"/>
        <w:spacing w:after="0"/>
        <w:tabs>
          <w:tab w:leader="none" w:pos="52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firstLine="8"/>
        <w:spacing w:after="0" w:line="260" w:lineRule="auto"/>
        <w:tabs>
          <w:tab w:leader="none" w:pos="509" w:val="left"/>
        </w:tabs>
        <w:numPr>
          <w:ilvl w:val="0"/>
          <w:numId w:val="153"/>
        </w:numPr>
        <w:rPr>
          <w:rFonts w:ascii="Arial" w:cs="Arial" w:eastAsia="Arial" w:hAnsi="Arial"/>
          <w:sz w:val="20"/>
          <w:szCs w:val="20"/>
          <w:color w:val="auto"/>
        </w:rPr>
      </w:pPr>
      <w:r>
        <w:rPr>
          <w:rFonts w:ascii="Arial" w:cs="Arial" w:eastAsia="Arial" w:hAnsi="Arial"/>
          <w:sz w:val="20"/>
          <w:szCs w:val="20"/>
          <w:color w:val="auto"/>
        </w:rPr>
        <w:t>Indebtedness in respect of taxes, assessments or governmental charges to the extent that payment thereof shall not at the time be required to be made hereunder;</w:t>
      </w:r>
    </w:p>
    <w:p>
      <w:pPr>
        <w:spacing w:after="0" w:line="176" w:lineRule="exact"/>
        <w:rPr>
          <w:rFonts w:ascii="Arial" w:cs="Arial" w:eastAsia="Arial" w:hAnsi="Arial"/>
          <w:sz w:val="20"/>
          <w:szCs w:val="20"/>
          <w:color w:val="auto"/>
        </w:rPr>
      </w:pPr>
    </w:p>
    <w:p>
      <w:pPr>
        <w:ind w:left="520" w:hanging="512"/>
        <w:spacing w:after="0"/>
        <w:tabs>
          <w:tab w:leader="none" w:pos="52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520" w:hanging="512"/>
        <w:spacing w:after="0"/>
        <w:tabs>
          <w:tab w:leader="none" w:pos="52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[reserved];</w:t>
      </w:r>
    </w:p>
    <w:p>
      <w:pPr>
        <w:spacing w:after="0" w:line="216" w:lineRule="exact"/>
        <w:rPr>
          <w:sz w:val="20"/>
          <w:szCs w:val="20"/>
          <w:color w:val="auto"/>
        </w:rPr>
      </w:pPr>
    </w:p>
    <w:p>
      <w:pPr>
        <w:jc w:val="both"/>
        <w:ind w:firstLine="8"/>
        <w:spacing w:after="0" w:line="250" w:lineRule="auto"/>
        <w:tabs>
          <w:tab w:leader="none" w:pos="509" w:val="left"/>
        </w:tabs>
        <w:numPr>
          <w:ilvl w:val="0"/>
          <w:numId w:val="154"/>
        </w:numPr>
        <w:rPr>
          <w:rFonts w:ascii="Arial" w:cs="Arial" w:eastAsia="Arial" w:hAnsi="Arial"/>
          <w:sz w:val="20"/>
          <w:szCs w:val="20"/>
          <w:color w:val="auto"/>
        </w:rPr>
      </w:pPr>
      <w:r>
        <w:rPr>
          <w:rFonts w:ascii="Arial" w:cs="Arial" w:eastAsia="Arial" w:hAnsi="Arial"/>
          <w:sz w:val="20"/>
          <w:szCs w:val="20"/>
          <w:color w:val="auto"/>
        </w:rPr>
        <w:t xml:space="preserve">Indebtedness in respect of Sale and Leaseback Transactions in an amount not to exceed $25,000,000 at any time outstanding;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as of and after the Amendment No. 3 Effective Date, this clause (aa) shall be unavailable for use under this Agreement and the dollar amount specified in this clause (aa) shall be $0;</w:t>
      </w:r>
    </w:p>
    <w:p>
      <w:pPr>
        <w:spacing w:after="0" w:line="185" w:lineRule="exact"/>
        <w:rPr>
          <w:rFonts w:ascii="Arial" w:cs="Arial" w:eastAsia="Arial" w:hAnsi="Arial"/>
          <w:sz w:val="20"/>
          <w:szCs w:val="20"/>
          <w:color w:val="auto"/>
        </w:rPr>
      </w:pPr>
    </w:p>
    <w:p>
      <w:pPr>
        <w:ind w:left="520" w:hanging="512"/>
        <w:spacing w:after="0"/>
        <w:tabs>
          <w:tab w:leader="none" w:pos="5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 xml:space="preserve">Indebtedness in respect of Investments not prohibited by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(other than clause (v) thereof);</w:t>
      </w:r>
    </w:p>
    <w:p>
      <w:pPr>
        <w:spacing w:after="0" w:line="215" w:lineRule="exact"/>
        <w:rPr>
          <w:rFonts w:ascii="Arial" w:cs="Arial" w:eastAsia="Arial" w:hAnsi="Arial"/>
          <w:sz w:val="20"/>
          <w:szCs w:val="20"/>
          <w:color w:val="auto"/>
        </w:rPr>
      </w:pPr>
    </w:p>
    <w:p>
      <w:pPr>
        <w:ind w:left="520" w:hanging="512"/>
        <w:spacing w:after="0"/>
        <w:tabs>
          <w:tab w:leader="none" w:pos="5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8"/>
        <w:spacing w:after="0" w:line="250" w:lineRule="auto"/>
        <w:tabs>
          <w:tab w:leader="none" w:pos="509" w:val="left"/>
        </w:tabs>
        <w:numPr>
          <w:ilvl w:val="0"/>
          <w:numId w:val="154"/>
        </w:numPr>
        <w:rPr>
          <w:rFonts w:ascii="Arial" w:cs="Arial" w:eastAsia="Arial" w:hAnsi="Arial"/>
          <w:sz w:val="20"/>
          <w:szCs w:val="20"/>
          <w:color w:val="auto"/>
        </w:rPr>
      </w:pPr>
      <w:r>
        <w:rPr>
          <w:rFonts w:ascii="Arial" w:cs="Arial" w:eastAsia="Arial" w:hAnsi="Arial"/>
          <w:sz w:val="20"/>
          <w:szCs w:val="20"/>
          <w:color w:val="auto"/>
        </w:rPr>
        <w:t>Indebtedness incurred in respect of credit cards, credit card processing services, debit cards, stored value cards, purchase cards (including so-called "procurement cards" or "P-cards") or other similar cash management services, in each case, incurred in the ordinary course of business consistent with past practice;</w:t>
      </w:r>
    </w:p>
    <w:p>
      <w:pPr>
        <w:spacing w:after="0" w:line="185" w:lineRule="exact"/>
        <w:rPr>
          <w:rFonts w:ascii="Arial" w:cs="Arial" w:eastAsia="Arial" w:hAnsi="Arial"/>
          <w:sz w:val="20"/>
          <w:szCs w:val="20"/>
          <w:color w:val="auto"/>
        </w:rPr>
      </w:pPr>
    </w:p>
    <w:p>
      <w:pPr>
        <w:ind w:left="520" w:hanging="512"/>
        <w:spacing w:after="0"/>
        <w:tabs>
          <w:tab w:leader="none" w:pos="5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8"/>
        <w:spacing w:after="0" w:line="269" w:lineRule="auto"/>
        <w:tabs>
          <w:tab w:leader="none" w:pos="509"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other Indebtedness of the Borrower or any of its Restricted Subsidiaries, in an aggregate principal amount at any time outstanding not to exceed $30,000,000;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principal amount of Indebtedness of Restricted Subsidiaries that are not Guarantors permitted under this </w:t>
      </w:r>
      <w:r>
        <w:rPr>
          <w:rFonts w:ascii="Arial" w:cs="Arial" w:eastAsia="Arial" w:hAnsi="Arial"/>
          <w:sz w:val="19"/>
          <w:szCs w:val="19"/>
          <w:u w:val="single" w:color="auto"/>
          <w:color w:val="auto"/>
        </w:rPr>
        <w:t>Section 7.03(ff)</w:t>
      </w:r>
      <w:r>
        <w:rPr>
          <w:rFonts w:ascii="Arial" w:cs="Arial" w:eastAsia="Arial" w:hAnsi="Arial"/>
          <w:sz w:val="19"/>
          <w:szCs w:val="19"/>
          <w:color w:val="auto"/>
        </w:rPr>
        <w:t xml:space="preserve"> at any time outstanding shall not exceed $5,000,000; and</w:t>
      </w:r>
    </w:p>
    <w:p>
      <w:pPr>
        <w:spacing w:after="0" w:line="169" w:lineRule="exact"/>
        <w:rPr>
          <w:rFonts w:ascii="Arial" w:cs="Arial" w:eastAsia="Arial" w:hAnsi="Arial"/>
          <w:sz w:val="19"/>
          <w:szCs w:val="19"/>
          <w:color w:val="auto"/>
        </w:rPr>
      </w:pPr>
    </w:p>
    <w:p>
      <w:pPr>
        <w:jc w:val="both"/>
        <w:ind w:firstLine="8"/>
        <w:spacing w:after="0" w:line="316" w:lineRule="auto"/>
        <w:tabs>
          <w:tab w:leader="none" w:pos="50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obligations, charges or liabilities incurred in the ordinary course of business (and not representing Indebtedness for borrowed money) outstanding as of the Amendment No. 2 Effective Date and identified to the Lenders in the schedule delivered to the Lenders on July 5, 2020.</w:t>
      </w:r>
    </w:p>
    <w:p>
      <w:pPr>
        <w:spacing w:after="0" w:line="130" w:lineRule="exact"/>
        <w:rPr>
          <w:sz w:val="20"/>
          <w:szCs w:val="20"/>
          <w:color w:val="auto"/>
        </w:rPr>
      </w:pPr>
    </w:p>
    <w:p>
      <w:pPr>
        <w:jc w:val="both"/>
        <w:ind w:firstLine="1497"/>
        <w:spacing w:after="0" w:line="291"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Fundamental Changes.</w:t>
      </w:r>
      <w:r>
        <w:rPr>
          <w:rFonts w:ascii="Arial" w:cs="Arial" w:eastAsia="Arial" w:hAnsi="Arial"/>
          <w:sz w:val="18"/>
          <w:szCs w:val="18"/>
          <w:color w:val="auto"/>
        </w:rPr>
        <w:t xml:space="preserve"> The Borrower shall not, nor shall it permit any Restricted Subsidiary to, directly or indirectly, merge, dissolve, liquidate, consolidate with or into another Person, or Dispose of (whether in one transaction or in a series of related transactions) all or substantially all of its assets (whether now owned or hereafter acquired) to or in favor of any Person, except that:</w:t>
      </w:r>
    </w:p>
    <w:p>
      <w:pPr>
        <w:spacing w:after="0" w:line="152" w:lineRule="exact"/>
        <w:rPr>
          <w:sz w:val="20"/>
          <w:szCs w:val="20"/>
          <w:color w:val="auto"/>
        </w:rPr>
      </w:pPr>
    </w:p>
    <w:p>
      <w:pPr>
        <w:jc w:val="both"/>
        <w:ind w:firstLine="8"/>
        <w:spacing w:after="0" w:line="263" w:lineRule="auto"/>
        <w:tabs>
          <w:tab w:leader="none" w:pos="509"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any Restricted Subsidiary may merge, amalgamate or consolidate with (i) the Borrower (including a merger, the purpose of which is to reorganize the Borrower into a new jurisdiction);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 no Event of Default exists or would result therefrom, (x) the Borrower shall be the continuing or surviving Person, (y) such transaction does not result in the Borrower ceasing to be organized under the laws of the United States, any State thereof or the District of Columbia and (z) such transaction does not have 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4" w:name="page145"/>
    <w:bookmarkEnd w:id="144"/>
    <w:p>
      <w:pPr>
        <w:jc w:val="both"/>
        <w:ind w:firstLine="509"/>
        <w:spacing w:after="0" w:line="291" w:lineRule="auto"/>
        <w:rPr>
          <w:sz w:val="20"/>
          <w:szCs w:val="20"/>
          <w:color w:val="auto"/>
        </w:rPr>
      </w:pPr>
      <w:r>
        <w:rPr>
          <w:rFonts w:ascii="Arial" w:cs="Arial" w:eastAsia="Arial" w:hAnsi="Arial"/>
          <w:sz w:val="18"/>
          <w:szCs w:val="18"/>
          <w:color w:val="auto"/>
        </w:rPr>
        <w:t xml:space="preserve">adverse effect in any material respect on the perfection or priority of the Liens granted under the Collateral Documents or (ii) one or more other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the case of this clause (ii), that when such transaction involves a Loan Party, a Loan Party shall be the continuing or surviving Person except to the extent otherwise constituting an Investment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52" w:lineRule="exact"/>
        <w:rPr>
          <w:sz w:val="20"/>
          <w:szCs w:val="20"/>
          <w:color w:val="auto"/>
        </w:rPr>
      </w:pPr>
    </w:p>
    <w:p>
      <w:pPr>
        <w:jc w:val="both"/>
        <w:ind w:firstLine="8"/>
        <w:spacing w:after="0" w:line="274" w:lineRule="auto"/>
        <w:tabs>
          <w:tab w:leader="none" w:pos="50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(i) any Restricted Subsidiary that is not a Loan Party may merge, amalgamate or consolidate with or into any other Restricted Subsidiary that is not a Loan Party and (ii) any Restricted Subsidiary may liquidate or dissolve or change its legal form if the Borrower determines in good faith that such action is in the best interest of the Borrower and the Restricted Subsidiaries and is not disadvantageous to the Lenders in any material respect (it being understood that (other than a transaction constituting a permitted Investment under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or involving an Excluded Subsidiary) in the case of any liquidation or dissolution of a Guarantor, such Guarantor shall transfer its assets to a Loan Party, and in the case of any change in legal form, a Restricted Subsidiary that is a Guarantor will remain a Guarantor and such transaction shall not have an adverse effect on the perfection or priority of the Liens granted under the Collateral Documents);</w:t>
      </w:r>
    </w:p>
    <w:p>
      <w:pPr>
        <w:spacing w:after="0" w:line="168" w:lineRule="exact"/>
        <w:rPr>
          <w:rFonts w:ascii="Arial" w:cs="Arial" w:eastAsia="Arial" w:hAnsi="Arial"/>
          <w:sz w:val="18"/>
          <w:szCs w:val="18"/>
          <w:color w:val="auto"/>
        </w:rPr>
      </w:pPr>
    </w:p>
    <w:p>
      <w:pPr>
        <w:jc w:val="both"/>
        <w:ind w:firstLine="8"/>
        <w:spacing w:after="0" w:line="282" w:lineRule="auto"/>
        <w:tabs>
          <w:tab w:leader="none" w:pos="50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any Restricted Subsidiary may Dispose of all or substantially all of its assets (upon voluntary liquidation or otherwise) to the Borrower or to another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transferor in such a transaction is a Guarantor, then (i) the transferee must be a Guarantor or the Borrower or (ii) to the extent constituting an Investment, such Investment must be a permitted Investment in or Indebtedness of a Restricted Subsidiary which is not a Loan Party in accordance with </w:t>
      </w:r>
      <w:r>
        <w:rPr>
          <w:rFonts w:ascii="Arial" w:cs="Arial" w:eastAsia="Arial" w:hAnsi="Arial"/>
          <w:sz w:val="18"/>
          <w:szCs w:val="18"/>
          <w:u w:val="single" w:color="auto"/>
          <w:color w:val="auto"/>
        </w:rPr>
        <w:t>Sections 7.02</w:t>
      </w:r>
      <w:r>
        <w:rPr>
          <w:rFonts w:ascii="Arial" w:cs="Arial" w:eastAsia="Arial" w:hAnsi="Arial"/>
          <w:sz w:val="18"/>
          <w:szCs w:val="18"/>
          <w:color w:val="auto"/>
        </w:rPr>
        <w:t xml:space="preserve"> and 7.03, respectively;</w:t>
      </w:r>
    </w:p>
    <w:p>
      <w:pPr>
        <w:spacing w:after="0" w:line="161" w:lineRule="exact"/>
        <w:rPr>
          <w:rFonts w:ascii="Arial" w:cs="Arial" w:eastAsia="Arial" w:hAnsi="Arial"/>
          <w:sz w:val="18"/>
          <w:szCs w:val="18"/>
          <w:color w:val="auto"/>
        </w:rPr>
      </w:pPr>
    </w:p>
    <w:p>
      <w:pPr>
        <w:jc w:val="both"/>
        <w:ind w:firstLine="8"/>
        <w:spacing w:after="0" w:line="268" w:lineRule="auto"/>
        <w:tabs>
          <w:tab w:leader="none" w:pos="50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so long as no Event of Default exists or would result therefrom, the Borrower may merge with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Borrower shall be the continuing or surviving corporation or (ii) if the Person formed by or surviving any such merger or consolidation is not the Borrower (any such Person, the “</w:t>
      </w:r>
      <w:r>
        <w:rPr>
          <w:rFonts w:ascii="Arial" w:cs="Arial" w:eastAsia="Arial" w:hAnsi="Arial"/>
          <w:sz w:val="18"/>
          <w:szCs w:val="18"/>
          <w:b w:val="1"/>
          <w:bCs w:val="1"/>
          <w:color w:val="auto"/>
        </w:rPr>
        <w:t>Successor Borrower</w:t>
      </w:r>
      <w:r>
        <w:rPr>
          <w:rFonts w:ascii="Arial" w:cs="Arial" w:eastAsia="Arial" w:hAnsi="Arial"/>
          <w:sz w:val="18"/>
          <w:szCs w:val="18"/>
          <w:color w:val="auto"/>
        </w:rPr>
        <w:t xml:space="preserve">”), (A) the Successor Borrower shall be an entity organized or existing under the Laws of the United States, any state thereof or the District of Columbia and such transaction shall not have an adverse effect in any material respect on the perfection or priority of the Liens granted under the Collateral Documents, (B) the Successor Borrower shall expressly assume all the obligations of the Borrower under this Agreement and the other Loan Documents to which the Borrower is a party pursuant to a supplement hereto or thereto in form reasonably satisfactory to the Administrative Agent and the Borrower, (C) each Guarantor, unless it is the other party to such merger or consolidation, shall have confirmed that its Guarantee shall apply to the Successor Borrower’s obligations under the Loan Documents, (D) each Guarantor, unless it is the other party to such merger or consolidation, shall have by a supplement to the Security Agreement and other applicable Collateral Documents confirmed that the collateral granted by it to secure its obligations thereunder shall apply to secure its and the Successor Borrower’s obligations under the Loan Documents, (E) if reasonably requested by the Collateral Agent, each mortgagor of a Mortgaged Property, unless it is the other party to such merger or consolidation, shall have by an amendment to or restatement of the applicable Mortgage (or other instrument reasonably satisfactory to the Collateral Agent) confirmed that the collateral granted by it to secure its obligations thereunder shall apply to secure its and the Successor Borrower’s obligations under the Loan Documents, and (F) the Borrower shall have delivered to the Administrative Agent an officer’s certificate and an opinion, each stating that such merger or consolidation and such supplement to this Agreement or any Collateral Document comply with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the foregoing are satisfied (or waived), the Successor Borrower will succeed to, and be substituted for, the Borrower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Borrower agrees to provide any documentation and other information about the Successor Borrower as shall have been reasonably requested in writing by any Lender through the Administrative Agent that is required by regulatory authorities or under applicable “know your customer” and anti-money laundering rules and regulations, including without limitation the USA Patriot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4526915</wp:posOffset>
            </wp:positionH>
            <wp:positionV relativeFrom="paragraph">
              <wp:posOffset>-3086735</wp:posOffset>
            </wp:positionV>
            <wp:extent cx="2514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5" w:name="page146"/>
    <w:bookmarkEnd w:id="145"/>
    <w:p>
      <w:pPr>
        <w:jc w:val="both"/>
        <w:ind w:firstLine="8"/>
        <w:spacing w:after="0" w:line="282" w:lineRule="auto"/>
        <w:tabs>
          <w:tab w:leader="none" w:pos="50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amalgamate or consolidate with any other Person (other than the Borrower) in order to effect an Investment permitted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either (x) the continuing or surviving Person shall be a Restricted Subsidiary, which together with each of its Restricted Subsidiaries, shall have complied with the requirements of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to the extent required pursuant to the Collateral and Guarantee Requirement or (y) the transaction shall otherwise constitute a permitted Investment;</w:t>
      </w:r>
    </w:p>
    <w:p>
      <w:pPr>
        <w:spacing w:after="0" w:line="161" w:lineRule="exact"/>
        <w:rPr>
          <w:rFonts w:ascii="Arial" w:cs="Arial" w:eastAsia="Arial" w:hAnsi="Arial"/>
          <w:sz w:val="18"/>
          <w:szCs w:val="18"/>
          <w:color w:val="auto"/>
        </w:rPr>
      </w:pPr>
    </w:p>
    <w:p>
      <w:pPr>
        <w:ind w:firstLine="8"/>
        <w:spacing w:after="0" w:line="260" w:lineRule="auto"/>
        <w:tabs>
          <w:tab w:leader="none" w:pos="509"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any Restricted Subsidiary may effect a merger, dissolution, liquidation or consolidation, the purpose of which is to effect a Disposition permitted pursuant to </w:t>
      </w:r>
      <w:r>
        <w:rPr>
          <w:rFonts w:ascii="Arial" w:cs="Arial" w:eastAsia="Arial" w:hAnsi="Arial"/>
          <w:sz w:val="20"/>
          <w:szCs w:val="20"/>
          <w:u w:val="single" w:color="auto"/>
          <w:color w:val="auto"/>
        </w:rPr>
        <w:t>Section 7.05</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ind w:firstLine="8"/>
        <w:spacing w:after="0" w:line="260" w:lineRule="auto"/>
        <w:tabs>
          <w:tab w:leader="none" w:pos="509"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any Restricted Subsidiary may Dispose of all or substantially all of its assets (upon voluntary liquidation or otherwise) to the extent that such Disposition (or series of related Dispositions) is not prohibited under </w:t>
      </w:r>
      <w:r>
        <w:rPr>
          <w:rFonts w:ascii="Arial" w:cs="Arial" w:eastAsia="Arial" w:hAnsi="Arial"/>
          <w:sz w:val="20"/>
          <w:szCs w:val="20"/>
          <w:u w:val="single" w:color="auto"/>
          <w:color w:val="auto"/>
        </w:rPr>
        <w:t>Section 7.05</w:t>
      </w:r>
      <w:r>
        <w:rPr>
          <w:rFonts w:ascii="Arial" w:cs="Arial" w:eastAsia="Arial" w:hAnsi="Arial"/>
          <w:sz w:val="20"/>
          <w:szCs w:val="20"/>
          <w:color w:val="auto"/>
        </w:rPr>
        <w:t>.</w:t>
      </w:r>
    </w:p>
    <w:p>
      <w:pPr>
        <w:spacing w:after="0" w:line="177" w:lineRule="exact"/>
        <w:rPr>
          <w:sz w:val="20"/>
          <w:szCs w:val="20"/>
          <w:color w:val="auto"/>
        </w:rPr>
      </w:pPr>
    </w:p>
    <w:p>
      <w:pPr>
        <w:ind w:firstLine="1497"/>
        <w:spacing w:after="0" w:line="260" w:lineRule="auto"/>
        <w:rPr>
          <w:sz w:val="20"/>
          <w:szCs w:val="20"/>
          <w:color w:val="auto"/>
        </w:rPr>
      </w:pPr>
      <w:r>
        <w:rPr>
          <w:rFonts w:ascii="Arial" w:cs="Arial" w:eastAsia="Arial" w:hAnsi="Arial"/>
          <w:sz w:val="20"/>
          <w:szCs w:val="20"/>
          <w:color w:val="auto"/>
        </w:rPr>
        <w:t xml:space="preserve">Section 7.05. </w:t>
      </w:r>
      <w:r>
        <w:rPr>
          <w:rFonts w:ascii="Arial" w:cs="Arial" w:eastAsia="Arial" w:hAnsi="Arial"/>
          <w:sz w:val="20"/>
          <w:szCs w:val="20"/>
          <w:i w:val="1"/>
          <w:iCs w:val="1"/>
          <w:color w:val="auto"/>
        </w:rPr>
        <w:t>Dispositions.</w:t>
      </w:r>
      <w:r>
        <w:rPr>
          <w:rFonts w:ascii="Arial" w:cs="Arial" w:eastAsia="Arial" w:hAnsi="Arial"/>
          <w:sz w:val="20"/>
          <w:szCs w:val="20"/>
          <w:color w:val="auto"/>
        </w:rPr>
        <w:t xml:space="preserve"> The Borrower shall not, nor shall it permit any Restricted Subsidiary to, directly or indirectly, make any Disposition, except:</w:t>
      </w:r>
    </w:p>
    <w:p>
      <w:pPr>
        <w:spacing w:after="0" w:line="177" w:lineRule="exact"/>
        <w:rPr>
          <w:sz w:val="20"/>
          <w:szCs w:val="20"/>
          <w:color w:val="auto"/>
        </w:rPr>
      </w:pPr>
    </w:p>
    <w:p>
      <w:pPr>
        <w:jc w:val="both"/>
        <w:ind w:firstLine="8"/>
        <w:spacing w:after="0" w:line="260" w:lineRule="auto"/>
        <w:tabs>
          <w:tab w:leader="none" w:pos="50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 Dispositions (including abandonment) of obsolete or worn out property, whether now owned or hereafter acquired, in the ordinary course of business, (ii) Dispositions (including abandonment) in the ordinary course of business of surplus property or property no longer used or useful in the conduct of the business of the Borrower or any of the Restricted Subsidiaries, (iii) Dispositions of immaterial assets (considered in the aggregate) in the ordinary course of business and (iv) Dispositions to landlords of improvements made to leased real property pursuant to customary terms of leases entered into in the ordinary course of business;</w:t>
      </w:r>
    </w:p>
    <w:p>
      <w:pPr>
        <w:spacing w:after="0" w:line="180" w:lineRule="exact"/>
        <w:rPr>
          <w:rFonts w:ascii="Arial" w:cs="Arial" w:eastAsia="Arial" w:hAnsi="Arial"/>
          <w:sz w:val="19"/>
          <w:szCs w:val="19"/>
          <w:color w:val="auto"/>
        </w:rPr>
      </w:pPr>
    </w:p>
    <w:p>
      <w:pPr>
        <w:jc w:val="both"/>
        <w:ind w:firstLine="8"/>
        <w:spacing w:after="0" w:line="282" w:lineRule="auto"/>
        <w:tabs>
          <w:tab w:leader="none" w:pos="50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Dispositions of property to the extent that (i) such property or an interest therein is exchanged for credit against the purchase price of similar replacement property, (ii) the proceeds of such Disposition are promptly applied to the purchase price of such replacement property, or (iii) such property is swapped in exchange for services or other assets of comparable or greater value or usefulness to the business of the Borrower and the Subsidiaries as whole, as determined in good faith by the management of the Borrower;</w:t>
      </w:r>
    </w:p>
    <w:p>
      <w:pPr>
        <w:spacing w:after="0" w:line="161" w:lineRule="exact"/>
        <w:rPr>
          <w:rFonts w:ascii="Arial" w:cs="Arial" w:eastAsia="Arial" w:hAnsi="Arial"/>
          <w:sz w:val="18"/>
          <w:szCs w:val="18"/>
          <w:color w:val="auto"/>
        </w:rPr>
      </w:pPr>
    </w:p>
    <w:p>
      <w:pPr>
        <w:ind w:left="520" w:hanging="512"/>
        <w:spacing w:after="0"/>
        <w:tabs>
          <w:tab w:leader="none" w:pos="5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Dispositions of property to the Borrower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transferor of such property is a Loan Party</w:t>
      </w:r>
    </w:p>
    <w:p>
      <w:pPr>
        <w:spacing w:after="0" w:line="38" w:lineRule="exact"/>
        <w:rPr>
          <w:rFonts w:ascii="Arial" w:cs="Arial" w:eastAsia="Arial" w:hAnsi="Arial"/>
          <w:sz w:val="18"/>
          <w:szCs w:val="18"/>
          <w:color w:val="auto"/>
        </w:rPr>
      </w:pPr>
    </w:p>
    <w:p>
      <w:pPr>
        <w:ind w:firstLine="8"/>
        <w:spacing w:after="0" w:line="269" w:lineRule="auto"/>
        <w:tabs>
          <w:tab w:leader="none" w:pos="245"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the transferee thereof must be a Loan Party and if such property constitutes Collateral, it shall continue to constitute Collateral after such Disposition or (ii) if such transaction constitutes an Investment, such transaction is permitted under </w:t>
      </w:r>
      <w:r>
        <w:rPr>
          <w:rFonts w:ascii="Arial" w:cs="Arial" w:eastAsia="Arial" w:hAnsi="Arial"/>
          <w:sz w:val="19"/>
          <w:szCs w:val="19"/>
          <w:u w:val="single" w:color="auto"/>
          <w:color w:val="auto"/>
        </w:rPr>
        <w:t>Section 7.02</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left="520" w:hanging="512"/>
        <w:spacing w:after="0"/>
        <w:tabs>
          <w:tab w:leader="none" w:pos="52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Dispositions of cash and Cash Equivalents;</w:t>
      </w:r>
    </w:p>
    <w:p>
      <w:pPr>
        <w:spacing w:after="0" w:line="215" w:lineRule="exact"/>
        <w:rPr>
          <w:rFonts w:ascii="Arial" w:cs="Arial" w:eastAsia="Arial" w:hAnsi="Arial"/>
          <w:sz w:val="20"/>
          <w:szCs w:val="20"/>
          <w:color w:val="auto"/>
        </w:rPr>
      </w:pPr>
    </w:p>
    <w:p>
      <w:pPr>
        <w:jc w:val="both"/>
        <w:ind w:firstLine="8"/>
        <w:spacing w:after="0" w:line="250" w:lineRule="auto"/>
        <w:tabs>
          <w:tab w:leader="none" w:pos="509" w:val="left"/>
        </w:tabs>
        <w:numPr>
          <w:ilvl w:val="0"/>
          <w:numId w:val="160"/>
        </w:numPr>
        <w:rPr>
          <w:rFonts w:ascii="Arial" w:cs="Arial" w:eastAsia="Arial" w:hAnsi="Arial"/>
          <w:sz w:val="20"/>
          <w:szCs w:val="20"/>
          <w:color w:val="auto"/>
        </w:rPr>
      </w:pPr>
      <w:r>
        <w:rPr>
          <w:rFonts w:ascii="Arial" w:cs="Arial" w:eastAsia="Arial" w:hAnsi="Arial"/>
          <w:sz w:val="20"/>
          <w:szCs w:val="20"/>
          <w:color w:val="auto"/>
        </w:rPr>
        <w:t>leases, subleases, licenses, sublicenses (including the provision of software under an open source license) or any abandonment thereof, in each case (i) in the ordinary course of business and (ii) without interfering in any material respect with the business of the Borrower or any of its Restricted Subsidiaries;</w:t>
      </w:r>
    </w:p>
    <w:p>
      <w:pPr>
        <w:spacing w:after="0" w:line="185" w:lineRule="exact"/>
        <w:rPr>
          <w:rFonts w:ascii="Arial" w:cs="Arial" w:eastAsia="Arial" w:hAnsi="Arial"/>
          <w:sz w:val="20"/>
          <w:szCs w:val="20"/>
          <w:color w:val="auto"/>
        </w:rPr>
      </w:pPr>
    </w:p>
    <w:p>
      <w:pPr>
        <w:ind w:left="520" w:hanging="512"/>
        <w:spacing w:after="0"/>
        <w:tabs>
          <w:tab w:leader="none" w:pos="52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transfers of property subject to Casualty Events upon the receipt (where practical) of the Net Proceeds of such Casualty Event;</w:t>
      </w:r>
    </w:p>
    <w:p>
      <w:pPr>
        <w:spacing w:after="0" w:line="227" w:lineRule="exact"/>
        <w:rPr>
          <w:rFonts w:ascii="Arial" w:cs="Arial" w:eastAsia="Arial" w:hAnsi="Arial"/>
          <w:sz w:val="19"/>
          <w:szCs w:val="19"/>
          <w:color w:val="auto"/>
        </w:rPr>
      </w:pPr>
    </w:p>
    <w:p>
      <w:pPr>
        <w:ind w:firstLine="8"/>
        <w:spacing w:after="0" w:line="287" w:lineRule="auto"/>
        <w:tabs>
          <w:tab w:leader="none" w:pos="509" w:val="left"/>
        </w:tabs>
        <w:numPr>
          <w:ilvl w:val="0"/>
          <w:numId w:val="160"/>
        </w:numPr>
        <w:rPr>
          <w:rFonts w:ascii="Arial" w:cs="Arial" w:eastAsia="Arial" w:hAnsi="Arial"/>
          <w:sz w:val="19"/>
          <w:szCs w:val="19"/>
          <w:color w:val="auto"/>
        </w:rPr>
      </w:pPr>
      <w:r>
        <w:rPr>
          <w:rFonts w:ascii="Arial" w:cs="Arial" w:eastAsia="Arial" w:hAnsi="Arial"/>
          <w:sz w:val="19"/>
          <w:szCs w:val="19"/>
          <w:color w:val="auto"/>
        </w:rPr>
        <w:t>Dispositions (including write-offs, discounts, and compromises in clause (b) above) or discounts without recourse of accounts receivable and related assets in connection with the compromise or collection thereof in the ordinary course of business;</w:t>
      </w:r>
    </w:p>
    <w:p>
      <w:pPr>
        <w:spacing w:after="0" w:line="152" w:lineRule="exact"/>
        <w:rPr>
          <w:rFonts w:ascii="Arial" w:cs="Arial" w:eastAsia="Arial" w:hAnsi="Arial"/>
          <w:sz w:val="19"/>
          <w:szCs w:val="19"/>
          <w:color w:val="auto"/>
        </w:rPr>
      </w:pPr>
    </w:p>
    <w:p>
      <w:pPr>
        <w:ind w:left="520" w:hanging="512"/>
        <w:spacing w:after="0"/>
        <w:tabs>
          <w:tab w:leader="none" w:pos="52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[reserved];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6" w:name="page147"/>
    <w:bookmarkEnd w:id="146"/>
    <w:p>
      <w:pPr>
        <w:ind w:left="520" w:hanging="512"/>
        <w:spacing w:after="0"/>
        <w:tabs>
          <w:tab w:leader="none" w:pos="52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firstLine="8"/>
        <w:spacing w:after="0" w:line="316" w:lineRule="auto"/>
        <w:tabs>
          <w:tab w:leader="none" w:pos="50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Dispositions of Investments in joint ventures or other non-wholly owned Subsidiaries to the extent required by, or made pursuant to, customary buy/sell arrangements between the joint venture parties set forth in joint venture arrangements and similar binding arrangements;</w:t>
      </w:r>
    </w:p>
    <w:p>
      <w:pPr>
        <w:spacing w:after="0" w:line="129" w:lineRule="exact"/>
        <w:rPr>
          <w:rFonts w:ascii="Arial" w:cs="Arial" w:eastAsia="Arial" w:hAnsi="Arial"/>
          <w:sz w:val="18"/>
          <w:szCs w:val="18"/>
          <w:color w:val="auto"/>
        </w:rPr>
      </w:pPr>
    </w:p>
    <w:p>
      <w:pPr>
        <w:ind w:left="520" w:hanging="512"/>
        <w:spacing w:after="0"/>
        <w:tabs>
          <w:tab w:leader="none" w:pos="52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the unwinding of any Swap Contract or cash management agreement;</w:t>
      </w:r>
    </w:p>
    <w:p>
      <w:pPr>
        <w:spacing w:after="0" w:line="215" w:lineRule="exact"/>
        <w:rPr>
          <w:rFonts w:ascii="Arial" w:cs="Arial" w:eastAsia="Arial" w:hAnsi="Arial"/>
          <w:sz w:val="20"/>
          <w:szCs w:val="20"/>
          <w:color w:val="auto"/>
        </w:rPr>
      </w:pPr>
    </w:p>
    <w:p>
      <w:pPr>
        <w:jc w:val="both"/>
        <w:ind w:firstLine="8"/>
        <w:spacing w:after="0" w:line="254" w:lineRule="auto"/>
        <w:tabs>
          <w:tab w:leader="none" w:pos="509"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Dispositions of property not otherwise permitted under this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at the time of such Disposition (other than any such Disposition made pursuant to a legally binding commitment entered into at a time when no Event of Default exists), no Event of Default shall exist or would result from such Disposition, (ii) any prepayment required to be made in connection with the receipt of Net Proceeds in respect of such Disposition pursuant to Section 2.13 shall be made in accordance therewith, (iii) the Borrower or any of the Restricted Subsidiaries shall receive not less than 75% of the consideration for such Disposition in the form of cash or Cash Equivalents (in each case, free and clear of all Liens at the time received, other than nonconsensual Liens permitted by Section 7.01 and Liens permitted by Section 7.01(a), (c), (d), (f), (i), (j), (k), (l), (o), (p), (v), (w), (z), (aa), (bb), (cc) and (ee), (iv) any portion of the consideration for such Disposition that is not in the form of cash or Cash Equivalents shall become Collateral, (v) this Section 7.05(l) shall not permit the Disposition of all or substantially all of the assets of the Borrower and its Subsidiaries (taken as a whole), and (vi) from and after the Amendment No. 3 Effective Date (A) no Dispositions shall be permitted under this Section 7.05(l) except for Dispositions of Specified Amendment No. 3 Real Properties to the extent (x) the buyer therefor is a bona fide third party and (y) the Disposition of such Real Property shall be made for gross consideration not less than the amount specified for such Specified Amendment No. 3 Real Properties to or by the Required Lenders (as applicable) as of the Amendment No. 3 Effective Date (subject in each case, to customary purchase price adjustments and working capital adjustments) and (B) 100% of the Net Proceeds of each Disposition permitted under the foregoing clause (vi)(A) shall be applied to the prepayment of the Term Loans in accordance with Section 2.13(a)(ii) without giving effect to any thresholds or reinvestment rights;</w:t>
      </w:r>
    </w:p>
    <w:p>
      <w:pPr>
        <w:spacing w:after="0" w:line="188" w:lineRule="exact"/>
        <w:rPr>
          <w:rFonts w:ascii="Arial" w:cs="Arial" w:eastAsia="Arial" w:hAnsi="Arial"/>
          <w:sz w:val="19"/>
          <w:szCs w:val="19"/>
          <w:color w:val="auto"/>
        </w:rPr>
      </w:pPr>
    </w:p>
    <w:p>
      <w:pPr>
        <w:ind w:firstLine="8"/>
        <w:spacing w:after="0" w:line="260" w:lineRule="auto"/>
        <w:tabs>
          <w:tab w:leader="none" w:pos="509"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the Disposition of an account receivable in connection with the collection or compromise thereof in the ordinary course of business or consistent with past practice;</w:t>
      </w:r>
    </w:p>
    <w:p>
      <w:pPr>
        <w:spacing w:after="0" w:line="176" w:lineRule="exact"/>
        <w:rPr>
          <w:rFonts w:ascii="Arial" w:cs="Arial" w:eastAsia="Arial" w:hAnsi="Arial"/>
          <w:sz w:val="20"/>
          <w:szCs w:val="20"/>
          <w:color w:val="auto"/>
        </w:rPr>
      </w:pPr>
    </w:p>
    <w:p>
      <w:pPr>
        <w:ind w:left="520" w:hanging="512"/>
        <w:spacing w:after="0"/>
        <w:tabs>
          <w:tab w:leader="none" w:pos="52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8"/>
        <w:spacing w:after="0" w:line="250" w:lineRule="auto"/>
        <w:tabs>
          <w:tab w:leader="none" w:pos="509"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dispositions from and after the Restatement Effective Date of non-core or obsolete assets acquired in connection with any Permitted Acquisition or other permitted Investments;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from and after the Amendment No. 3 Effective Date, no Dispositions shall be permitted under this clause (o);</w:t>
      </w:r>
    </w:p>
    <w:p>
      <w:pPr>
        <w:spacing w:after="0" w:line="185" w:lineRule="exact"/>
        <w:rPr>
          <w:rFonts w:ascii="Arial" w:cs="Arial" w:eastAsia="Arial" w:hAnsi="Arial"/>
          <w:sz w:val="20"/>
          <w:szCs w:val="20"/>
          <w:color w:val="auto"/>
        </w:rPr>
      </w:pPr>
    </w:p>
    <w:p>
      <w:pPr>
        <w:ind w:left="520" w:hanging="512"/>
        <w:spacing w:after="0"/>
        <w:tabs>
          <w:tab w:leader="none" w:pos="52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the incurrence of Liens permitted hereunder;</w:t>
      </w:r>
    </w:p>
    <w:p>
      <w:pPr>
        <w:spacing w:after="0" w:line="215" w:lineRule="exact"/>
        <w:rPr>
          <w:rFonts w:ascii="Arial" w:cs="Arial" w:eastAsia="Arial" w:hAnsi="Arial"/>
          <w:sz w:val="20"/>
          <w:szCs w:val="20"/>
          <w:color w:val="auto"/>
        </w:rPr>
      </w:pPr>
    </w:p>
    <w:p>
      <w:pPr>
        <w:ind w:firstLine="8"/>
        <w:spacing w:after="0" w:line="260" w:lineRule="auto"/>
        <w:tabs>
          <w:tab w:leader="none" w:pos="509" w:val="left"/>
        </w:tabs>
        <w:numPr>
          <w:ilvl w:val="0"/>
          <w:numId w:val="161"/>
        </w:numPr>
        <w:rPr>
          <w:rFonts w:ascii="Arial" w:cs="Arial" w:eastAsia="Arial" w:hAnsi="Arial"/>
          <w:sz w:val="20"/>
          <w:szCs w:val="20"/>
          <w:color w:val="auto"/>
        </w:rPr>
      </w:pPr>
      <w:r>
        <w:rPr>
          <w:rFonts w:ascii="Arial" w:cs="Arial" w:eastAsia="Arial" w:hAnsi="Arial"/>
          <w:sz w:val="20"/>
          <w:szCs w:val="20"/>
          <w:color w:val="auto"/>
        </w:rPr>
        <w:t>sales or dispositions of Equity Interests of any Subsidiary (other than the Borrower) in order to qualify members of the governing body of such Subsidiary if required by applicable law;</w:t>
      </w:r>
    </w:p>
    <w:p>
      <w:pPr>
        <w:spacing w:after="0" w:line="176" w:lineRule="exact"/>
        <w:rPr>
          <w:rFonts w:ascii="Arial" w:cs="Arial" w:eastAsia="Arial" w:hAnsi="Arial"/>
          <w:sz w:val="20"/>
          <w:szCs w:val="20"/>
          <w:color w:val="auto"/>
        </w:rPr>
      </w:pPr>
    </w:p>
    <w:p>
      <w:pPr>
        <w:ind w:left="520" w:hanging="512"/>
        <w:spacing w:after="0"/>
        <w:tabs>
          <w:tab w:leader="none" w:pos="52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520" w:hanging="512"/>
        <w:spacing w:after="0"/>
        <w:tabs>
          <w:tab w:leader="none" w:pos="52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Restricted Payments made pursuant to </w:t>
      </w:r>
      <w:r>
        <w:rPr>
          <w:rFonts w:ascii="Arial" w:cs="Arial" w:eastAsia="Arial" w:hAnsi="Arial"/>
          <w:sz w:val="20"/>
          <w:szCs w:val="20"/>
          <w:u w:val="single" w:color="auto"/>
          <w:color w:val="auto"/>
        </w:rPr>
        <w:t>Section 7.06</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8"/>
        <w:spacing w:after="0" w:line="250" w:lineRule="auto"/>
        <w:tabs>
          <w:tab w:leader="none" w:pos="509"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Sale and Leaseback Transactions in an aggregate principal amount not to exceed $25,000,000 during the term of this Agreement;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from and after the Amendment No. 3 Effective Date, this clause (t) shall be unavailable for use under this Agreement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dollar-amount specified in the clause (t) shall be $0;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7" w:name="page148"/>
    <w:bookmarkEnd w:id="147"/>
    <w:p>
      <w:pPr>
        <w:ind w:left="520" w:hanging="512"/>
        <w:spacing w:after="0"/>
        <w:tabs>
          <w:tab w:leader="none" w:pos="52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other Dispositions consented to by the Required Lenders in their sole discretion.</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any Disposition of any property pursuant to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7.05</w:t>
      </w:r>
      <w:r>
        <w:rPr>
          <w:rFonts w:ascii="Arial" w:cs="Arial" w:eastAsia="Arial" w:hAnsi="Arial"/>
          <w:sz w:val="19"/>
          <w:szCs w:val="19"/>
          <w:i w:val="1"/>
          <w:iCs w:val="1"/>
          <w:color w:val="auto"/>
        </w:rPr>
        <w:t xml:space="preserve"> </w:t>
      </w:r>
      <w:r>
        <w:rPr>
          <w:rFonts w:ascii="Arial" w:cs="Arial" w:eastAsia="Arial" w:hAnsi="Arial"/>
          <w:sz w:val="19"/>
          <w:szCs w:val="19"/>
          <w:color w:val="auto"/>
        </w:rPr>
        <w:t>(except pursuant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Sections 7.05(a), (c), (e), (f), (g), (i), (j), (k),</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(m), (n), (o), (p), (q)</w:t>
      </w:r>
      <w:r>
        <w:rPr>
          <w:rFonts w:ascii="Arial" w:cs="Arial" w:eastAsia="Arial" w:hAnsi="Arial"/>
          <w:sz w:val="19"/>
          <w:szCs w:val="19"/>
          <w:color w:val="auto"/>
        </w:rPr>
        <w:t xml:space="preserve">, </w:t>
      </w:r>
      <w:r>
        <w:rPr>
          <w:rFonts w:ascii="Arial" w:cs="Arial" w:eastAsia="Arial" w:hAnsi="Arial"/>
          <w:sz w:val="19"/>
          <w:szCs w:val="19"/>
          <w:u w:val="single" w:color="auto"/>
          <w:color w:val="auto"/>
        </w:rPr>
        <w:t>(r)</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w:t>
      </w:r>
      <w:r>
        <w:rPr>
          <w:rFonts w:ascii="Arial" w:cs="Arial" w:eastAsia="Arial" w:hAnsi="Arial"/>
          <w:sz w:val="19"/>
          <w:szCs w:val="19"/>
          <w:color w:val="auto"/>
        </w:rPr>
        <w:t xml:space="preserve"> and except for Dispositions from a Loan Party to any other Loan Party) shall be for no less than the fair market value of such property at the time of such Disposition. To the extent any Collateral is Disposed of as expressly permitted by this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to any Person other than a Loan Party, such Collateral shall be automatically sold free and clear of the Liens created by the Loan Documents, and, if requested by the Borrower, upon the certification delivered to the Administrative Agent by the Borrower that such Disposition is permitted by this Agreement, the Administrative Agent or the Collateral Agent, as applicable, shall be authorized to take, and shall take, any actions reasonably requested by the Borrower in order to effect the foregoing (at the Borrower’s expense) and/or to expressly subordinate any Lien in favor of the Collateral Agent on such Collateral that is disposed of.</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Notwithstanding anything herein to the contrary in this Agreement, (i) as of and after the Amendment No. 3 Effective Date, the Borrower shall not, nor shall it permit any Restricted Subsidiary to, directly or indirectly, make any Disposition of Real Property (other than (a) Dispositions of Specified Amendment No. 3 Real Properties pursuant to Section 7.05(l), (b) leases of Real Property entered into in the ordinary course of business (excluding Sale and Leaseback Transactions) and (c) transfers of property subject to condemnation and Casualty Events), (ii) after the Amendment No. 2 Effective Date, the Borrower shall not, nor shall it permit any Restricted Subsidiary to, Dispose of Specified Rolling Stock with an aggregate fair market value in excess of $5,000,000 in any fiscal year without the prior consent of the Required Lenders, (iii) any Disposition of Rolling Stock shall be for no less than the fair market value of such property at the time of such Disposition, and (iv) during the Specified Rolling Stock Prepayment Period, all Net Proceeds from any Disposition of Specified Rolling Stock in excess of the Specified Rolling Stock Reinvestment Threshold in any fiscal year shall be applied to prepay the Term Loans in accordance with Section 2.13(a)(ii).</w:t>
      </w:r>
    </w:p>
    <w:p>
      <w:pPr>
        <w:spacing w:after="0" w:line="190"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 xml:space="preserve">Section 7.06. </w:t>
      </w:r>
      <w:r>
        <w:rPr>
          <w:rFonts w:ascii="Arial" w:cs="Arial" w:eastAsia="Arial" w:hAnsi="Arial"/>
          <w:sz w:val="20"/>
          <w:szCs w:val="20"/>
          <w:i w:val="1"/>
          <w:iCs w:val="1"/>
          <w:color w:val="auto"/>
        </w:rPr>
        <w:t>Restricted Payments.</w:t>
      </w:r>
      <w:r>
        <w:rPr>
          <w:rFonts w:ascii="Arial" w:cs="Arial" w:eastAsia="Arial" w:hAnsi="Arial"/>
          <w:sz w:val="20"/>
          <w:szCs w:val="20"/>
          <w:color w:val="auto"/>
        </w:rPr>
        <w:t xml:space="preserve"> The Borrower shall not, nor shall it permit any Restricted Subsidiary to, directly or indirectly, declare or make, directly or indirectly, any Restricted Payment, except:</w:t>
      </w:r>
    </w:p>
    <w:p>
      <w:pPr>
        <w:spacing w:after="0" w:line="177" w:lineRule="exact"/>
        <w:rPr>
          <w:sz w:val="20"/>
          <w:szCs w:val="20"/>
          <w:color w:val="auto"/>
        </w:rPr>
      </w:pPr>
    </w:p>
    <w:p>
      <w:pPr>
        <w:jc w:val="both"/>
        <w:ind w:firstLine="8"/>
        <w:spacing w:after="0" w:line="291" w:lineRule="auto"/>
        <w:tabs>
          <w:tab w:leader="none" w:pos="50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each Restricted Subsidiary may make Restricted Payments to the Borrower or any other Restricted Subsidiary (and, in the case of a Restricted Payment by a non-wholly owned Restricted Subsidiary, to the Borrower and any other Restricted Subsidiary and to each other owner of Equity Interests of such Restricted Subsidiary based on their relative ownership interests of the relevant class of Equity Interests);</w:t>
      </w:r>
    </w:p>
    <w:p>
      <w:pPr>
        <w:spacing w:after="0" w:line="151" w:lineRule="exact"/>
        <w:rPr>
          <w:rFonts w:ascii="Arial" w:cs="Arial" w:eastAsia="Arial" w:hAnsi="Arial"/>
          <w:sz w:val="18"/>
          <w:szCs w:val="18"/>
          <w:color w:val="auto"/>
        </w:rPr>
      </w:pPr>
    </w:p>
    <w:p>
      <w:pPr>
        <w:jc w:val="both"/>
        <w:ind w:firstLine="8"/>
        <w:spacing w:after="0" w:line="250" w:lineRule="auto"/>
        <w:tabs>
          <w:tab w:leader="none" w:pos="509"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the Borrower and each Restricted Subsidiary may declare and make dividend payments or other Restricted Payments payable solely in the Equity Interests (other than Disqualified Equity Interests unless such Disqualified Equity Interests would be permitted by </w:t>
      </w:r>
      <w:r>
        <w:rPr>
          <w:rFonts w:ascii="Arial" w:cs="Arial" w:eastAsia="Arial" w:hAnsi="Arial"/>
          <w:sz w:val="20"/>
          <w:szCs w:val="20"/>
          <w:u w:val="single" w:color="auto"/>
          <w:color w:val="auto"/>
        </w:rPr>
        <w:t>Section 7.03</w:t>
      </w:r>
      <w:r>
        <w:rPr>
          <w:rFonts w:ascii="Arial" w:cs="Arial" w:eastAsia="Arial" w:hAnsi="Arial"/>
          <w:sz w:val="20"/>
          <w:szCs w:val="20"/>
          <w:color w:val="auto"/>
        </w:rPr>
        <w:t>) of such Person;</w:t>
      </w:r>
    </w:p>
    <w:p>
      <w:pPr>
        <w:spacing w:after="0" w:line="185" w:lineRule="exact"/>
        <w:rPr>
          <w:rFonts w:ascii="Arial" w:cs="Arial" w:eastAsia="Arial" w:hAnsi="Arial"/>
          <w:sz w:val="20"/>
          <w:szCs w:val="20"/>
          <w:color w:val="auto"/>
        </w:rPr>
      </w:pPr>
    </w:p>
    <w:p>
      <w:pPr>
        <w:jc w:val="both"/>
        <w:ind w:firstLine="8"/>
        <w:spacing w:after="0" w:line="278" w:lineRule="auto"/>
        <w:tabs>
          <w:tab w:leader="none" w:pos="50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(i) repurchases of Equity Interests in the Borrower deemed to occur upon the exercise of stock options or warrants or the settlement or vesting of other equity awards if such Equity Interests represent a portion of the exercise price of such options or warrants, (ii) cash payments in lieu of the issuance of fractional shares in connection with the exercise of stock options, warrants or other securities convertible into or exchangeable for Equity Interests of the Borrower or (iii) Restricted Payments made in respect of any other transaction involving fractional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cash payment shall not be for the purpose of evading the limitations of this Agreement;</w:t>
      </w:r>
    </w:p>
    <w:p>
      <w:pPr>
        <w:spacing w:after="0" w:line="164" w:lineRule="exact"/>
        <w:rPr>
          <w:rFonts w:ascii="Arial" w:cs="Arial" w:eastAsia="Arial" w:hAnsi="Arial"/>
          <w:sz w:val="18"/>
          <w:szCs w:val="18"/>
          <w:color w:val="auto"/>
        </w:rPr>
      </w:pPr>
    </w:p>
    <w:p>
      <w:pPr>
        <w:ind w:firstLine="8"/>
        <w:spacing w:after="0" w:line="260" w:lineRule="auto"/>
        <w:tabs>
          <w:tab w:leader="none" w:pos="509"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Borrower may pay for the repurchase, retirement or other acquisition or retirement for value of Equity Interests of the Borrower held by any present or former employee, officer, director or consultant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8" w:name="page149"/>
    <w:bookmarkEnd w:id="148"/>
    <w:p>
      <w:pPr>
        <w:jc w:val="both"/>
        <w:ind w:firstLine="509"/>
        <w:spacing w:after="0" w:line="255" w:lineRule="auto"/>
        <w:rPr>
          <w:sz w:val="20"/>
          <w:szCs w:val="20"/>
          <w:color w:val="auto"/>
        </w:rPr>
      </w:pPr>
      <w:r>
        <w:rPr>
          <w:rFonts w:ascii="Arial" w:cs="Arial" w:eastAsia="Arial" w:hAnsi="Arial"/>
          <w:sz w:val="19"/>
          <w:szCs w:val="19"/>
          <w:color w:val="auto"/>
        </w:rPr>
        <w:t xml:space="preserve">the Borrower or any Restricted Subsidiary or equity based awards held by such Persons, in each case, upon the death, disability, retirement or termination of employment of any such Person or pursuant to any employee or director equity plan, employee or director stock option plan or any other employee or director benefit plan or any agreement (including any stock subscription or shareholder agreement) with any employee, director, officer or consultant of the Borrower or any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of Restricted Payments made pursuant to this clause (d) shall not exceed (i) $7,500,000 in any fiscal year plus (ii) the then applicable Cumulative Credit plus (iii) the proceeds of any key man insurance policies;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to the extent that the aggregate amount of Restricted Payments made by the Borrower and the Restricted Subsidiaries pursuant to this clause (d) in any fiscal year is less than the amount set forth above, 100% of the amount of such difference may be carried forward and used to make such Restricted Payments pursuant to this clause (d) in the next two succeeding fiscal years (</w:t>
      </w:r>
      <w:r>
        <w:rPr>
          <w:rFonts w:ascii="Arial" w:cs="Arial" w:eastAsia="Arial" w:hAnsi="Arial"/>
          <w:sz w:val="19"/>
          <w:szCs w:val="19"/>
          <w:i w:val="1"/>
          <w:iCs w:val="1"/>
          <w:color w:val="auto"/>
        </w:rPr>
        <w:t>provided</w:t>
      </w:r>
      <w:r>
        <w:rPr>
          <w:rFonts w:ascii="Arial" w:cs="Arial" w:eastAsia="Arial" w:hAnsi="Arial"/>
          <w:sz w:val="19"/>
          <w:szCs w:val="19"/>
          <w:color w:val="auto"/>
        </w:rPr>
        <w:t>, that any such amount carried forward shall be deemed to be used to make such Restricted Payments in any fiscal year after the amount set forth above for such fiscal year shall be deemed to be used to make such Restricted Payments for such fiscal year);</w:t>
      </w:r>
    </w:p>
    <w:p>
      <w:pPr>
        <w:spacing w:after="0" w:line="187" w:lineRule="exact"/>
        <w:rPr>
          <w:sz w:val="20"/>
          <w:szCs w:val="20"/>
          <w:color w:val="auto"/>
        </w:rPr>
      </w:pPr>
    </w:p>
    <w:p>
      <w:pPr>
        <w:jc w:val="both"/>
        <w:ind w:firstLine="8"/>
        <w:spacing w:after="0" w:line="257" w:lineRule="auto"/>
        <w:tabs>
          <w:tab w:leader="none" w:pos="509"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the Borrower may make Restricted Payments in an aggregate amount not to exceed (x) together with (I) the aggregate amount of Investments made under sub-clause (x) of </w:t>
      </w:r>
      <w:r>
        <w:rPr>
          <w:rFonts w:ascii="Arial" w:cs="Arial" w:eastAsia="Arial" w:hAnsi="Arial"/>
          <w:sz w:val="19"/>
          <w:szCs w:val="19"/>
          <w:u w:val="single" w:color="auto"/>
          <w:color w:val="auto"/>
        </w:rPr>
        <w:t>Section 7.02(p)</w:t>
      </w:r>
      <w:r>
        <w:rPr>
          <w:rFonts w:ascii="Arial" w:cs="Arial" w:eastAsia="Arial" w:hAnsi="Arial"/>
          <w:sz w:val="19"/>
          <w:szCs w:val="19"/>
          <w:color w:val="auto"/>
        </w:rPr>
        <w:t xml:space="preserve"> and (II) the aggregate amount of prepayments, redemptions, purchases, defeasances and other payments made pursuant to sub-clause (x) of </w:t>
      </w:r>
      <w:r>
        <w:rPr>
          <w:rFonts w:ascii="Arial" w:cs="Arial" w:eastAsia="Arial" w:hAnsi="Arial"/>
          <w:sz w:val="19"/>
          <w:szCs w:val="19"/>
          <w:u w:val="single" w:color="auto"/>
          <w:color w:val="auto"/>
        </w:rPr>
        <w:t>Section 7.13(a)(vi)</w:t>
      </w:r>
      <w:r>
        <w:rPr>
          <w:rFonts w:ascii="Arial" w:cs="Arial" w:eastAsia="Arial" w:hAnsi="Arial"/>
          <w:sz w:val="19"/>
          <w:szCs w:val="19"/>
          <w:color w:val="auto"/>
        </w:rPr>
        <w:t xml:space="preserve">, $5,000,000, plus (y) the portion, if any, of the Cumulative Credit on such date that the Borrower elects to apply to this subclause (y);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with respect to any Restricted Payment made pursuant to this </w:t>
      </w:r>
      <w:r>
        <w:rPr>
          <w:rFonts w:ascii="Arial" w:cs="Arial" w:eastAsia="Arial" w:hAnsi="Arial"/>
          <w:sz w:val="19"/>
          <w:szCs w:val="19"/>
          <w:u w:val="single" w:color="auto"/>
          <w:color w:val="auto"/>
        </w:rPr>
        <w:t>Section 7.06(e)</w:t>
      </w:r>
      <w:r>
        <w:rPr>
          <w:rFonts w:ascii="Arial" w:cs="Arial" w:eastAsia="Arial" w:hAnsi="Arial"/>
          <w:sz w:val="19"/>
          <w:szCs w:val="19"/>
          <w:color w:val="auto"/>
        </w:rPr>
        <w:t>, (1) no Event of Default has occurred and is continuing or would result therefrom and (2) on a Pro Forma Basis after giving effect thereto the Total Leverage Ratio is equal to or less than 2.00:1.00, and (B) no Restricted Payments shall be permitted under this clause (e) from and after the Amendment No. 3 Effective Date;</w:t>
      </w:r>
    </w:p>
    <w:p>
      <w:pPr>
        <w:spacing w:after="0" w:line="184" w:lineRule="exact"/>
        <w:rPr>
          <w:rFonts w:ascii="Arial" w:cs="Arial" w:eastAsia="Arial" w:hAnsi="Arial"/>
          <w:sz w:val="19"/>
          <w:szCs w:val="19"/>
          <w:color w:val="auto"/>
        </w:rPr>
      </w:pPr>
    </w:p>
    <w:p>
      <w:pPr>
        <w:ind w:left="520" w:hanging="512"/>
        <w:spacing w:after="0"/>
        <w:tabs>
          <w:tab w:leader="none" w:pos="52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520" w:hanging="512"/>
        <w:spacing w:after="0"/>
        <w:tabs>
          <w:tab w:leader="none" w:pos="52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firstLine="8"/>
        <w:spacing w:after="0" w:line="260" w:lineRule="auto"/>
        <w:tabs>
          <w:tab w:leader="none" w:pos="509"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the Restricted Subsidiaries may make a Restricted Payment in connection with the acquisition of additional Equity Interests in any Restricted Subsidiary from minority shareholders (in accordance with </w:t>
      </w:r>
      <w:r>
        <w:rPr>
          <w:rFonts w:ascii="Arial" w:cs="Arial" w:eastAsia="Arial" w:hAnsi="Arial"/>
          <w:sz w:val="20"/>
          <w:szCs w:val="20"/>
          <w:u w:val="single" w:color="auto"/>
          <w:color w:val="auto"/>
        </w:rPr>
        <w:t>Section 7.08</w:t>
      </w:r>
      <w:r>
        <w:rPr>
          <w:rFonts w:ascii="Arial" w:cs="Arial" w:eastAsia="Arial" w:hAnsi="Arial"/>
          <w:sz w:val="20"/>
          <w:szCs w:val="20"/>
          <w:color w:val="auto"/>
        </w:rPr>
        <w:t>, if applicable);</w:t>
      </w:r>
    </w:p>
    <w:p>
      <w:pPr>
        <w:spacing w:after="0" w:line="176" w:lineRule="exact"/>
        <w:rPr>
          <w:rFonts w:ascii="Arial" w:cs="Arial" w:eastAsia="Arial" w:hAnsi="Arial"/>
          <w:sz w:val="20"/>
          <w:szCs w:val="20"/>
          <w:color w:val="auto"/>
        </w:rPr>
      </w:pPr>
    </w:p>
    <w:p>
      <w:pPr>
        <w:jc w:val="both"/>
        <w:ind w:firstLine="8"/>
        <w:spacing w:after="0" w:line="246" w:lineRule="auto"/>
        <w:tabs>
          <w:tab w:leader="none" w:pos="509"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Restricted Payments made (i) in respect of working capital adjustments or purchase price adjustments pursuant to any Permitted Acquisition or other permitted Investments (other than pursuant to </w:t>
      </w:r>
      <w:r>
        <w:rPr>
          <w:rFonts w:ascii="Arial" w:cs="Arial" w:eastAsia="Arial" w:hAnsi="Arial"/>
          <w:sz w:val="20"/>
          <w:szCs w:val="20"/>
          <w:u w:val="single" w:color="auto"/>
          <w:color w:val="auto"/>
        </w:rPr>
        <w:t>Section 7.02(x))</w:t>
      </w:r>
      <w:r>
        <w:rPr>
          <w:rFonts w:ascii="Arial" w:cs="Arial" w:eastAsia="Arial" w:hAnsi="Arial"/>
          <w:sz w:val="20"/>
          <w:szCs w:val="20"/>
          <w:color w:val="auto"/>
        </w:rPr>
        <w:t xml:space="preserve"> and (ii) to satisfy indemnity and other similar obligations under the Permitted Acquisitions or other permitted Investments;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Restricted Payments shall be permitted under this clause from and after the Amendment No. 3 Effective Date;</w:t>
      </w:r>
    </w:p>
    <w:p>
      <w:pPr>
        <w:spacing w:after="0" w:line="191" w:lineRule="exact"/>
        <w:rPr>
          <w:rFonts w:ascii="Arial" w:cs="Arial" w:eastAsia="Arial" w:hAnsi="Arial"/>
          <w:sz w:val="20"/>
          <w:szCs w:val="20"/>
          <w:color w:val="auto"/>
        </w:rPr>
      </w:pPr>
    </w:p>
    <w:p>
      <w:pPr>
        <w:ind w:left="520" w:hanging="512"/>
        <w:spacing w:after="0"/>
        <w:tabs>
          <w:tab w:leader="none" w:pos="52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215" w:lineRule="exact"/>
        <w:rPr>
          <w:rFonts w:ascii="Arial" w:cs="Arial" w:eastAsia="Arial" w:hAnsi="Arial"/>
          <w:sz w:val="20"/>
          <w:szCs w:val="20"/>
          <w:color w:val="auto"/>
        </w:rPr>
      </w:pPr>
    </w:p>
    <w:p>
      <w:pPr>
        <w:ind w:firstLine="8"/>
        <w:spacing w:after="0" w:line="260" w:lineRule="auto"/>
        <w:tabs>
          <w:tab w:leader="none" w:pos="509"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Restricted Payments in respect of transactions related to (i) fundamental changes permitted under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and (ii) Investments permitted under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(other than clause (v) thereof).</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7.07. </w:t>
      </w:r>
      <w:r>
        <w:rPr>
          <w:rFonts w:ascii="Arial" w:cs="Arial" w:eastAsia="Arial" w:hAnsi="Arial"/>
          <w:sz w:val="20"/>
          <w:szCs w:val="20"/>
          <w:i w:val="1"/>
          <w:iCs w:val="1"/>
          <w:color w:val="auto"/>
        </w:rPr>
        <w:t>Change in Nature of Business; Organization Documents</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46" w:lineRule="auto"/>
        <w:tabs>
          <w:tab w:leader="none" w:pos="509"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Borrower shall not, nor shall the Borrower permit any of the Restricted Subsidiaries to, directly or indirectly, engage in any material line of business substantially different from those lines of business conducted by the Borrower and the Restricted Subsidiaries on the Restatement Effective Date or any business reasonably related, complementary, synergistic or ancillary thereto or reasonable extensions thereof.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49" w:name="page150"/>
    <w:bookmarkEnd w:id="149"/>
    <w:p>
      <w:pPr>
        <w:jc w:val="both"/>
        <w:ind w:firstLine="8"/>
        <w:spacing w:after="0" w:line="250" w:lineRule="auto"/>
        <w:tabs>
          <w:tab w:leader="none" w:pos="509" w:val="left"/>
        </w:tabs>
        <w:numPr>
          <w:ilvl w:val="0"/>
          <w:numId w:val="166"/>
        </w:numPr>
        <w:rPr>
          <w:rFonts w:ascii="Arial" w:cs="Arial" w:eastAsia="Arial" w:hAnsi="Arial"/>
          <w:sz w:val="20"/>
          <w:szCs w:val="20"/>
          <w:color w:val="auto"/>
        </w:rPr>
      </w:pPr>
      <w:r>
        <w:rPr>
          <w:rFonts w:ascii="Arial" w:cs="Arial" w:eastAsia="Arial" w:hAnsi="Arial"/>
          <w:sz w:val="20"/>
          <w:szCs w:val="20"/>
          <w:color w:val="auto"/>
        </w:rPr>
        <w:t>The Borrower shall not, nor shall the Borrower permit any of the Restricted Subsidiaries to, amend, restate, supplement or otherwise modify to, or waive of any of its rights under, its Organization Documents to the extent any of the foregoing could reasonably be expected to be material and adverse to the Lenders (in their capacities as such).</w:t>
      </w:r>
    </w:p>
    <w:p>
      <w:pPr>
        <w:spacing w:after="0" w:line="186" w:lineRule="exact"/>
        <w:rPr>
          <w:sz w:val="20"/>
          <w:szCs w:val="20"/>
          <w:color w:val="auto"/>
        </w:rPr>
      </w:pPr>
    </w:p>
    <w:p>
      <w:pPr>
        <w:jc w:val="both"/>
        <w:ind w:firstLine="1497"/>
        <w:spacing w:after="0" w:line="268"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Transactions with Affiliates.</w:t>
      </w:r>
      <w:r>
        <w:rPr>
          <w:rFonts w:ascii="Arial" w:cs="Arial" w:eastAsia="Arial" w:hAnsi="Arial"/>
          <w:sz w:val="18"/>
          <w:szCs w:val="18"/>
          <w:color w:val="auto"/>
        </w:rPr>
        <w:t xml:space="preserve"> The Borrower shall not, nor shall it permit any Restricted Subsidiary to, directly or indirectly, enter into any transaction of any kind with any of its Affiliates, whether or not in the ordinary course of business, other than (a) transactions between or among Loan Parties or any entity that becomes a Loan Party as a result of such transaction and transactions between or among Restricted Subsidiaries that are not Loan Parties, (b) on terms (taken as a whole) substantially not less favorable to the Borrower in any material respect or such Restricted Subsidiary as would be obtainable by the Borrower or such Restricted Subsidiary at the time in a comparable arm’s-length transaction with a Person other than an Affiliate, (c) the Transactions and the payment of fees and expenses (including Transaction Expenses) as part of or in connection with the Transactions, (d) the issuance of Equity Interests or equity based awards to any officer, director, employee or consultant of the Borrower or any of its Restricted Subsidiaries in the ordinary course of business, (e) Investments made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Indebtedness incurred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and Restricted Payments permitted under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(f) customary employment, consulting and severance arrangements between the Borrower and the Restricted Subsidiaries and their respective officers and employees in the ordinary course of business and transactions pursuant to stock option plans and employee benefit plans and similar arrangements in the ordinary course of business, (h) the payment of customary fees and reasonable out of pocket costs to, and customary indemnities provided on behalf of, directors, officers, employees and consultants of the Borrower and the Restricted Subsidiaries in the ordinary course of business, (i) [reserved], (j) transactions pursuant to registration rights agreements and similar arrangements, (k) transactions in which the Borrower or any Restricted Subsidiary, as the case may be, delivers to the Administrative Agent and the Required Lenders a letter from an independent financial advisor stating that such transaction is fair to the Borrower or such Restricted Subsidiary from a financial point of view or meets the requirements of clause (b) of this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and (l) transactions pursuant to agreements in existence on the Restatement Effective Date and set forth on </w:t>
      </w:r>
      <w:r>
        <w:rPr>
          <w:rFonts w:ascii="Arial" w:cs="Arial" w:eastAsia="Arial" w:hAnsi="Arial"/>
          <w:sz w:val="18"/>
          <w:szCs w:val="18"/>
          <w:u w:val="single" w:color="auto"/>
          <w:color w:val="auto"/>
        </w:rPr>
        <w:t>Schedule 7.08</w:t>
      </w:r>
      <w:r>
        <w:rPr>
          <w:rFonts w:ascii="Arial" w:cs="Arial" w:eastAsia="Arial" w:hAnsi="Arial"/>
          <w:sz w:val="18"/>
          <w:szCs w:val="18"/>
          <w:color w:val="auto"/>
        </w:rPr>
        <w:t xml:space="preserve"> or any amendment thereto to the extent such an amendment (taken as a whole) is not adverse to the Lenders in any material respect.</w:t>
      </w:r>
    </w:p>
    <w:p>
      <w:pPr>
        <w:spacing w:after="0" w:line="185"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Burdensome Agreements.</w:t>
      </w:r>
      <w:r>
        <w:rPr>
          <w:rFonts w:ascii="Arial" w:cs="Arial" w:eastAsia="Arial" w:hAnsi="Arial"/>
          <w:sz w:val="18"/>
          <w:szCs w:val="18"/>
          <w:color w:val="auto"/>
        </w:rPr>
        <w:t xml:space="preserve"> The Borrower shall not, nor shall it permit any Restricted Subsidiary to, directly or indirectly, enter into or permit to exist any Contractual Obligation (other than (i) this Agreement or any other Loan Document, (ii) any ABL Facility Documentation, (iii) any UST Tranche A Facility Documentation, (iv) any UST Tranche B Facility Documentation, (v) any documents governing Credit Agreement Refinancing Indebtedness or a Permitted Refinancing of (ii)-(v) or (vi) any Treasury Equity Documents or documents governing Treasury Equity) that limits the ability of (a) any Restricted Subsidiary that is not a Guarantor to make Restricted Payments to the Borrower or any Guarantor or to make or repay loans or advances to or otherwise transfer assets to or make Investments in the Borrower or any Restricted Subsidiary that is a Guarantor or (b) any Loan Party to create, incur, assume or suffer to exist Liens on property of such Person to secure the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clauses (a) and (b) shall not apply to Contractual Obligations which (i) (x) exist on the Restatement Effective Date and (to the extent not otherwise permitted by this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are listed on </w:t>
      </w:r>
      <w:r>
        <w:rPr>
          <w:rFonts w:ascii="Arial" w:cs="Arial" w:eastAsia="Arial" w:hAnsi="Arial"/>
          <w:sz w:val="18"/>
          <w:szCs w:val="18"/>
          <w:u w:val="single" w:color="auto"/>
          <w:color w:val="auto"/>
        </w:rPr>
        <w:t>Schedule 7.09</w:t>
      </w:r>
      <w:r>
        <w:rPr>
          <w:rFonts w:ascii="Arial" w:cs="Arial" w:eastAsia="Arial" w:hAnsi="Arial"/>
          <w:sz w:val="18"/>
          <w:szCs w:val="18"/>
          <w:color w:val="auto"/>
        </w:rPr>
        <w:t xml:space="preserve"> hereto and (y) to the extent Contractual Obligations permitted by clause (x) are set forth in an agreement evidencing Indebtedness, are set forth in any agreement evidencing any permitted modification, replacement, renewal, extension or refinancing of such Indebtedness so long as such modification, replacement, renewal, extension or refinancing does not expand the scope of such Contractual Obligation in any material respect (as determined in good faith by the Borrower), (ii) are binding on a Restricted Subsidiary at the time such Restricted Subsidiary first becomes a Restricted Subsidiary, so long as such Contractual Obligations were not entered into in contemplation of such Person becoming a Restricted Subsidiary, (iii) represent Indebtedness of a Restricted Subsidiary which is not a Loan Party which 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0" w:name="page151"/>
    <w:bookmarkEnd w:id="150"/>
    <w:p>
      <w:pPr>
        <w:jc w:val="both"/>
        <w:spacing w:after="0" w:line="304" w:lineRule="auto"/>
        <w:rPr>
          <w:sz w:val="20"/>
          <w:szCs w:val="20"/>
          <w:color w:val="auto"/>
        </w:rPr>
      </w:pPr>
      <w:r>
        <w:rPr>
          <w:rFonts w:ascii="Arial" w:cs="Arial" w:eastAsia="Arial" w:hAnsi="Arial"/>
          <w:sz w:val="16"/>
          <w:szCs w:val="16"/>
          <w:color w:val="auto"/>
        </w:rPr>
        <w:t xml:space="preserve">permitted by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(iv) arise in connection with any Disposition permitted by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7.05</w:t>
      </w:r>
      <w:r>
        <w:rPr>
          <w:rFonts w:ascii="Arial" w:cs="Arial" w:eastAsia="Arial" w:hAnsi="Arial"/>
          <w:sz w:val="16"/>
          <w:szCs w:val="16"/>
          <w:color w:val="auto"/>
        </w:rPr>
        <w:t xml:space="preserve"> and relate solely to the assets or Person subject to such Disposition, (v) are customary provisions in joint venture agreements and other similar agreements applicable to joint ventures or other non-wholly owned Subsidiaries permitted under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and applicable solely to such joint venture or other non-wholly owned Subsidiaries and are entered into in the ordinary course of business, (vi) are negative pledges and restrictions on Liens in favor of any holder of Indebtedness (other than any Junior Financing) permitted under </w:t>
      </w:r>
      <w:r>
        <w:rPr>
          <w:rFonts w:ascii="Arial" w:cs="Arial" w:eastAsia="Arial" w:hAnsi="Arial"/>
          <w:sz w:val="16"/>
          <w:szCs w:val="16"/>
          <w:u w:val="single" w:color="auto"/>
          <w:color w:val="auto"/>
        </w:rPr>
        <w:t>Section 7.03(e</w:t>
      </w:r>
      <w:r>
        <w:rPr>
          <w:rFonts w:ascii="Arial" w:cs="Arial" w:eastAsia="Arial" w:hAnsi="Arial"/>
          <w:sz w:val="16"/>
          <w:szCs w:val="16"/>
          <w:color w:val="auto"/>
        </w:rPr>
        <w:t>)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but solely to the extent any negative pledge relates to the property financed by such Indebtedness, (vii) are customary restrictions in leases, subleases, licenses or asset sale agreements otherwise permitted hereby so long as such restrictions relate only to the assets subject thereto, (viii) comprise restrictions imposed by any agreement governing secured Indebtedness permitted pursuant to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to the extent that such restrictions apply only to the property or assets securing such Indebtedness, (ix) are customary provisions restricting subletting or assignment of any lease governing a leasehold interest of the Borrower or any Restricted Subsidiary entered into in the ordinary course of business, (x) are customary provisions restricting assignment of any agreement entered into in the ordinary course of business, (xi) are customary restrictions contained in the ABL Facility Documentation, (xii) arise in connection with cash or other deposits permitted under </w:t>
      </w:r>
      <w:r>
        <w:rPr>
          <w:rFonts w:ascii="Arial" w:cs="Arial" w:eastAsia="Arial" w:hAnsi="Arial"/>
          <w:sz w:val="16"/>
          <w:szCs w:val="16"/>
          <w:u w:val="single" w:color="auto"/>
          <w:color w:val="auto"/>
        </w:rPr>
        <w:t>Sections 7.01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7.02</w:t>
      </w:r>
      <w:r>
        <w:rPr>
          <w:rFonts w:ascii="Arial" w:cs="Arial" w:eastAsia="Arial" w:hAnsi="Arial"/>
          <w:sz w:val="16"/>
          <w:szCs w:val="16"/>
          <w:color w:val="auto"/>
        </w:rPr>
        <w:t xml:space="preserve"> and limited to such cash or deposit, or (xiii) comprise restrictions imposed by any agreement governing Indebtedness entered into on or after the Restatement Effective Date and permitted under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if the restrictions contained in any such agreement taken as a whole (a) are not materially less favorable to the Secured Parties than the encumbrances and restrictions contained in the Loan Documents (as determined by the Borrower) or (b) either (I) the Borrower determines at the time of entry into such agreement or instrument that such encumbrances or restrictions will not adversely affect, in any material respect, the Borrower’s ability to make principal or interest payments required hereunder or (II) such encumbrance or restriction applies only during the continuance of a default relating to such agreement or instrument.</w:t>
      </w:r>
    </w:p>
    <w:p>
      <w:pPr>
        <w:spacing w:after="0" w:line="38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Section 7.10. </w:t>
      </w:r>
      <w:r>
        <w:rPr>
          <w:rFonts w:ascii="Arial" w:cs="Arial" w:eastAsia="Arial" w:hAnsi="Arial"/>
          <w:sz w:val="20"/>
          <w:szCs w:val="20"/>
          <w:i w:val="1"/>
          <w:iCs w:val="1"/>
          <w:color w:val="auto"/>
        </w:rPr>
        <w:t>Financial Covenant</w:t>
      </w:r>
      <w:r>
        <w:rPr>
          <w:rFonts w:ascii="Arial" w:cs="Arial" w:eastAsia="Arial" w:hAnsi="Arial"/>
          <w:sz w:val="20"/>
          <w:szCs w:val="20"/>
          <w:color w:val="auto"/>
        </w:rPr>
        <w:t>. The Borrower shall not permit Consolidated EBITDA for any Test Period, commencing with the Test Period ending as of the end of the fiscal quarter ending December 31, 2021, to be less than the amount set forth for such Test Period, below:</w:t>
      </w:r>
    </w:p>
    <w:p>
      <w:pPr>
        <w:spacing w:after="0" w:line="206" w:lineRule="exact"/>
        <w:rPr>
          <w:sz w:val="20"/>
          <w:szCs w:val="20"/>
          <w:color w:val="auto"/>
        </w:rPr>
      </w:pPr>
    </w:p>
    <w:tbl>
      <w:tblPr>
        <w:tblLayout w:type="fixed"/>
        <w:tblInd w:w="1230" w:type="dxa"/>
        <w:tblCellMar>
          <w:top w:w="0" w:type="dxa"/>
          <w:left w:w="0" w:type="dxa"/>
          <w:bottom w:w="0" w:type="dxa"/>
          <w:right w:w="0" w:type="dxa"/>
        </w:tblCellMar>
      </w:tblPr>
      <w:tr>
        <w:trPr>
          <w:trHeight w:val="219"/>
        </w:trPr>
        <w:tc>
          <w:tcPr>
            <w:tcW w:w="1340" w:type="dxa"/>
            <w:vAlign w:val="bottom"/>
            <w:tcBorders>
              <w:top w:val="single" w:sz="8" w:color="auto"/>
              <w:left w:val="single" w:sz="8" w:color="auto"/>
            </w:tcBorders>
          </w:tcPr>
          <w:p>
            <w:pPr>
              <w:spacing w:after="0"/>
              <w:rPr>
                <w:sz w:val="19"/>
                <w:szCs w:val="19"/>
                <w:color w:val="auto"/>
              </w:rPr>
            </w:pPr>
          </w:p>
        </w:tc>
        <w:tc>
          <w:tcPr>
            <w:tcW w:w="2880" w:type="dxa"/>
            <w:vAlign w:val="bottom"/>
            <w:tcBorders>
              <w:top w:val="single" w:sz="8" w:color="auto"/>
              <w:right w:val="single" w:sz="8" w:color="auto"/>
            </w:tcBorders>
            <w:gridSpan w:val="2"/>
          </w:tcPr>
          <w:p>
            <w:pPr>
              <w:spacing w:after="0" w:line="219" w:lineRule="exact"/>
              <w:rPr>
                <w:sz w:val="20"/>
                <w:szCs w:val="20"/>
                <w:color w:val="auto"/>
              </w:rPr>
            </w:pPr>
            <w:r>
              <w:rPr>
                <w:rFonts w:ascii="Arial" w:cs="Arial" w:eastAsia="Arial" w:hAnsi="Arial"/>
                <w:sz w:val="20"/>
                <w:szCs w:val="20"/>
                <w:color w:val="auto"/>
              </w:rPr>
              <w:t>Test Period Ending</w:t>
            </w:r>
          </w:p>
        </w:tc>
        <w:tc>
          <w:tcPr>
            <w:tcW w:w="1080" w:type="dxa"/>
            <w:vAlign w:val="bottom"/>
            <w:tcBorders>
              <w:top w:val="single" w:sz="8" w:color="auto"/>
            </w:tcBorders>
          </w:tcPr>
          <w:p>
            <w:pPr>
              <w:spacing w:after="0"/>
              <w:rPr>
                <w:sz w:val="19"/>
                <w:szCs w:val="19"/>
                <w:color w:val="auto"/>
              </w:rPr>
            </w:pPr>
          </w:p>
        </w:tc>
        <w:tc>
          <w:tcPr>
            <w:tcW w:w="2680" w:type="dxa"/>
            <w:vAlign w:val="bottom"/>
            <w:tcBorders>
              <w:top w:val="single" w:sz="8" w:color="auto"/>
              <w:right w:val="single" w:sz="8" w:color="auto"/>
            </w:tcBorders>
            <w:gridSpan w:val="2"/>
          </w:tcPr>
          <w:p>
            <w:pPr>
              <w:spacing w:after="0" w:line="219" w:lineRule="exact"/>
              <w:rPr>
                <w:sz w:val="20"/>
                <w:szCs w:val="20"/>
                <w:color w:val="auto"/>
              </w:rPr>
            </w:pPr>
            <w:r>
              <w:rPr>
                <w:rFonts w:ascii="Arial" w:cs="Arial" w:eastAsia="Arial" w:hAnsi="Arial"/>
                <w:sz w:val="20"/>
                <w:szCs w:val="20"/>
                <w:color w:val="auto"/>
              </w:rPr>
              <w:t>Minimum EBITDA</w:t>
            </w:r>
          </w:p>
        </w:tc>
      </w:tr>
      <w:tr>
        <w:trPr>
          <w:trHeight w:val="267"/>
        </w:trPr>
        <w:tc>
          <w:tcPr>
            <w:tcW w:w="1340" w:type="dxa"/>
            <w:vAlign w:val="bottom"/>
            <w:tcBorders>
              <w:left w:val="single" w:sz="8" w:color="auto"/>
              <w:bottom w:val="single" w:sz="8" w:color="auto"/>
            </w:tcBorders>
          </w:tcPr>
          <w:p>
            <w:pPr>
              <w:spacing w:after="0"/>
              <w:rPr>
                <w:sz w:val="23"/>
                <w:szCs w:val="23"/>
                <w:color w:val="auto"/>
              </w:rPr>
            </w:pPr>
          </w:p>
        </w:tc>
        <w:tc>
          <w:tcPr>
            <w:tcW w:w="1500" w:type="dxa"/>
            <w:vAlign w:val="bottom"/>
            <w:tcBorders>
              <w:top w:val="single" w:sz="8" w:color="auto"/>
              <w:bottom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560" w:type="dxa"/>
            <w:vAlign w:val="bottom"/>
            <w:tcBorders>
              <w:top w:val="single" w:sz="8" w:color="auto"/>
              <w:bottom w:val="single" w:sz="8" w:color="auto"/>
            </w:tcBorders>
          </w:tcPr>
          <w:p>
            <w:pPr>
              <w:spacing w:after="0"/>
              <w:rPr>
                <w:sz w:val="23"/>
                <w:szCs w:val="23"/>
                <w:color w:val="auto"/>
              </w:rPr>
            </w:pPr>
          </w:p>
        </w:tc>
        <w:tc>
          <w:tcPr>
            <w:tcW w:w="1120" w:type="dxa"/>
            <w:vAlign w:val="bottom"/>
            <w:tcBorders>
              <w:bottom w:val="single" w:sz="8" w:color="auto"/>
              <w:right w:val="single" w:sz="8" w:color="auto"/>
            </w:tcBorders>
          </w:tcPr>
          <w:p>
            <w:pPr>
              <w:spacing w:after="0"/>
              <w:rPr>
                <w:sz w:val="23"/>
                <w:szCs w:val="23"/>
                <w:color w:val="auto"/>
              </w:rPr>
            </w:pPr>
          </w:p>
        </w:tc>
      </w:tr>
      <w:tr>
        <w:trPr>
          <w:trHeight w:val="230"/>
        </w:trPr>
        <w:tc>
          <w:tcPr>
            <w:tcW w:w="42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20"/>
                <w:szCs w:val="20"/>
                <w:color w:val="auto"/>
              </w:rPr>
              <w:t>December 31, 2021</w:t>
            </w:r>
          </w:p>
        </w:tc>
        <w:tc>
          <w:tcPr>
            <w:tcW w:w="2640" w:type="dxa"/>
            <w:vAlign w:val="bottom"/>
            <w:gridSpan w:val="2"/>
          </w:tcPr>
          <w:p>
            <w:pPr>
              <w:jc w:val="right"/>
              <w:ind w:right="1381"/>
              <w:spacing w:after="0"/>
              <w:rPr>
                <w:sz w:val="20"/>
                <w:szCs w:val="20"/>
                <w:color w:val="auto"/>
              </w:rPr>
            </w:pPr>
            <w:r>
              <w:rPr>
                <w:rFonts w:ascii="Arial" w:cs="Arial" w:eastAsia="Arial" w:hAnsi="Arial"/>
                <w:sz w:val="20"/>
                <w:szCs w:val="20"/>
                <w:color w:val="auto"/>
                <w:w w:val="93"/>
              </w:rPr>
              <w:t>$100,000,000</w:t>
            </w:r>
          </w:p>
        </w:tc>
        <w:tc>
          <w:tcPr>
            <w:tcW w:w="1120" w:type="dxa"/>
            <w:vAlign w:val="bottom"/>
            <w:tcBorders>
              <w:right w:val="single" w:sz="8" w:color="auto"/>
            </w:tcBorders>
          </w:tcPr>
          <w:p>
            <w:pPr>
              <w:spacing w:after="0"/>
              <w:rPr>
                <w:sz w:val="20"/>
                <w:szCs w:val="20"/>
                <w:color w:val="auto"/>
              </w:rPr>
            </w:pPr>
          </w:p>
        </w:tc>
      </w:tr>
      <w:tr>
        <w:trPr>
          <w:trHeight w:val="219"/>
        </w:trPr>
        <w:tc>
          <w:tcPr>
            <w:tcW w:w="134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r>
      <w:tr>
        <w:trPr>
          <w:trHeight w:val="244"/>
        </w:trPr>
        <w:tc>
          <w:tcPr>
            <w:tcW w:w="42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20"/>
                <w:szCs w:val="20"/>
                <w:color w:val="auto"/>
              </w:rPr>
              <w:t>March 31, 2022</w:t>
            </w:r>
          </w:p>
        </w:tc>
        <w:tc>
          <w:tcPr>
            <w:tcW w:w="2640" w:type="dxa"/>
            <w:vAlign w:val="bottom"/>
            <w:gridSpan w:val="2"/>
          </w:tcPr>
          <w:p>
            <w:pPr>
              <w:jc w:val="right"/>
              <w:ind w:right="1381"/>
              <w:spacing w:after="0"/>
              <w:rPr>
                <w:sz w:val="20"/>
                <w:szCs w:val="20"/>
                <w:color w:val="auto"/>
              </w:rPr>
            </w:pPr>
            <w:r>
              <w:rPr>
                <w:rFonts w:ascii="Arial" w:cs="Arial" w:eastAsia="Arial" w:hAnsi="Arial"/>
                <w:sz w:val="20"/>
                <w:szCs w:val="20"/>
                <w:color w:val="auto"/>
                <w:w w:val="93"/>
              </w:rPr>
              <w:t>$150,000,000</w:t>
            </w:r>
          </w:p>
        </w:tc>
        <w:tc>
          <w:tcPr>
            <w:tcW w:w="1120" w:type="dxa"/>
            <w:vAlign w:val="bottom"/>
            <w:tcBorders>
              <w:right w:val="single" w:sz="8" w:color="auto"/>
            </w:tcBorders>
          </w:tcPr>
          <w:p>
            <w:pPr>
              <w:spacing w:after="0"/>
              <w:rPr>
                <w:sz w:val="21"/>
                <w:szCs w:val="21"/>
                <w:color w:val="auto"/>
              </w:rPr>
            </w:pPr>
          </w:p>
        </w:tc>
      </w:tr>
      <w:tr>
        <w:trPr>
          <w:trHeight w:val="222"/>
        </w:trPr>
        <w:tc>
          <w:tcPr>
            <w:tcW w:w="134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r>
      <w:tr>
        <w:trPr>
          <w:trHeight w:val="220"/>
        </w:trPr>
        <w:tc>
          <w:tcPr>
            <w:tcW w:w="4220" w:type="dxa"/>
            <w:vAlign w:val="bottom"/>
            <w:tcBorders>
              <w:left w:val="single" w:sz="8" w:color="auto"/>
              <w:right w:val="single" w:sz="8" w:color="auto"/>
            </w:tcBorders>
            <w:gridSpan w:val="3"/>
          </w:tcPr>
          <w:p>
            <w:pPr>
              <w:ind w:left="120"/>
              <w:spacing w:after="0" w:line="220" w:lineRule="exact"/>
              <w:rPr>
                <w:sz w:val="20"/>
                <w:szCs w:val="20"/>
                <w:color w:val="auto"/>
              </w:rPr>
            </w:pPr>
            <w:r>
              <w:rPr>
                <w:rFonts w:ascii="Arial" w:cs="Arial" w:eastAsia="Arial" w:hAnsi="Arial"/>
                <w:sz w:val="20"/>
                <w:szCs w:val="20"/>
                <w:color w:val="auto"/>
              </w:rPr>
              <w:t>June 30, 2022 and the last day of each Fiscal</w:t>
            </w:r>
          </w:p>
        </w:tc>
        <w:tc>
          <w:tcPr>
            <w:tcW w:w="2640" w:type="dxa"/>
            <w:vAlign w:val="bottom"/>
            <w:gridSpan w:val="2"/>
          </w:tcPr>
          <w:p>
            <w:pPr>
              <w:jc w:val="right"/>
              <w:ind w:right="1381"/>
              <w:spacing w:after="0" w:line="220" w:lineRule="exact"/>
              <w:rPr>
                <w:sz w:val="20"/>
                <w:szCs w:val="20"/>
                <w:color w:val="auto"/>
              </w:rPr>
            </w:pPr>
            <w:r>
              <w:rPr>
                <w:rFonts w:ascii="Arial" w:cs="Arial" w:eastAsia="Arial" w:hAnsi="Arial"/>
                <w:sz w:val="20"/>
                <w:szCs w:val="20"/>
                <w:color w:val="auto"/>
                <w:w w:val="93"/>
              </w:rPr>
              <w:t>$200,000,000</w:t>
            </w:r>
          </w:p>
        </w:tc>
        <w:tc>
          <w:tcPr>
            <w:tcW w:w="1120" w:type="dxa"/>
            <w:vAlign w:val="bottom"/>
            <w:tcBorders>
              <w:right w:val="single" w:sz="8" w:color="auto"/>
            </w:tcBorders>
          </w:tcPr>
          <w:p>
            <w:pPr>
              <w:spacing w:after="0"/>
              <w:rPr>
                <w:sz w:val="19"/>
                <w:szCs w:val="19"/>
                <w:color w:val="auto"/>
              </w:rPr>
            </w:pPr>
          </w:p>
        </w:tc>
      </w:tr>
      <w:tr>
        <w:trPr>
          <w:trHeight w:val="250"/>
        </w:trPr>
        <w:tc>
          <w:tcPr>
            <w:tcW w:w="42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20"/>
                <w:szCs w:val="20"/>
                <w:color w:val="auto"/>
              </w:rPr>
              <w:t>Quarter thereafter</w:t>
            </w:r>
          </w:p>
        </w:tc>
        <w:tc>
          <w:tcPr>
            <w:tcW w:w="10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25"/>
        </w:trPr>
        <w:tc>
          <w:tcPr>
            <w:tcW w:w="134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2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7.11. </w:t>
      </w:r>
      <w:r>
        <w:rPr>
          <w:rFonts w:ascii="Arial" w:cs="Arial" w:eastAsia="Arial" w:hAnsi="Arial"/>
          <w:sz w:val="20"/>
          <w:szCs w:val="20"/>
          <w:i w:val="1"/>
          <w:iCs w:val="1"/>
          <w:color w:val="auto"/>
        </w:rPr>
        <w:t>Minimum Liquidity; Budget Variance Covenants</w:t>
      </w:r>
      <w:r>
        <w:rPr>
          <w:rFonts w:ascii="Arial" w:cs="Arial" w:eastAsia="Arial" w:hAnsi="Arial"/>
          <w:sz w:val="20"/>
          <w:szCs w:val="20"/>
          <w:color w:val="auto"/>
        </w:rPr>
        <w:t>.</w:t>
      </w:r>
    </w:p>
    <w:p>
      <w:pPr>
        <w:spacing w:after="0" w:line="216" w:lineRule="exact"/>
        <w:rPr>
          <w:sz w:val="20"/>
          <w:szCs w:val="20"/>
          <w:color w:val="auto"/>
        </w:rPr>
      </w:pPr>
    </w:p>
    <w:p>
      <w:pPr>
        <w:ind w:left="1220" w:hanging="463"/>
        <w:spacing w:after="0"/>
        <w:tabs>
          <w:tab w:leader="none" w:pos="122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As of and after the Amendment No. 3 Closing Date, the Borrower shall not permit Liquidity at any time to be less than</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$35,000,000.</w:t>
      </w:r>
    </w:p>
    <w:p>
      <w:pPr>
        <w:spacing w:after="0" w:line="199" w:lineRule="exact"/>
        <w:rPr>
          <w:rFonts w:ascii="Arial" w:cs="Arial" w:eastAsia="Arial" w:hAnsi="Arial"/>
          <w:sz w:val="19"/>
          <w:szCs w:val="19"/>
          <w:color w:val="auto"/>
        </w:rPr>
      </w:pPr>
    </w:p>
    <w:p>
      <w:pPr>
        <w:ind w:firstLine="412"/>
        <w:spacing w:after="0" w:line="260" w:lineRule="auto"/>
        <w:tabs>
          <w:tab w:leader="none" w:pos="807" w:val="left"/>
        </w:tabs>
        <w:numPr>
          <w:ilvl w:val="0"/>
          <w:numId w:val="168"/>
        </w:numPr>
        <w:rPr>
          <w:rFonts w:ascii="Arial" w:cs="Arial" w:eastAsia="Arial" w:hAnsi="Arial"/>
          <w:sz w:val="20"/>
          <w:szCs w:val="20"/>
          <w:color w:val="auto"/>
        </w:rPr>
      </w:pPr>
      <w:r>
        <w:rPr>
          <w:rFonts w:ascii="Arial" w:cs="Arial" w:eastAsia="Arial" w:hAnsi="Arial"/>
          <w:sz w:val="20"/>
          <w:szCs w:val="20"/>
          <w:color w:val="auto"/>
        </w:rPr>
        <w:t>Commencing with the Budget Variance Test Date occurring on Wednesday, July 12, 2023, and on each Budget Variance Test Date occurring thereafter, the Borrower shall not:</w:t>
      </w:r>
    </w:p>
    <w:p>
      <w:pPr>
        <w:spacing w:after="0" w:line="176" w:lineRule="exact"/>
        <w:rPr>
          <w:rFonts w:ascii="Arial" w:cs="Arial" w:eastAsia="Arial" w:hAnsi="Arial"/>
          <w:sz w:val="20"/>
          <w:szCs w:val="20"/>
          <w:color w:val="auto"/>
        </w:rPr>
      </w:pPr>
    </w:p>
    <w:p>
      <w:pPr>
        <w:jc w:val="both"/>
        <w:ind w:left="760" w:firstLine="745"/>
        <w:spacing w:after="0" w:line="250" w:lineRule="auto"/>
        <w:tabs>
          <w:tab w:leader="none" w:pos="1974" w:val="left"/>
        </w:tabs>
        <w:numPr>
          <w:ilvl w:val="2"/>
          <w:numId w:val="168"/>
        </w:numPr>
        <w:rPr>
          <w:rFonts w:ascii="Arial" w:cs="Arial" w:eastAsia="Arial" w:hAnsi="Arial"/>
          <w:sz w:val="20"/>
          <w:szCs w:val="20"/>
          <w:color w:val="auto"/>
        </w:rPr>
      </w:pPr>
      <w:r>
        <w:rPr>
          <w:rFonts w:ascii="Arial" w:cs="Arial" w:eastAsia="Arial" w:hAnsi="Arial"/>
          <w:sz w:val="20"/>
          <w:szCs w:val="20"/>
          <w:color w:val="auto"/>
        </w:rPr>
        <w:t>permit the sum of the aggregate cash receipts of the Borrower and its Subsidiaries for the Budget Variance Test Period ending on such Budget Variance Test Date (excluding (A) proceeds of any loans made under the ABL Facility and (B) proceeds of Term Priority Collateral)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1" w:name="page152"/>
    <w:bookmarkEnd w:id="151"/>
    <w:p>
      <w:pPr>
        <w:jc w:val="both"/>
        <w:ind w:left="760"/>
        <w:spacing w:after="0" w:line="278" w:lineRule="auto"/>
        <w:rPr>
          <w:sz w:val="20"/>
          <w:szCs w:val="20"/>
          <w:color w:val="auto"/>
        </w:rPr>
      </w:pPr>
      <w:r>
        <w:rPr>
          <w:rFonts w:ascii="Arial" w:cs="Arial" w:eastAsia="Arial" w:hAnsi="Arial"/>
          <w:sz w:val="18"/>
          <w:szCs w:val="18"/>
          <w:color w:val="auto"/>
        </w:rPr>
        <w:t xml:space="preserve">to be less than 20% of the forecasted cash receipts for such Budget Variance Test Period in the applicable Approved Budget;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 that to the extent the receipts of the Borrower and its Subsidiaries exceed the forecasted cash receipts for any such Budget</w:t>
      </w:r>
      <w:r>
        <w:rPr>
          <w:rFonts w:ascii="Arial" w:cs="Arial" w:eastAsia="Arial" w:hAnsi="Arial"/>
          <w:sz w:val="18"/>
          <w:szCs w:val="18"/>
          <w:i w:val="1"/>
          <w:iCs w:val="1"/>
          <w:color w:val="auto"/>
        </w:rPr>
        <w:t xml:space="preserve"> </w:t>
      </w:r>
      <w:r>
        <w:rPr>
          <w:rFonts w:ascii="Arial" w:cs="Arial" w:eastAsia="Arial" w:hAnsi="Arial"/>
          <w:sz w:val="18"/>
          <w:szCs w:val="18"/>
          <w:color w:val="auto"/>
        </w:rPr>
        <w:t>Variance Test Period, such incremental receipts for a given week may be carried forward to successive weekly periods for as long as the then effective Approved Budget is in effect and prior to the replacement thereof by an Updated Budget in accordance with Section 6.02(l) and counted as receipts solely during such period for purposes of this Section 7.11(b)(i); or</w:t>
      </w:r>
    </w:p>
    <w:p>
      <w:pPr>
        <w:spacing w:after="0" w:line="165" w:lineRule="exact"/>
        <w:rPr>
          <w:sz w:val="20"/>
          <w:szCs w:val="20"/>
          <w:color w:val="auto"/>
        </w:rPr>
      </w:pPr>
    </w:p>
    <w:p>
      <w:pPr>
        <w:jc w:val="both"/>
        <w:ind w:left="760" w:firstLine="745"/>
        <w:spacing w:after="0" w:line="303" w:lineRule="auto"/>
        <w:tabs>
          <w:tab w:leader="none" w:pos="1982" w:val="left"/>
        </w:tabs>
        <w:numPr>
          <w:ilvl w:val="1"/>
          <w:numId w:val="169"/>
        </w:numPr>
        <w:rPr>
          <w:rFonts w:ascii="Arial" w:cs="Arial" w:eastAsia="Arial" w:hAnsi="Arial"/>
          <w:sz w:val="16"/>
          <w:szCs w:val="16"/>
          <w:color w:val="auto"/>
        </w:rPr>
      </w:pPr>
      <w:r>
        <w:rPr>
          <w:rFonts w:ascii="Arial" w:cs="Arial" w:eastAsia="Arial" w:hAnsi="Arial"/>
          <w:sz w:val="16"/>
          <w:szCs w:val="16"/>
          <w:color w:val="auto"/>
        </w:rPr>
        <w:t>permit the sum of the aggregate operating disbursements of the Borrower and its Subsidiaries for such Budget Variance Test Period to be greater than 20% of the forecasted aggregate operating disbursements for such Budget Variance Test Period in the applicable Approved Budget (the “</w:t>
      </w:r>
      <w:r>
        <w:rPr>
          <w:rFonts w:ascii="Arial" w:cs="Arial" w:eastAsia="Arial" w:hAnsi="Arial"/>
          <w:sz w:val="16"/>
          <w:szCs w:val="16"/>
          <w:b w:val="1"/>
          <w:bCs w:val="1"/>
          <w:color w:val="auto"/>
        </w:rPr>
        <w:t>Disbursement Budget Covenant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the Disbursement Budget Covenant (for purposes of actual operating disbursements and forecasted operating disbursements in the applicable Approved Budget, in each case, for the applicable Budget Variance Test Period) shall exclude any extraordinary, unusual or non-recurring (x) disbursements or</w:t>
      </w:r>
    </w:p>
    <w:p>
      <w:pPr>
        <w:spacing w:after="0" w:line="2" w:lineRule="exact"/>
        <w:rPr>
          <w:rFonts w:ascii="Arial" w:cs="Arial" w:eastAsia="Arial" w:hAnsi="Arial"/>
          <w:sz w:val="16"/>
          <w:szCs w:val="16"/>
          <w:color w:val="auto"/>
        </w:rPr>
      </w:pPr>
    </w:p>
    <w:p>
      <w:pPr>
        <w:jc w:val="both"/>
        <w:ind w:left="760" w:hanging="3"/>
        <w:spacing w:after="0" w:line="241" w:lineRule="auto"/>
        <w:tabs>
          <w:tab w:leader="none" w:pos="1051" w:val="left"/>
        </w:tabs>
        <w:numPr>
          <w:ilvl w:val="0"/>
          <w:numId w:val="170"/>
        </w:numPr>
        <w:rPr>
          <w:rFonts w:ascii="Arial" w:cs="Arial" w:eastAsia="Arial" w:hAnsi="Arial"/>
          <w:sz w:val="20"/>
          <w:szCs w:val="20"/>
          <w:color w:val="auto"/>
        </w:rPr>
      </w:pPr>
      <w:r>
        <w:rPr>
          <w:rFonts w:ascii="Arial" w:cs="Arial" w:eastAsia="Arial" w:hAnsi="Arial"/>
          <w:sz w:val="20"/>
          <w:szCs w:val="20"/>
          <w:color w:val="auto"/>
        </w:rPr>
        <w:t>deferrals of disbursements, in each case, as agreed by the Borrower and the Required Lenders in writing (which may be via e-mail) on or prior the Amendment No. 3 Closing Date, and as may be agreed by the Borrower and the Required Lenders in writing (which may be via e-mail) from time to time after the Amendment No. 3 Closing Date.</w:t>
      </w:r>
    </w:p>
    <w:p>
      <w:pPr>
        <w:spacing w:after="0" w:line="196" w:lineRule="exact"/>
        <w:rPr>
          <w:sz w:val="20"/>
          <w:szCs w:val="20"/>
          <w:color w:val="auto"/>
        </w:rPr>
      </w:pPr>
    </w:p>
    <w:p>
      <w:pPr>
        <w:jc w:val="both"/>
        <w:ind w:firstLine="427"/>
        <w:spacing w:after="0" w:line="316" w:lineRule="auto"/>
        <w:rPr>
          <w:sz w:val="20"/>
          <w:szCs w:val="20"/>
          <w:color w:val="auto"/>
        </w:rPr>
      </w:pPr>
      <w:r>
        <w:rPr>
          <w:rFonts w:ascii="Arial" w:cs="Arial" w:eastAsia="Arial" w:hAnsi="Arial"/>
          <w:sz w:val="18"/>
          <w:szCs w:val="18"/>
          <w:color w:val="auto"/>
        </w:rPr>
        <w:t xml:space="preserve">To the extent that any Budget Variance Test Period encompasses a period that is covered in more than one Approved Budget, the applicable weeks from each applicable Approved Budget shall be utilized in making the calculations pursuant to this </w:t>
      </w:r>
      <w:r>
        <w:rPr>
          <w:rFonts w:ascii="Arial" w:cs="Arial" w:eastAsia="Arial" w:hAnsi="Arial"/>
          <w:sz w:val="18"/>
          <w:szCs w:val="18"/>
          <w:u w:val="single" w:color="auto"/>
          <w:color w:val="auto"/>
        </w:rPr>
        <w:t>Section 7.11(b)</w:t>
      </w:r>
      <w:r>
        <w:rPr>
          <w:rFonts w:ascii="Arial" w:cs="Arial" w:eastAsia="Arial" w:hAnsi="Arial"/>
          <w:sz w:val="18"/>
          <w:szCs w:val="18"/>
          <w:color w:val="auto"/>
        </w:rPr>
        <w:t>.</w:t>
      </w:r>
    </w:p>
    <w:p>
      <w:pPr>
        <w:spacing w:after="0" w:line="130" w:lineRule="exact"/>
        <w:rPr>
          <w:sz w:val="20"/>
          <w:szCs w:val="20"/>
          <w:color w:val="auto"/>
        </w:rPr>
      </w:pPr>
    </w:p>
    <w:p>
      <w:pPr>
        <w:jc w:val="both"/>
        <w:ind w:firstLine="1497"/>
        <w:spacing w:after="0" w:line="316"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i w:val="1"/>
          <w:iCs w:val="1"/>
          <w:color w:val="auto"/>
        </w:rPr>
        <w:t>Fiscal Year.</w:t>
      </w:r>
      <w:r>
        <w:rPr>
          <w:rFonts w:ascii="Arial" w:cs="Arial" w:eastAsia="Arial" w:hAnsi="Arial"/>
          <w:sz w:val="16"/>
          <w:szCs w:val="16"/>
          <w:color w:val="auto"/>
        </w:rPr>
        <w:t xml:space="preserve"> The Borrower shall not make any change in its fiscal year or fiscal quarters (it being understood that the Borrower’s fiscal year ends on December 31 of each year, and that each of the first three fiscal quarters of each fiscal year of the Borrower ends on the March 31, June 30 and September 30, respectively);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Borrower may, upon written notice to the Administrative Agent and the Required Lenders, change its fiscal year and fiscal quarters to any other fiscal year (and any other fiscal quarters) reasonably acceptable to the Administrative Agent and the Required Lenders, in which case, the Borrower and the Administrative Agent will, and are hereby authorized by the Lenders to, make any adjustments to this Agreement that are necessary to reflect such changes.</w:t>
      </w:r>
    </w:p>
    <w:p>
      <w:pPr>
        <w:spacing w:after="0" w:line="14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7.13. </w:t>
      </w:r>
      <w:r>
        <w:rPr>
          <w:rFonts w:ascii="Arial" w:cs="Arial" w:eastAsia="Arial" w:hAnsi="Arial"/>
          <w:sz w:val="20"/>
          <w:szCs w:val="20"/>
          <w:i w:val="1"/>
          <w:iCs w:val="1"/>
          <w:color w:val="auto"/>
        </w:rPr>
        <w:t>Prepayments, Etc. of Indebtedness</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55" w:lineRule="auto"/>
        <w:tabs>
          <w:tab w:leader="none" w:pos="509"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The Borrower shall not, nor shall it permit any Restricted Subsidiary to, directly or indirectly, voluntarily prepay, redeem, purchase, defease or otherwise satisfy prior to the scheduled maturity thereof in any manner (it being understood that neither payments of regularly scheduled interest in cash, nor any payments of regularly scheduled principal amounts shall be permitted prior to the scheduled maturity date thereof) (x) any Permitted Additional Debt (or any Permitted Refinancing thereof), the UST Tranche A Facility Indebtedness (or any Permitted Refinancing thereof) or the UST Tranche B Facility Indebtedness (or any Permitted Refinancing thereof) or (y) any Junior Financing that constitutes Subordinated Indebtedness (or any Permitted Refinancing thereof), or make any payment in violation of any subordination terms of any Junior Financing Documentation, if any, except (i) any Permitted Refinancing permitted in respect thereof (including any Permitted Refinancing set forth in </w:t>
      </w:r>
      <w:r>
        <w:rPr>
          <w:rFonts w:ascii="Arial" w:cs="Arial" w:eastAsia="Arial" w:hAnsi="Arial"/>
          <w:sz w:val="19"/>
          <w:szCs w:val="19"/>
          <w:u w:val="single" w:color="auto"/>
          <w:color w:val="auto"/>
        </w:rPr>
        <w:t>Section 7.03(u)</w:t>
      </w:r>
      <w:r>
        <w:rPr>
          <w:rFonts w:ascii="Arial" w:cs="Arial" w:eastAsia="Arial" w:hAnsi="Arial"/>
          <w:sz w:val="19"/>
          <w:szCs w:val="19"/>
          <w:color w:val="auto"/>
        </w:rPr>
        <w:t xml:space="preserve"> hereof), (ii) the conversion of any Permitted Additional Debt (or any Permitted Refinancing thereof), the UST Tranche A Facility Indebtedness or the UST Tranche B Facility Indebtedness or Junior Financing that constitutes Subordinated Indebtedness (or any Permitted Refinancing thereof) to Equity Interests (other than Disqualified Equity Interests) of the Borrower, (iii) the prepayment of Indebtedness of the Borrower or any Restricted Subsidiary to the Borrower or any Restricted Subsidiary to the extent not prohibited by applicable subordination provisions, (iv) prepayments, redemptions, purchases, defeasances and other payments 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2" w:name="page153"/>
    <w:bookmarkEnd w:id="152"/>
    <w:p>
      <w:pPr>
        <w:jc w:val="both"/>
        <w:ind w:firstLine="509"/>
        <w:spacing w:after="0" w:line="270" w:lineRule="auto"/>
        <w:rPr>
          <w:sz w:val="20"/>
          <w:szCs w:val="20"/>
          <w:color w:val="auto"/>
        </w:rPr>
      </w:pPr>
      <w:r>
        <w:rPr>
          <w:rFonts w:ascii="Arial" w:cs="Arial" w:eastAsia="Arial" w:hAnsi="Arial"/>
          <w:sz w:val="18"/>
          <w:szCs w:val="18"/>
          <w:color w:val="auto"/>
        </w:rPr>
        <w:t xml:space="preserve">satisfaction from the proceeds of equity issuances by the Borrower, (v) AHYDO “catch up” payments, (vi) prepayments, redemptions, purchases, defeasances and other payments in respect of Permitted Additional Debt (or any Permitted Refinancing thereof), and Junior Financings that constitutes Subordinated Indebtedness (or any Permitted Refinancing thereof) prior to their scheduled maturity in an aggregate amount not to exceed (x) together with (I) the aggregate amount of Investments made under sub-clause (x) of </w:t>
      </w:r>
      <w:r>
        <w:rPr>
          <w:rFonts w:ascii="Arial" w:cs="Arial" w:eastAsia="Arial" w:hAnsi="Arial"/>
          <w:sz w:val="18"/>
          <w:szCs w:val="18"/>
          <w:u w:val="single" w:color="auto"/>
          <w:color w:val="auto"/>
        </w:rPr>
        <w:t>Section 7.02(p)</w:t>
      </w:r>
      <w:r>
        <w:rPr>
          <w:rFonts w:ascii="Arial" w:cs="Arial" w:eastAsia="Arial" w:hAnsi="Arial"/>
          <w:sz w:val="18"/>
          <w:szCs w:val="18"/>
          <w:color w:val="auto"/>
        </w:rPr>
        <w:t xml:space="preserve"> and</w:t>
      </w:r>
    </w:p>
    <w:p>
      <w:pPr>
        <w:spacing w:after="0" w:line="3" w:lineRule="exact"/>
        <w:rPr>
          <w:sz w:val="20"/>
          <w:szCs w:val="20"/>
          <w:color w:val="auto"/>
        </w:rPr>
      </w:pPr>
    </w:p>
    <w:p>
      <w:pPr>
        <w:jc w:val="both"/>
        <w:ind w:firstLine="8"/>
        <w:spacing w:after="0" w:line="268" w:lineRule="auto"/>
        <w:tabs>
          <w:tab w:leader="none" w:pos="31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the aggregate amount of Restricted Payments made pursuant to sub-clause (x) of </w:t>
      </w:r>
      <w:r>
        <w:rPr>
          <w:rFonts w:ascii="Arial" w:cs="Arial" w:eastAsia="Arial" w:hAnsi="Arial"/>
          <w:sz w:val="18"/>
          <w:szCs w:val="18"/>
          <w:u w:val="single" w:color="auto"/>
          <w:color w:val="auto"/>
        </w:rPr>
        <w:t>Section 7.06(e)</w:t>
      </w:r>
      <w:r>
        <w:rPr>
          <w:rFonts w:ascii="Arial" w:cs="Arial" w:eastAsia="Arial" w:hAnsi="Arial"/>
          <w:sz w:val="18"/>
          <w:szCs w:val="18"/>
          <w:color w:val="auto"/>
        </w:rPr>
        <w:t xml:space="preserve">, $5,000,000, </w:t>
      </w:r>
      <w:r>
        <w:rPr>
          <w:rFonts w:ascii="Arial" w:cs="Arial" w:eastAsia="Arial" w:hAnsi="Arial"/>
          <w:sz w:val="18"/>
          <w:szCs w:val="18"/>
          <w:i w:val="1"/>
          <w:iCs w:val="1"/>
          <w:color w:val="auto"/>
        </w:rPr>
        <w:t>plus</w:t>
      </w:r>
      <w:r>
        <w:rPr>
          <w:rFonts w:ascii="Arial" w:cs="Arial" w:eastAsia="Arial" w:hAnsi="Arial"/>
          <w:sz w:val="18"/>
          <w:szCs w:val="18"/>
          <w:color w:val="auto"/>
        </w:rPr>
        <w:t xml:space="preserve"> (y) the portion, if any, of the Cumulative Credit on such date that the Borrower elects to apply to this subclause (y),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no prepayment, redemption, purchase, defeasance or other payment shall be made pursuant to this clause (vi) if an Event of Default has occurred and is continuing or would result therefrom, and (B) no prepayments, redemptions, purchases, defeasances and other payments in respect of Permitted Additional Debt shall be permitted under this clause (vi) until the Specified Amendment No. 1 Period shall have ended, (vii) with respect to the UST Tranche A Facility Indebtedness and the UST Tranche B Facility Indebtedness, payments of regularly scheduled interest in cash and in-kind shall be permitted, (viii) with respect to the UST Tranche A Facility Indebtedness and to the extent required under the UST Tranche A Credit Agreement (as in effect on the Amendment No. 2 Effective Date), payments from proceeds of the Disposition of UST Tranche A Only Collateral shall be permitted, and (ix) with respect to the UST Tranche B Facility Indebtedness and to the extent required under the UST Tranche B Credit Agreement (as in effect on the Amendment No. 2 Effective Date), payments from proceeds of the Disposition of UST Tranche B Priority Collateral, UST Tranche B Joint Collateral (in the case of UST Tranche B Joint Collateral, in accordance with clause (i) of the last sentence of Section 2.13(a)(ii)) and UST Tranche B Only Collateral shall be permitted. For greater certainty, nothing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7.13(a)</w:t>
      </w:r>
      <w:r>
        <w:rPr>
          <w:rFonts w:ascii="Arial" w:cs="Arial" w:eastAsia="Arial" w:hAnsi="Arial"/>
          <w:sz w:val="18"/>
          <w:szCs w:val="18"/>
          <w:color w:val="auto"/>
        </w:rPr>
        <w:t xml:space="preserve"> or elsewhere in this Agreement shall limit or restrict the ability of the Borrower or any Restricted Subsidiary to prepay, redeem, purchase, defease or otherwise satisfy prior to the scheduled maturity thereof any ABL Facility Indebtedness or other obligations also secured pursuant to the ABL Credit Agreement.</w:t>
      </w:r>
    </w:p>
    <w:p>
      <w:pPr>
        <w:spacing w:after="0" w:line="176" w:lineRule="exact"/>
        <w:rPr>
          <w:sz w:val="20"/>
          <w:szCs w:val="20"/>
          <w:color w:val="auto"/>
        </w:rPr>
      </w:pPr>
    </w:p>
    <w:p>
      <w:pPr>
        <w:jc w:val="both"/>
        <w:ind w:firstLine="8"/>
        <w:spacing w:after="0" w:line="257" w:lineRule="auto"/>
        <w:tabs>
          <w:tab w:leader="none" w:pos="509"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(i) The Borrower shall not, nor shall it permit any Restricted Subsidiary to, directly or indirectly, amend, modify, change, terminate or release in any manner materially adverse to the interests of the Lenders any term or condition of any Junior Financing Documentation or the documentation governing any Permitted Additional Debt (or any Permitted Refinancing thereof) if the effect thereof would be to cause such Junior Financing or Permitted Additional Debt to no longer constitute Junior Financing or Permitted Additional Debt, as the case may be, without the consent of the Required Lenders (which consent shall not be unreasonably withheld, conditioned or delayed); </w:t>
      </w:r>
      <w:r>
        <w:rPr>
          <w:rFonts w:ascii="Arial" w:cs="Arial" w:eastAsia="Arial" w:hAnsi="Arial"/>
          <w:sz w:val="19"/>
          <w:szCs w:val="19"/>
          <w:i w:val="1"/>
          <w:iCs w:val="1"/>
          <w:color w:val="auto"/>
        </w:rPr>
        <w:t>provided</w:t>
      </w:r>
      <w:r>
        <w:rPr>
          <w:rFonts w:ascii="Arial" w:cs="Arial" w:eastAsia="Arial" w:hAnsi="Arial"/>
          <w:sz w:val="19"/>
          <w:szCs w:val="19"/>
          <w:color w:val="auto"/>
        </w:rPr>
        <w:t>, that none of the ABL Facility Indebtedness, UST Tranche A Facility Indebtedness or UST Tranche B Facility Indebtedness shall be subject to this clause (b) unless expressly designated as Permitted Junior Priority Additional Debt.</w:t>
      </w:r>
    </w:p>
    <w:p>
      <w:pPr>
        <w:spacing w:after="0" w:line="184" w:lineRule="exact"/>
        <w:rPr>
          <w:rFonts w:ascii="Arial" w:cs="Arial" w:eastAsia="Arial" w:hAnsi="Arial"/>
          <w:sz w:val="19"/>
          <w:szCs w:val="19"/>
          <w:color w:val="auto"/>
        </w:rPr>
      </w:pPr>
    </w:p>
    <w:p>
      <w:pPr>
        <w:jc w:val="both"/>
        <w:ind w:firstLine="413"/>
        <w:spacing w:after="0" w:line="259" w:lineRule="auto"/>
        <w:tabs>
          <w:tab w:leader="none" w:pos="702" w:val="left"/>
        </w:tabs>
        <w:numPr>
          <w:ilvl w:val="1"/>
          <w:numId w:val="173"/>
        </w:numPr>
        <w:rPr>
          <w:rFonts w:ascii="Arial" w:cs="Arial" w:eastAsia="Arial" w:hAnsi="Arial"/>
          <w:sz w:val="19"/>
          <w:szCs w:val="19"/>
          <w:color w:val="auto"/>
        </w:rPr>
      </w:pPr>
      <w:r>
        <w:rPr>
          <w:rFonts w:ascii="Arial" w:cs="Arial" w:eastAsia="Arial" w:hAnsi="Arial"/>
          <w:sz w:val="19"/>
          <w:szCs w:val="19"/>
          <w:color w:val="auto"/>
        </w:rPr>
        <w:t>The Borrower shall not, nor shall it permit any Restricted Subsidiary to, directly or indirectly, amend, modify, change, terminate or release in any manner materially adverse to the interests of the Lenders any term or condition of the UST Tranche A Facility Indebtedness or the UST Tranche B Facility Indebtedness (it being understood and agreed that any amendment to reduce the commitments for the UST Tranche A Facility under the UST Tranche A Facility Credit Agreement to an amount less than $300,000,000 and any amendment to increase the commitments for the UST Tranche B Facility under the UST Tranche B Credit Agreement to an amount in excess of $400,000,000 shall be deemed to be materially adverse to the interests of the Lenders).</w:t>
      </w:r>
    </w:p>
    <w:p>
      <w:pPr>
        <w:spacing w:after="0" w:line="178"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 xml:space="preserve">Section 7.14. </w:t>
      </w:r>
      <w:r>
        <w:rPr>
          <w:rFonts w:ascii="Arial" w:cs="Arial" w:eastAsia="Arial" w:hAnsi="Arial"/>
          <w:sz w:val="20"/>
          <w:szCs w:val="20"/>
          <w:i w:val="1"/>
          <w:iCs w:val="1"/>
          <w:color w:val="auto"/>
        </w:rPr>
        <w:t>Prepayments, Etc. of Single-Employer Plans.</w:t>
      </w:r>
      <w:r>
        <w:rPr>
          <w:rFonts w:ascii="Arial" w:cs="Arial" w:eastAsia="Arial" w:hAnsi="Arial"/>
          <w:sz w:val="20"/>
          <w:szCs w:val="20"/>
          <w:color w:val="auto"/>
        </w:rPr>
        <w:t xml:space="preserve"> The Borrower shall not, except to the extent required by ERISA or other applicable Law, make any early lump sum payment to satisfy any liability under any Single-Employer Plan, in each case, directly from the cash or Cash Equivalents of the Borrower or the Restricted Subsidiaries (including, for the avoidance of doubt, the proceeds of any borrowing under the ABL Facility).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3" w:name="page154"/>
    <w:bookmarkEnd w:id="153"/>
    <w:p>
      <w:pPr>
        <w:ind w:left="1500"/>
        <w:spacing w:after="0"/>
        <w:rPr>
          <w:sz w:val="20"/>
          <w:szCs w:val="20"/>
          <w:color w:val="auto"/>
        </w:rPr>
      </w:pPr>
      <w:r>
        <w:rPr>
          <w:rFonts w:ascii="Arial" w:cs="Arial" w:eastAsia="Arial" w:hAnsi="Arial"/>
          <w:sz w:val="22"/>
          <w:szCs w:val="22"/>
          <w:b w:val="1"/>
          <w:bCs w:val="1"/>
          <w:color w:val="auto"/>
        </w:rPr>
        <w:t>ARTICLE 8</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vents of</w:t>
      </w:r>
      <w:r>
        <w:rPr>
          <w:rFonts w:ascii="Arial" w:cs="Arial" w:eastAsia="Arial" w:hAnsi="Arial"/>
          <w:sz w:val="20"/>
          <w:szCs w:val="20"/>
          <w:color w:val="auto"/>
        </w:rPr>
        <w:t xml:space="preserve"> D</w:t>
      </w:r>
      <w:r>
        <w:rPr>
          <w:rFonts w:ascii="Arial" w:cs="Arial" w:eastAsia="Arial" w:hAnsi="Arial"/>
          <w:sz w:val="13"/>
          <w:szCs w:val="13"/>
          <w:color w:val="auto"/>
        </w:rPr>
        <w:t>efault and</w:t>
      </w:r>
      <w:r>
        <w:rPr>
          <w:rFonts w:ascii="Arial" w:cs="Arial" w:eastAsia="Arial" w:hAnsi="Arial"/>
          <w:sz w:val="20"/>
          <w:szCs w:val="20"/>
          <w:color w:val="auto"/>
        </w:rPr>
        <w:t xml:space="preserve"> R</w:t>
      </w:r>
      <w:r>
        <w:rPr>
          <w:rFonts w:ascii="Arial" w:cs="Arial" w:eastAsia="Arial" w:hAnsi="Arial"/>
          <w:sz w:val="13"/>
          <w:szCs w:val="13"/>
          <w:color w:val="auto"/>
        </w:rPr>
        <w:t>emedies</w:t>
      </w:r>
    </w:p>
    <w:p>
      <w:pPr>
        <w:spacing w:after="0" w:line="200" w:lineRule="exact"/>
        <w:rPr>
          <w:sz w:val="20"/>
          <w:szCs w:val="20"/>
          <w:color w:val="auto"/>
        </w:rPr>
      </w:pPr>
    </w:p>
    <w:p>
      <w:pPr>
        <w:ind w:firstLine="1497"/>
        <w:spacing w:after="0" w:line="260" w:lineRule="auto"/>
        <w:rPr>
          <w:sz w:val="20"/>
          <w:szCs w:val="20"/>
          <w:color w:val="auto"/>
        </w:rPr>
      </w:pPr>
      <w:r>
        <w:rPr>
          <w:rFonts w:ascii="Arial" w:cs="Arial" w:eastAsia="Arial" w:hAnsi="Arial"/>
          <w:sz w:val="20"/>
          <w:szCs w:val="20"/>
          <w:color w:val="auto"/>
        </w:rPr>
        <w:t xml:space="preserve">Section 8.01. </w:t>
      </w:r>
      <w:r>
        <w:rPr>
          <w:rFonts w:ascii="Arial" w:cs="Arial" w:eastAsia="Arial" w:hAnsi="Arial"/>
          <w:sz w:val="20"/>
          <w:szCs w:val="20"/>
          <w:i w:val="1"/>
          <w:iCs w:val="1"/>
          <w:color w:val="auto"/>
        </w:rPr>
        <w:t>Events of Default.</w:t>
      </w:r>
      <w:r>
        <w:rPr>
          <w:rFonts w:ascii="Arial" w:cs="Arial" w:eastAsia="Arial" w:hAnsi="Arial"/>
          <w:sz w:val="20"/>
          <w:szCs w:val="20"/>
          <w:color w:val="auto"/>
        </w:rPr>
        <w:t xml:space="preserve"> Any of the following from and after the Restatement Effective Date shall constitute an event of default (an “</w:t>
      </w:r>
      <w:r>
        <w:rPr>
          <w:rFonts w:ascii="Arial" w:cs="Arial" w:eastAsia="Arial" w:hAnsi="Arial"/>
          <w:sz w:val="20"/>
          <w:szCs w:val="20"/>
          <w:b w:val="1"/>
          <w:bCs w:val="1"/>
          <w:color w:val="auto"/>
        </w:rPr>
        <w:t>Event of Default</w:t>
      </w:r>
      <w:r>
        <w:rPr>
          <w:rFonts w:ascii="Arial" w:cs="Arial" w:eastAsia="Arial" w:hAnsi="Arial"/>
          <w:sz w:val="20"/>
          <w:szCs w:val="20"/>
          <w:color w:val="auto"/>
        </w:rPr>
        <w:t>”):</w:t>
      </w:r>
    </w:p>
    <w:p>
      <w:pPr>
        <w:spacing w:after="0" w:line="177" w:lineRule="exact"/>
        <w:rPr>
          <w:sz w:val="20"/>
          <w:szCs w:val="20"/>
          <w:color w:val="auto"/>
        </w:rPr>
      </w:pPr>
    </w:p>
    <w:p>
      <w:pPr>
        <w:jc w:val="both"/>
        <w:ind w:firstLine="8"/>
        <w:spacing w:after="0" w:line="269" w:lineRule="auto"/>
        <w:tabs>
          <w:tab w:leader="none" w:pos="509" w:val="left"/>
        </w:tabs>
        <w:numPr>
          <w:ilvl w:val="0"/>
          <w:numId w:val="174"/>
        </w:numPr>
        <w:rPr>
          <w:rFonts w:ascii="Arial" w:cs="Arial" w:eastAsia="Arial" w:hAnsi="Arial"/>
          <w:sz w:val="19"/>
          <w:szCs w:val="19"/>
          <w:color w:val="auto"/>
        </w:rPr>
      </w:pPr>
      <w:r>
        <w:rPr>
          <w:rFonts w:ascii="Arial" w:cs="Arial" w:eastAsia="Arial" w:hAnsi="Arial"/>
          <w:sz w:val="19"/>
          <w:szCs w:val="19"/>
          <w:i w:val="1"/>
          <w:iCs w:val="1"/>
          <w:color w:val="auto"/>
        </w:rPr>
        <w:t>Non-Payment</w:t>
      </w:r>
      <w:r>
        <w:rPr>
          <w:rFonts w:ascii="Arial" w:cs="Arial" w:eastAsia="Arial" w:hAnsi="Arial"/>
          <w:sz w:val="19"/>
          <w:szCs w:val="19"/>
          <w:color w:val="auto"/>
        </w:rPr>
        <w:t>. Any Loan Party fails to pay (i) when and as required to be paid herein or in any other Loan Document, any amount of</w:t>
      </w:r>
      <w:r>
        <w:rPr>
          <w:rFonts w:ascii="Arial" w:cs="Arial" w:eastAsia="Arial" w:hAnsi="Arial"/>
          <w:sz w:val="19"/>
          <w:szCs w:val="19"/>
          <w:i w:val="1"/>
          <w:iCs w:val="1"/>
          <w:color w:val="auto"/>
        </w:rPr>
        <w:t xml:space="preserve"> </w:t>
      </w:r>
      <w:r>
        <w:rPr>
          <w:rFonts w:ascii="Arial" w:cs="Arial" w:eastAsia="Arial" w:hAnsi="Arial"/>
          <w:sz w:val="19"/>
          <w:szCs w:val="19"/>
          <w:color w:val="auto"/>
        </w:rPr>
        <w:t>principal of any Loan, (ii) within five (5) Business Days after the same becomes due, any interest on any Loan, or (iii) within ten (10) days after the same becomes due, any other amount payable hereunder or with respect to any other Loan Document; or</w:t>
      </w:r>
    </w:p>
    <w:p>
      <w:pPr>
        <w:spacing w:after="0" w:line="169" w:lineRule="exact"/>
        <w:rPr>
          <w:rFonts w:ascii="Arial" w:cs="Arial" w:eastAsia="Arial" w:hAnsi="Arial"/>
          <w:sz w:val="19"/>
          <w:szCs w:val="19"/>
          <w:color w:val="auto"/>
        </w:rPr>
      </w:pPr>
    </w:p>
    <w:p>
      <w:pPr>
        <w:jc w:val="both"/>
        <w:ind w:firstLine="8"/>
        <w:spacing w:after="0" w:line="243" w:lineRule="auto"/>
        <w:tabs>
          <w:tab w:leader="none" w:pos="509" w:val="left"/>
        </w:tabs>
        <w:numPr>
          <w:ilvl w:val="0"/>
          <w:numId w:val="174"/>
        </w:numPr>
        <w:rPr>
          <w:rFonts w:ascii="Arial" w:cs="Arial" w:eastAsia="Arial" w:hAnsi="Arial"/>
          <w:sz w:val="20"/>
          <w:szCs w:val="20"/>
          <w:color w:val="auto"/>
        </w:rPr>
      </w:pPr>
      <w:r>
        <w:rPr>
          <w:rFonts w:ascii="Arial" w:cs="Arial" w:eastAsia="Arial" w:hAnsi="Arial"/>
          <w:sz w:val="20"/>
          <w:szCs w:val="20"/>
          <w:i w:val="1"/>
          <w:iCs w:val="1"/>
          <w:color w:val="auto"/>
        </w:rPr>
        <w:t xml:space="preserve">Specific Covenants. </w:t>
      </w:r>
      <w:r>
        <w:rPr>
          <w:rFonts w:ascii="Arial" w:cs="Arial" w:eastAsia="Arial" w:hAnsi="Arial"/>
          <w:sz w:val="20"/>
          <w:szCs w:val="20"/>
          <w:color w:val="auto"/>
        </w:rPr>
        <w:t>The Borrower fails to perform or observe any term, covenant or agreement contained in any of (i)</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Sections 6.03(a)</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delivery of a notice of Default or Event of Default at any time will cure an Event of Default under </w:t>
      </w:r>
      <w:r>
        <w:rPr>
          <w:rFonts w:ascii="Arial" w:cs="Arial" w:eastAsia="Arial" w:hAnsi="Arial"/>
          <w:sz w:val="20"/>
          <w:szCs w:val="20"/>
          <w:u w:val="single" w:color="auto"/>
          <w:color w:val="auto"/>
        </w:rPr>
        <w:t>Section 6.03(a)</w:t>
      </w:r>
      <w:r>
        <w:rPr>
          <w:rFonts w:ascii="Arial" w:cs="Arial" w:eastAsia="Arial" w:hAnsi="Arial"/>
          <w:sz w:val="20"/>
          <w:szCs w:val="20"/>
          <w:color w:val="auto"/>
        </w:rPr>
        <w:t xml:space="preserve"> arising from the failure of the Borrower to timely deliver such notice of Default or Event of Default), </w:t>
      </w:r>
      <w:r>
        <w:rPr>
          <w:rFonts w:ascii="Arial" w:cs="Arial" w:eastAsia="Arial" w:hAnsi="Arial"/>
          <w:sz w:val="20"/>
          <w:szCs w:val="20"/>
          <w:u w:val="single" w:color="auto"/>
          <w:color w:val="auto"/>
        </w:rPr>
        <w:t>6.05(a)</w:t>
      </w:r>
      <w:r>
        <w:rPr>
          <w:rFonts w:ascii="Arial" w:cs="Arial" w:eastAsia="Arial" w:hAnsi="Arial"/>
          <w:sz w:val="20"/>
          <w:szCs w:val="20"/>
          <w:color w:val="auto"/>
        </w:rPr>
        <w:t xml:space="preserve"> (solely with respect to the Borrower), </w:t>
      </w:r>
      <w:r>
        <w:rPr>
          <w:rFonts w:ascii="Arial" w:cs="Arial" w:eastAsia="Arial" w:hAnsi="Arial"/>
          <w:sz w:val="20"/>
          <w:szCs w:val="20"/>
          <w:u w:val="single" w:color="auto"/>
          <w:color w:val="auto"/>
        </w:rPr>
        <w:t>6.13(c)(ii)</w:t>
      </w:r>
      <w:r>
        <w:rPr>
          <w:rFonts w:ascii="Arial" w:cs="Arial" w:eastAsia="Arial" w:hAnsi="Arial"/>
          <w:sz w:val="20"/>
          <w:szCs w:val="20"/>
          <w:color w:val="auto"/>
        </w:rPr>
        <w:t xml:space="preserve">, </w:t>
      </w:r>
      <w:r>
        <w:rPr>
          <w:rFonts w:ascii="Arial" w:cs="Arial" w:eastAsia="Arial" w:hAnsi="Arial"/>
          <w:sz w:val="20"/>
          <w:szCs w:val="20"/>
          <w:u w:val="single" w:color="auto"/>
          <w:color w:val="auto"/>
        </w:rPr>
        <w:t>6.13(c)(iii)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6.14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7</w:t>
      </w:r>
      <w:r>
        <w:rPr>
          <w:rFonts w:ascii="Arial" w:cs="Arial" w:eastAsia="Arial" w:hAnsi="Arial"/>
          <w:sz w:val="20"/>
          <w:szCs w:val="20"/>
          <w:color w:val="auto"/>
        </w:rPr>
        <w:t xml:space="preserve"> or (ii) Sections </w:t>
      </w:r>
      <w:r>
        <w:rPr>
          <w:rFonts w:ascii="Arial" w:cs="Arial" w:eastAsia="Arial" w:hAnsi="Arial"/>
          <w:sz w:val="20"/>
          <w:szCs w:val="20"/>
          <w:u w:val="single" w:color="auto"/>
          <w:color w:val="auto"/>
        </w:rPr>
        <w:t>6.01(a)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6.01(b), 6.02(l)</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6.02(m)</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6.02(o)</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6.13(c)(i)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6.18</w:t>
      </w:r>
      <w:r>
        <w:rPr>
          <w:rFonts w:ascii="Arial" w:cs="Arial" w:eastAsia="Arial" w:hAnsi="Arial"/>
          <w:sz w:val="20"/>
          <w:szCs w:val="20"/>
          <w:color w:val="auto"/>
        </w:rPr>
        <w:t xml:space="preserve"> and, in the case solely of this clause (ii), such failure continues for two Business Days after the earlier of (A) an Responsible Officer of the Borrower becoming aware of such default or (B) receipt by the Borrower of written notice thereof from the Administrative Agent or the Required Lenders; or</w:t>
      </w:r>
    </w:p>
    <w:p>
      <w:pPr>
        <w:spacing w:after="0" w:line="192" w:lineRule="exact"/>
        <w:rPr>
          <w:rFonts w:ascii="Arial" w:cs="Arial" w:eastAsia="Arial" w:hAnsi="Arial"/>
          <w:sz w:val="20"/>
          <w:szCs w:val="20"/>
          <w:color w:val="auto"/>
        </w:rPr>
      </w:pPr>
    </w:p>
    <w:p>
      <w:pPr>
        <w:ind w:left="520" w:hanging="512"/>
        <w:spacing w:after="0"/>
        <w:tabs>
          <w:tab w:leader="none" w:pos="520"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Other Defaults. </w:t>
      </w:r>
      <w:r>
        <w:rPr>
          <w:rFonts w:ascii="Arial" w:cs="Arial" w:eastAsia="Arial" w:hAnsi="Arial"/>
          <w:sz w:val="18"/>
          <w:szCs w:val="18"/>
          <w:color w:val="auto"/>
        </w:rPr>
        <w:t>Any Loan Party fails to perform or observe any other term, covenant or agreement (not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8.01(a)</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p>
    <w:p>
      <w:pPr>
        <w:spacing w:after="0" w:line="38" w:lineRule="exact"/>
        <w:rPr>
          <w:rFonts w:ascii="Arial" w:cs="Arial" w:eastAsia="Arial" w:hAnsi="Arial"/>
          <w:sz w:val="18"/>
          <w:szCs w:val="18"/>
          <w:color w:val="auto"/>
        </w:rPr>
      </w:pPr>
    </w:p>
    <w:p>
      <w:pPr>
        <w:ind w:firstLine="8"/>
        <w:spacing w:after="0" w:line="244" w:lineRule="auto"/>
        <w:tabs>
          <w:tab w:leader="none" w:pos="30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above) contained in any Loan Document on its part to be performed or observed and such failure continues for thirty (30) days after receipt by the Borrower of written notice thereof from the Administrative Agent or the Required Lenders; or</w:t>
      </w:r>
    </w:p>
    <w:p>
      <w:pPr>
        <w:spacing w:after="0" w:line="191" w:lineRule="exact"/>
        <w:rPr>
          <w:rFonts w:ascii="Arial" w:cs="Arial" w:eastAsia="Arial" w:hAnsi="Arial"/>
          <w:sz w:val="20"/>
          <w:szCs w:val="20"/>
          <w:color w:val="auto"/>
        </w:rPr>
      </w:pPr>
    </w:p>
    <w:p>
      <w:pPr>
        <w:jc w:val="both"/>
        <w:ind w:firstLine="8"/>
        <w:spacing w:after="0" w:line="342" w:lineRule="auto"/>
        <w:tabs>
          <w:tab w:leader="none" w:pos="509"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 xml:space="preserve">Representations and Warranties. </w:t>
      </w:r>
      <w:r>
        <w:rPr>
          <w:rFonts w:ascii="Arial" w:cs="Arial" w:eastAsia="Arial" w:hAnsi="Arial"/>
          <w:sz w:val="16"/>
          <w:szCs w:val="16"/>
          <w:color w:val="auto"/>
        </w:rPr>
        <w:t>Any representation, warranty, certification or statement of fact made or deemed made by or on behalf</w:t>
      </w:r>
      <w:r>
        <w:rPr>
          <w:rFonts w:ascii="Arial" w:cs="Arial" w:eastAsia="Arial" w:hAnsi="Arial"/>
          <w:sz w:val="16"/>
          <w:szCs w:val="16"/>
          <w:i w:val="1"/>
          <w:iCs w:val="1"/>
          <w:color w:val="auto"/>
        </w:rPr>
        <w:t xml:space="preserve"> </w:t>
      </w:r>
      <w:r>
        <w:rPr>
          <w:rFonts w:ascii="Arial" w:cs="Arial" w:eastAsia="Arial" w:hAnsi="Arial"/>
          <w:sz w:val="16"/>
          <w:szCs w:val="16"/>
          <w:color w:val="auto"/>
        </w:rPr>
        <w:t>of the Borrower or any other Loan Party herein, in any other Loan Document, or in any Compliance Certificate or other document required to be delivered in connection herewith or therewith shall be incorrect or misleading in any material respect when made or deemed made; or</w:t>
      </w:r>
    </w:p>
    <w:p>
      <w:pPr>
        <w:spacing w:after="0" w:line="117" w:lineRule="exact"/>
        <w:rPr>
          <w:rFonts w:ascii="Arial" w:cs="Arial" w:eastAsia="Arial" w:hAnsi="Arial"/>
          <w:sz w:val="16"/>
          <w:szCs w:val="16"/>
          <w:color w:val="auto"/>
        </w:rPr>
      </w:pPr>
    </w:p>
    <w:p>
      <w:pPr>
        <w:ind w:left="520" w:hanging="512"/>
        <w:spacing w:after="0"/>
        <w:tabs>
          <w:tab w:leader="none" w:pos="520" w:val="left"/>
        </w:tabs>
        <w:numPr>
          <w:ilvl w:val="0"/>
          <w:numId w:val="176"/>
        </w:numPr>
        <w:rPr>
          <w:rFonts w:ascii="Arial" w:cs="Arial" w:eastAsia="Arial" w:hAnsi="Arial"/>
          <w:sz w:val="20"/>
          <w:szCs w:val="20"/>
          <w:color w:val="auto"/>
        </w:rPr>
      </w:pPr>
      <w:r>
        <w:rPr>
          <w:rFonts w:ascii="Arial" w:cs="Arial" w:eastAsia="Arial" w:hAnsi="Arial"/>
          <w:sz w:val="20"/>
          <w:szCs w:val="20"/>
          <w:i w:val="1"/>
          <w:iCs w:val="1"/>
          <w:color w:val="auto"/>
        </w:rPr>
        <w:t>Cross-Default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760" w:firstLine="399"/>
        <w:spacing w:after="0" w:line="270" w:lineRule="auto"/>
        <w:tabs>
          <w:tab w:leader="none" w:pos="157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 xml:space="preserve">Any Loan Party or any Restricted Subsidiary (i) fails to make any payment after the applicable grace period with respect thereto, if any, (whether by scheduled maturity, required prepayment, acceleration, demand, or otherwise) in respect of any other Indebtedness (other than Indebtedness hereunder ) having an outstanding aggregate principal amount of not less than the Threshold Amount or (ii) fails to observe or perform any other agreement or condition relating to any such Indebtedness, or any other event occurs (other than, with respect to Indebtedness consisting of Swap Contracts, termination events or equivalent events pursuant to the terms of such Swap Contracts and not as a result of any other default thereunder by any Loan Party), after all grace periods having expired and all required notices having been given, the effect of which default or other event is to cause, or to permit the holder or holders of such Indebtedness (or a trustee or agent on behalf of such holder or holders or beneficiary or beneficiaries) to cause, after all grace periods having expired and all required notices having been given, such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failure or the occurrence of any such other event referred to in subclause (ii) relating to Indebtedness under the ABL Credit Agreement or any Permitted Refinancing thereof shall not constitute an Event of Default under this </w:t>
      </w:r>
      <w:r>
        <w:rPr>
          <w:rFonts w:ascii="Arial" w:cs="Arial" w:eastAsia="Arial" w:hAnsi="Arial"/>
          <w:sz w:val="18"/>
          <w:szCs w:val="18"/>
          <w:u w:val="single" w:color="auto"/>
          <w:color w:val="auto"/>
        </w:rPr>
        <w:t>Section 8.01(e)</w:t>
      </w:r>
      <w:r>
        <w:rPr>
          <w:rFonts w:ascii="Arial" w:cs="Arial" w:eastAsia="Arial" w:hAnsi="Arial"/>
          <w:sz w:val="18"/>
          <w:szCs w:val="18"/>
          <w:color w:val="auto"/>
        </w:rPr>
        <w:t xml:space="preserve"> until the earlier of (x) thirty days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4" w:name="page155"/>
    <w:bookmarkEnd w:id="154"/>
    <w:p>
      <w:pPr>
        <w:jc w:val="both"/>
        <w:ind w:left="760"/>
        <w:spacing w:after="0" w:line="242" w:lineRule="auto"/>
        <w:rPr>
          <w:sz w:val="20"/>
          <w:szCs w:val="20"/>
          <w:color w:val="auto"/>
        </w:rPr>
      </w:pPr>
      <w:r>
        <w:rPr>
          <w:rFonts w:ascii="Arial" w:cs="Arial" w:eastAsia="Arial" w:hAnsi="Arial"/>
          <w:sz w:val="20"/>
          <w:szCs w:val="20"/>
          <w:color w:val="auto"/>
        </w:rPr>
        <w:t xml:space="preserve">after the expiration of all grace periods relating to such failure or occurrence under the ABL Credit Agreement and (y) any acceleration of the ABL Obligations (as defined in the ABL Intercreditor Agreement) outstanding under the ABL Credit Agreement, whether automatic or otherwise;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further that this clause (e)(ii) shall not apply to (I) secured Indebtedness that becomes due as a result of the voluntary sale or transfer of the property or assets securing such Indebtedness, (II) Indebtedness which is convertible into Equity Interest and converts to Equity Interests in accordance with its terms or (III) any breach or default that (X) is remedied by the Borrower or the applicable Restricted Subsidiary or (Y) waived (including in the form of amendment) by the requisite holders of the applicable item of Indebtedness, in either case, prior to the acceleration of all the Loans pursuant to this </w:t>
      </w:r>
      <w:r>
        <w:rPr>
          <w:rFonts w:ascii="Arial" w:cs="Arial" w:eastAsia="Arial" w:hAnsi="Arial"/>
          <w:sz w:val="20"/>
          <w:szCs w:val="20"/>
          <w:u w:val="single" w:color="auto"/>
          <w:color w:val="auto"/>
        </w:rPr>
        <w:t>Section 8.01</w:t>
      </w:r>
      <w:r>
        <w:rPr>
          <w:rFonts w:ascii="Arial" w:cs="Arial" w:eastAsia="Arial" w:hAnsi="Arial"/>
          <w:sz w:val="20"/>
          <w:szCs w:val="20"/>
          <w:color w:val="auto"/>
        </w:rPr>
        <w:t>; or</w:t>
      </w:r>
    </w:p>
    <w:p>
      <w:pPr>
        <w:spacing w:after="0" w:line="197" w:lineRule="exact"/>
        <w:rPr>
          <w:sz w:val="20"/>
          <w:szCs w:val="20"/>
          <w:color w:val="auto"/>
        </w:rPr>
      </w:pPr>
    </w:p>
    <w:p>
      <w:pPr>
        <w:jc w:val="both"/>
        <w:ind w:left="760" w:firstLine="405"/>
        <w:spacing w:after="0" w:line="250" w:lineRule="auto"/>
        <w:tabs>
          <w:tab w:leader="none" w:pos="1589" w:val="left"/>
        </w:tabs>
        <w:numPr>
          <w:ilvl w:val="1"/>
          <w:numId w:val="177"/>
        </w:numPr>
        <w:rPr>
          <w:rFonts w:ascii="Arial" w:cs="Arial" w:eastAsia="Arial" w:hAnsi="Arial"/>
          <w:sz w:val="20"/>
          <w:szCs w:val="20"/>
          <w:color w:val="auto"/>
        </w:rPr>
      </w:pPr>
      <w:r>
        <w:rPr>
          <w:rFonts w:ascii="Arial" w:cs="Arial" w:eastAsia="Arial" w:hAnsi="Arial"/>
          <w:sz w:val="20"/>
          <w:szCs w:val="20"/>
          <w:color w:val="auto"/>
        </w:rPr>
        <w:t>the UST Tranche A Term Agent or the Lenders under (and as defined in) under UST Tranche A Facility Documentation shall fail to honor request for borrowing or release of proceeds from UST Tranche A Controlled Account in each case in excess of $25,000,000 and such failure continues for ten (10) Business Days; or</w:t>
      </w:r>
    </w:p>
    <w:p>
      <w:pPr>
        <w:spacing w:after="0" w:line="185" w:lineRule="exact"/>
        <w:rPr>
          <w:rFonts w:ascii="Arial" w:cs="Arial" w:eastAsia="Arial" w:hAnsi="Arial"/>
          <w:sz w:val="20"/>
          <w:szCs w:val="20"/>
          <w:color w:val="auto"/>
        </w:rPr>
      </w:pPr>
    </w:p>
    <w:p>
      <w:pPr>
        <w:jc w:val="both"/>
        <w:ind w:left="760" w:firstLine="405"/>
        <w:spacing w:after="0" w:line="250" w:lineRule="auto"/>
        <w:tabs>
          <w:tab w:leader="none" w:pos="1576" w:val="left"/>
        </w:tabs>
        <w:numPr>
          <w:ilvl w:val="1"/>
          <w:numId w:val="177"/>
        </w:numPr>
        <w:rPr>
          <w:rFonts w:ascii="Arial" w:cs="Arial" w:eastAsia="Arial" w:hAnsi="Arial"/>
          <w:sz w:val="20"/>
          <w:szCs w:val="20"/>
          <w:color w:val="auto"/>
        </w:rPr>
      </w:pPr>
      <w:r>
        <w:rPr>
          <w:rFonts w:ascii="Arial" w:cs="Arial" w:eastAsia="Arial" w:hAnsi="Arial"/>
          <w:sz w:val="20"/>
          <w:szCs w:val="20"/>
          <w:color w:val="auto"/>
        </w:rPr>
        <w:t>the UST Tranche B Term Agent or the Lenders under (and as defined in) under UST Tranche B Facility Documentation shall fail to honor request for borrowing or release of proceeds from UST Tranche B Controlled Account in each case in excess of $25,000,000 and such failure continues for ten (10) Business Days; or</w:t>
      </w:r>
    </w:p>
    <w:p>
      <w:pPr>
        <w:spacing w:after="0" w:line="185" w:lineRule="exact"/>
        <w:rPr>
          <w:rFonts w:ascii="Arial" w:cs="Arial" w:eastAsia="Arial" w:hAnsi="Arial"/>
          <w:sz w:val="20"/>
          <w:szCs w:val="20"/>
          <w:color w:val="auto"/>
        </w:rPr>
      </w:pPr>
    </w:p>
    <w:p>
      <w:pPr>
        <w:jc w:val="both"/>
        <w:ind w:firstLine="8"/>
        <w:spacing w:after="0" w:line="273" w:lineRule="auto"/>
        <w:tabs>
          <w:tab w:leader="none" w:pos="509"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 xml:space="preserve">Insolvency Proceedings, Etc. </w:t>
      </w:r>
      <w:r>
        <w:rPr>
          <w:rFonts w:ascii="Arial" w:cs="Arial" w:eastAsia="Arial" w:hAnsi="Arial"/>
          <w:sz w:val="18"/>
          <w:szCs w:val="18"/>
          <w:color w:val="auto"/>
        </w:rPr>
        <w:t>Any Loan Party or any Restricted Subsidiary institutes or consents to the institution of any voluntary or</w:t>
      </w:r>
      <w:r>
        <w:rPr>
          <w:rFonts w:ascii="Arial" w:cs="Arial" w:eastAsia="Arial" w:hAnsi="Arial"/>
          <w:sz w:val="18"/>
          <w:szCs w:val="18"/>
          <w:i w:val="1"/>
          <w:iCs w:val="1"/>
          <w:color w:val="auto"/>
        </w:rPr>
        <w:t xml:space="preserve"> </w:t>
      </w:r>
      <w:r>
        <w:rPr>
          <w:rFonts w:ascii="Arial" w:cs="Arial" w:eastAsia="Arial" w:hAnsi="Arial"/>
          <w:sz w:val="18"/>
          <w:szCs w:val="18"/>
          <w:color w:val="auto"/>
        </w:rPr>
        <w:t>involuntary proceeding under any Debtor Relief Law, or makes a general assignment for the benefit of creditors; or applies for or consents to the appointment of any receiver, trustee, custodian, conservator, liquidator, rehabilitator, administrator, administrative receiver or similar officer for it or for all or substantially all of its property; or any receiver, trustee, custodian, conservator, liquidator, rehabilitator, administrator, administrative receiver or similar officer is appointed without the application or consent of such Person and the appointment continues undischarged or unstayed for sixty (60) consecutive calendar days; or any proceeding under any Debtor Relief Law relating to any such Person or to all or substantially all of its property is instituted without the consent of such Person and continues undismissed or unstayed for sixty (60) consecutive calendar days, or an order for relief is entered in any such proceeding; or</w:t>
      </w:r>
    </w:p>
    <w:p>
      <w:pPr>
        <w:spacing w:after="0" w:line="168" w:lineRule="exact"/>
        <w:rPr>
          <w:rFonts w:ascii="Arial" w:cs="Arial" w:eastAsia="Arial" w:hAnsi="Arial"/>
          <w:sz w:val="18"/>
          <w:szCs w:val="18"/>
          <w:color w:val="auto"/>
        </w:rPr>
      </w:pPr>
    </w:p>
    <w:p>
      <w:pPr>
        <w:jc w:val="both"/>
        <w:ind w:firstLine="8"/>
        <w:spacing w:after="0" w:line="263" w:lineRule="auto"/>
        <w:tabs>
          <w:tab w:leader="none" w:pos="509" w:val="left"/>
        </w:tabs>
        <w:numPr>
          <w:ilvl w:val="0"/>
          <w:numId w:val="178"/>
        </w:numPr>
        <w:rPr>
          <w:rFonts w:ascii="Arial" w:cs="Arial" w:eastAsia="Arial" w:hAnsi="Arial"/>
          <w:sz w:val="19"/>
          <w:szCs w:val="19"/>
          <w:color w:val="auto"/>
        </w:rPr>
      </w:pPr>
      <w:r>
        <w:rPr>
          <w:rFonts w:ascii="Arial" w:cs="Arial" w:eastAsia="Arial" w:hAnsi="Arial"/>
          <w:sz w:val="19"/>
          <w:szCs w:val="19"/>
          <w:i w:val="1"/>
          <w:iCs w:val="1"/>
          <w:color w:val="auto"/>
        </w:rPr>
        <w:t>Inability to Pay Debts; Attachment</w:t>
      </w:r>
      <w:r>
        <w:rPr>
          <w:rFonts w:ascii="Arial" w:cs="Arial" w:eastAsia="Arial" w:hAnsi="Arial"/>
          <w:sz w:val="19"/>
          <w:szCs w:val="19"/>
          <w:color w:val="auto"/>
        </w:rPr>
        <w:t>. Any Loan Party or any Restricted Subsidiary becomes generally unable or admits in writing its</w:t>
      </w:r>
      <w:r>
        <w:rPr>
          <w:rFonts w:ascii="Arial" w:cs="Arial" w:eastAsia="Arial" w:hAnsi="Arial"/>
          <w:sz w:val="19"/>
          <w:szCs w:val="19"/>
          <w:i w:val="1"/>
          <w:iCs w:val="1"/>
          <w:color w:val="auto"/>
        </w:rPr>
        <w:t xml:space="preserve"> </w:t>
      </w:r>
      <w:r>
        <w:rPr>
          <w:rFonts w:ascii="Arial" w:cs="Arial" w:eastAsia="Arial" w:hAnsi="Arial"/>
          <w:sz w:val="19"/>
          <w:szCs w:val="19"/>
          <w:color w:val="auto"/>
        </w:rPr>
        <w:t>general inability or fails generally to pay its debts as they become due, or any writ or warrant of attachment or execution or similar process is issued or levied against all or substantially all of the property of the Borrower and the Restricted Subsidiaries, taken as a whole, and is not released, vacated or fully bonded within sixty (60) consecutive days after its issue or levy; or</w:t>
      </w:r>
    </w:p>
    <w:p>
      <w:pPr>
        <w:spacing w:after="0" w:line="176" w:lineRule="exact"/>
        <w:rPr>
          <w:rFonts w:ascii="Arial" w:cs="Arial" w:eastAsia="Arial" w:hAnsi="Arial"/>
          <w:sz w:val="19"/>
          <w:szCs w:val="19"/>
          <w:color w:val="auto"/>
        </w:rPr>
      </w:pPr>
    </w:p>
    <w:p>
      <w:pPr>
        <w:jc w:val="both"/>
        <w:ind w:firstLine="8"/>
        <w:spacing w:after="0" w:line="328" w:lineRule="auto"/>
        <w:tabs>
          <w:tab w:leader="none" w:pos="509"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Judgments</w:t>
      </w:r>
      <w:r>
        <w:rPr>
          <w:rFonts w:ascii="Arial" w:cs="Arial" w:eastAsia="Arial" w:hAnsi="Arial"/>
          <w:sz w:val="16"/>
          <w:szCs w:val="16"/>
          <w:color w:val="auto"/>
        </w:rPr>
        <w:t>. There is entered against any Loan Party or any Restricted Subsidiary a final judgment or order for the payment of money</w:t>
      </w:r>
      <w:r>
        <w:rPr>
          <w:rFonts w:ascii="Arial" w:cs="Arial" w:eastAsia="Arial" w:hAnsi="Arial"/>
          <w:sz w:val="16"/>
          <w:szCs w:val="16"/>
          <w:i w:val="1"/>
          <w:iCs w:val="1"/>
          <w:color w:val="auto"/>
        </w:rPr>
        <w:t xml:space="preserve"> </w:t>
      </w:r>
      <w:r>
        <w:rPr>
          <w:rFonts w:ascii="Arial" w:cs="Arial" w:eastAsia="Arial" w:hAnsi="Arial"/>
          <w:sz w:val="16"/>
          <w:szCs w:val="16"/>
          <w:color w:val="auto"/>
        </w:rPr>
        <w:t>in an aggregate amount exceeding the Threshold Amount (to the extent not covered by independent third-party insurance or indemnity as to which the insurer or third party indemnitor has been notified of such judgment or order and has not denied coverage) and such judgment or order shall not have been satisfied, vacated, discharged or stayed or bonded pending an appeal for a period of sixty (60) consecutive days; or</w:t>
      </w:r>
    </w:p>
    <w:p>
      <w:pPr>
        <w:spacing w:after="0" w:line="128" w:lineRule="exact"/>
        <w:rPr>
          <w:rFonts w:ascii="Arial" w:cs="Arial" w:eastAsia="Arial" w:hAnsi="Arial"/>
          <w:sz w:val="16"/>
          <w:szCs w:val="16"/>
          <w:color w:val="auto"/>
        </w:rPr>
      </w:pPr>
    </w:p>
    <w:p>
      <w:pPr>
        <w:jc w:val="both"/>
        <w:ind w:firstLine="8"/>
        <w:spacing w:after="0" w:line="263" w:lineRule="auto"/>
        <w:tabs>
          <w:tab w:leader="none" w:pos="509" w:val="left"/>
        </w:tabs>
        <w:numPr>
          <w:ilvl w:val="0"/>
          <w:numId w:val="178"/>
        </w:numPr>
        <w:rPr>
          <w:rFonts w:ascii="Arial" w:cs="Arial" w:eastAsia="Arial" w:hAnsi="Arial"/>
          <w:sz w:val="19"/>
          <w:szCs w:val="19"/>
          <w:color w:val="auto"/>
        </w:rPr>
      </w:pPr>
      <w:r>
        <w:rPr>
          <w:rFonts w:ascii="Arial" w:cs="Arial" w:eastAsia="Arial" w:hAnsi="Arial"/>
          <w:sz w:val="19"/>
          <w:szCs w:val="19"/>
          <w:i w:val="1"/>
          <w:iCs w:val="1"/>
          <w:color w:val="auto"/>
        </w:rPr>
        <w:t>Invalidity of Loan Documents</w:t>
      </w:r>
      <w:r>
        <w:rPr>
          <w:rFonts w:ascii="Arial" w:cs="Arial" w:eastAsia="Arial" w:hAnsi="Arial"/>
          <w:sz w:val="19"/>
          <w:szCs w:val="19"/>
          <w:color w:val="auto"/>
        </w:rPr>
        <w:t>. Any material provision of the Loan Documents, at any time after their execution and delivery and for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any reason other than as expressly permitted hereunder or thereunder (including as a result of a transaction permitted under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7.05</w:t>
      </w:r>
      <w:r>
        <w:rPr>
          <w:rFonts w:ascii="Arial" w:cs="Arial" w:eastAsia="Arial" w:hAnsi="Arial"/>
          <w:sz w:val="19"/>
          <w:szCs w:val="19"/>
          <w:color w:val="auto"/>
        </w:rPr>
        <w:t>) or as a result of acts or omissions by the Administrative Agent or Collateral Agent or any Lender or the satisfaction in full of all the Obligations (other than other than contingent obligations), ceases to be in full force and effect; or any Loan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5" w:name="page156"/>
    <w:bookmarkEnd w:id="155"/>
    <w:p>
      <w:pPr>
        <w:jc w:val="both"/>
        <w:ind w:firstLine="509"/>
        <w:spacing w:after="0" w:line="250" w:lineRule="auto"/>
        <w:rPr>
          <w:sz w:val="20"/>
          <w:szCs w:val="20"/>
          <w:color w:val="auto"/>
        </w:rPr>
      </w:pPr>
      <w:r>
        <w:rPr>
          <w:rFonts w:ascii="Arial" w:cs="Arial" w:eastAsia="Arial" w:hAnsi="Arial"/>
          <w:sz w:val="20"/>
          <w:szCs w:val="20"/>
          <w:color w:val="auto"/>
        </w:rPr>
        <w:t>Party contests in writing the validity or enforceability of any provision of any Loan Document; or any Loan Party denies in writing that it has any or further liability or obligation under any Loan Document (other than as a result of repayment in full of the Obligations), or purports in writing to revoke or rescind any Loan Document; or</w:t>
      </w:r>
    </w:p>
    <w:p>
      <w:pPr>
        <w:spacing w:after="0" w:line="186" w:lineRule="exact"/>
        <w:rPr>
          <w:sz w:val="20"/>
          <w:szCs w:val="20"/>
          <w:color w:val="auto"/>
        </w:rPr>
      </w:pPr>
    </w:p>
    <w:p>
      <w:pPr>
        <w:ind w:left="520" w:hanging="512"/>
        <w:spacing w:after="0"/>
        <w:tabs>
          <w:tab w:leader="none" w:pos="520" w:val="left"/>
        </w:tabs>
        <w:numPr>
          <w:ilvl w:val="0"/>
          <w:numId w:val="179"/>
        </w:numPr>
        <w:rPr>
          <w:rFonts w:ascii="Arial" w:cs="Arial" w:eastAsia="Arial" w:hAnsi="Arial"/>
          <w:sz w:val="20"/>
          <w:szCs w:val="20"/>
          <w:color w:val="auto"/>
        </w:rPr>
      </w:pPr>
      <w:r>
        <w:rPr>
          <w:rFonts w:ascii="Arial" w:cs="Arial" w:eastAsia="Arial" w:hAnsi="Arial"/>
          <w:sz w:val="20"/>
          <w:szCs w:val="20"/>
          <w:i w:val="1"/>
          <w:iCs w:val="1"/>
          <w:color w:val="auto"/>
        </w:rPr>
        <w:t>Change of Control</w:t>
      </w:r>
      <w:r>
        <w:rPr>
          <w:rFonts w:ascii="Arial" w:cs="Arial" w:eastAsia="Arial" w:hAnsi="Arial"/>
          <w:sz w:val="20"/>
          <w:szCs w:val="20"/>
          <w:color w:val="auto"/>
        </w:rPr>
        <w:t>. There occurs any Change of Control; or</w:t>
      </w:r>
    </w:p>
    <w:p>
      <w:pPr>
        <w:spacing w:after="0" w:line="215" w:lineRule="exact"/>
        <w:rPr>
          <w:rFonts w:ascii="Arial" w:cs="Arial" w:eastAsia="Arial" w:hAnsi="Arial"/>
          <w:sz w:val="20"/>
          <w:szCs w:val="20"/>
          <w:color w:val="auto"/>
        </w:rPr>
      </w:pPr>
    </w:p>
    <w:p>
      <w:pPr>
        <w:jc w:val="both"/>
        <w:ind w:firstLine="8"/>
        <w:spacing w:after="0" w:line="271" w:lineRule="auto"/>
        <w:tabs>
          <w:tab w:leader="none" w:pos="509"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Collateral Documents</w:t>
      </w:r>
      <w:r>
        <w:rPr>
          <w:rFonts w:ascii="Arial" w:cs="Arial" w:eastAsia="Arial" w:hAnsi="Arial"/>
          <w:sz w:val="18"/>
          <w:szCs w:val="18"/>
          <w:color w:val="auto"/>
        </w:rPr>
        <w:t>. The Collateral Documents after delivery thereof pursuant to Section</w:t>
      </w:r>
      <w:r>
        <w:rPr>
          <w:rFonts w:ascii="Arial" w:cs="Arial" w:eastAsia="Arial" w:hAnsi="Arial"/>
          <w:sz w:val="18"/>
          <w:szCs w:val="18"/>
          <w:u w:val="single" w:color="auto"/>
          <w:color w:val="auto"/>
        </w:rPr>
        <w:t>s 4.02</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6.13</w:t>
      </w:r>
      <w:r>
        <w:rPr>
          <w:rFonts w:ascii="Arial" w:cs="Arial" w:eastAsia="Arial" w:hAnsi="Arial"/>
          <w:sz w:val="18"/>
          <w:szCs w:val="18"/>
          <w:i w:val="1"/>
          <w:iCs w:val="1"/>
          <w:color w:val="auto"/>
        </w:rPr>
        <w:t xml:space="preserve"> </w:t>
      </w:r>
      <w:r>
        <w:rPr>
          <w:rFonts w:ascii="Arial" w:cs="Arial" w:eastAsia="Arial" w:hAnsi="Arial"/>
          <w:sz w:val="18"/>
          <w:szCs w:val="18"/>
          <w:color w:val="auto"/>
        </w:rPr>
        <w:t>shall for any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than pursuant to the terms hereof or thereof including as a result of a transaction permitted under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cease to create, or shall be asserted by any Loan Party not to create, a valid and perfected Lien, with the priority required by the Collateral Documents on and security interest in Collateral purported to be covered thereby with an aggregate value equal to or greater than $25,000,000, subject to Liens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(i) except to the extent that any such perfection or priority is not required pursuant to the Collateral and Guarantee Requirement or results from the failure of the Administrative Agent or the Collateral Agent to maintain possession or control of certificates representing securities, other collateral requiring possession or control, or motor vehicle certificates of title (or notation thereon) pledged under the Collateral Documents, in each case actually delivered to it, or to file Uniform Commercial Code financing statements or continuation statements or any Collateral Documents and (ii) except as to Collateral consisting of Real Property to the extent that such losses are covered by a lender’s title insurance policy and such insurer has not denied coverage; or</w:t>
      </w:r>
    </w:p>
    <w:p>
      <w:pPr>
        <w:spacing w:after="0" w:line="173" w:lineRule="exact"/>
        <w:rPr>
          <w:rFonts w:ascii="Arial" w:cs="Arial" w:eastAsia="Arial" w:hAnsi="Arial"/>
          <w:sz w:val="18"/>
          <w:szCs w:val="18"/>
          <w:color w:val="auto"/>
        </w:rPr>
      </w:pPr>
    </w:p>
    <w:p>
      <w:pPr>
        <w:jc w:val="both"/>
        <w:ind w:firstLine="8"/>
        <w:spacing w:after="0" w:line="269" w:lineRule="auto"/>
        <w:tabs>
          <w:tab w:leader="none" w:pos="509"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(i) An ERISA Event that occurs after the Restatement Effective Date and that, alone or together with any other ERISA Events</w:t>
      </w:r>
      <w:r>
        <w:rPr>
          <w:rFonts w:ascii="Arial" w:cs="Arial" w:eastAsia="Arial" w:hAnsi="Arial"/>
          <w:sz w:val="18"/>
          <w:szCs w:val="18"/>
          <w:i w:val="1"/>
          <w:iCs w:val="1"/>
          <w:color w:val="auto"/>
        </w:rPr>
        <w:t xml:space="preserve"> </w:t>
      </w:r>
      <w:r>
        <w:rPr>
          <w:rFonts w:ascii="Arial" w:cs="Arial" w:eastAsia="Arial" w:hAnsi="Arial"/>
          <w:sz w:val="18"/>
          <w:szCs w:val="18"/>
          <w:color w:val="auto"/>
        </w:rPr>
        <w:t>that have occurred after the Restatement Effective Date, has resulted or could reasonably be expected to result in liability of a Loan Party, any Restricted Subsidiary or any of their respective ERISA Affiliates in an aggregate amount at any particular time that would reasonably be expected to have a Material Adverse Effect, or (ii) a Loan Party, any Restricted Subsidiary or any of their respective ERISA Affiliates fails to pay when due, after the expiration of any applicable grace period, any installment payment with respect to its Withdrawal Liability under Section 4201 of ERISA under a Multiemployer Plan in an aggregate amount, that, alone or together with any other such failures to pay, has resulted or would reasonably be expected to result in a Material Adverse Effect; or (iii) as of any date, a Loan Party, any Restricted Subsidiary or any of their respective ERISA Affiliates (x) shall have made contributions to any Multiemployer Plan during the immediately preceding twelve month period ending on such date that exceed in value in the aggregate among all such Persons the Pension Contribution Cap for such period or (y) is projected or reasonably expected (in each case by the Borrower in good faith) to make contributions to any Multiemployer Plan in the next twelve month period that exceed in the aggregate among all such Persons the Pension Contribution Cap for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Pension Contribution Cap may be exceeded solely to facilitate a compromise, settlement, rearrangement or other restructuring of liabilities under such Multiemployer Plan with the consent of the Required Lenders (such consent not to be unreasonably withheld, delayed or conditioned or denied));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(iii) shall not apply if on the applicable date of determination Consolidated EBITDA for the most recent Test Period ending prior to such date of determination as set forth in the most recent Compliance Certificate received by the Administrative Agent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on or prior to such date of determination exceeds $400,000,000; or</w:t>
      </w:r>
    </w:p>
    <w:p>
      <w:pPr>
        <w:spacing w:after="0" w:line="173" w:lineRule="exact"/>
        <w:rPr>
          <w:rFonts w:ascii="Arial" w:cs="Arial" w:eastAsia="Arial" w:hAnsi="Arial"/>
          <w:sz w:val="18"/>
          <w:szCs w:val="18"/>
          <w:color w:val="auto"/>
        </w:rPr>
      </w:pPr>
    </w:p>
    <w:p>
      <w:pPr>
        <w:jc w:val="both"/>
        <w:ind w:firstLine="8"/>
        <w:spacing w:after="0" w:line="243" w:lineRule="auto"/>
        <w:tabs>
          <w:tab w:leader="none" w:pos="509" w:val="left"/>
        </w:tabs>
        <w:numPr>
          <w:ilvl w:val="0"/>
          <w:numId w:val="179"/>
        </w:numPr>
        <w:rPr>
          <w:rFonts w:ascii="Arial" w:cs="Arial" w:eastAsia="Arial" w:hAnsi="Arial"/>
          <w:sz w:val="20"/>
          <w:szCs w:val="20"/>
          <w:color w:val="auto"/>
        </w:rPr>
      </w:pPr>
      <w:r>
        <w:rPr>
          <w:rFonts w:ascii="Arial" w:cs="Arial" w:eastAsia="Arial" w:hAnsi="Arial"/>
          <w:sz w:val="20"/>
          <w:szCs w:val="20"/>
          <w:i w:val="1"/>
          <w:iCs w:val="1"/>
          <w:color w:val="auto"/>
        </w:rPr>
        <w:t>Junior Financing Documentation</w:t>
      </w:r>
      <w:r>
        <w:rPr>
          <w:rFonts w:ascii="Arial" w:cs="Arial" w:eastAsia="Arial" w:hAnsi="Arial"/>
          <w:sz w:val="20"/>
          <w:szCs w:val="20"/>
          <w:color w:val="auto"/>
        </w:rPr>
        <w:t>. (i) Any of the Obligations of the Loan Parties under the Loan Documents for any reason shall cease</w:t>
      </w:r>
      <w:r>
        <w:rPr>
          <w:rFonts w:ascii="Arial" w:cs="Arial" w:eastAsia="Arial" w:hAnsi="Arial"/>
          <w:sz w:val="20"/>
          <w:szCs w:val="20"/>
          <w:i w:val="1"/>
          <w:iCs w:val="1"/>
          <w:color w:val="auto"/>
        </w:rPr>
        <w:t xml:space="preserve"> </w:t>
      </w:r>
      <w:r>
        <w:rPr>
          <w:rFonts w:ascii="Arial" w:cs="Arial" w:eastAsia="Arial" w:hAnsi="Arial"/>
          <w:sz w:val="20"/>
          <w:szCs w:val="20"/>
          <w:color w:val="auto"/>
        </w:rPr>
        <w:t>to be, or shall be asserted by any Loan Party not to be, “Senior Indebtedness” (or any comparable term) or “Senior Secured Financing” (or any comparable term) under, and as defined in, any Junior Financing Documentation in respect of any Junior Financing that is, or is required by this Agreement to be, Subordinated Indebtedness or (ii) the subordination provisions set forth in any Junior Financing Documentation in respect of any Junior Financing that is, or is required by this Agreement to be, Subordinated Indebtedness shall, in whole or in part, cease to be, or shall be asserted by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6" w:name="page157"/>
    <w:bookmarkEnd w:id="156"/>
    <w:p>
      <w:pPr>
        <w:jc w:val="both"/>
        <w:ind w:firstLine="509"/>
        <w:spacing w:after="0" w:line="250" w:lineRule="auto"/>
        <w:rPr>
          <w:sz w:val="20"/>
          <w:szCs w:val="20"/>
          <w:color w:val="auto"/>
        </w:rPr>
      </w:pPr>
      <w:r>
        <w:rPr>
          <w:rFonts w:ascii="Arial" w:cs="Arial" w:eastAsia="Arial" w:hAnsi="Arial"/>
          <w:sz w:val="20"/>
          <w:szCs w:val="20"/>
          <w:color w:val="auto"/>
        </w:rPr>
        <w:t>any Loan Party not to be, effective or legally valid, binding and enforceable against the holders of any such Junior Financing, if applicable (other than as a result of acts or omissions by the Administrative Agent or Collateral Agent or the satisfaction in full of all the Obligations (other than contingent obligations)); or</w:t>
      </w:r>
    </w:p>
    <w:p>
      <w:pPr>
        <w:spacing w:after="0" w:line="186" w:lineRule="exact"/>
        <w:rPr>
          <w:sz w:val="20"/>
          <w:szCs w:val="20"/>
          <w:color w:val="auto"/>
        </w:rPr>
      </w:pPr>
    </w:p>
    <w:p>
      <w:pPr>
        <w:ind w:firstLine="8"/>
        <w:spacing w:after="0" w:line="260" w:lineRule="auto"/>
        <w:tabs>
          <w:tab w:leader="none" w:pos="509" w:val="left"/>
        </w:tabs>
        <w:numPr>
          <w:ilvl w:val="0"/>
          <w:numId w:val="180"/>
        </w:numPr>
        <w:rPr>
          <w:rFonts w:ascii="Arial" w:cs="Arial" w:eastAsia="Arial" w:hAnsi="Arial"/>
          <w:sz w:val="20"/>
          <w:szCs w:val="20"/>
          <w:color w:val="auto"/>
        </w:rPr>
      </w:pPr>
      <w:r>
        <w:rPr>
          <w:rFonts w:ascii="Arial" w:cs="Arial" w:eastAsia="Arial" w:hAnsi="Arial"/>
          <w:sz w:val="20"/>
          <w:szCs w:val="20"/>
          <w:i w:val="1"/>
          <w:iCs w:val="1"/>
          <w:color w:val="auto"/>
        </w:rPr>
        <w:t>IBT Agreement</w:t>
      </w:r>
      <w:r>
        <w:rPr>
          <w:rFonts w:ascii="Arial" w:cs="Arial" w:eastAsia="Arial" w:hAnsi="Arial"/>
          <w:sz w:val="20"/>
          <w:szCs w:val="20"/>
          <w:color w:val="auto"/>
        </w:rPr>
        <w:t>. The IBT Agreement shall be declared invalid or illegal, shall be terminated, or shall no longer be in full force and</w:t>
      </w:r>
      <w:r>
        <w:rPr>
          <w:rFonts w:ascii="Arial" w:cs="Arial" w:eastAsia="Arial" w:hAnsi="Arial"/>
          <w:sz w:val="20"/>
          <w:szCs w:val="20"/>
          <w:i w:val="1"/>
          <w:iCs w:val="1"/>
          <w:color w:val="auto"/>
        </w:rPr>
        <w:t xml:space="preserve"> </w:t>
      </w:r>
      <w:r>
        <w:rPr>
          <w:rFonts w:ascii="Arial" w:cs="Arial" w:eastAsia="Arial" w:hAnsi="Arial"/>
          <w:sz w:val="20"/>
          <w:szCs w:val="20"/>
          <w:color w:val="auto"/>
        </w:rPr>
        <w:t>effect; or</w:t>
      </w:r>
    </w:p>
    <w:p>
      <w:pPr>
        <w:spacing w:after="0" w:line="176" w:lineRule="exact"/>
        <w:rPr>
          <w:rFonts w:ascii="Arial" w:cs="Arial" w:eastAsia="Arial" w:hAnsi="Arial"/>
          <w:sz w:val="20"/>
          <w:szCs w:val="20"/>
          <w:color w:val="auto"/>
        </w:rPr>
      </w:pPr>
    </w:p>
    <w:p>
      <w:pPr>
        <w:jc w:val="both"/>
        <w:ind w:firstLine="8"/>
        <w:spacing w:after="0" w:line="263" w:lineRule="auto"/>
        <w:tabs>
          <w:tab w:leader="none" w:pos="509" w:val="left"/>
        </w:tabs>
        <w:numPr>
          <w:ilvl w:val="0"/>
          <w:numId w:val="180"/>
        </w:numPr>
        <w:rPr>
          <w:rFonts w:ascii="Arial" w:cs="Arial" w:eastAsia="Arial" w:hAnsi="Arial"/>
          <w:sz w:val="19"/>
          <w:szCs w:val="19"/>
          <w:color w:val="auto"/>
        </w:rPr>
      </w:pPr>
      <w:r>
        <w:rPr>
          <w:rFonts w:ascii="Arial" w:cs="Arial" w:eastAsia="Arial" w:hAnsi="Arial"/>
          <w:sz w:val="19"/>
          <w:szCs w:val="19"/>
          <w:i w:val="1"/>
          <w:iCs w:val="1"/>
          <w:color w:val="auto"/>
        </w:rPr>
        <w:t>Compton Sale</w:t>
      </w:r>
      <w:r>
        <w:rPr>
          <w:rFonts w:ascii="Arial" w:cs="Arial" w:eastAsia="Arial" w:hAnsi="Arial"/>
          <w:sz w:val="19"/>
          <w:szCs w:val="19"/>
          <w:color w:val="auto"/>
        </w:rPr>
        <w:t>. The Borrower and its Subsidiaries shall not have consummated the Compton Sale for a purchase price of</w:t>
      </w:r>
      <w:r>
        <w:rPr>
          <w:rFonts w:ascii="Arial" w:cs="Arial" w:eastAsia="Arial" w:hAnsi="Arial"/>
          <w:sz w:val="19"/>
          <w:szCs w:val="19"/>
          <w:i w:val="1"/>
          <w:iCs w:val="1"/>
          <w:color w:val="auto"/>
        </w:rPr>
        <w:t xml:space="preserve"> </w:t>
      </w:r>
      <w:r>
        <w:rPr>
          <w:rFonts w:ascii="Arial" w:cs="Arial" w:eastAsia="Arial" w:hAnsi="Arial"/>
          <w:sz w:val="19"/>
          <w:szCs w:val="19"/>
          <w:color w:val="auto"/>
        </w:rPr>
        <w:t>$80,000,000 and prepaid the Tranche B-2 Term Loans with the Net Proceeds thereof (which Net Proceeds shall be in an aggregate amount not less than $73,000,000) on or prior to the date that is four (4) Business Days after the Amendment No. 3 Closing Date (or such later date as may be agreed in writing by the Required Lenders in their sole and absolute discretion (which may be via e-mail)).</w:t>
      </w:r>
    </w:p>
    <w:p>
      <w:pPr>
        <w:spacing w:after="0" w:line="176" w:lineRule="exact"/>
        <w:rPr>
          <w:sz w:val="20"/>
          <w:szCs w:val="20"/>
          <w:color w:val="auto"/>
        </w:rPr>
      </w:pPr>
    </w:p>
    <w:p>
      <w:pPr>
        <w:ind w:firstLine="1497"/>
        <w:spacing w:after="0" w:line="260" w:lineRule="auto"/>
        <w:rPr>
          <w:sz w:val="20"/>
          <w:szCs w:val="20"/>
          <w:color w:val="auto"/>
        </w:rPr>
      </w:pPr>
      <w:r>
        <w:rPr>
          <w:rFonts w:ascii="Arial" w:cs="Arial" w:eastAsia="Arial" w:hAnsi="Arial"/>
          <w:sz w:val="20"/>
          <w:szCs w:val="20"/>
          <w:color w:val="auto"/>
        </w:rPr>
        <w:t xml:space="preserve">Section 8.02. </w:t>
      </w:r>
      <w:r>
        <w:rPr>
          <w:rFonts w:ascii="Arial" w:cs="Arial" w:eastAsia="Arial" w:hAnsi="Arial"/>
          <w:sz w:val="20"/>
          <w:szCs w:val="20"/>
          <w:i w:val="1"/>
          <w:iCs w:val="1"/>
          <w:color w:val="auto"/>
        </w:rPr>
        <w:t>Remedies Upon Event of Default.</w:t>
      </w:r>
      <w:r>
        <w:rPr>
          <w:rFonts w:ascii="Arial" w:cs="Arial" w:eastAsia="Arial" w:hAnsi="Arial"/>
          <w:sz w:val="20"/>
          <w:szCs w:val="20"/>
          <w:color w:val="auto"/>
        </w:rPr>
        <w:t xml:space="preserve"> If any Event of Default occurs and is continuing the Administrative Agent may, and at the request of the Required Lenders shall, take any or all of the following actions:</w:t>
      </w:r>
    </w:p>
    <w:p>
      <w:pPr>
        <w:spacing w:after="0" w:line="190" w:lineRule="exact"/>
        <w:rPr>
          <w:sz w:val="20"/>
          <w:szCs w:val="20"/>
          <w:color w:val="auto"/>
        </w:rPr>
      </w:pPr>
    </w:p>
    <w:p>
      <w:pPr>
        <w:ind w:left="2260" w:hanging="6"/>
        <w:spacing w:after="0" w:line="238" w:lineRule="auto"/>
        <w:tabs>
          <w:tab w:leader="none" w:pos="2560" w:val="left"/>
        </w:tabs>
        <w:numPr>
          <w:ilvl w:val="0"/>
          <w:numId w:val="181"/>
        </w:numPr>
        <w:rPr>
          <w:rFonts w:ascii="Arial" w:cs="Arial" w:eastAsia="Arial" w:hAnsi="Arial"/>
          <w:sz w:val="22"/>
          <w:szCs w:val="22"/>
          <w:color w:val="auto"/>
        </w:rPr>
      </w:pPr>
      <w:r>
        <w:rPr>
          <w:rFonts w:ascii="Arial" w:cs="Arial" w:eastAsia="Arial" w:hAnsi="Arial"/>
          <w:sz w:val="20"/>
          <w:szCs w:val="20"/>
          <w:color w:val="auto"/>
        </w:rPr>
        <w:t>declare the commitment of each Lender to make Loans to be terminated, whereupon such commitments shall be terminated;</w:t>
      </w:r>
    </w:p>
    <w:p>
      <w:pPr>
        <w:spacing w:after="0" w:line="209" w:lineRule="exact"/>
        <w:rPr>
          <w:rFonts w:ascii="Arial" w:cs="Arial" w:eastAsia="Arial" w:hAnsi="Arial"/>
          <w:sz w:val="22"/>
          <w:szCs w:val="22"/>
          <w:color w:val="auto"/>
        </w:rPr>
      </w:pPr>
    </w:p>
    <w:p>
      <w:pPr>
        <w:jc w:val="both"/>
        <w:ind w:left="2260" w:hanging="6"/>
        <w:spacing w:after="0" w:line="239" w:lineRule="auto"/>
        <w:tabs>
          <w:tab w:leader="none" w:pos="2560" w:val="left"/>
        </w:tabs>
        <w:numPr>
          <w:ilvl w:val="0"/>
          <w:numId w:val="181"/>
        </w:numPr>
        <w:rPr>
          <w:rFonts w:ascii="Arial" w:cs="Arial" w:eastAsia="Arial" w:hAnsi="Arial"/>
          <w:sz w:val="22"/>
          <w:szCs w:val="22"/>
          <w:color w:val="auto"/>
        </w:rPr>
      </w:pPr>
      <w:r>
        <w:rPr>
          <w:rFonts w:ascii="Arial" w:cs="Arial" w:eastAsia="Arial" w:hAnsi="Arial"/>
          <w:sz w:val="20"/>
          <w:szCs w:val="20"/>
          <w:color w:val="auto"/>
        </w:rPr>
        <w:t>declare the unpaid principal amount of all outstanding Loans, all interest accrued and unpaid thereon, premium (including the Prepayment Premium) and all other amounts owing or payable or accrued hereunder or under any other Loan Document to be immediately due and payable, without presentment, demand, protest or other notice of any kind, all of which are hereby expressly waived (to the extent permitted by applicable law) by the Borrower and each other Loan Party; and</w:t>
      </w:r>
    </w:p>
    <w:p>
      <w:pPr>
        <w:spacing w:after="0" w:line="191" w:lineRule="exact"/>
        <w:rPr>
          <w:sz w:val="20"/>
          <w:szCs w:val="20"/>
          <w:color w:val="auto"/>
        </w:rPr>
      </w:pPr>
    </w:p>
    <w:p>
      <w:pPr>
        <w:jc w:val="both"/>
        <w:ind w:left="2260"/>
        <w:spacing w:after="0" w:line="241" w:lineRule="auto"/>
        <w:rPr>
          <w:sz w:val="20"/>
          <w:szCs w:val="20"/>
          <w:color w:val="auto"/>
        </w:rPr>
      </w:pPr>
      <w:r>
        <w:rPr>
          <w:rFonts w:ascii="Arial" w:cs="Arial" w:eastAsia="Arial" w:hAnsi="Arial"/>
          <w:sz w:val="22"/>
          <w:szCs w:val="22"/>
          <w:color w:val="auto"/>
        </w:rPr>
        <w:t>(iii)</w:t>
      </w:r>
      <w:r>
        <w:rPr>
          <w:rFonts w:ascii="Arial" w:cs="Arial" w:eastAsia="Arial" w:hAnsi="Arial"/>
          <w:sz w:val="19"/>
          <w:szCs w:val="19"/>
          <w:color w:val="auto"/>
        </w:rPr>
        <w:t>subject to the terms, conditions and provisions of any Intercreditor Agreement, exercise on behalf of itself</w:t>
      </w:r>
      <w:r>
        <w:rPr>
          <w:rFonts w:ascii="Arial" w:cs="Arial" w:eastAsia="Arial" w:hAnsi="Arial"/>
          <w:sz w:val="22"/>
          <w:szCs w:val="22"/>
          <w:color w:val="auto"/>
        </w:rPr>
        <w:t xml:space="preserve"> </w:t>
      </w:r>
      <w:r>
        <w:rPr>
          <w:rFonts w:ascii="Arial" w:cs="Arial" w:eastAsia="Arial" w:hAnsi="Arial"/>
          <w:sz w:val="19"/>
          <w:szCs w:val="19"/>
          <w:color w:val="auto"/>
        </w:rPr>
        <w:t>and the Lenders all rights and remedies available to it and the Lenders under the Loan Documents or applicable Law;</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upon the occurrence of an actual or deemed entry of an order for relief with respect to the Borrower under the Bankruptcy Code</w:t>
      </w:r>
      <w:r>
        <w:rPr>
          <w:rFonts w:ascii="Arial" w:cs="Arial" w:eastAsia="Arial" w:hAnsi="Arial"/>
          <w:sz w:val="20"/>
          <w:szCs w:val="20"/>
          <w:i w:val="1"/>
          <w:iCs w:val="1"/>
          <w:color w:val="auto"/>
        </w:rPr>
        <w:t xml:space="preserve"> </w:t>
      </w:r>
      <w:r>
        <w:rPr>
          <w:rFonts w:ascii="Arial" w:cs="Arial" w:eastAsia="Arial" w:hAnsi="Arial"/>
          <w:sz w:val="20"/>
          <w:szCs w:val="20"/>
          <w:color w:val="auto"/>
        </w:rPr>
        <w:t>of the United States, the obligation of each Lender to make Loans shall automatically terminate, the unpaid principal amount of all outstanding Loans and all interest, premium (including the Prepayment Premium) and other amounts as aforesaid shall automatically become due and payable, in each case without further act of the Administrative Agent or any Lender, and without presentment, demand, protest or other notice of any kind, all of which are hereby expressly waived (to the extent permitted by applicable law) by the Borrower and each other Loan Party.</w:t>
      </w:r>
    </w:p>
    <w:p>
      <w:pPr>
        <w:spacing w:after="0" w:line="196" w:lineRule="exact"/>
        <w:rPr>
          <w:sz w:val="20"/>
          <w:szCs w:val="20"/>
          <w:color w:val="auto"/>
        </w:rPr>
      </w:pPr>
    </w:p>
    <w:p>
      <w:pPr>
        <w:jc w:val="both"/>
        <w:ind w:firstLine="1497"/>
        <w:spacing w:after="0" w:line="263"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i w:val="1"/>
          <w:iCs w:val="1"/>
          <w:color w:val="auto"/>
        </w:rPr>
        <w:t>Exclusion of Immaterial Subsidiaries.</w:t>
      </w:r>
      <w:r>
        <w:rPr>
          <w:rFonts w:ascii="Arial" w:cs="Arial" w:eastAsia="Arial" w:hAnsi="Arial"/>
          <w:sz w:val="19"/>
          <w:szCs w:val="19"/>
          <w:color w:val="auto"/>
        </w:rPr>
        <w:t xml:space="preserve"> Solely for the purpose of determining whether a Default or an Event of Default has occurred under clause (f) or (g) of </w:t>
      </w:r>
      <w:r>
        <w:rPr>
          <w:rFonts w:ascii="Arial" w:cs="Arial" w:eastAsia="Arial" w:hAnsi="Arial"/>
          <w:sz w:val="19"/>
          <w:szCs w:val="19"/>
          <w:u w:val="single" w:color="auto"/>
          <w:color w:val="auto"/>
        </w:rPr>
        <w:t>Section 8.01</w:t>
      </w:r>
      <w:r>
        <w:rPr>
          <w:rFonts w:ascii="Arial" w:cs="Arial" w:eastAsia="Arial" w:hAnsi="Arial"/>
          <w:sz w:val="19"/>
          <w:szCs w:val="19"/>
          <w:color w:val="auto"/>
        </w:rPr>
        <w:t>, any reference in any such clause to any Restricted Subsidiary or Loan Party shall be deemed not to include any Restricted Subsidiary affected by any event or circumstances referred to in any such clause that was, as of the last day of the most recent completed fiscal quarter of the Borrower, an Immaterial Subsidiary.</w:t>
      </w:r>
    </w:p>
    <w:p>
      <w:pPr>
        <w:spacing w:after="0" w:line="176" w:lineRule="exact"/>
        <w:rPr>
          <w:sz w:val="20"/>
          <w:szCs w:val="20"/>
          <w:color w:val="auto"/>
        </w:rPr>
      </w:pPr>
    </w:p>
    <w:p>
      <w:pPr>
        <w:jc w:val="both"/>
        <w:ind w:firstLine="1497"/>
        <w:spacing w:after="0" w:line="263"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i w:val="1"/>
          <w:iCs w:val="1"/>
          <w:color w:val="auto"/>
        </w:rPr>
        <w:t>Application of Funds</w:t>
      </w:r>
      <w:r>
        <w:rPr>
          <w:rFonts w:ascii="Arial" w:cs="Arial" w:eastAsia="Arial" w:hAnsi="Arial"/>
          <w:sz w:val="19"/>
          <w:szCs w:val="19"/>
          <w:color w:val="auto"/>
        </w:rPr>
        <w:t xml:space="preserve">. Subject to the terms, conditions and provisions of each Intercreditor Agreement, after the exercise of remedies provided for in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after the Loans have automatically become immediately due and payable as set forth in the proviso to </w:t>
      </w:r>
      <w:r>
        <w:rPr>
          <w:rFonts w:ascii="Arial" w:cs="Arial" w:eastAsia="Arial" w:hAnsi="Arial"/>
          <w:sz w:val="19"/>
          <w:szCs w:val="19"/>
          <w:u w:val="single" w:color="auto"/>
          <w:color w:val="auto"/>
        </w:rPr>
        <w:t>Section 8.02</w:t>
      </w:r>
      <w:r>
        <w:rPr>
          <w:rFonts w:ascii="Arial" w:cs="Arial" w:eastAsia="Arial" w:hAnsi="Arial"/>
          <w:sz w:val="19"/>
          <w:szCs w:val="19"/>
          <w:color w:val="auto"/>
        </w:rPr>
        <w:t>), any amounts received on account of the Obligations shall be applied by the Administrative Agent in the following order (to the fullest extent permitted by mandatory provisions of applicable Law):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7" w:name="page158"/>
    <w:bookmarkEnd w:id="157"/>
    <w:p>
      <w:pPr>
        <w:jc w:val="both"/>
        <w:ind w:firstLine="1497"/>
        <w:spacing w:after="0" w:line="250" w:lineRule="auto"/>
        <w:rPr>
          <w:sz w:val="20"/>
          <w:szCs w:val="20"/>
          <w:color w:val="auto"/>
        </w:rPr>
      </w:pPr>
      <w:r>
        <w:rPr>
          <w:rFonts w:ascii="Arial" w:cs="Arial" w:eastAsia="Arial" w:hAnsi="Arial"/>
          <w:sz w:val="20"/>
          <w:szCs w:val="20"/>
          <w:i w:val="1"/>
          <w:iCs w:val="1"/>
          <w:color w:val="auto"/>
        </w:rPr>
        <w:t>First</w:t>
      </w:r>
      <w:r>
        <w:rPr>
          <w:rFonts w:ascii="Arial" w:cs="Arial" w:eastAsia="Arial" w:hAnsi="Arial"/>
          <w:sz w:val="20"/>
          <w:szCs w:val="20"/>
          <w:color w:val="auto"/>
        </w:rPr>
        <w:t>, to payment of that portion of the Obligations constituting fees, indemnities, expenses and other amounts (other than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principal and interest, but including Attorney Costs payable under </w:t>
      </w:r>
      <w:r>
        <w:rPr>
          <w:rFonts w:ascii="Arial" w:cs="Arial" w:eastAsia="Arial" w:hAnsi="Arial"/>
          <w:sz w:val="20"/>
          <w:szCs w:val="20"/>
          <w:u w:val="single" w:color="auto"/>
          <w:color w:val="auto"/>
        </w:rPr>
        <w:t>Section 10.05</w:t>
      </w:r>
      <w:r>
        <w:rPr>
          <w:rFonts w:ascii="Arial" w:cs="Arial" w:eastAsia="Arial" w:hAnsi="Arial"/>
          <w:sz w:val="20"/>
          <w:szCs w:val="20"/>
          <w:color w:val="auto"/>
        </w:rPr>
        <w:t xml:space="preserve"> and amounts payable under </w:t>
      </w:r>
      <w:r>
        <w:rPr>
          <w:rFonts w:ascii="Arial" w:cs="Arial" w:eastAsia="Arial" w:hAnsi="Arial"/>
          <w:sz w:val="20"/>
          <w:szCs w:val="20"/>
          <w:u w:val="single" w:color="auto"/>
          <w:color w:val="auto"/>
        </w:rPr>
        <w:t>Article 3</w:t>
      </w:r>
      <w:r>
        <w:rPr>
          <w:rFonts w:ascii="Arial" w:cs="Arial" w:eastAsia="Arial" w:hAnsi="Arial"/>
          <w:sz w:val="20"/>
          <w:szCs w:val="20"/>
          <w:color w:val="auto"/>
        </w:rPr>
        <w:t>) payable to the Administrative Agent or the Collateral Agent in its capacity as such;</w:t>
      </w:r>
    </w:p>
    <w:p>
      <w:pPr>
        <w:spacing w:after="0" w:line="186"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i w:val="1"/>
          <w:iCs w:val="1"/>
          <w:color w:val="auto"/>
        </w:rPr>
        <w:t>Second</w:t>
      </w:r>
      <w:r>
        <w:rPr>
          <w:rFonts w:ascii="Arial" w:cs="Arial" w:eastAsia="Arial" w:hAnsi="Arial"/>
          <w:sz w:val="20"/>
          <w:szCs w:val="20"/>
          <w:color w:val="auto"/>
        </w:rPr>
        <w:t>, to payment of that portion of the Obligations constituting fees, indemnities, premium (including the Prepayment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Premium) and other amounts (other than principal and interest) payable to the Lenders (including Attorney Costs payable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10.05</w:t>
      </w:r>
      <w:r>
        <w:rPr>
          <w:rFonts w:ascii="Arial" w:cs="Arial" w:eastAsia="Arial" w:hAnsi="Arial"/>
          <w:sz w:val="20"/>
          <w:szCs w:val="20"/>
          <w:color w:val="auto"/>
        </w:rPr>
        <w:t xml:space="preserve"> and amounts payable under </w:t>
      </w:r>
      <w:r>
        <w:rPr>
          <w:rFonts w:ascii="Arial" w:cs="Arial" w:eastAsia="Arial" w:hAnsi="Arial"/>
          <w:sz w:val="20"/>
          <w:szCs w:val="20"/>
          <w:u w:val="single" w:color="auto"/>
          <w:color w:val="auto"/>
        </w:rPr>
        <w:t>Article 3</w:t>
      </w:r>
      <w:r>
        <w:rPr>
          <w:rFonts w:ascii="Arial" w:cs="Arial" w:eastAsia="Arial" w:hAnsi="Arial"/>
          <w:sz w:val="20"/>
          <w:szCs w:val="20"/>
          <w:color w:val="auto"/>
        </w:rPr>
        <w:t xml:space="preserve">), ratably among them in proportion to the amounts described in this clause </w:t>
      </w:r>
      <w:r>
        <w:rPr>
          <w:rFonts w:ascii="Arial" w:cs="Arial" w:eastAsia="Arial" w:hAnsi="Arial"/>
          <w:sz w:val="20"/>
          <w:szCs w:val="20"/>
          <w:i w:val="1"/>
          <w:iCs w:val="1"/>
          <w:color w:val="auto"/>
        </w:rPr>
        <w:t>Second</w:t>
      </w:r>
      <w:r>
        <w:rPr>
          <w:rFonts w:ascii="Arial" w:cs="Arial" w:eastAsia="Arial" w:hAnsi="Arial"/>
          <w:sz w:val="20"/>
          <w:szCs w:val="20"/>
          <w:color w:val="auto"/>
        </w:rPr>
        <w:t xml:space="preserve"> payable to them;</w:t>
      </w:r>
    </w:p>
    <w:p>
      <w:pPr>
        <w:spacing w:after="0" w:line="191"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i w:val="1"/>
          <w:iCs w:val="1"/>
          <w:color w:val="auto"/>
        </w:rPr>
        <w:t>Third</w:t>
      </w:r>
      <w:r>
        <w:rPr>
          <w:rFonts w:ascii="Arial" w:cs="Arial" w:eastAsia="Arial" w:hAnsi="Arial"/>
          <w:sz w:val="20"/>
          <w:szCs w:val="20"/>
          <w:color w:val="auto"/>
        </w:rPr>
        <w:t>, to payment of that portion of the Obligations constituting accrued and unpaid interest on the Loans, ratably among</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the Secured Parties in proportion to the respective amounts described in this clause </w:t>
      </w:r>
      <w:r>
        <w:rPr>
          <w:rFonts w:ascii="Arial" w:cs="Arial" w:eastAsia="Arial" w:hAnsi="Arial"/>
          <w:sz w:val="20"/>
          <w:szCs w:val="20"/>
          <w:i w:val="1"/>
          <w:iCs w:val="1"/>
          <w:color w:val="auto"/>
        </w:rPr>
        <w:t>Third</w:t>
      </w:r>
      <w:r>
        <w:rPr>
          <w:rFonts w:ascii="Arial" w:cs="Arial" w:eastAsia="Arial" w:hAnsi="Arial"/>
          <w:sz w:val="20"/>
          <w:szCs w:val="20"/>
          <w:color w:val="auto"/>
        </w:rPr>
        <w:t xml:space="preserve"> payable to them;</w:t>
      </w:r>
    </w:p>
    <w:p>
      <w:pPr>
        <w:spacing w:after="0" w:line="177"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i w:val="1"/>
          <w:iCs w:val="1"/>
          <w:color w:val="auto"/>
        </w:rPr>
        <w:t>Fourth</w:t>
      </w:r>
      <w:r>
        <w:rPr>
          <w:rFonts w:ascii="Arial" w:cs="Arial" w:eastAsia="Arial" w:hAnsi="Arial"/>
          <w:sz w:val="20"/>
          <w:szCs w:val="20"/>
          <w:color w:val="auto"/>
        </w:rPr>
        <w:t>, to payment of that portion of the Obligations constituting unpaid principal of the Loans, ratably among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Secured Parties in proportion to the respective amounts described in this clause </w:t>
      </w:r>
      <w:r>
        <w:rPr>
          <w:rFonts w:ascii="Arial" w:cs="Arial" w:eastAsia="Arial" w:hAnsi="Arial"/>
          <w:sz w:val="20"/>
          <w:szCs w:val="20"/>
          <w:i w:val="1"/>
          <w:iCs w:val="1"/>
          <w:color w:val="auto"/>
        </w:rPr>
        <w:t>Fourth</w:t>
      </w:r>
      <w:r>
        <w:rPr>
          <w:rFonts w:ascii="Arial" w:cs="Arial" w:eastAsia="Arial" w:hAnsi="Arial"/>
          <w:sz w:val="20"/>
          <w:szCs w:val="20"/>
          <w:color w:val="auto"/>
        </w:rPr>
        <w:t xml:space="preserve"> held by them;</w:t>
      </w:r>
    </w:p>
    <w:p>
      <w:pPr>
        <w:spacing w:after="0" w:line="17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i w:val="1"/>
          <w:iCs w:val="1"/>
          <w:color w:val="auto"/>
        </w:rPr>
        <w:t>Fifth</w:t>
      </w:r>
      <w:r>
        <w:rPr>
          <w:rFonts w:ascii="Arial" w:cs="Arial" w:eastAsia="Arial" w:hAnsi="Arial"/>
          <w:sz w:val="20"/>
          <w:szCs w:val="20"/>
          <w:color w:val="auto"/>
        </w:rPr>
        <w:t>, to the payment of all other Obligations of the Borrower that are due and payable to the Administrative Agent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other Secured Parties on such date, ratably based upon the respective aggregate amounts of all such Obligations owing to the Administrative Agent and the other Secured Parties on such date; and</w:t>
      </w:r>
    </w:p>
    <w:p>
      <w:pPr>
        <w:spacing w:after="0" w:line="18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i w:val="1"/>
          <w:iCs w:val="1"/>
          <w:color w:val="auto"/>
        </w:rPr>
        <w:t>Last</w:t>
      </w:r>
      <w:r>
        <w:rPr>
          <w:rFonts w:ascii="Arial" w:cs="Arial" w:eastAsia="Arial" w:hAnsi="Arial"/>
          <w:sz w:val="20"/>
          <w:szCs w:val="20"/>
          <w:color w:val="auto"/>
        </w:rPr>
        <w:t>, the balance, if any, after all of the Obligations (other than contingent obligations) have been paid in full, to the</w:t>
      </w:r>
      <w:r>
        <w:rPr>
          <w:rFonts w:ascii="Arial" w:cs="Arial" w:eastAsia="Arial" w:hAnsi="Arial"/>
          <w:sz w:val="20"/>
          <w:szCs w:val="20"/>
          <w:i w:val="1"/>
          <w:iCs w:val="1"/>
          <w:color w:val="auto"/>
        </w:rPr>
        <w:t xml:space="preserve"> </w:t>
      </w:r>
      <w:r>
        <w:rPr>
          <w:rFonts w:ascii="Arial" w:cs="Arial" w:eastAsia="Arial" w:hAnsi="Arial"/>
          <w:sz w:val="20"/>
          <w:szCs w:val="20"/>
          <w:color w:val="auto"/>
        </w:rPr>
        <w:t>Borrower or as otherwise required by Law.</w:t>
      </w:r>
    </w:p>
    <w:p>
      <w:pPr>
        <w:spacing w:after="0" w:line="166" w:lineRule="exact"/>
        <w:rPr>
          <w:sz w:val="20"/>
          <w:szCs w:val="20"/>
          <w:color w:val="auto"/>
        </w:rPr>
      </w:pPr>
    </w:p>
    <w:p>
      <w:pPr>
        <w:jc w:val="center"/>
        <w:ind w:right="7100"/>
        <w:spacing w:after="0"/>
        <w:rPr>
          <w:sz w:val="20"/>
          <w:szCs w:val="20"/>
          <w:color w:val="auto"/>
        </w:rPr>
      </w:pPr>
      <w:r>
        <w:rPr>
          <w:rFonts w:ascii="Arial" w:cs="Arial" w:eastAsia="Arial" w:hAnsi="Arial"/>
          <w:sz w:val="22"/>
          <w:szCs w:val="22"/>
          <w:b w:val="1"/>
          <w:bCs w:val="1"/>
          <w:color w:val="auto"/>
        </w:rPr>
        <w:t>ARTICLE 9</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he</w:t>
      </w:r>
      <w:r>
        <w:rPr>
          <w:rFonts w:ascii="Arial" w:cs="Arial" w:eastAsia="Arial" w:hAnsi="Arial"/>
          <w:sz w:val="20"/>
          <w:szCs w:val="20"/>
          <w:color w:val="auto"/>
        </w:rPr>
        <w:t xml:space="preserve"> A</w:t>
      </w:r>
      <w:r>
        <w:rPr>
          <w:rFonts w:ascii="Arial" w:cs="Arial" w:eastAsia="Arial" w:hAnsi="Arial"/>
          <w:sz w:val="13"/>
          <w:szCs w:val="13"/>
          <w:color w:val="auto"/>
        </w:rPr>
        <w:t>dministrative</w:t>
      </w:r>
      <w:r>
        <w:rPr>
          <w:rFonts w:ascii="Arial" w:cs="Arial" w:eastAsia="Arial" w:hAnsi="Arial"/>
          <w:sz w:val="20"/>
          <w:szCs w:val="20"/>
          <w:color w:val="auto"/>
        </w:rPr>
        <w:t xml:space="preserve"> A</w:t>
      </w:r>
      <w:r>
        <w:rPr>
          <w:rFonts w:ascii="Arial" w:cs="Arial" w:eastAsia="Arial" w:hAnsi="Arial"/>
          <w:sz w:val="13"/>
          <w:szCs w:val="13"/>
          <w:color w:val="auto"/>
        </w:rPr>
        <w:t>gent and the</w:t>
      </w:r>
      <w:r>
        <w:rPr>
          <w:rFonts w:ascii="Arial" w:cs="Arial" w:eastAsia="Arial" w:hAnsi="Arial"/>
          <w:sz w:val="20"/>
          <w:szCs w:val="20"/>
          <w:color w:val="auto"/>
        </w:rPr>
        <w:t xml:space="preserve"> C</w:t>
      </w:r>
      <w:r>
        <w:rPr>
          <w:rFonts w:ascii="Arial" w:cs="Arial" w:eastAsia="Arial" w:hAnsi="Arial"/>
          <w:sz w:val="13"/>
          <w:szCs w:val="13"/>
          <w:color w:val="auto"/>
        </w:rPr>
        <w:t>ollateral</w:t>
      </w:r>
      <w:r>
        <w:rPr>
          <w:rFonts w:ascii="Arial" w:cs="Arial" w:eastAsia="Arial" w:hAnsi="Arial"/>
          <w:sz w:val="20"/>
          <w:szCs w:val="20"/>
          <w:color w:val="auto"/>
        </w:rPr>
        <w:t xml:space="preserve"> A</w:t>
      </w:r>
      <w:r>
        <w:rPr>
          <w:rFonts w:ascii="Arial" w:cs="Arial" w:eastAsia="Arial" w:hAnsi="Arial"/>
          <w:sz w:val="13"/>
          <w:szCs w:val="13"/>
          <w:color w:val="auto"/>
        </w:rPr>
        <w:t>gent</w:t>
      </w:r>
    </w:p>
    <w:p>
      <w:pPr>
        <w:spacing w:after="0" w:line="20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 xml:space="preserve">Each Lender hereby irrevocably appoints the Administrative Agent and the Collateral Agent (for purposes of this Article 9, the Administrative Agent and the Collateral Agent are referred to collectively as the “ </w:t>
      </w:r>
      <w:r>
        <w:rPr>
          <w:rFonts w:ascii="Arial" w:cs="Arial" w:eastAsia="Arial" w:hAnsi="Arial"/>
          <w:sz w:val="18"/>
          <w:szCs w:val="18"/>
          <w:b w:val="1"/>
          <w:bCs w:val="1"/>
          <w:color w:val="auto"/>
        </w:rPr>
        <w:t>Agents</w:t>
      </w:r>
      <w:r>
        <w:rPr>
          <w:rFonts w:ascii="Arial" w:cs="Arial" w:eastAsia="Arial" w:hAnsi="Arial"/>
          <w:sz w:val="18"/>
          <w:szCs w:val="18"/>
          <w:color w:val="auto"/>
        </w:rPr>
        <w:t>”) its agent and authorizes the Agents to take such actions on its behalf and to exercise such powers as are delegated to such Agent by the terms of the Loan Documents, together with such actions and powers as are reasonably incidental or related thereto. Without limiting the generality of the foregoing, the Agents are hereby expressly authorized to (i) execute any and all documents (including releases) with respect to the Collateral and the rights of the Secured Parties with respect thereto, as contemplated by and in accordance with the provisions of this Agreement and the Collateral Documents (including, for the avoidance of doubt, (x) the ABL Intercreditor Agreement, including any amendment or supplement expressly contemplated thereby and (y) upon the incurrence of any Permitted Junior Priority Additional Debt, the Junior Lien Intercreditor Agreement) and (ii) negotiate, enforce or settle any claim, action or proceeding affecting the Lenders in their capacity as such, at the direction of the Required Lenders, which negotiation, enforcement or settlement will be binding upon each Lender.</w:t>
      </w:r>
    </w:p>
    <w:p>
      <w:pPr>
        <w:spacing w:after="0" w:line="17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The institution serving as the Administrative Agent and/or the Collateral Agent hereunder shall have the same rights and powers in its capacity as a Lender as any other Lender and may exercise the same as though it were not an Agent, and such bank and its Affiliates may accept deposits from, lend money to and generally engage in any kind of business with the Borrower or any Subsidiary or other Affiliate thereof as if it were not an Agent hereunder. The Agents shall not, except as expressly set forth herein and in the other Loan Documents, have any duty to disclose, and shall not be liable for the failure to disclose, any information relating to the Borrower or any Loan Party that is communicated or obtained by the Person serving as Administrative Agent or Collateral Agent, as applicable, or any of their Affiliates in any capacity.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8" w:name="page159"/>
    <w:bookmarkEnd w:id="158"/>
    <w:p>
      <w:pPr>
        <w:jc w:val="both"/>
        <w:ind w:firstLine="749"/>
        <w:spacing w:after="0" w:line="303" w:lineRule="auto"/>
        <w:rPr>
          <w:sz w:val="20"/>
          <w:szCs w:val="20"/>
          <w:color w:val="auto"/>
        </w:rPr>
      </w:pPr>
      <w:r>
        <w:rPr>
          <w:rFonts w:ascii="Arial" w:cs="Arial" w:eastAsia="Arial" w:hAnsi="Arial"/>
          <w:sz w:val="16"/>
          <w:szCs w:val="16"/>
          <w:color w:val="auto"/>
        </w:rPr>
        <w:t xml:space="preserve">Neither Agent shall have any duties or obligations except those expressly set forth in the Loan Documents. Without limiting the generality of the foregoing, (a) neither Agent shall be subject to any fiduciary or other implied duties, regardless of whether a Default has occurred and is continuing, (b) neither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10.08</w:t>
      </w:r>
      <w:r>
        <w:rPr>
          <w:rFonts w:ascii="Arial" w:cs="Arial" w:eastAsia="Arial" w:hAnsi="Arial"/>
          <w:sz w:val="16"/>
          <w:szCs w:val="16"/>
          <w:color w:val="auto"/>
        </w:rPr>
        <w:t>), and</w:t>
      </w:r>
    </w:p>
    <w:p>
      <w:pPr>
        <w:spacing w:after="0" w:line="2" w:lineRule="exact"/>
        <w:rPr>
          <w:sz w:val="20"/>
          <w:szCs w:val="20"/>
          <w:color w:val="auto"/>
        </w:rPr>
      </w:pPr>
    </w:p>
    <w:p>
      <w:pPr>
        <w:jc w:val="both"/>
        <w:ind w:firstLine="8"/>
        <w:spacing w:after="0" w:line="268" w:lineRule="auto"/>
        <w:tabs>
          <w:tab w:leader="none" w:pos="27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except as expressly set forth in the Loan Documents, neither Agent shall have any duty to disclose, nor shall it be liable for the failure to disclose, any information relating to the Borrower or any of the Subsidiaries that is communicated to or obtained by the bank serving as Administrative Agent and/or Collateral Agent or any of its Affiliates in any capacity. Neither Agent shall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or in the absence of its own gross negligence or willful misconduct as determined by the final non-appealable judgment of a court of competent jurisdiction. Notwithstanding the foregoing, no action nor any omission to act, taken by either Agent at the direction of the Required Lenders (or such other number of percentage of Lenders as shall be expressly provided for herein or in the other Loan Documents) shall constitute gross negligence or willful misconduct. Neither Agent shall be deemed to have knowledge of any Default unless and until written notice thereof, conspicuously labeled as a “notice of default” and specifically describing such Default, is given to such Agent by the Borrower or a Lender, and neither Agent shall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(iv) the validity, enforceability, effectiveness or genuineness of any Loan Document or any other agreement, instrument or document, or (v) the satisfaction of any condition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elsewhere in any Loan Document, other than to confirm receipt of items expressly required to be delivered to such Agent.</w:t>
      </w:r>
    </w:p>
    <w:p>
      <w:pPr>
        <w:spacing w:after="0" w:line="17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Each Agent shall be entitled to rely upon, and shall not incur any liability for relying upon, any notice, request, certificate, consent, statement, instrument, document or other writing believed by it in good faith to be genuine and to have been signed or sent by the proper Person. Each Agent may also rely upon any statement made to it orally or by telephone and believed by it in good faith to have been made by the proper Person, and shall not incur any liability for relying thereon.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Each Agent may perform any and all its duties and exercise its rights and powers by or through any one or more sub-agents appointed by it. Each Agent and any such sub-agent may perform any and all its duties and exercise its rights and powers by or through their respective Related Parties. The exculpatory provisions of the preceding paragraphs shall apply to any such sub-agent and to the Related Parties of each Agent and any such sub-agent, and shall apply to their respective activities in connection with the arrangement of the Facilities as well as activities as Agent.</w:t>
      </w:r>
    </w:p>
    <w:p>
      <w:pPr>
        <w:spacing w:after="0" w:line="19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 xml:space="preserve">Either Agent may resign at any time by notifying the Lenders and the Borrower in writing, and either Agent may be removed at any time with or without cause by an instrument or concurrent instruments in writing delivered to the Borrower and such Agent and signed by the Required Lenders. Upon any such resignation or removal, the Required Lenders shall have the right, with the consent of the Borrower (which consent shall not be required during the continuance of an Event of Default under </w:t>
      </w:r>
      <w:r>
        <w:rPr>
          <w:rFonts w:ascii="Arial" w:cs="Arial" w:eastAsia="Arial" w:hAnsi="Arial"/>
          <w:sz w:val="20"/>
          <w:szCs w:val="20"/>
          <w:u w:val="single" w:color="auto"/>
          <w:color w:val="auto"/>
        </w:rPr>
        <w:t>Sections 8.01(a)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(g)</w:t>
      </w:r>
      <w:r>
        <w:rPr>
          <w:rFonts w:ascii="Arial" w:cs="Arial" w:eastAsia="Arial" w:hAnsi="Arial"/>
          <w:sz w:val="20"/>
          <w:szCs w:val="20"/>
          <w:color w:val="auto"/>
        </w:rPr>
        <w:t>), to appoint a successor. If no successor shall have been so appointed by the Required Lenders (with the consent of the Borrower (which consent shall not be required during the continuance of an Event 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9" w:name="page160"/>
    <w:bookmarkEnd w:id="159"/>
    <w:p>
      <w:pPr>
        <w:jc w:val="both"/>
        <w:spacing w:after="0" w:line="272" w:lineRule="auto"/>
        <w:rPr>
          <w:sz w:val="20"/>
          <w:szCs w:val="20"/>
          <w:color w:val="auto"/>
        </w:rPr>
      </w:pPr>
      <w:r>
        <w:rPr>
          <w:rFonts w:ascii="Arial" w:cs="Arial" w:eastAsia="Arial" w:hAnsi="Arial"/>
          <w:sz w:val="18"/>
          <w:szCs w:val="18"/>
          <w:color w:val="auto"/>
        </w:rPr>
        <w:t xml:space="preserve">Default under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and shall have accepted such appointment within 30 days after (i) the retiring Agent gives notice of its resignation or (ii) the Required Lenders delivers removal instructions, then the retiring or removed Agent may, on behalf of the Lenders (with the consent of the Borrower (which consent shall not be required during the continuance of an Event of Default under </w:t>
      </w:r>
      <w:r>
        <w:rPr>
          <w:rFonts w:ascii="Arial" w:cs="Arial" w:eastAsia="Arial" w:hAnsi="Arial"/>
          <w:sz w:val="18"/>
          <w:szCs w:val="18"/>
          <w:u w:val="single" w:color="auto"/>
          <w:color w:val="auto"/>
        </w:rPr>
        <w:t>Sections 8.01(a)</w:t>
      </w:r>
      <w:r>
        <w:rPr>
          <w:rFonts w:ascii="Arial" w:cs="Arial" w:eastAsia="Arial" w:hAnsi="Arial"/>
          <w:sz w:val="18"/>
          <w:szCs w:val="18"/>
          <w:color w:val="auto"/>
        </w:rPr>
        <w:t>,</w:t>
      </w:r>
    </w:p>
    <w:p>
      <w:pPr>
        <w:spacing w:after="0" w:line="1" w:lineRule="exact"/>
        <w:rPr>
          <w:sz w:val="20"/>
          <w:szCs w:val="20"/>
          <w:color w:val="auto"/>
        </w:rPr>
      </w:pPr>
    </w:p>
    <w:p>
      <w:pPr>
        <w:jc w:val="both"/>
        <w:ind w:firstLine="8"/>
        <w:spacing w:after="0" w:line="269" w:lineRule="auto"/>
        <w:tabs>
          <w:tab w:leader="none" w:pos="256" w:val="left"/>
        </w:tabs>
        <w:numPr>
          <w:ilvl w:val="0"/>
          <w:numId w:val="183"/>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appoint a successor Agent which shall be a bank with an office in New York, New York, or an Affiliate of any such bank. If no successor Agent has been appointed pursuant to the immediately preceding, such Agent’s resignation or removal shall become effective and the Required Lenders shall thereafter perform all the duties of such Agent hereunder and/or under any other Loan Document until such time, if any, as the Required Lenders (with the consent of the Borrower (which consent shall not be required during the continuance of an Event of Default under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appoint a successor Administrative Agent and/or Collateral Agent, as the case may be. Upon the acceptance of its appointment as Agent hereunder by a successor, such successor shall succeed to and become vested with all the rights, powers, privileges and duties of its predecessor Agent, and its predecessor Agent shall be discharged from its duties and obligations hereunder. The fees payable by the Borrower to a successor Agent shall be the same as those payable to its predecessor unless otherwise agreed between the Borrower and such successor. After an Agent’s resignation hereunder, the provisions of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shall continue in effect for the benefit of such retiring Agent, its sub-agents and their respective Related Parties in respect of any actions taken or omitted to be taken by any of them while acting as Agent.</w:t>
      </w:r>
    </w:p>
    <w:p>
      <w:pPr>
        <w:spacing w:after="0" w:line="173" w:lineRule="exact"/>
        <w:rPr>
          <w:sz w:val="20"/>
          <w:szCs w:val="20"/>
          <w:color w:val="auto"/>
        </w:rPr>
      </w:pPr>
    </w:p>
    <w:p>
      <w:pPr>
        <w:jc w:val="both"/>
        <w:ind w:firstLine="749"/>
        <w:spacing w:after="0" w:line="321" w:lineRule="auto"/>
        <w:rPr>
          <w:sz w:val="20"/>
          <w:szCs w:val="20"/>
          <w:color w:val="auto"/>
        </w:rPr>
      </w:pPr>
      <w:r>
        <w:rPr>
          <w:rFonts w:ascii="Arial" w:cs="Arial" w:eastAsia="Arial" w:hAnsi="Arial"/>
          <w:sz w:val="16"/>
          <w:szCs w:val="16"/>
          <w:color w:val="auto"/>
        </w:rPr>
        <w:t>Each Lender acknowledges that it has, independently and without reliance upon the Agents or any other Lender and based on such documents and information as it has deemed appropriate, made its own credit analysis and decision to enter into this Agreement. Each Lender also acknowledges that it will, independently and without reliance upon the Agents or any other Lender and based on such documents and information as it shall from time to time deem appropriate, continue to make its own decisions in taking or not taking action under or based upon this Agreement or any other Loan Document, any related agreement or any document furnished hereunder or thereunder.</w:t>
      </w:r>
    </w:p>
    <w:p>
      <w:pPr>
        <w:spacing w:after="0" w:line="133"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Each Lender acknowledges and agrees that Alter Domus Products Corp. or one or more of its Affiliates may (but is not obligated to) act as collateral agent or representative for the holders of ABL Facility Indebtedness, UST Tranche A Facility Indebtedness, UST Tranche B Facility Indebtedness, Permitted Junior Priority Additional Debt, any Extended Term Loan or any Permitted Refinancing thereof under the collateral agreements with respect thereto and/or under the ABL Intercreditor Agreement or the Junior Lien Intercreditor Agreement. Each Lender waives any conflict of interest, now contemplated or arising hereafter, in connection therewith and agrees not to assert against Alter Domus Products Corp. or any of its Affiliates any claims, causes of action, damages or liabilities of whatever kind or nature relating thereto.</w:t>
      </w:r>
    </w:p>
    <w:p>
      <w:pPr>
        <w:spacing w:after="0" w:line="16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 xml:space="preserve">In case of the pendency of any case or proceeding under any insolvency or other similar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 (a)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the Agents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10.05</w:t>
      </w:r>
      <w:r>
        <w:rPr>
          <w:rFonts w:ascii="Arial" w:cs="Arial" w:eastAsia="Arial" w:hAnsi="Arial"/>
          <w:sz w:val="18"/>
          <w:szCs w:val="18"/>
          <w:color w:val="auto"/>
        </w:rPr>
        <w:t>)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0" w:name="page161"/>
    <w:bookmarkEnd w:id="160"/>
    <w:p>
      <w:pPr>
        <w:jc w:val="both"/>
        <w:spacing w:after="0" w:line="259" w:lineRule="auto"/>
        <w:rPr>
          <w:sz w:val="20"/>
          <w:szCs w:val="20"/>
          <w:color w:val="auto"/>
        </w:rPr>
      </w:pPr>
      <w:r>
        <w:rPr>
          <w:rFonts w:ascii="Arial" w:cs="Arial" w:eastAsia="Arial" w:hAnsi="Arial"/>
          <w:sz w:val="19"/>
          <w:szCs w:val="19"/>
          <w:color w:val="auto"/>
        </w:rPr>
        <w:t xml:space="preserve">Administrative Agent and, in the event that the Administrative Agent shall consent to the making of such payments directly to the Lenders, to pay to the Agents any amount due for the reasonable compensation, expenses, disbursements and advances of the Administrative Agent and its agents and counsel, and any other amounts due to the Agents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10.05</w:t>
      </w:r>
      <w:r>
        <w:rPr>
          <w:rFonts w:ascii="Arial" w:cs="Arial" w:eastAsia="Arial" w:hAnsi="Arial"/>
          <w:sz w:val="19"/>
          <w:szCs w:val="19"/>
          <w:color w:val="auto"/>
        </w:rPr>
        <w:t>.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78"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color w:val="auto"/>
        </w:rPr>
        <w:t>The Lenders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amounts owed to the Agents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stock or debt instruments of the acquisition vehicle or vehicles that are used to consummate such purchase). In connection with any such bid</w:t>
      </w:r>
    </w:p>
    <w:p>
      <w:pPr>
        <w:spacing w:after="0" w:line="8" w:lineRule="exact"/>
        <w:rPr>
          <w:sz w:val="20"/>
          <w:szCs w:val="20"/>
          <w:color w:val="auto"/>
        </w:rPr>
      </w:pPr>
    </w:p>
    <w:p>
      <w:pPr>
        <w:jc w:val="both"/>
        <w:ind w:firstLine="8"/>
        <w:spacing w:after="0" w:line="268" w:lineRule="auto"/>
        <w:tabs>
          <w:tab w:leader="none" w:pos="23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stock thereof shall be governed, directly or indirectly, by the vote of the Required Lenders, irrespective of the termination of this Agreement, (iii) the Administrative Agent shall be authorized to assign the relevant Obligations to any such acquisition vehicle pro rata by the Lenders, as a result of which each of the Lenders shall be deemed to have received a pro rata portion of any stock and/or debt instruments issued by such an acquisition vehicle on account of the assignment of the Obligations to be credit bid, all without the need for the Administrative Agent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each Lenders pro rata and the stock and/or debt instruments issued by any acquisition vehicle on account of the Obligations that had been assigned to the acquisition vehicle shall automatically be cancelled, without the need for the Administrative Agent or any acquisition vehicle to take any further action.</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ARTICLE 10</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M</w:t>
      </w:r>
      <w:r>
        <w:rPr>
          <w:rFonts w:ascii="Arial" w:cs="Arial" w:eastAsia="Arial" w:hAnsi="Arial"/>
          <w:sz w:val="13"/>
          <w:szCs w:val="13"/>
          <w:color w:val="auto"/>
        </w:rPr>
        <w:t>iscellaneous</w:t>
      </w:r>
    </w:p>
    <w:p>
      <w:pPr>
        <w:spacing w:after="0" w:line="200" w:lineRule="exact"/>
        <w:rPr>
          <w:sz w:val="20"/>
          <w:szCs w:val="20"/>
          <w:color w:val="auto"/>
        </w:rPr>
      </w:pPr>
    </w:p>
    <w:p>
      <w:pPr>
        <w:ind w:firstLine="1497"/>
        <w:spacing w:after="0" w:line="316"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Notices; Electronic Communications.</w:t>
      </w:r>
      <w:r>
        <w:rPr>
          <w:rFonts w:ascii="Arial" w:cs="Arial" w:eastAsia="Arial" w:hAnsi="Arial"/>
          <w:sz w:val="18"/>
          <w:szCs w:val="18"/>
          <w:color w:val="auto"/>
        </w:rPr>
        <w:t xml:space="preserve"> Notices and other communications provided for herein shall be in writing and shall be delivered by hand or overnight courier service, mailed by certified or registered mail or sent by email or fax, as follows:</w:t>
      </w:r>
    </w:p>
    <w:p>
      <w:pPr>
        <w:spacing w:after="0" w:line="130" w:lineRule="exact"/>
        <w:rPr>
          <w:sz w:val="20"/>
          <w:szCs w:val="20"/>
          <w:color w:val="auto"/>
        </w:rPr>
      </w:pPr>
    </w:p>
    <w:p>
      <w:pPr>
        <w:spacing w:after="0"/>
        <w:tabs>
          <w:tab w:leader="none" w:pos="194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if to the Borrower or any other Loan Party, to it at:</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Yellow Corporation</w:t>
      </w:r>
    </w:p>
    <w:p>
      <w:pPr>
        <w:spacing w:after="0" w:line="1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Attention of Chief Financial Officer and General Counsel</w:t>
      </w:r>
    </w:p>
    <w:p>
      <w:pPr>
        <w:jc w:val="center"/>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1" w:name="page162"/>
    <w:bookmarkEnd w:id="161"/>
    <w:p>
      <w:pPr>
        <w:ind w:left="1500"/>
        <w:spacing w:after="0"/>
        <w:rPr>
          <w:sz w:val="20"/>
          <w:szCs w:val="20"/>
          <w:color w:val="auto"/>
        </w:rPr>
      </w:pPr>
      <w:r>
        <w:rPr>
          <w:rFonts w:ascii="Arial" w:cs="Arial" w:eastAsia="Arial" w:hAnsi="Arial"/>
          <w:sz w:val="20"/>
          <w:szCs w:val="20"/>
          <w:color w:val="auto"/>
        </w:rPr>
        <w:t>10990 Roe Avenue</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Overland Park, Kansas 66211</w:t>
      </w:r>
    </w:p>
    <w:p>
      <w:pPr>
        <w:ind w:left="1500"/>
        <w:spacing w:after="0"/>
        <w:rPr>
          <w:sz w:val="20"/>
          <w:szCs w:val="20"/>
          <w:color w:val="auto"/>
        </w:rPr>
      </w:pPr>
      <w:r>
        <w:rPr>
          <w:rFonts w:ascii="Arial" w:cs="Arial" w:eastAsia="Arial" w:hAnsi="Arial"/>
          <w:sz w:val="20"/>
          <w:szCs w:val="20"/>
          <w:color w:val="auto"/>
        </w:rPr>
        <w:t>Fax No. 913-696-6116</w:t>
      </w:r>
    </w:p>
    <w:p>
      <w:pPr>
        <w:ind w:left="1500"/>
        <w:spacing w:after="0"/>
        <w:rPr>
          <w:sz w:val="20"/>
          <w:szCs w:val="20"/>
          <w:color w:val="auto"/>
        </w:rPr>
      </w:pPr>
      <w:r>
        <w:rPr>
          <w:rFonts w:ascii="Arial" w:cs="Arial" w:eastAsia="Arial" w:hAnsi="Arial"/>
          <w:sz w:val="20"/>
          <w:szCs w:val="20"/>
          <w:color w:val="auto"/>
        </w:rPr>
        <w:t>Tel. No. 913-696-6529 or 913-696-6132</w:t>
      </w:r>
    </w:p>
    <w:p>
      <w:pPr>
        <w:ind w:left="1500"/>
        <w:spacing w:after="0"/>
        <w:rPr>
          <w:sz w:val="20"/>
          <w:szCs w:val="20"/>
          <w:color w:val="auto"/>
        </w:rPr>
      </w:pPr>
      <w:r>
        <w:rPr>
          <w:rFonts w:ascii="Arial" w:cs="Arial" w:eastAsia="Arial" w:hAnsi="Arial"/>
          <w:sz w:val="20"/>
          <w:szCs w:val="20"/>
          <w:color w:val="auto"/>
        </w:rPr>
        <w:t>Email: stephanie.fisher@yrcw.com and jim.fry@yrcw.com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With copy to:</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Kirkland &amp; Ellis LLP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Attention of Michelle Kilkenney, Esq.</w:t>
      </w:r>
    </w:p>
    <w:p>
      <w:pPr>
        <w:ind w:left="1500"/>
        <w:spacing w:after="0"/>
        <w:rPr>
          <w:sz w:val="20"/>
          <w:szCs w:val="20"/>
          <w:color w:val="auto"/>
        </w:rPr>
      </w:pPr>
      <w:r>
        <w:rPr>
          <w:rFonts w:ascii="Arial" w:cs="Arial" w:eastAsia="Arial" w:hAnsi="Arial"/>
          <w:sz w:val="20"/>
          <w:szCs w:val="20"/>
          <w:color w:val="auto"/>
        </w:rPr>
        <w:t>300 North LaSalle</w:t>
      </w:r>
    </w:p>
    <w:p>
      <w:pPr>
        <w:ind w:left="1500"/>
        <w:spacing w:after="0"/>
        <w:rPr>
          <w:sz w:val="20"/>
          <w:szCs w:val="20"/>
          <w:color w:val="auto"/>
        </w:rPr>
      </w:pPr>
      <w:r>
        <w:rPr>
          <w:rFonts w:ascii="Arial" w:cs="Arial" w:eastAsia="Arial" w:hAnsi="Arial"/>
          <w:sz w:val="20"/>
          <w:szCs w:val="20"/>
          <w:color w:val="auto"/>
        </w:rPr>
        <w:t>Chicago, Illinois 60654</w:t>
      </w:r>
    </w:p>
    <w:p>
      <w:pPr>
        <w:ind w:left="1500"/>
        <w:spacing w:after="0"/>
        <w:rPr>
          <w:sz w:val="20"/>
          <w:szCs w:val="20"/>
          <w:color w:val="auto"/>
        </w:rPr>
      </w:pPr>
      <w:r>
        <w:rPr>
          <w:rFonts w:ascii="Arial" w:cs="Arial" w:eastAsia="Arial" w:hAnsi="Arial"/>
          <w:sz w:val="20"/>
          <w:szCs w:val="20"/>
          <w:color w:val="auto"/>
        </w:rPr>
        <w:t>Fax No. 312-862-2200</w:t>
      </w:r>
    </w:p>
    <w:p>
      <w:pPr>
        <w:ind w:left="1500"/>
        <w:spacing w:after="0"/>
        <w:rPr>
          <w:sz w:val="20"/>
          <w:szCs w:val="20"/>
          <w:color w:val="auto"/>
        </w:rPr>
      </w:pPr>
      <w:r>
        <w:rPr>
          <w:rFonts w:ascii="Arial" w:cs="Arial" w:eastAsia="Arial" w:hAnsi="Arial"/>
          <w:sz w:val="20"/>
          <w:szCs w:val="20"/>
          <w:color w:val="auto"/>
        </w:rPr>
        <w:t>Tel. No. 312-862-2487</w:t>
      </w:r>
    </w:p>
    <w:p>
      <w:pPr>
        <w:ind w:left="1500"/>
        <w:spacing w:after="0"/>
        <w:rPr>
          <w:sz w:val="20"/>
          <w:szCs w:val="20"/>
          <w:color w:val="auto"/>
        </w:rPr>
      </w:pPr>
      <w:r>
        <w:rPr>
          <w:rFonts w:ascii="Arial" w:cs="Arial" w:eastAsia="Arial" w:hAnsi="Arial"/>
          <w:sz w:val="20"/>
          <w:szCs w:val="20"/>
          <w:color w:val="auto"/>
        </w:rPr>
        <w:t>Email: michelle.kilkenney@kirkland.com</w:t>
      </w:r>
    </w:p>
    <w:p>
      <w:pPr>
        <w:spacing w:after="0" w:line="200" w:lineRule="exact"/>
        <w:rPr>
          <w:sz w:val="20"/>
          <w:szCs w:val="20"/>
          <w:color w:val="auto"/>
        </w:rPr>
      </w:pPr>
    </w:p>
    <w:p>
      <w:pPr>
        <w:spacing w:after="0"/>
        <w:tabs>
          <w:tab w:leader="none" w:pos="194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if to the Administrative Agent, to:</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Alter Domus Products Corp.</w:t>
      </w:r>
    </w:p>
    <w:p>
      <w:pPr>
        <w:ind w:left="1500"/>
        <w:spacing w:after="0" w:line="207" w:lineRule="auto"/>
        <w:rPr>
          <w:sz w:val="20"/>
          <w:szCs w:val="20"/>
          <w:color w:val="auto"/>
        </w:rPr>
      </w:pPr>
      <w:r>
        <w:rPr>
          <w:rFonts w:ascii="Arial" w:cs="Arial" w:eastAsia="Arial" w:hAnsi="Arial"/>
          <w:sz w:val="20"/>
          <w:szCs w:val="20"/>
          <w:color w:val="auto"/>
        </w:rPr>
        <w:t>225 W. Washington Street, 9</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w:t>
      </w:r>
    </w:p>
    <w:p>
      <w:pPr>
        <w:ind w:left="1500"/>
        <w:spacing w:after="0"/>
        <w:rPr>
          <w:sz w:val="20"/>
          <w:szCs w:val="20"/>
          <w:color w:val="auto"/>
        </w:rPr>
      </w:pPr>
      <w:r>
        <w:rPr>
          <w:rFonts w:ascii="Arial" w:cs="Arial" w:eastAsia="Arial" w:hAnsi="Arial"/>
          <w:sz w:val="20"/>
          <w:szCs w:val="20"/>
          <w:color w:val="auto"/>
        </w:rPr>
        <w:t>Chicago, Illinois 60606</w:t>
      </w:r>
    </w:p>
    <w:p>
      <w:pPr>
        <w:ind w:left="1500"/>
        <w:spacing w:after="0"/>
        <w:rPr>
          <w:sz w:val="20"/>
          <w:szCs w:val="20"/>
          <w:color w:val="auto"/>
        </w:rPr>
      </w:pPr>
      <w:r>
        <w:rPr>
          <w:rFonts w:ascii="Arial" w:cs="Arial" w:eastAsia="Arial" w:hAnsi="Arial"/>
          <w:sz w:val="20"/>
          <w:szCs w:val="20"/>
          <w:color w:val="auto"/>
        </w:rPr>
        <w:t>Attention: Legal Department and Lisa Schutz</w:t>
      </w:r>
    </w:p>
    <w:p>
      <w:pPr>
        <w:ind w:left="1500"/>
        <w:spacing w:after="0"/>
        <w:rPr>
          <w:sz w:val="20"/>
          <w:szCs w:val="20"/>
          <w:color w:val="auto"/>
        </w:rPr>
      </w:pPr>
      <w:r>
        <w:rPr>
          <w:rFonts w:ascii="Arial" w:cs="Arial" w:eastAsia="Arial" w:hAnsi="Arial"/>
          <w:sz w:val="20"/>
          <w:szCs w:val="20"/>
          <w:color w:val="auto"/>
        </w:rPr>
        <w:t>Fax No.: 312-376-0751</w:t>
      </w:r>
    </w:p>
    <w:p>
      <w:pPr>
        <w:ind w:left="1500"/>
        <w:spacing w:after="0"/>
        <w:rPr>
          <w:sz w:val="20"/>
          <w:szCs w:val="20"/>
          <w:color w:val="auto"/>
        </w:rPr>
      </w:pPr>
      <w:r>
        <w:rPr>
          <w:rFonts w:ascii="Arial" w:cs="Arial" w:eastAsia="Arial" w:hAnsi="Arial"/>
          <w:sz w:val="20"/>
          <w:szCs w:val="20"/>
          <w:color w:val="auto"/>
        </w:rPr>
        <w:t>Tel. No.: 312-564-5100</w:t>
      </w:r>
    </w:p>
    <w:p>
      <w:pPr>
        <w:ind w:left="1500"/>
        <w:spacing w:after="0"/>
        <w:rPr>
          <w:sz w:val="20"/>
          <w:szCs w:val="20"/>
          <w:color w:val="auto"/>
        </w:rPr>
      </w:pPr>
      <w:r>
        <w:rPr>
          <w:rFonts w:ascii="Arial" w:cs="Arial" w:eastAsia="Arial" w:hAnsi="Arial"/>
          <w:sz w:val="20"/>
          <w:szCs w:val="20"/>
          <w:color w:val="auto"/>
        </w:rPr>
        <w:t>Email: legal@alterdomus.com and lisa.schutz@alterdomus.com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With a copy to:</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Holland &amp; Knight LLP</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150 N. Riverside Plaza, Suite 2700</w:t>
      </w:r>
    </w:p>
    <w:p>
      <w:pPr>
        <w:ind w:left="800"/>
        <w:spacing w:after="0"/>
        <w:rPr>
          <w:sz w:val="20"/>
          <w:szCs w:val="20"/>
          <w:color w:val="auto"/>
        </w:rPr>
      </w:pPr>
      <w:r>
        <w:rPr>
          <w:rFonts w:ascii="Arial" w:cs="Arial" w:eastAsia="Arial" w:hAnsi="Arial"/>
          <w:sz w:val="20"/>
          <w:szCs w:val="20"/>
          <w:color w:val="auto"/>
        </w:rPr>
        <w:t>Chicago, Illinois 60606</w:t>
      </w:r>
    </w:p>
    <w:p>
      <w:pPr>
        <w:ind w:left="800"/>
        <w:spacing w:after="0"/>
        <w:rPr>
          <w:sz w:val="20"/>
          <w:szCs w:val="20"/>
          <w:color w:val="auto"/>
        </w:rPr>
      </w:pPr>
      <w:r>
        <w:rPr>
          <w:rFonts w:ascii="Arial" w:cs="Arial" w:eastAsia="Arial" w:hAnsi="Arial"/>
          <w:sz w:val="20"/>
          <w:szCs w:val="20"/>
          <w:color w:val="auto"/>
        </w:rPr>
        <w:t>Fax No.: 312-578-6666</w:t>
      </w:r>
    </w:p>
    <w:p>
      <w:pPr>
        <w:ind w:left="800"/>
        <w:spacing w:after="0"/>
        <w:rPr>
          <w:sz w:val="20"/>
          <w:szCs w:val="20"/>
          <w:color w:val="auto"/>
        </w:rPr>
      </w:pPr>
      <w:r>
        <w:rPr>
          <w:rFonts w:ascii="Arial" w:cs="Arial" w:eastAsia="Arial" w:hAnsi="Arial"/>
          <w:sz w:val="20"/>
          <w:szCs w:val="20"/>
          <w:color w:val="auto"/>
        </w:rPr>
        <w:t>Tel. No.: 312-263-3600</w:t>
      </w:r>
    </w:p>
    <w:p>
      <w:pPr>
        <w:ind w:left="800"/>
        <w:spacing w:after="0"/>
        <w:rPr>
          <w:sz w:val="20"/>
          <w:szCs w:val="20"/>
          <w:color w:val="auto"/>
        </w:rPr>
      </w:pPr>
      <w:r>
        <w:rPr>
          <w:rFonts w:ascii="Arial" w:cs="Arial" w:eastAsia="Arial" w:hAnsi="Arial"/>
          <w:sz w:val="20"/>
          <w:szCs w:val="20"/>
          <w:color w:val="auto"/>
        </w:rPr>
        <w:t>Attention: Joshua M. Spencer</w:t>
      </w:r>
    </w:p>
    <w:p>
      <w:pPr>
        <w:ind w:left="800"/>
        <w:spacing w:after="0"/>
        <w:rPr>
          <w:sz w:val="20"/>
          <w:szCs w:val="20"/>
          <w:color w:val="auto"/>
        </w:rPr>
      </w:pPr>
      <w:r>
        <w:rPr>
          <w:rFonts w:ascii="Arial" w:cs="Arial" w:eastAsia="Arial" w:hAnsi="Arial"/>
          <w:sz w:val="20"/>
          <w:szCs w:val="20"/>
          <w:color w:val="auto"/>
        </w:rPr>
        <w:t>Email: joshua.spencer@hklaw.com</w:t>
      </w:r>
    </w:p>
    <w:p>
      <w:pPr>
        <w:spacing w:after="0" w:line="213" w:lineRule="exact"/>
        <w:rPr>
          <w:sz w:val="20"/>
          <w:szCs w:val="20"/>
          <w:color w:val="auto"/>
        </w:rPr>
      </w:pPr>
    </w:p>
    <w:p>
      <w:pPr>
        <w:ind w:firstLine="8"/>
        <w:spacing w:after="0" w:line="260" w:lineRule="auto"/>
        <w:tabs>
          <w:tab w:leader="none" w:pos="509" w:val="left"/>
        </w:tabs>
        <w:numPr>
          <w:ilvl w:val="0"/>
          <w:numId w:val="185"/>
        </w:numPr>
        <w:rPr>
          <w:rFonts w:ascii="Arial" w:cs="Arial" w:eastAsia="Arial" w:hAnsi="Arial"/>
          <w:sz w:val="20"/>
          <w:szCs w:val="20"/>
          <w:color w:val="auto"/>
        </w:rPr>
      </w:pPr>
      <w:r>
        <w:rPr>
          <w:rFonts w:ascii="Arial" w:cs="Arial" w:eastAsia="Arial" w:hAnsi="Arial"/>
          <w:sz w:val="20"/>
          <w:szCs w:val="20"/>
          <w:color w:val="auto"/>
        </w:rPr>
        <w:t>if to a Lender, to it at its address (email address or fax number) set forth on Schedule 2.01 or in the Assignment and Acceptance or Refinancing Amendment pursuant to which such Lender shall have become a party hereto.</w:t>
      </w:r>
    </w:p>
    <w:p>
      <w:pPr>
        <w:spacing w:after="0" w:line="17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 xml:space="preserve">All notices and other communications given to any party hereto in accordance with the provisions of this Agreement shall be deemed to have been given on the date of receipt if delivered by hand or overnight courier service or sent by fax or on the date three Business Days after dispatch by certified or registered mail if mailed, in each case delivered, sent or mailed (properly addressed) to such party as provided in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or in accordance with the latest unrevoked direction from such party given in accordance with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10.01</w:t>
      </w:r>
      <w:r>
        <w:rPr>
          <w:rFonts w:ascii="Arial" w:cs="Arial" w:eastAsia="Arial" w:hAnsi="Arial"/>
          <w:sz w:val="20"/>
          <w:szCs w:val="20"/>
          <w:color w:val="auto"/>
        </w:rPr>
        <w:t>. As agreed to among the Borrower, the Administrative Agent and the applicable Lenders from time to time, notices and other communications may also be delivered by e-mail to the e-mail address of a representative of the applicable Person provided from time to time by such Person.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2" w:name="page163"/>
    <w:bookmarkEnd w:id="162"/>
    <w:p>
      <w:pPr>
        <w:jc w:val="both"/>
        <w:ind w:firstLine="749"/>
        <w:spacing w:after="0" w:line="270" w:lineRule="auto"/>
        <w:rPr>
          <w:sz w:val="20"/>
          <w:szCs w:val="20"/>
          <w:color w:val="auto"/>
        </w:rPr>
      </w:pPr>
      <w:r>
        <w:rPr>
          <w:rFonts w:ascii="Arial" w:cs="Arial" w:eastAsia="Arial" w:hAnsi="Arial"/>
          <w:sz w:val="18"/>
          <w:szCs w:val="18"/>
          <w:color w:val="auto"/>
        </w:rPr>
        <w:t xml:space="preserve">The Borrower hereby agrees, unless directed otherwise by the Required Lenders or Administrative Agent or unless the electronic mail address referred to below has not been provided by the Administrative Agent to the Borrower, that it will, or will cause its Restricted Subsidiaries to, provide to the Administrative Agent and/or the Required Lenders all information, documents and other materials that it is obligated to furnish to the Administrative Agent and/or the Required Lenders pursuant to the Loan Documents or to the Lenders under Article 6, including all notices, requests, financial statements, financial and other reports, certificates and other information materials, but excluding any such communication that (i) is or relates to a Request for Credit Extension or a notice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(ii) relates to the payment of any principal or other amount due under this Agreement prior to the scheduled date therefor, or (iii) provides notice of any Default or Event of Default under this Agreement or any other Loan Document, (all such non-excluded communications being referred to herein collectively as “</w:t>
      </w:r>
      <w:r>
        <w:rPr>
          <w:rFonts w:ascii="Arial" w:cs="Arial" w:eastAsia="Arial" w:hAnsi="Arial"/>
          <w:sz w:val="18"/>
          <w:szCs w:val="18"/>
          <w:b w:val="1"/>
          <w:bCs w:val="1"/>
          <w:color w:val="auto"/>
        </w:rPr>
        <w:t>Communications</w:t>
      </w:r>
      <w:r>
        <w:rPr>
          <w:rFonts w:ascii="Arial" w:cs="Arial" w:eastAsia="Arial" w:hAnsi="Arial"/>
          <w:sz w:val="18"/>
          <w:szCs w:val="18"/>
          <w:color w:val="auto"/>
        </w:rPr>
        <w:t>”), by transmitting the Communications in an electronic/soft medium that is properly identified in a format reasonably acceptable to the Administrative Agent and/or the Required Lenders to an electronic mail address as directed by the Administrative Agent and/or the Required Lenders. In addition, the Borrower agrees, and agrees to cause its Restricted Subsidiaries, to continue to provide the Communications to the Administrative Agent, the Required Lenders or the Lenders, as the case may be, in the manner specified in the Loan Documents but only to the extent requested by the Administrative Agent.</w:t>
      </w:r>
    </w:p>
    <w:p>
      <w:pPr>
        <w:spacing w:after="0" w:line="17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The Borrower hereby acknowledges that (a) the Administrative Agent will make available to the Lenders materials and/or information provided by or on behalf of the Borrower hereunder (collectively, the “</w:t>
      </w:r>
      <w:r>
        <w:rPr>
          <w:rFonts w:ascii="Arial" w:cs="Arial" w:eastAsia="Arial" w:hAnsi="Arial"/>
          <w:sz w:val="18"/>
          <w:szCs w:val="18"/>
          <w:b w:val="1"/>
          <w:bCs w:val="1"/>
          <w:color w:val="auto"/>
        </w:rPr>
        <w:t>Borrower Materials</w:t>
      </w:r>
      <w:r>
        <w:rPr>
          <w:rFonts w:ascii="Arial" w:cs="Arial" w:eastAsia="Arial" w:hAnsi="Arial"/>
          <w:sz w:val="18"/>
          <w:szCs w:val="18"/>
          <w:color w:val="auto"/>
        </w:rPr>
        <w:t>”) by posting the Borrower Materials on Intralinks or another similar electronic system (the “</w:t>
      </w:r>
      <w:r>
        <w:rPr>
          <w:rFonts w:ascii="Arial" w:cs="Arial" w:eastAsia="Arial" w:hAnsi="Arial"/>
          <w:sz w:val="18"/>
          <w:szCs w:val="18"/>
          <w:b w:val="1"/>
          <w:bCs w:val="1"/>
          <w:color w:val="auto"/>
        </w:rPr>
        <w:t>Platform</w:t>
      </w:r>
      <w:r>
        <w:rPr>
          <w:rFonts w:ascii="Arial" w:cs="Arial" w:eastAsia="Arial" w:hAnsi="Arial"/>
          <w:sz w:val="18"/>
          <w:szCs w:val="18"/>
          <w:color w:val="auto"/>
        </w:rPr>
        <w:t>”) and (b) certain of the Lenders may be “public</w:t>
      </w:r>
      <w:r>
        <w:rPr>
          <w:rFonts w:ascii="Arial" w:cs="Arial" w:eastAsia="Arial" w:hAnsi="Arial"/>
          <w:sz w:val="18"/>
          <w:szCs w:val="18"/>
          <w:b w:val="1"/>
          <w:bCs w:val="1"/>
          <w:color w:val="auto"/>
        </w:rPr>
        <w:t>-</w:t>
      </w:r>
      <w:r>
        <w:rPr>
          <w:rFonts w:ascii="Arial" w:cs="Arial" w:eastAsia="Arial" w:hAnsi="Arial"/>
          <w:sz w:val="18"/>
          <w:szCs w:val="18"/>
          <w:color w:val="auto"/>
        </w:rPr>
        <w:t>side” Lenders (i.e., Lenders that do not wish to receive material non-public information with respect to the Borrower, its Restricted Subsidiaries or any of their respective securities) (each, a “</w:t>
      </w:r>
      <w:r>
        <w:rPr>
          <w:rFonts w:ascii="Arial" w:cs="Arial" w:eastAsia="Arial" w:hAnsi="Arial"/>
          <w:sz w:val="18"/>
          <w:szCs w:val="18"/>
          <w:b w:val="1"/>
          <w:bCs w:val="1"/>
          <w:color w:val="auto"/>
        </w:rPr>
        <w:t>Public Lender</w:t>
      </w:r>
      <w:r>
        <w:rPr>
          <w:rFonts w:ascii="Arial" w:cs="Arial" w:eastAsia="Arial" w:hAnsi="Arial"/>
          <w:sz w:val="18"/>
          <w:szCs w:val="18"/>
          <w:color w:val="auto"/>
        </w:rPr>
        <w:t xml:space="preserve">”). The Borrower hereby agrees (w) to use commercially reasonable effort to make all Borrower Materials that are to be made available to Public Lenders clearly and conspicuously “PUBLIC” which, at a minimum, shall mean that the word “PUBLIC” shall appear prominently on the first page thereof; (x) by marking Borrower Materials “PUBLIC,” the Borrower shall be deemed to have authorized the Administrative Agent and the Lenders to treat such Borrower Materials as not containing any material non-public information with respect to the Borrower or any of its securities for purposes of United States federal and state securities laws (provided, however, that to the extent such Borrower Materials constitute Information, they shall be treated as set forth in </w:t>
      </w:r>
      <w:r>
        <w:rPr>
          <w:rFonts w:ascii="Arial" w:cs="Arial" w:eastAsia="Arial" w:hAnsi="Arial"/>
          <w:sz w:val="18"/>
          <w:szCs w:val="18"/>
          <w:u w:val="single" w:color="auto"/>
          <w:color w:val="auto"/>
        </w:rPr>
        <w:t>Section 10.16</w:t>
      </w:r>
      <w:r>
        <w:rPr>
          <w:rFonts w:ascii="Arial" w:cs="Arial" w:eastAsia="Arial" w:hAnsi="Arial"/>
          <w:sz w:val="18"/>
          <w:szCs w:val="18"/>
          <w:color w:val="auto"/>
        </w:rPr>
        <w:t xml:space="preserve">); (y) all Borrower Materials marked “PUBLIC” are permitted to be made available through a portion of the Platform designated as “Public Investor;” and (z) the Administrative Agent shall be entitled to treat any Borrower Materials that are not marked “PUBLIC” as being suitable only for posting on a portion of the Platform not marked as “Public Investor.” Notwithstanding the foregoing, the following Borrower Materials shall be marked “PUBLIC”, unless the Borrower notifies the Administrative Agent promptly that any such document contains material non-public information: (1) the Loan Documents, (2) financial statements and related documentation, in each case, provided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6.01(b)</w:t>
      </w:r>
      <w:r>
        <w:rPr>
          <w:rFonts w:ascii="Arial" w:cs="Arial" w:eastAsia="Arial" w:hAnsi="Arial"/>
          <w:sz w:val="18"/>
          <w:szCs w:val="18"/>
          <w:color w:val="auto"/>
        </w:rPr>
        <w:t xml:space="preserve"> and (3) notification of changes in the terms of the Facilities.</w:t>
      </w:r>
    </w:p>
    <w:p>
      <w:pPr>
        <w:spacing w:after="0" w:line="17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the Borrower, its Restricted Subsidiaries or any of their respective securities for purposes of United States Federal or state securities laws.</w:t>
      </w:r>
    </w:p>
    <w:p>
      <w:pPr>
        <w:spacing w:after="0" w:line="17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THE PLATFORM IS PROVIDED “AS IS” AND “AS AVAILABLE”. NEITHER THE ADMINISTRATIVE AGENT NOR ANY OF ITS RELATED PARTIES WARRANTS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3" w:name="page164"/>
    <w:bookmarkEnd w:id="163"/>
    <w:p>
      <w:pPr>
        <w:jc w:val="both"/>
        <w:spacing w:after="0" w:line="254" w:lineRule="auto"/>
        <w:rPr>
          <w:sz w:val="20"/>
          <w:szCs w:val="20"/>
          <w:color w:val="auto"/>
        </w:rPr>
      </w:pPr>
      <w:r>
        <w:rPr>
          <w:rFonts w:ascii="Arial" w:cs="Arial" w:eastAsia="Arial" w:hAnsi="Arial"/>
          <w:sz w:val="19"/>
          <w:szCs w:val="19"/>
          <w:color w:val="auto"/>
        </w:rPr>
        <w:t>ACCURACY OR COMPLETENESS OF THE COMMUNICATIONS OR THE ADEQUACY OF THE PLATFORM AND EACH EXPRESSLY DISCLAIMS LIABILITY FOR ERRORS OR OMISSIONS IN THE COMMUNICATIONS. NO WARRANTY OF ANY KIND, EXPRESS, IMPLIED OR STATUTORY, INCLUDING ANY WARRANTY OF MERCHANTABILITY, FITNESS FOR A PARTICULAR PURPOSE, NON-INFRINGEMENT OF THIRD PARTY RIGHTS OR FREEDOM FROM VIRUSES OR OTHER CODE DEFECTS IS MADE BY THE ADMINISTRATIVE AGENT OR ANY OF ITS RELATED PARTIES IN CONNECTION WITH THE COMMUNICATIONS OR THE PLATFORM. IN NO EVENT SHALL THE ADMINISTRATIVE AGENT OR ANY OF ITS RELATED PARTIES HAVE ANY LIABILITY TO ANY LOAN PARTY, ANY LENDER OR ANY OTHER PERSON FOR DAMAGES OF ANY KIND, WHETHER OR NOT BASED ON STRICT LIABILITY AND INCLUDING DIRECT OR INDIRECT, SPECIAL, INCIDENTAL OR CONSEQUENTIAL DAMAGES, LOSSES OR EXPENSES (WHETHER IN TORT, CONTRACT OR OTHERWISE) ARISING OUT OF ANY LOAN PARTY’S OR THE ADMINISTRATIVE AGENT’S TRANSMISSION OF COMMUNICATIONS THROUGH THE INTERNET, EXCEPT TO THE EXTENT THE LIABILITY OF ANY SUCH PERSON IS FOUND IN A FINAL NON-APPEALABLE RULING BY A COURT OF COMPETENT JURISDICTION TO HAVE RESULTED FROM SUCH PERSON’S OR ITS RELATED PARTIES’ GROSS NEGLIGENCE, WILLFUL MISCONDUCT OR BAD FAITH, IN EACH CASE, AS DETERMINED BY THE FINAL NON-APPEALABLE JUDGMENT OF A COURT OF COMPETENT JURISDICTION.</w:t>
      </w:r>
    </w:p>
    <w:p>
      <w:pPr>
        <w:spacing w:after="0" w:line="192"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The Administrative Agent agrees that the receipt of the Communications by the Administrative Agent at its e-mail address set forth above shall constitute effective delivery of the Communications to the Administrative Agent for purposes of the Loan Documents. Each Lender agrees that receipt of notice to it (as provided in the next sentence) specifying that the Communications have been posted to the Platform shall constitute effective delivery of the Communications to such Lender for purposes of the Loan Documents. Each Lender agrees to notify the Administrative Agent in writing (including by electronic communication) from time to time of such Lender’s e-mail address to which the foregoing notice may be sent by electronic transmission and that the foregoing notice may be sent to such e-mail address.</w:t>
      </w:r>
    </w:p>
    <w:p>
      <w:pPr>
        <w:spacing w:after="0" w:line="16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Nothing herein shall prejudice the right of the Administrative Agent or any Lender to give any notice or other communication pursuant to any Loan Document in any other manner specified in such Loan Document.</w:t>
      </w:r>
    </w:p>
    <w:p>
      <w:pPr>
        <w:spacing w:after="0" w:line="177"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Survival of Agreement.</w:t>
      </w:r>
      <w:r>
        <w:rPr>
          <w:rFonts w:ascii="Arial" w:cs="Arial" w:eastAsia="Arial" w:hAnsi="Arial"/>
          <w:sz w:val="18"/>
          <w:szCs w:val="18"/>
          <w:color w:val="auto"/>
        </w:rPr>
        <w:t xml:space="preserve"> All covenants, agreements, representations and warranties made by the Borrower herein and in the certificates or other instruments prepared or delivered in connection with or pursuant to this Agreement or any other Loan Document shall be considered to have been relied upon by the Lenders and shall survive the making by the Lenders of the Loans, regardless of any investigation made by the Lenders or on their behalf or that any Agent or Lender may have had notice of any Default or Event of Default at the time of any Credit Extension, and shall continue in full force and effect as long as the principal of or any accrued interest on any Loan or any Fee or any other amount payable under this Agreement or any other Loan Document is outstanding and unpaid and so long as the Commitments have not been terminated. The provisions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10.05</w:t>
      </w:r>
      <w:r>
        <w:rPr>
          <w:rFonts w:ascii="Arial" w:cs="Arial" w:eastAsia="Arial" w:hAnsi="Arial"/>
          <w:sz w:val="18"/>
          <w:szCs w:val="18"/>
          <w:color w:val="auto"/>
        </w:rPr>
        <w:t xml:space="preserve"> shall remain operative and in full force and effect regardless of the expiration of the term of this Agreement, the consummation of the transactions contemplated hereby, the repayment of any of the Loans, the expiration of the Commitments, the invalidity or unenforceability of any term or provision of this Agreement or any other Loan Document, or any investigation made by or on behalf of the Administrative Agent, the Collateral Agent or any Lender.</w:t>
      </w:r>
    </w:p>
    <w:p>
      <w:pPr>
        <w:spacing w:after="0" w:line="174"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Section 10.03. </w:t>
      </w:r>
      <w:r>
        <w:rPr>
          <w:rFonts w:ascii="Arial" w:cs="Arial" w:eastAsia="Arial" w:hAnsi="Arial"/>
          <w:sz w:val="20"/>
          <w:szCs w:val="20"/>
          <w:i w:val="1"/>
          <w:iCs w:val="1"/>
          <w:color w:val="auto"/>
        </w:rPr>
        <w:t>Binding Effect.</w:t>
      </w:r>
      <w:r>
        <w:rPr>
          <w:rFonts w:ascii="Arial" w:cs="Arial" w:eastAsia="Arial" w:hAnsi="Arial"/>
          <w:sz w:val="20"/>
          <w:szCs w:val="20"/>
          <w:color w:val="auto"/>
        </w:rPr>
        <w:t xml:space="preserve"> This Agreement shall become effective when it shall have been executed and delivered by the Borrower, each other Loan Party party hereto on the Restatement Effective Date and the Administrative Agent and when the Administrative Agent shall have received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4" w:name="page165"/>
    <w:bookmarkEnd w:id="164"/>
    <w:p>
      <w:pPr>
        <w:spacing w:after="0"/>
        <w:rPr>
          <w:sz w:val="20"/>
          <w:szCs w:val="20"/>
          <w:color w:val="auto"/>
        </w:rPr>
      </w:pPr>
      <w:r>
        <w:rPr>
          <w:rFonts w:ascii="Arial" w:cs="Arial" w:eastAsia="Arial" w:hAnsi="Arial"/>
          <w:sz w:val="20"/>
          <w:szCs w:val="20"/>
          <w:color w:val="auto"/>
        </w:rPr>
        <w:t>counterparts hereof which, when taken together, bear the signatures of each of the other parties hereto.</w:t>
      </w:r>
    </w:p>
    <w:p>
      <w:pPr>
        <w:spacing w:after="0" w:line="21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10.04. </w:t>
      </w:r>
      <w:r>
        <w:rPr>
          <w:rFonts w:ascii="Arial" w:cs="Arial" w:eastAsia="Arial" w:hAnsi="Arial"/>
          <w:sz w:val="20"/>
          <w:szCs w:val="20"/>
          <w:i w:val="1"/>
          <w:iCs w:val="1"/>
          <w:color w:val="auto"/>
        </w:rPr>
        <w:t>Successors and Assigns</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46" w:lineRule="auto"/>
        <w:tabs>
          <w:tab w:leader="none" w:pos="509" w:val="left"/>
        </w:tabs>
        <w:numPr>
          <w:ilvl w:val="0"/>
          <w:numId w:val="186"/>
        </w:numPr>
        <w:rPr>
          <w:rFonts w:ascii="Arial" w:cs="Arial" w:eastAsia="Arial" w:hAnsi="Arial"/>
          <w:sz w:val="20"/>
          <w:szCs w:val="20"/>
          <w:color w:val="auto"/>
        </w:rPr>
      </w:pPr>
      <w:r>
        <w:rPr>
          <w:rFonts w:ascii="Arial" w:cs="Arial" w:eastAsia="Arial" w:hAnsi="Arial"/>
          <w:sz w:val="20"/>
          <w:szCs w:val="20"/>
          <w:color w:val="auto"/>
        </w:rPr>
        <w:t>Whenever in this Agreement any of the parties hereto is referred to, such reference shall be deemed to include the permitted successors and assigns of such party; and all covenants, promises and agreements by or on behalf of the Borrower, the Administrative Agent, the Collateral Agent or the Lenders that are contained in this Agreement shall bind and inure to the benefit of their respective permitted successors and assigns.</w:t>
      </w:r>
    </w:p>
    <w:p>
      <w:pPr>
        <w:spacing w:after="0" w:line="191" w:lineRule="exact"/>
        <w:rPr>
          <w:rFonts w:ascii="Arial" w:cs="Arial" w:eastAsia="Arial" w:hAnsi="Arial"/>
          <w:sz w:val="20"/>
          <w:szCs w:val="20"/>
          <w:color w:val="auto"/>
        </w:rPr>
      </w:pPr>
    </w:p>
    <w:p>
      <w:pPr>
        <w:jc w:val="both"/>
        <w:ind w:firstLine="8"/>
        <w:spacing w:after="0" w:line="303" w:lineRule="auto"/>
        <w:tabs>
          <w:tab w:leader="none" w:pos="50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Each Lender may assign to one or more Eligible Assignees all or a portion of its interests, rights and obligations under this Agreement (including all or a portion of the Loans at the time owing to it), with the prior written consent of the Administrative Agent (not to be unreasonably withheld, conditioned or delayed);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 the amount of the Commitment or Loans of the assigning Lender subject to each such assignment (determined as of the date the Assignment and Acceptance with respect to such assignment is delivered to the Administrative Agent) shall be in an integral multiple of, and not less than, $1,000,000 (or, if less, the entire remaining amount of such Lender’s Commitment or Loans of the relevant Class) unless the Administrative Agent otherwise agrees;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simultaneous assignments by two or more Related Funds shall be combined for purposes of determining whether the minimum assignment requirement is met, (ii) the parties to each assignment shall (A) execute and deliver to the Administrative Agent an Assignment and Acceptance via an electronic settlement system acceptable to the Administrative Agent or (B) if previously agreed with the Administrative Agent, manually execute and deliver to the Administrative Agent an Assignment and Acceptance, and, in each case, shall pay to the Administrative Agent a processing and recordation fee of $3,500;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simultaneous assignments by two or more Related Funds shall require the payment of a single processing and recordation fee of $3,500 and (y) such processing and recordation fee may be waived or reduced in the sole discretion of the Administrative Agent and (iii) the assignee, if it shall not be a Lender, shall deliver to the Administrative Agent an Administrative Questionnaire (in which the assignee shall designate one or more credit contacts to whom all Lender-level information (which may contain material non-public information about the Loan Parties and their Related Parties or their respective securities) will be made available and who may receive such information in accordance with the assignee’s compliance procedures and applicable Laws, including Federal and state securities laws), all documentation and other information reasonably determined by the Administrative Agent to be required by applicable regulatory authorities under applicable “know your customer” and anti-money laundering rules and regulations, including the USA PATRIOT Act, and all applicable tax forms (including such documentation required under Section 3.01(d)). Upon acceptance and recording pursuant to paragraph (e) of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from and after the effective date specified in each Assignment and Acceptance, (A) the assignee thereunder shall be a party hereto and, to the extent of the interest assigned by such Assignment and Acceptance, have the rights and obligations of a Lender under this 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10.05</w:t>
      </w:r>
      <w:r>
        <w:rPr>
          <w:rFonts w:ascii="Arial" w:cs="Arial" w:eastAsia="Arial" w:hAnsi="Arial"/>
          <w:sz w:val="16"/>
          <w:szCs w:val="16"/>
          <w:color w:val="auto"/>
        </w:rPr>
        <w:t>). Upon request and the surrender by the assigning Lender of its Term Note (if any), the Borrower (at its expense) shall execute and deliver a Term Note to the assignee Lender.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jc w:val="both"/>
        <w:ind w:firstLine="8"/>
        <w:spacing w:after="0" w:line="282" w:lineRule="auto"/>
        <w:tabs>
          <w:tab w:leader="none" w:pos="50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By executing and delivering an Assignment and Acceptance, the assigning Lender thereunder and the assignee thereunder shall be deemed to confirm to and agree with each other and the other parties hereto as follows: (i) such assigning Lender warrants that it is the legal and beneficial owner of the interest being assigned thereby free and clear of any adverse claim and the outstanding balances of its Term Loans without giving effect to assignments thereof which have not become effective, are as set forth in such Assignment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5" w:name="page166"/>
    <w:bookmarkEnd w:id="165"/>
    <w:p>
      <w:pPr>
        <w:jc w:val="both"/>
        <w:ind w:firstLine="509"/>
        <w:spacing w:after="0" w:line="269" w:lineRule="auto"/>
        <w:rPr>
          <w:sz w:val="20"/>
          <w:szCs w:val="20"/>
          <w:color w:val="auto"/>
        </w:rPr>
      </w:pPr>
      <w:r>
        <w:rPr>
          <w:rFonts w:ascii="Arial" w:cs="Arial" w:eastAsia="Arial" w:hAnsi="Arial"/>
          <w:sz w:val="18"/>
          <w:szCs w:val="18"/>
          <w:color w:val="auto"/>
        </w:rPr>
        <w:t xml:space="preserve">and Acceptance; (ii) except as set forth in (i) above,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any other Loan Document or any other instrument or document furnished pursuant hereto, or the financial condition of the Borrower or any Subsidiary or the performance or observance by the Borrower or any Subsidiary of any of its obligations under this Agreement, any other Loan Document or any other instrument or document furnished pursuant hereto; (iii) such assignee represents and warrants that it is an Eligible Assignee legally authorized to enter into such Assignment and Acceptance; (iv) such assignee confirms that it has received a copy of this Agreement and the other Loan Documents, together with copies of the most recent financial statements referred to in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or delivered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such other documents and information as it has deemed appropriate to make its own credit analysis and decision to enter into such Assignment and Acceptance; (v) such assignee will independently and without reliance upon the Administrative Agent, the Collateral Agent, such assigning Lender or any other Lender and based on such documents and information as it shall deem appropriate at the time, continue to make its own credit decisions in taking or not taking action under this Agreement; (vi) such assignee appoints and authorizes the Administrative Agent and the Collateral Agent to take such action as agent on its behalf and to exercise such powers under this Agreement and the other Loan Documents as are delegated to the Administrative Agent and the Collateral Agent, respectively, by the terms hereof or thereof, together with such powers as are reasonably incidental or related thereto; and (vii) such assignee agrees that it will perform in accordance with their terms all the obligations which by the terms of this Agreement are required to be performed by it as a Lender.</w:t>
      </w:r>
    </w:p>
    <w:p>
      <w:pPr>
        <w:spacing w:after="0" w:line="176" w:lineRule="exact"/>
        <w:rPr>
          <w:sz w:val="20"/>
          <w:szCs w:val="20"/>
          <w:color w:val="auto"/>
        </w:rPr>
      </w:pPr>
    </w:p>
    <w:p>
      <w:pPr>
        <w:jc w:val="both"/>
        <w:ind w:firstLine="8"/>
        <w:spacing w:after="0" w:line="255" w:lineRule="auto"/>
        <w:tabs>
          <w:tab w:leader="none" w:pos="509"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 non-fiduciary agent of the Borrower, shall maintain at one of its offices a copy of each Assignment and Acceptance delivered to it and a register for the recordation of the names and addresses of the Lenders, and the Commitment of, and principal amount of and the interest on the Loans owing to, each Lender pursuant to the terms hereof from time to time (the “</w:t>
      </w:r>
      <w:r>
        <w:rPr>
          <w:rFonts w:ascii="Arial" w:cs="Arial" w:eastAsia="Arial" w:hAnsi="Arial"/>
          <w:sz w:val="19"/>
          <w:szCs w:val="19"/>
          <w:b w:val="1"/>
          <w:bCs w:val="1"/>
          <w:color w:val="auto"/>
        </w:rPr>
        <w:t>Register</w:t>
      </w:r>
      <w:r>
        <w:rPr>
          <w:rFonts w:ascii="Arial" w:cs="Arial" w:eastAsia="Arial" w:hAnsi="Arial"/>
          <w:sz w:val="19"/>
          <w:szCs w:val="19"/>
          <w:color w:val="auto"/>
        </w:rPr>
        <w:t xml:space="preserve">”). The entries in the Register shall be conclusive absent manifest error and the Borrower, the Administrative Agent, the Collateral Agent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and, as to entries pertaining to it, any Lender, at any reasonable time and from time to time upon reasonable prior written notice. This </w:t>
      </w:r>
      <w:r>
        <w:rPr>
          <w:rFonts w:ascii="Arial" w:cs="Arial" w:eastAsia="Arial" w:hAnsi="Arial"/>
          <w:sz w:val="19"/>
          <w:szCs w:val="19"/>
          <w:u w:val="single" w:color="auto"/>
          <w:color w:val="auto"/>
        </w:rPr>
        <w:t>Section 10.04(d)</w:t>
      </w:r>
      <w:r>
        <w:rPr>
          <w:rFonts w:ascii="Arial" w:cs="Arial" w:eastAsia="Arial" w:hAnsi="Arial"/>
          <w:sz w:val="19"/>
          <w:szCs w:val="19"/>
          <w:color w:val="auto"/>
        </w:rPr>
        <w:t xml:space="preserve"> shall be construed so that all Loans are at all times maintained in “registered form” within the meaning of Section 163(f), 871(h)(2) and 881(c)(2) of the Code and any related Treasury regulations (or any other relevant or successor provisions of the Code or of such Treasury regulations).</w:t>
      </w:r>
    </w:p>
    <w:p>
      <w:pPr>
        <w:spacing w:after="0" w:line="189" w:lineRule="exact"/>
        <w:rPr>
          <w:rFonts w:ascii="Arial" w:cs="Arial" w:eastAsia="Arial" w:hAnsi="Arial"/>
          <w:sz w:val="19"/>
          <w:szCs w:val="19"/>
          <w:color w:val="auto"/>
        </w:rPr>
      </w:pPr>
    </w:p>
    <w:p>
      <w:pPr>
        <w:jc w:val="both"/>
        <w:ind w:firstLine="8"/>
        <w:spacing w:after="0" w:line="257" w:lineRule="auto"/>
        <w:tabs>
          <w:tab w:leader="none" w:pos="509"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Upon its receipt of, and consent to, a duly completed Assignment and Acceptance executed by an assigning Lender and an assignee, an Administrative Questionnaire completed in respect of the assignee (unless the assignee shall already be a Lender hereunder), the processing and recordation fee referred to in paragraph (b) above, if applicable, and the written consent of the Administrative Agent and, if required, the Borrower, to such assignment, and “know your customer” information requested by the Administrative Agent, and any applicable tax forms (including such documentation required under </w:t>
      </w:r>
      <w:r>
        <w:rPr>
          <w:rFonts w:ascii="Arial" w:cs="Arial" w:eastAsia="Arial" w:hAnsi="Arial"/>
          <w:sz w:val="19"/>
          <w:szCs w:val="19"/>
          <w:u w:val="single" w:color="auto"/>
          <w:color w:val="auto"/>
        </w:rPr>
        <w:t>Section 3.01(d)</w:t>
      </w:r>
      <w:r>
        <w:rPr>
          <w:rFonts w:ascii="Arial" w:cs="Arial" w:eastAsia="Arial" w:hAnsi="Arial"/>
          <w:sz w:val="19"/>
          <w:szCs w:val="19"/>
          <w:color w:val="auto"/>
        </w:rPr>
        <w:t>), the Administrative Agent shall promptly (i) accept such Assignment and Acceptance and (ii) record the information contained therein in the Register. No assignment shall be effective unless it has been recorded in the Register as provided in this paragraph (e).</w:t>
      </w:r>
    </w:p>
    <w:p>
      <w:pPr>
        <w:spacing w:after="0" w:line="184" w:lineRule="exact"/>
        <w:rPr>
          <w:rFonts w:ascii="Arial" w:cs="Arial" w:eastAsia="Arial" w:hAnsi="Arial"/>
          <w:sz w:val="19"/>
          <w:szCs w:val="19"/>
          <w:color w:val="auto"/>
        </w:rPr>
      </w:pPr>
    </w:p>
    <w:p>
      <w:pPr>
        <w:jc w:val="both"/>
        <w:ind w:firstLine="8"/>
        <w:spacing w:after="0" w:line="263" w:lineRule="auto"/>
        <w:tabs>
          <w:tab w:leader="none" w:pos="509"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Each Lender may without the consent of the Borrower or the Administrative Agent sell participations to one or more banks or other Persons in all or a portion of its rights and obligations under this Agreement (including all or a portion of its Commitment and the Loans owing to it); </w:t>
      </w:r>
      <w:r>
        <w:rPr>
          <w:rFonts w:ascii="Arial" w:cs="Arial" w:eastAsia="Arial" w:hAnsi="Arial"/>
          <w:sz w:val="19"/>
          <w:szCs w:val="19"/>
          <w:i w:val="1"/>
          <w:iCs w:val="1"/>
          <w:color w:val="auto"/>
        </w:rPr>
        <w:t>provided, however</w:t>
      </w:r>
      <w:r>
        <w:rPr>
          <w:rFonts w:ascii="Arial" w:cs="Arial" w:eastAsia="Arial" w:hAnsi="Arial"/>
          <w:sz w:val="19"/>
          <w:szCs w:val="19"/>
          <w:color w:val="auto"/>
        </w:rPr>
        <w:t>, that (i) such Lender’s obligations under this Agreement shall remain unchanged, (ii) such Lender shall remain solely responsible to the other parties hereto for the performance of such obligations, (iii) the participating banks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6" w:name="page167"/>
    <w:bookmarkEnd w:id="166"/>
    <w:p>
      <w:pPr>
        <w:jc w:val="both"/>
        <w:ind w:firstLine="509"/>
        <w:spacing w:after="0" w:line="267" w:lineRule="auto"/>
        <w:rPr>
          <w:sz w:val="20"/>
          <w:szCs w:val="20"/>
          <w:color w:val="auto"/>
        </w:rPr>
      </w:pPr>
      <w:r>
        <w:rPr>
          <w:rFonts w:ascii="Arial" w:cs="Arial" w:eastAsia="Arial" w:hAnsi="Arial"/>
          <w:sz w:val="18"/>
          <w:szCs w:val="18"/>
          <w:color w:val="auto"/>
        </w:rPr>
        <w:t xml:space="preserve">or other Persons shall be entitled to the benefit of the cost protection provisions contained in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 3.01(d</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3.01(d)</w:t>
      </w:r>
      <w:r>
        <w:rPr>
          <w:rFonts w:ascii="Arial" w:cs="Arial" w:eastAsia="Arial" w:hAnsi="Arial"/>
          <w:sz w:val="18"/>
          <w:szCs w:val="18"/>
          <w:color w:val="auto"/>
        </w:rPr>
        <w:t xml:space="preserve"> shall be delivered to the participating Lender)) to the same extent as if they were Lenders (but with respect to any particular participant, to no greater extent than the Lender that sold the participation to such participant and only if such participant has complied with the requirements of such provisions as if it were a Lender) and (iv) the Borrower, the Administrative Agent and the Lenders shall continue to deal solely and directly with such Lender in connection with such Lender’s rights and obligations under this Agreement, and such Lender shall retain the sole right to enforce the obligations of the Borrower relating to the Loans and to approve any amendment, modification or waiver of (or consent under) any provision of this Agreement or any other Loan Document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agreement or instrument pursuant to which such Lender has sold a participation may provide that such Lender shall not agree to the following amendments without the consent of such participating bank or Person hereunder: amendments, modifications or waivers decreasing any fees payable to such participating bank or Person hereunder or the amount of principal of or the rate at which interest is payable on the Loans in which such participating bank has an interest; extending any scheduled principal payment date or scheduled date fixed for the payment of interest on the Loans in which such participating bank or Person has an interest; increasing or extending the Commitments in which such participating bank or Person has an interest; releasing all or substantially all of the Guarantors (other than in connection with the sale of any such Guarantor in a transaction permitted by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releasing all or substantially all of the Collateral or the First Lien Term Priority Collateral or reductions in the voting thresholds; or modifying the pro rata requirements of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2.13(c)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in each case, which directly and adversely affects such participants;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notwithstanding the foregoing, only the consent of the Required Lenders shall be required in respect of any amendment, modification or waiver of (i) the payment of default interest, (ii) the occurrence of a default or an Event of Default, (iii) the mandatory prepayment requirements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(iv) the payment or receipt of the fee or premium pursuant to </w:t>
      </w:r>
      <w:r>
        <w:rPr>
          <w:rFonts w:ascii="Arial" w:cs="Arial" w:eastAsia="Arial" w:hAnsi="Arial"/>
          <w:sz w:val="18"/>
          <w:szCs w:val="18"/>
          <w:u w:val="single" w:color="auto"/>
          <w:color w:val="auto"/>
        </w:rPr>
        <w:t>Section 2.12(d</w:t>
      </w:r>
      <w:r>
        <w:rPr>
          <w:rFonts w:ascii="Arial" w:cs="Arial" w:eastAsia="Arial" w:hAnsi="Arial"/>
          <w:sz w:val="18"/>
          <w:szCs w:val="18"/>
          <w:color w:val="auto"/>
        </w:rPr>
        <w:t xml:space="preserve">)). To the extent permitted by law, each participating bank or other Person also shall be entitled to the benefits of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as though it were a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participating bank or other Person agrees to be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as though it were a Lender. Each Lender that sells a participation or exercises its option under section 10.04(i) with respect to an SPV shall, acting solely for this purpose as a non-fiduciary agent of the Borrower, maintain a register on which it enters the name and address of each participant and SPV (other than any SPV that is treated as a disregarded entity of the Granting Lender for U.S. federal income tax purposes) and the principal amounts (and interest thereon) of each participant’s interest in the Loans or other Obligations under this Agreement (the “</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SPV or any information relating to a Participant’s or a SPV’s interest in any commitments, loans, letters of credit or its other obligations under any Loan Document) to any Person except to the extent that such disclosure is necessary in connection with a Tax audit or other proceeding to establish that such commitment, loan, letter of credit or other obligation is in registered form under United States Treasury Regulations Section 5f.103-1(c) and proposed United States Treasury Regulations Section 1.163-5(b) (or any amended or successor version). The entries in the Participant Register shall be conclusive absent manifest error, and the Borrower, the Lenders and each Agent shall treat each Person whose name is recorded in the Participant Register as the owner of such participation for all purposes of this Agreement, notwithstanding notice to the contrary.</w:t>
      </w:r>
    </w:p>
    <w:p>
      <w:pPr>
        <w:spacing w:after="0" w:line="191" w:lineRule="exact"/>
        <w:rPr>
          <w:sz w:val="20"/>
          <w:szCs w:val="20"/>
          <w:color w:val="auto"/>
        </w:rPr>
      </w:pPr>
    </w:p>
    <w:p>
      <w:pPr>
        <w:jc w:val="both"/>
        <w:ind w:firstLine="8"/>
        <w:spacing w:after="0" w:line="243" w:lineRule="auto"/>
        <w:tabs>
          <w:tab w:leader="none" w:pos="509"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Any Lender or participant may, in connection with any assignment or participation or proposed assignment or participation pursuant to this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disclose to the assignee or participant or proposed assignee or participant any information relating to the Borrower furnished to such Lender by or on behalf of the Borrower;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(except during the arrangement by the Required Lenders when customary confidentiality arrangements shall apply), prior to any such disclosure of Information, each such assignee or participant or proposed assignee or participant shall execute an agreement whereby such assignee or participant shall agree to preserve the confidentiality of such confidential information on terms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7" w:name="page168"/>
    <w:bookmarkEnd w:id="167"/>
    <w:p>
      <w:pPr>
        <w:ind w:firstLine="509"/>
        <w:spacing w:after="0" w:line="260" w:lineRule="auto"/>
        <w:rPr>
          <w:sz w:val="20"/>
          <w:szCs w:val="20"/>
          <w:color w:val="auto"/>
        </w:rPr>
      </w:pPr>
      <w:r>
        <w:rPr>
          <w:rFonts w:ascii="Arial" w:cs="Arial" w:eastAsia="Arial" w:hAnsi="Arial"/>
          <w:sz w:val="20"/>
          <w:szCs w:val="20"/>
          <w:color w:val="auto"/>
        </w:rPr>
        <w:t xml:space="preserve">no less restrictive in any material respect than those applicable to the Lenders pursuant to </w:t>
      </w:r>
      <w:r>
        <w:rPr>
          <w:rFonts w:ascii="Arial" w:cs="Arial" w:eastAsia="Arial" w:hAnsi="Arial"/>
          <w:sz w:val="20"/>
          <w:szCs w:val="20"/>
          <w:u w:val="single" w:color="auto"/>
          <w:color w:val="auto"/>
        </w:rPr>
        <w:t>Section 10.16</w:t>
      </w:r>
      <w:r>
        <w:rPr>
          <w:rFonts w:ascii="Arial" w:cs="Arial" w:eastAsia="Arial" w:hAnsi="Arial"/>
          <w:sz w:val="20"/>
          <w:szCs w:val="20"/>
          <w:color w:val="auto"/>
        </w:rPr>
        <w:t xml:space="preserve"> for the benefit of (and enforceable by) the Borrower.</w:t>
      </w:r>
    </w:p>
    <w:p>
      <w:pPr>
        <w:spacing w:after="0" w:line="177" w:lineRule="exact"/>
        <w:rPr>
          <w:sz w:val="20"/>
          <w:szCs w:val="20"/>
          <w:color w:val="auto"/>
        </w:rPr>
      </w:pPr>
    </w:p>
    <w:p>
      <w:pPr>
        <w:jc w:val="both"/>
        <w:ind w:firstLine="8"/>
        <w:spacing w:after="0" w:line="250" w:lineRule="auto"/>
        <w:tabs>
          <w:tab w:leader="none" w:pos="509"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Any Lender may at any time assign all or any portion of its rights under this Agreement to secure extensions of credit to such Lender or in support of obligations owed by such Lender;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such assignment shall release a Lender from any of its obligations hereunder or substitute any such assignee for such Lender as a party hereto.</w:t>
      </w:r>
    </w:p>
    <w:p>
      <w:pPr>
        <w:spacing w:after="0" w:line="179" w:lineRule="exact"/>
        <w:rPr>
          <w:rFonts w:ascii="Arial" w:cs="Arial" w:eastAsia="Arial" w:hAnsi="Arial"/>
          <w:sz w:val="20"/>
          <w:szCs w:val="20"/>
          <w:color w:val="auto"/>
        </w:rPr>
      </w:pPr>
    </w:p>
    <w:p>
      <w:pPr>
        <w:jc w:val="both"/>
        <w:ind w:firstLine="8"/>
        <w:spacing w:after="0" w:line="269" w:lineRule="auto"/>
        <w:tabs>
          <w:tab w:leader="none" w:pos="50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any Lender (a “</w:t>
      </w:r>
      <w:r>
        <w:rPr>
          <w:rFonts w:ascii="Arial" w:cs="Arial" w:eastAsia="Arial" w:hAnsi="Arial"/>
          <w:sz w:val="18"/>
          <w:szCs w:val="18"/>
          <w:b w:val="1"/>
          <w:bCs w:val="1"/>
          <w:color w:val="auto"/>
        </w:rPr>
        <w:t>Granting Lender</w:t>
      </w:r>
      <w:r>
        <w:rPr>
          <w:rFonts w:ascii="Arial" w:cs="Arial" w:eastAsia="Arial" w:hAnsi="Arial"/>
          <w:sz w:val="18"/>
          <w:szCs w:val="18"/>
          <w:color w:val="auto"/>
        </w:rPr>
        <w:t>”) may grant to a special purpose funding vehicle (an “</w:t>
      </w:r>
      <w:r>
        <w:rPr>
          <w:rFonts w:ascii="Arial" w:cs="Arial" w:eastAsia="Arial" w:hAnsi="Arial"/>
          <w:sz w:val="18"/>
          <w:szCs w:val="18"/>
          <w:b w:val="1"/>
          <w:bCs w:val="1"/>
          <w:color w:val="auto"/>
        </w:rPr>
        <w:t>SPV</w:t>
      </w:r>
      <w:r>
        <w:rPr>
          <w:rFonts w:ascii="Arial" w:cs="Arial" w:eastAsia="Arial" w:hAnsi="Arial"/>
          <w:sz w:val="18"/>
          <w:szCs w:val="18"/>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nothing herein shall constitute a commitment by any SPV to make any Loan, (ii) if an SPV elects not to exercise such option or otherwise fails to provide all or any part of such Loan, the Granting Lender shall be obligated to make such Loan pursuant to the terms hereof, and (iii) the Granting Lender shall for all purposes remain the Lender hereunder.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will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Arial" w:cs="Arial" w:eastAsia="Arial" w:hAnsi="Arial"/>
          <w:sz w:val="18"/>
          <w:szCs w:val="18"/>
          <w:u w:val="single" w:color="auto"/>
          <w:color w:val="auto"/>
        </w:rPr>
        <w:t>Section 10.04</w:t>
      </w:r>
      <w:r>
        <w:rPr>
          <w:rFonts w:ascii="Arial" w:cs="Arial" w:eastAsia="Arial" w:hAnsi="Arial"/>
          <w:sz w:val="18"/>
          <w:szCs w:val="18"/>
          <w:color w:val="auto"/>
        </w:rPr>
        <w:t>,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Administrative Agent) providing liquidity and/or credit support to or for the account of such SPV to support the funding or maintenance of Loans, and (ii) disclose on a confidential basis any non-public information relating to its Loans to any rating agency, commercial paper dealer or provider of any surety, guarantee or credit or liquidity enhancement to such SPV.</w:t>
      </w:r>
    </w:p>
    <w:p>
      <w:pPr>
        <w:spacing w:after="0" w:line="177" w:lineRule="exact"/>
        <w:rPr>
          <w:rFonts w:ascii="Arial" w:cs="Arial" w:eastAsia="Arial" w:hAnsi="Arial"/>
          <w:sz w:val="18"/>
          <w:szCs w:val="18"/>
          <w:color w:val="auto"/>
        </w:rPr>
      </w:pPr>
    </w:p>
    <w:p>
      <w:pPr>
        <w:jc w:val="both"/>
        <w:ind w:firstLine="8"/>
        <w:spacing w:after="0" w:line="250" w:lineRule="auto"/>
        <w:tabs>
          <w:tab w:leader="none" w:pos="509"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The Borrower (except as expressly permitted by clause (ii) of </w:t>
      </w:r>
      <w:r>
        <w:rPr>
          <w:rFonts w:ascii="Arial" w:cs="Arial" w:eastAsia="Arial" w:hAnsi="Arial"/>
          <w:sz w:val="20"/>
          <w:szCs w:val="20"/>
          <w:u w:val="single" w:color="auto"/>
          <w:color w:val="auto"/>
        </w:rPr>
        <w:t>Section 7.04(d)</w:t>
      </w:r>
      <w:r>
        <w:rPr>
          <w:rFonts w:ascii="Arial" w:cs="Arial" w:eastAsia="Arial" w:hAnsi="Arial"/>
          <w:sz w:val="20"/>
          <w:szCs w:val="20"/>
          <w:color w:val="auto"/>
        </w:rPr>
        <w:t>) shall not assign or delegate any of its rights or duties hereunder without the prior written consent of the Administrative Agent and each Lender, and any attempted assignment without such consent shall be null and void.</w:t>
      </w:r>
    </w:p>
    <w:p>
      <w:pPr>
        <w:spacing w:after="0" w:line="185" w:lineRule="exact"/>
        <w:rPr>
          <w:rFonts w:ascii="Arial" w:cs="Arial" w:eastAsia="Arial" w:hAnsi="Arial"/>
          <w:sz w:val="20"/>
          <w:szCs w:val="20"/>
          <w:color w:val="auto"/>
        </w:rPr>
      </w:pPr>
    </w:p>
    <w:p>
      <w:pPr>
        <w:jc w:val="both"/>
        <w:ind w:firstLine="8"/>
        <w:spacing w:after="0" w:line="250" w:lineRule="auto"/>
        <w:tabs>
          <w:tab w:leader="none" w:pos="509" w:val="left"/>
        </w:tabs>
        <w:numPr>
          <w:ilvl w:val="0"/>
          <w:numId w:val="189"/>
        </w:numPr>
        <w:rPr>
          <w:rFonts w:ascii="Arial" w:cs="Arial" w:eastAsia="Arial" w:hAnsi="Arial"/>
          <w:sz w:val="20"/>
          <w:szCs w:val="20"/>
          <w:color w:val="auto"/>
        </w:rPr>
      </w:pPr>
      <w:r>
        <w:rPr>
          <w:rFonts w:ascii="Arial" w:cs="Arial" w:eastAsia="Arial" w:hAnsi="Arial"/>
          <w:sz w:val="20"/>
          <w:szCs w:val="20"/>
          <w:color w:val="auto"/>
        </w:rPr>
        <w:t>So long as no Event of Default has occurred or is continuing or would result therefrom, any Lender may, at any time, assign all or a portion of its rights and obligations under this Agreement in respect of its Term Loans to the Borrower or any of its Subsidiaries, subject to the following limitations and other provisions:</w:t>
      </w:r>
    </w:p>
    <w:p>
      <w:pPr>
        <w:spacing w:after="0" w:line="199" w:lineRule="exact"/>
        <w:rPr>
          <w:rFonts w:ascii="Arial" w:cs="Arial" w:eastAsia="Arial" w:hAnsi="Arial"/>
          <w:sz w:val="20"/>
          <w:szCs w:val="20"/>
          <w:color w:val="auto"/>
        </w:rPr>
      </w:pPr>
    </w:p>
    <w:p>
      <w:pPr>
        <w:jc w:val="both"/>
        <w:ind w:left="2260" w:hanging="6"/>
        <w:spacing w:after="0" w:line="239" w:lineRule="auto"/>
        <w:tabs>
          <w:tab w:leader="none" w:pos="2560" w:val="left"/>
        </w:tabs>
        <w:numPr>
          <w:ilvl w:val="1"/>
          <w:numId w:val="189"/>
        </w:numPr>
        <w:rPr>
          <w:rFonts w:ascii="Arial" w:cs="Arial" w:eastAsia="Arial" w:hAnsi="Arial"/>
          <w:sz w:val="22"/>
          <w:szCs w:val="22"/>
          <w:color w:val="auto"/>
        </w:rPr>
      </w:pPr>
      <w:r>
        <w:rPr>
          <w:rFonts w:ascii="Arial" w:cs="Arial" w:eastAsia="Arial" w:hAnsi="Arial"/>
          <w:sz w:val="20"/>
          <w:szCs w:val="20"/>
          <w:color w:val="auto"/>
        </w:rPr>
        <w:t>such assignment shall be made pursuant to (A) an open-market transaction on a non-pro rata basis or (B) a Dutch Auction open to all Lenders of the applicable Class of Term Loans on a pro rata basis in accordance with the Auction Procedures (it being agreed that none of the Borrower or any other Restricted Subsidiary shall have any obligation to make any representation as to the absence of MNPI in connection therewith and such assignment shall be made pursuant to the form of Assignment and Acceptance, which shall contain customary “big boy” assurance by the assignor Lender to the effect that it is a sophisticated investor and is willing to proceed with the assignment);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8" w:name="page169"/>
    <w:bookmarkEnd w:id="168"/>
    <w:p>
      <w:pPr>
        <w:jc w:val="both"/>
        <w:ind w:left="2260" w:hanging="6"/>
        <w:spacing w:after="0" w:line="283" w:lineRule="auto"/>
        <w:tabs>
          <w:tab w:leader="none" w:pos="2560" w:val="left"/>
        </w:tabs>
        <w:numPr>
          <w:ilvl w:val="0"/>
          <w:numId w:val="190"/>
        </w:numPr>
        <w:rPr>
          <w:rFonts w:ascii="Arial" w:cs="Arial" w:eastAsia="Arial" w:hAnsi="Arial"/>
          <w:sz w:val="19"/>
          <w:szCs w:val="19"/>
          <w:color w:val="auto"/>
        </w:rPr>
      </w:pPr>
      <w:r>
        <w:rPr>
          <w:rFonts w:ascii="Arial" w:cs="Arial" w:eastAsia="Arial" w:hAnsi="Arial"/>
          <w:sz w:val="18"/>
          <w:szCs w:val="18"/>
          <w:color w:val="auto"/>
        </w:rPr>
        <w:t>the Borrower will not be entitled to receive, and will not receive, information provided solely to Lenders by the Administrative Agent or any Lender and will not be permitted to attend or participate in, and will not attend or participate in, meetings or conference calls attended solely by the Lenders and the Administrative Agent;</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(iii)</w:t>
      </w:r>
      <w:r>
        <w:rPr>
          <w:rFonts w:ascii="Arial" w:cs="Arial" w:eastAsia="Arial" w:hAnsi="Arial"/>
          <w:sz w:val="19"/>
          <w:szCs w:val="19"/>
          <w:color w:val="auto"/>
        </w:rPr>
        <w:t>[reserved];</w:t>
      </w:r>
    </w:p>
    <w:p>
      <w:pPr>
        <w:spacing w:after="0" w:line="206" w:lineRule="exact"/>
        <w:rPr>
          <w:sz w:val="20"/>
          <w:szCs w:val="20"/>
          <w:color w:val="auto"/>
        </w:rPr>
      </w:pPr>
    </w:p>
    <w:p>
      <w:pPr>
        <w:jc w:val="both"/>
        <w:ind w:left="2260"/>
        <w:spacing w:after="0" w:line="244" w:lineRule="auto"/>
        <w:rPr>
          <w:sz w:val="20"/>
          <w:szCs w:val="20"/>
          <w:color w:val="auto"/>
        </w:rPr>
      </w:pPr>
      <w:r>
        <w:rPr>
          <w:rFonts w:ascii="Arial" w:cs="Arial" w:eastAsia="Arial" w:hAnsi="Arial"/>
          <w:sz w:val="22"/>
          <w:szCs w:val="22"/>
          <w:color w:val="auto"/>
        </w:rPr>
        <w:t>(iv)</w:t>
      </w:r>
      <w:r>
        <w:rPr>
          <w:rFonts w:ascii="Arial" w:cs="Arial" w:eastAsia="Arial" w:hAnsi="Arial"/>
          <w:sz w:val="19"/>
          <w:szCs w:val="19"/>
          <w:color w:val="auto"/>
        </w:rPr>
        <w:t>the aggregate principal amount of Term Loans purchased by the Borrower may not exceed 20% of the</w:t>
      </w:r>
      <w:r>
        <w:rPr>
          <w:rFonts w:ascii="Arial" w:cs="Arial" w:eastAsia="Arial" w:hAnsi="Arial"/>
          <w:sz w:val="22"/>
          <w:szCs w:val="22"/>
          <w:color w:val="auto"/>
        </w:rPr>
        <w:t xml:space="preserve"> </w:t>
      </w:r>
      <w:r>
        <w:rPr>
          <w:rFonts w:ascii="Arial" w:cs="Arial" w:eastAsia="Arial" w:hAnsi="Arial"/>
          <w:sz w:val="19"/>
          <w:szCs w:val="19"/>
          <w:color w:val="auto"/>
        </w:rPr>
        <w:t>aggregate principal amount of all Tranche B-2 Term Loans as of the Restatement Effective Date plus the aggregate amount of all Credit Agreement Refinancing Indebtedness incurred after the Restatement Effective Date;</w:t>
      </w:r>
    </w:p>
    <w:p>
      <w:pPr>
        <w:spacing w:after="0" w:line="207" w:lineRule="exact"/>
        <w:rPr>
          <w:sz w:val="20"/>
          <w:szCs w:val="20"/>
          <w:color w:val="auto"/>
        </w:rPr>
      </w:pPr>
    </w:p>
    <w:p>
      <w:pPr>
        <w:ind w:left="2260" w:hanging="6"/>
        <w:spacing w:after="0" w:line="238" w:lineRule="auto"/>
        <w:tabs>
          <w:tab w:leader="none" w:pos="2560" w:val="left"/>
        </w:tabs>
        <w:numPr>
          <w:ilvl w:val="0"/>
          <w:numId w:val="191"/>
        </w:numPr>
        <w:rPr>
          <w:rFonts w:ascii="Arial" w:cs="Arial" w:eastAsia="Arial" w:hAnsi="Arial"/>
          <w:sz w:val="22"/>
          <w:szCs w:val="22"/>
          <w:color w:val="auto"/>
        </w:rPr>
      </w:pPr>
      <w:r>
        <w:rPr>
          <w:rFonts w:ascii="Arial" w:cs="Arial" w:eastAsia="Arial" w:hAnsi="Arial"/>
          <w:sz w:val="20"/>
          <w:szCs w:val="20"/>
          <w:color w:val="auto"/>
        </w:rPr>
        <w:t>any Term Loans purchased by the Borrower shall be automatically and permanently cancelled immediately upon acquisition by the Borrower;</w:t>
      </w:r>
    </w:p>
    <w:p>
      <w:pPr>
        <w:spacing w:after="0" w:line="191" w:lineRule="exact"/>
        <w:rPr>
          <w:sz w:val="20"/>
          <w:szCs w:val="20"/>
          <w:color w:val="auto"/>
        </w:rPr>
      </w:pPr>
    </w:p>
    <w:p>
      <w:pPr>
        <w:jc w:val="both"/>
        <w:ind w:left="2260" w:right="60"/>
        <w:spacing w:after="0" w:line="244" w:lineRule="auto"/>
        <w:rPr>
          <w:sz w:val="20"/>
          <w:szCs w:val="20"/>
          <w:color w:val="auto"/>
        </w:rPr>
      </w:pPr>
      <w:r>
        <w:rPr>
          <w:rFonts w:ascii="Arial" w:cs="Arial" w:eastAsia="Arial" w:hAnsi="Arial"/>
          <w:sz w:val="22"/>
          <w:szCs w:val="22"/>
          <w:color w:val="auto"/>
        </w:rPr>
        <w:t>(vi)</w:t>
      </w:r>
      <w:r>
        <w:rPr>
          <w:rFonts w:ascii="Arial" w:cs="Arial" w:eastAsia="Arial" w:hAnsi="Arial"/>
          <w:sz w:val="19"/>
          <w:szCs w:val="19"/>
          <w:color w:val="auto"/>
        </w:rPr>
        <w:t>notwithstanding anything to the contrary contained herein (including in the definitions of “Consolidated Net</w:t>
      </w:r>
      <w:r>
        <w:rPr>
          <w:rFonts w:ascii="Arial" w:cs="Arial" w:eastAsia="Arial" w:hAnsi="Arial"/>
          <w:sz w:val="22"/>
          <w:szCs w:val="22"/>
          <w:color w:val="auto"/>
        </w:rPr>
        <w:t xml:space="preserve"> </w:t>
      </w:r>
      <w:r>
        <w:rPr>
          <w:rFonts w:ascii="Arial" w:cs="Arial" w:eastAsia="Arial" w:hAnsi="Arial"/>
          <w:sz w:val="19"/>
          <w:szCs w:val="19"/>
          <w:color w:val="auto"/>
        </w:rPr>
        <w:t>Income” and “Consolidated EBITDA”) any non-cash gains in respect of “cancellation of indebtedness” resulting from the cancellation of any Term Loans purchased by the Borrower shall be excluded from the determination of Consolidated Net Income and Consolidated EBITDA; and</w:t>
      </w:r>
    </w:p>
    <w:p>
      <w:pPr>
        <w:spacing w:after="0" w:line="189" w:lineRule="exact"/>
        <w:rPr>
          <w:sz w:val="20"/>
          <w:szCs w:val="20"/>
          <w:color w:val="auto"/>
        </w:rPr>
      </w:pPr>
    </w:p>
    <w:p>
      <w:pPr>
        <w:ind w:left="2260" w:right="760"/>
        <w:spacing w:after="0" w:line="236" w:lineRule="auto"/>
        <w:rPr>
          <w:sz w:val="20"/>
          <w:szCs w:val="20"/>
          <w:color w:val="auto"/>
        </w:rPr>
      </w:pPr>
      <w:r>
        <w:rPr>
          <w:rFonts w:ascii="Arial" w:cs="Arial" w:eastAsia="Arial" w:hAnsi="Arial"/>
          <w:sz w:val="22"/>
          <w:szCs w:val="22"/>
          <w:color w:val="auto"/>
        </w:rPr>
        <w:t>(vii)</w:t>
      </w:r>
      <w:r>
        <w:rPr>
          <w:rFonts w:ascii="Arial" w:cs="Arial" w:eastAsia="Arial" w:hAnsi="Arial"/>
          <w:sz w:val="19"/>
          <w:szCs w:val="19"/>
          <w:color w:val="auto"/>
        </w:rPr>
        <w:t>the purchase and cancellation of Term Loans pursuant to this</w:t>
      </w:r>
      <w:r>
        <w:rPr>
          <w:rFonts w:ascii="Arial" w:cs="Arial" w:eastAsia="Arial" w:hAnsi="Arial"/>
          <w:sz w:val="22"/>
          <w:szCs w:val="22"/>
          <w:color w:val="auto"/>
        </w:rPr>
        <w:t xml:space="preserve"> </w:t>
      </w:r>
      <w:r>
        <w:rPr>
          <w:rFonts w:ascii="Arial" w:cs="Arial" w:eastAsia="Arial" w:hAnsi="Arial"/>
          <w:sz w:val="19"/>
          <w:szCs w:val="19"/>
          <w:u w:val="single" w:color="auto"/>
          <w:color w:val="auto"/>
        </w:rPr>
        <w:t>Section 10.04(k)</w:t>
      </w:r>
      <w:r>
        <w:rPr>
          <w:rFonts w:ascii="Arial" w:cs="Arial" w:eastAsia="Arial" w:hAnsi="Arial"/>
          <w:sz w:val="22"/>
          <w:szCs w:val="22"/>
          <w:color w:val="auto"/>
        </w:rPr>
        <w:t xml:space="preserve"> </w:t>
      </w:r>
      <w:r>
        <w:rPr>
          <w:rFonts w:ascii="Arial" w:cs="Arial" w:eastAsia="Arial" w:hAnsi="Arial"/>
          <w:sz w:val="19"/>
          <w:szCs w:val="19"/>
          <w:color w:val="auto"/>
        </w:rPr>
        <w:t>shall not constitute a</w:t>
      </w:r>
      <w:r>
        <w:rPr>
          <w:rFonts w:ascii="Arial" w:cs="Arial" w:eastAsia="Arial" w:hAnsi="Arial"/>
          <w:sz w:val="22"/>
          <w:szCs w:val="22"/>
          <w:color w:val="auto"/>
        </w:rPr>
        <w:t xml:space="preserve"> </w:t>
      </w:r>
      <w:r>
        <w:rPr>
          <w:rFonts w:ascii="Arial" w:cs="Arial" w:eastAsia="Arial" w:hAnsi="Arial"/>
          <w:sz w:val="19"/>
          <w:szCs w:val="19"/>
          <w:color w:val="auto"/>
        </w:rPr>
        <w:t xml:space="preserve">voluntary or mandatory prepayment for purposes of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2.13</w:t>
      </w:r>
      <w:r>
        <w:rPr>
          <w:rFonts w:ascii="Arial" w:cs="Arial" w:eastAsia="Arial" w:hAnsi="Arial"/>
          <w:sz w:val="19"/>
          <w:szCs w:val="19"/>
          <w:color w:val="auto"/>
        </w:rPr>
        <w:t>.</w:t>
      </w:r>
    </w:p>
    <w:p>
      <w:pPr>
        <w:spacing w:after="0" w:line="19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10.05. </w:t>
      </w:r>
      <w:r>
        <w:rPr>
          <w:rFonts w:ascii="Arial" w:cs="Arial" w:eastAsia="Arial" w:hAnsi="Arial"/>
          <w:sz w:val="20"/>
          <w:szCs w:val="20"/>
          <w:i w:val="1"/>
          <w:iCs w:val="1"/>
          <w:color w:val="auto"/>
        </w:rPr>
        <w:t>Expenses; Indemnity</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54" w:lineRule="auto"/>
        <w:tabs>
          <w:tab w:leader="none" w:pos="509"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The Borrower agrees (i) promptly following (and in any event within thirty (30) days of) written demand (including documentation reasonably supporting such request) therefor, to pay or reimburse the Administrative Agent, the Collateral Agent and Apollo for all reasonable and documented out-of-pocket costs and expenses incurred in connection with the preparation, negotiation and execution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(including Attorney Costs which shall be limited to Attorney Costs of one counsel to the Agents, and one counsel to the Lenders (and one local counsel in each applicable jurisdiction for each group and, in the event of any actual or reasonably perceived conflict of interest, one additional counsel of each type to similarly situated parties)) and (ii) from and after the Restatement Effective Date, promptly following (and in any event within thirty (30) days of) written demand (including documentation reasonably supporting such request) therefor, to pay or reimburse the Administrative Agent, the Collateral Agent, Apollo and each Lender promptly following written demand for all reasonable and documented out-of-pocket costs and expenses incurred in connection with the enforcement (whether through negotiations, legal proceedings or otherwise) of any rights or remedies under this Agreement or the other Loan Documents (including all such out-of-pocket costs and expenses incurred during any legal proceeding, including any proceeding under any Debtor Relief Law, and including all respective Attorney Costs which shall be limited to Attorney Costs of one counsel to the Agents and one counsel to the Lenders (and one local counsel in each applicable jurisdiction for each group and, in the event of any actual or reasonably perceived conflict of interest, one additional counsel of each type to similarly situated parties)). To the extent otherwise reimbursable by the foregoing sentence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169" w:name="page170"/>
    <w:bookmarkEnd w:id="169"/>
    <w:p>
      <w:pPr>
        <w:jc w:val="both"/>
        <w:ind w:firstLine="509"/>
        <w:spacing w:after="0" w:line="246" w:lineRule="auto"/>
        <w:rPr>
          <w:sz w:val="20"/>
          <w:szCs w:val="20"/>
          <w:color w:val="auto"/>
        </w:rPr>
      </w:pPr>
      <w:r>
        <w:rPr>
          <w:rFonts w:ascii="Arial" w:cs="Arial" w:eastAsia="Arial" w:hAnsi="Arial"/>
          <w:sz w:val="20"/>
          <w:szCs w:val="20"/>
          <w:color w:val="auto"/>
        </w:rPr>
        <w:t>this section, the foregoing costs and expenses shall include all reasonable search, filing, recording, title insurance, survey, environmental, property condition report and zoning report charges and fees related thereto, and other reasonable and documented out of pocket expenses incurred by any Agent. The foregoing costs and expenses shall also include all mortgage recording, recording and filing fees charged by governmental authorities to record and/or file Collateral Documents.</w:t>
      </w:r>
    </w:p>
    <w:p>
      <w:pPr>
        <w:spacing w:after="0" w:line="191" w:lineRule="exact"/>
        <w:rPr>
          <w:sz w:val="20"/>
          <w:szCs w:val="20"/>
          <w:color w:val="auto"/>
        </w:rPr>
      </w:pPr>
    </w:p>
    <w:p>
      <w:pPr>
        <w:jc w:val="both"/>
        <w:ind w:firstLine="8"/>
        <w:spacing w:after="0" w:line="267" w:lineRule="auto"/>
        <w:tabs>
          <w:tab w:leader="none" w:pos="50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Whether or not the transactions contemplated hereby are consummated, the Loan Parties shall, jointly and severally, indemnify and hold harmless the Administrative Agent, the Collateral Agent and their respective Affiliates, successors and permitted assigns (or the directors, officers, employees, agents, advisors and members of each of the foregoing) (each an “</w:t>
      </w:r>
      <w:r>
        <w:rPr>
          <w:rFonts w:ascii="Arial" w:cs="Arial" w:eastAsia="Arial" w:hAnsi="Arial"/>
          <w:sz w:val="18"/>
          <w:szCs w:val="18"/>
          <w:b w:val="1"/>
          <w:bCs w:val="1"/>
          <w:color w:val="auto"/>
        </w:rPr>
        <w:t>Agent Indemnitee</w:t>
      </w:r>
      <w:r>
        <w:rPr>
          <w:rFonts w:ascii="Arial" w:cs="Arial" w:eastAsia="Arial" w:hAnsi="Arial"/>
          <w:sz w:val="18"/>
          <w:szCs w:val="18"/>
          <w:color w:val="auto"/>
        </w:rPr>
        <w:t>” and collectively, the “</w:t>
      </w:r>
      <w:r>
        <w:rPr>
          <w:rFonts w:ascii="Arial" w:cs="Arial" w:eastAsia="Arial" w:hAnsi="Arial"/>
          <w:sz w:val="18"/>
          <w:szCs w:val="18"/>
          <w:b w:val="1"/>
          <w:bCs w:val="1"/>
          <w:color w:val="auto"/>
        </w:rPr>
        <w:t>Agent Indemnitees</w:t>
      </w:r>
      <w:r>
        <w:rPr>
          <w:rFonts w:ascii="Arial" w:cs="Arial" w:eastAsia="Arial" w:hAnsi="Arial"/>
          <w:sz w:val="18"/>
          <w:szCs w:val="18"/>
          <w:color w:val="auto"/>
        </w:rPr>
        <w:t>”) and each Lender and their respective Affiliates, successors and permitted assigns (or the directors, officers, employees, agents, advisors and members of each of the foregoing) (each a “</w:t>
      </w:r>
      <w:r>
        <w:rPr>
          <w:rFonts w:ascii="Arial" w:cs="Arial" w:eastAsia="Arial" w:hAnsi="Arial"/>
          <w:sz w:val="18"/>
          <w:szCs w:val="18"/>
          <w:b w:val="1"/>
          <w:bCs w:val="1"/>
          <w:color w:val="auto"/>
        </w:rPr>
        <w:t>Lender Indemnitee</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w:t>
      </w:r>
      <w:r>
        <w:rPr>
          <w:rFonts w:ascii="Arial" w:cs="Arial" w:eastAsia="Arial" w:hAnsi="Arial"/>
          <w:sz w:val="18"/>
          <w:szCs w:val="18"/>
          <w:color w:val="auto"/>
        </w:rPr>
        <w:t xml:space="preserve"> </w:t>
      </w:r>
      <w:r>
        <w:rPr>
          <w:rFonts w:ascii="Arial" w:cs="Arial" w:eastAsia="Arial" w:hAnsi="Arial"/>
          <w:sz w:val="18"/>
          <w:szCs w:val="18"/>
          <w:b w:val="1"/>
          <w:bCs w:val="1"/>
          <w:color w:val="auto"/>
        </w:rPr>
        <w:t>Indemnitees</w:t>
      </w:r>
      <w:r>
        <w:rPr>
          <w:rFonts w:ascii="Arial" w:cs="Arial" w:eastAsia="Arial" w:hAnsi="Arial"/>
          <w:sz w:val="18"/>
          <w:szCs w:val="18"/>
          <w:color w:val="auto"/>
        </w:rPr>
        <w:t>”; together with, the Agent Indemnitees, collectively the “</w:t>
      </w:r>
      <w:r>
        <w:rPr>
          <w:rFonts w:ascii="Arial" w:cs="Arial" w:eastAsia="Arial" w:hAnsi="Arial"/>
          <w:sz w:val="18"/>
          <w:szCs w:val="18"/>
          <w:b w:val="1"/>
          <w:bCs w:val="1"/>
          <w:color w:val="auto"/>
        </w:rPr>
        <w:t>Indemnitees</w:t>
      </w:r>
      <w:r>
        <w:rPr>
          <w:rFonts w:ascii="Arial" w:cs="Arial" w:eastAsia="Arial" w:hAnsi="Arial"/>
          <w:sz w:val="18"/>
          <w:szCs w:val="18"/>
          <w:color w:val="auto"/>
        </w:rPr>
        <w:t>”) from and against any and all actual losses, damages,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claims, liabilities and reasonable documented out-of-pocket costs and expenses (including Attorney Costs which shall be limited to Attorney Costs of one outside counsel for the Agent Indemnitees and Attorney Costs of one outside counsel for the Lender Indemnitees (and, if necessary, one local counsel in each applicable jurisdiction and, in the event of any actual or reasonably perceived conflict of interest, one additional counsel for each type of similarly situated affected Indemnitees)) of any kind or nature whatsoever which may at any time be imposed on, incurred by or asserted against any Agent Indemnitee or Lender Indemnitee in any way relating to or arising out of or in connection with (i) the execution, delivery, enforcement, performance or administration of any Loan Document or any other agreement, letter or instrument delivered in connection with the transactions contemplated thereby or the consummation of the Transactions or the other transactions contemplated thereby, (ii) any Commitment or Loan or the use or proposed use of the proceeds therefrom, (iii) any actual or alleged presence or Release of Hazardous Materials at, on, under or from any property, vehicle or facility currently or formerly owned, leased or operated by the Loan Parties or any Subsidiary, or any other Environmental Liability related in any way to any Loan Parties or any Subsidiary, or (iv)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Agent Indemnitee or Lender Indemnitee is a party thereto and regardless of whether such matter is initiated by a third party or by the Borrower or any of its Affiliates or equityholders in all cases, whether or not caused by or arising, in whole or in part, out of the negligence of any such Agent Indemnitee or Lender Indemnitee;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the foregoing, such indemnity shall not, as to any Indemnitee, be available to the extent that such losses, damages, claims, liabilities and expenses resulted from (x) the gross negligence, bad faith or willful misconduct of such Indemnitee or of any affiliate, director, officer, employee, counsel, agent or attorney-in-fact of such Indemnitee, as determined by the final non-appealable judgment of a court of competent jurisdiction, (y) any dispute solely among the Indemnitees other than (1) any claim against an Indemnitee in its capacity or in fulfilling its role as Administrative Agent, Collateral Agent or similar role and (2) any claim arising out of any act or omission of the Borrower or any of its Affiliates or (z) the material breach by such Indemnitee of its obligations under the Loan Documents (or any related party), as determined by the final non-appealable judgment of a court of competent jurisdiction. No Indemnitee or any other party hereto shall be liable for any damages arising from the use by others of any information or other materials obtained through IntraLinks or other similar information transmission systems in connection with this Agreement except to the extent that such damages resulted from the (A) gross negligence, bad faith or willful misconduct of such Indemnitee or of any affiliate, director, officer, employee, counsel, agent or attorney-in-fact of such Indemnitee, as determined by the final non-appealable judgment of a court of competent jurisdiction or (B) the material breach by such Indemnitee of its or of any affiliate, director, officer, employee, counsel, agent or attorney-in-fact of such Indemnitee’s obligations under the Loan Documents, as determined by the final non-appealable judgment of a court of competent jurisdiction. In the case of a claim, investigation, litigation or other proceeding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0" w:name="page171"/>
    <w:bookmarkEnd w:id="170"/>
    <w:p>
      <w:pPr>
        <w:jc w:val="both"/>
        <w:ind w:firstLine="509"/>
        <w:spacing w:after="0" w:line="270" w:lineRule="auto"/>
        <w:rPr>
          <w:sz w:val="20"/>
          <w:szCs w:val="20"/>
          <w:color w:val="auto"/>
        </w:rPr>
      </w:pPr>
      <w:r>
        <w:rPr>
          <w:rFonts w:ascii="Arial" w:cs="Arial" w:eastAsia="Arial" w:hAnsi="Arial"/>
          <w:sz w:val="18"/>
          <w:szCs w:val="18"/>
          <w:color w:val="auto"/>
        </w:rPr>
        <w:t xml:space="preserve">which the indemnity in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applies, such indemnity shall be effective whether or not such claim, investigation, litigation or proceeding is brought by any Loan Party, any Subsidiary of any Loan Party, any Loan Party’s directors, stockholders or creditors or other Affiliates or an Indemnitee or any other Person, whether or not any Indemnitee is otherwise a party thereto and whether or not any of the transactions contemplated hereunder or under any of the other Loan Documents are consummated. For the avoidance of doubt, this paragraph shall not apply with respect to Taxes other than any Taxes that represent losses, claims, damages, etc. arising from any non-Tax claim. To the extent that any Loan Party fails to pay any amount required to be paid by them to the Administrative Agent or the Collateral Agent under paragraph (a) or (b) of this Section within the timeframe specified therein, each Lender severally agrees to indemnify and reimburse, and pay to the Administrative Agent or the Collateral Agent such Lender’s pro rata share (determined as of the time that the applicable unreimbursed expense or indemnity payment is sought) of such unpaid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the Collateral Agent in its capacity as such. For purposes hereof, if the Term Loans have been paid in full prior to such determination pursuant to the immediately preceding sentence, then each such Lender’s “pro rata share” shall be determined as of the last date the Term Loans were in effect immediately prior to such payment in full.</w:t>
      </w:r>
    </w:p>
    <w:p>
      <w:pPr>
        <w:spacing w:after="0" w:line="172" w:lineRule="exact"/>
        <w:rPr>
          <w:sz w:val="20"/>
          <w:szCs w:val="20"/>
          <w:color w:val="auto"/>
        </w:rPr>
      </w:pPr>
    </w:p>
    <w:p>
      <w:pPr>
        <w:jc w:val="both"/>
        <w:ind w:firstLine="8"/>
        <w:spacing w:after="0" w:line="259" w:lineRule="auto"/>
        <w:tabs>
          <w:tab w:leader="none" w:pos="509"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To the extent permitted by applicable Law, (i) no Loan Party shall assert, and each hereby waives, any claim against any Indemnitee and (ii) no Indemnitee shall assert, and each hereby waives, any claim against any Loan Party,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or any Loan or the use of the proceeds thereof (whether before or after the Restatement Effective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in no event limit the Borrower’s indemnification obligations under clause (b) above.</w:t>
      </w:r>
    </w:p>
    <w:p>
      <w:pPr>
        <w:spacing w:after="0" w:line="178" w:lineRule="exact"/>
        <w:rPr>
          <w:rFonts w:ascii="Arial" w:cs="Arial" w:eastAsia="Arial" w:hAnsi="Arial"/>
          <w:sz w:val="19"/>
          <w:szCs w:val="19"/>
          <w:color w:val="auto"/>
        </w:rPr>
      </w:pPr>
    </w:p>
    <w:p>
      <w:pPr>
        <w:jc w:val="both"/>
        <w:ind w:firstLine="8"/>
        <w:spacing w:after="0" w:line="278" w:lineRule="auto"/>
        <w:tabs>
          <w:tab w:leader="none" w:pos="50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shall remain operative and in full force and effect regardless of the expiration of the term of this Agreement, the consummation of the transactions contemplated hereby, the repayment of any of the Loans, the expiration of the Commitments, the invalidity or unenforceability of any term or provision of this Agreement or any other Loan Document, or any investigation made by or on behalf of the Administrative Agent, the Collateral Agent or any Lender. All amounts due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10.05</w:t>
      </w:r>
      <w:r>
        <w:rPr>
          <w:rFonts w:ascii="Arial" w:cs="Arial" w:eastAsia="Arial" w:hAnsi="Arial"/>
          <w:sz w:val="18"/>
          <w:szCs w:val="18"/>
          <w:color w:val="auto"/>
        </w:rPr>
        <w:t xml:space="preserve"> shall be payable within 30 days after written demand therefor (including documentation reasonably supporting such request).</w:t>
      </w:r>
    </w:p>
    <w:p>
      <w:pPr>
        <w:spacing w:after="0" w:line="165"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Right of Setoff.</w:t>
      </w:r>
      <w:r>
        <w:rPr>
          <w:rFonts w:ascii="Arial" w:cs="Arial" w:eastAsia="Arial" w:hAnsi="Arial"/>
          <w:sz w:val="18"/>
          <w:szCs w:val="18"/>
          <w:color w:val="auto"/>
        </w:rPr>
        <w:t xml:space="preserve"> In addition to any rights and remedies of the Lenders provided by Law, upon the occurrence and during the continuance of any Event of Default, each Lender and its Affiliates (and the Agents, in respect of any unpaid fees, costs and expenses payable hereunder) is authorized at any time and from time to time (with the prior consent of the Administrative Agent), without prior notice to any Loan Party, any such notice being waived by each Loan Party (on its own behalf and on behalf of each of its Subsidiaries), to the fullest extent permitted by applicable Law, to set off and apply any and all deposits (general or special, time or demand, provisional or final) (other than payroll accounts, trust accounts, escrow accounts, employee benefits accounts or petty cash accounts) at any time held by, and other indebtedness at any time owing by, such Lender and its Affiliates or the Collateral Agent to or for the credit or the account of the respective Loan Parties against any and all matured Obligations owing to such Lender and its Affiliates or the Collateral Agent hereunder or under any other Loan Document, now or hereafter existing, irrespective of whether or not such Agent or such Lender or Affiliate shall have made demand under this Agreement or any other Loan Document and although such Obligations may be denominated in a currency different from that of the applicable deposit or Indebtedness. Each Lender agrees promptly to notify the Borrower and the Administrative Agent after any such set off and application made by such Lender; </w:t>
      </w:r>
      <w:r>
        <w:rPr>
          <w:rFonts w:ascii="Arial" w:cs="Arial" w:eastAsia="Arial" w:hAnsi="Arial"/>
          <w:sz w:val="18"/>
          <w:szCs w:val="18"/>
          <w:i w:val="1"/>
          <w:iCs w:val="1"/>
          <w:color w:val="auto"/>
        </w:rPr>
        <w:t>provided</w:t>
      </w:r>
      <w:r>
        <w:rPr>
          <w:rFonts w:ascii="Arial" w:cs="Arial" w:eastAsia="Arial" w:hAnsi="Arial"/>
          <w:sz w:val="18"/>
          <w:szCs w:val="18"/>
          <w:color w:val="auto"/>
        </w:rPr>
        <w:t>, that the failure to give such notice shall not affect the validity of such setoff and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1" w:name="page172"/>
    <w:bookmarkEnd w:id="171"/>
    <w:p>
      <w:pPr>
        <w:jc w:val="both"/>
        <w:spacing w:after="0" w:line="316" w:lineRule="auto"/>
        <w:rPr>
          <w:sz w:val="20"/>
          <w:szCs w:val="20"/>
          <w:color w:val="auto"/>
        </w:rPr>
      </w:pPr>
      <w:r>
        <w:rPr>
          <w:rFonts w:ascii="Arial" w:cs="Arial" w:eastAsia="Arial" w:hAnsi="Arial"/>
          <w:sz w:val="18"/>
          <w:szCs w:val="18"/>
          <w:color w:val="auto"/>
        </w:rPr>
        <w:t xml:space="preserve">application. The rights of the Administrative Agent, the Collateral Agent and each Lender under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are in addition to other rights and remedies (including other rights of setoff) that the Administrative Agent, the Collateral Agent and such Lender may have at Law.</w:t>
      </w:r>
    </w:p>
    <w:p>
      <w:pPr>
        <w:spacing w:after="0" w:line="130"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Section 10.07. </w:t>
      </w:r>
      <w:r>
        <w:rPr>
          <w:rFonts w:ascii="Arial" w:cs="Arial" w:eastAsia="Arial" w:hAnsi="Arial"/>
          <w:sz w:val="20"/>
          <w:szCs w:val="20"/>
          <w:i w:val="1"/>
          <w:iCs w:val="1"/>
          <w:color w:val="auto"/>
        </w:rPr>
        <w:t>Applicable Law.</w:t>
      </w:r>
      <w:r>
        <w:rPr>
          <w:rFonts w:ascii="Arial" w:cs="Arial" w:eastAsia="Arial" w:hAnsi="Arial"/>
          <w:sz w:val="20"/>
          <w:szCs w:val="20"/>
          <w:color w:val="auto"/>
        </w:rPr>
        <w:t xml:space="preserve"> THIS AGREEMENT AND THE OTHER LOAN DOCUMENTS (OTHER THAN AS EXPRESSLY SET FORTH IN OTHER LOAN DOCUMENTS) SHALL BE CONSTRUED IN ACCORDANCE WITH AND GOVERNED BY THE LAWS OF THE STATE OF NEW YORK.</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10.08. </w:t>
      </w:r>
      <w:r>
        <w:rPr>
          <w:rFonts w:ascii="Arial" w:cs="Arial" w:eastAsia="Arial" w:hAnsi="Arial"/>
          <w:sz w:val="20"/>
          <w:szCs w:val="20"/>
          <w:i w:val="1"/>
          <w:iCs w:val="1"/>
          <w:color w:val="auto"/>
        </w:rPr>
        <w:t>Waivers; Amendment</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72" w:lineRule="auto"/>
        <w:tabs>
          <w:tab w:leader="none" w:pos="50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 failure or delay of the Administrative Agent, the Collateral Agent or any Lender in exercising any power or right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and the Lenders hereunder and under the other Loan Documents are cumulative and are not exclusive of any rights or remedies that they would otherwise have. No waiver of any provision of this Agreement or any other Loan Document or consent to any departure by the Borrower or any other Loan Party therefrom shall in any event be effective unless the same shall be permitted by paragraph (b) below, and then such waiver or consent shall be effective only in the specific instance and for the purpose for which given. No notice or demand on the Borrower in any case shall entitle the Borrower to any other or further notice or demand in similar or other circumstances.</w:t>
      </w:r>
    </w:p>
    <w:p>
      <w:pPr>
        <w:spacing w:after="0" w:line="170" w:lineRule="exact"/>
        <w:rPr>
          <w:rFonts w:ascii="Arial" w:cs="Arial" w:eastAsia="Arial" w:hAnsi="Arial"/>
          <w:sz w:val="18"/>
          <w:szCs w:val="18"/>
          <w:color w:val="auto"/>
        </w:rPr>
      </w:pPr>
    </w:p>
    <w:p>
      <w:pPr>
        <w:jc w:val="both"/>
        <w:ind w:firstLine="667"/>
        <w:spacing w:after="0" w:line="268" w:lineRule="auto"/>
        <w:tabs>
          <w:tab w:leader="none" w:pos="101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with respect to any Refinancing Amendment, in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with respect to an Extension Offer or as otherwise provided herein or in a Loan Document, neither this Agreement nor any other Loan Document nor any provision hereof or thereof may be waived, amended or modified except (x) in the case of this Agreement, pursuant to an agreement or agreements in writing entered into by the Borrower and the Required Lenders and (y) in the case of any other Loan Document, pursuant to an agreement or agreements in writing entered into by each party thereto with the consent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amendments to the ABL Intercreditor Agreement shall require the agreement of the Loan Parties (or any of them) only to the extent required pursuant to the terms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agreement shall (i) decrease the principal amount of, or extend the maturity of or any scheduled principal payment date or date for the payment of any fee or any interest on any Loan, or waive or excuse any such payment or any part thereof (other than with respect to any default interest), or decrease the amount of any fee or the rate of interest on any Loan (other than with respect to any default interest), without the prior written consent of each Lender directly and adversely affected thereby (it being understood that (x) the waiver of (or amendment to the terms of) any mandatory prepayment of the Loans shall not constitute a postponement of any date scheduled for the payment of principal or interest, (y) any change to the definition of “Consolidated EBITDA” or in the component definitions thereof shall not constitute a reduction or forgiveness in any rate of interest pursuant to this clause (i), (ii) increase or extend the Commitment of any Lender without the prior written consent of such Lender (it being understood that a waiver of any condition precedent or of any Default or Event of Default, mandatory prepayment or mandatory reduction of the Commitments shall not constitute an extension or increase of any Commitment of any Lender), (iii) amend or modify the pro rata requirements of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2.13(c)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10.04(j)</w:t>
      </w:r>
      <w:r>
        <w:rPr>
          <w:rFonts w:ascii="Arial" w:cs="Arial" w:eastAsia="Arial" w:hAnsi="Arial"/>
          <w:sz w:val="18"/>
          <w:szCs w:val="18"/>
          <w:color w:val="auto"/>
        </w:rPr>
        <w:t xml:space="preserve"> or the provisions of this Section or release all or substantially all of the Guarantors (other than in connection with the sale of such Guarantors in a transaction permitted by </w:t>
      </w:r>
      <w:r>
        <w:rPr>
          <w:rFonts w:ascii="Arial" w:cs="Arial" w:eastAsia="Arial" w:hAnsi="Arial"/>
          <w:sz w:val="18"/>
          <w:szCs w:val="18"/>
          <w:u w:val="single" w:color="auto"/>
          <w:color w:val="auto"/>
        </w:rPr>
        <w:t>Sections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or all or substantially all of the Collateral (other than as permitted hereby), without the prior written consent of each Lender directly and adversely affected thereby (or, in the case of </w:t>
      </w:r>
      <w:r>
        <w:rPr>
          <w:rFonts w:ascii="Arial" w:cs="Arial" w:eastAsia="Arial" w:hAnsi="Arial"/>
          <w:sz w:val="18"/>
          <w:szCs w:val="18"/>
          <w:u w:val="single" w:color="auto"/>
          <w:color w:val="auto"/>
        </w:rPr>
        <w:t>Section 10.04(j)</w:t>
      </w:r>
      <w:r>
        <w:rPr>
          <w:rFonts w:ascii="Arial" w:cs="Arial" w:eastAsia="Arial" w:hAnsi="Arial"/>
          <w:sz w:val="18"/>
          <w:szCs w:val="18"/>
          <w:color w:val="auto"/>
        </w:rPr>
        <w:t>, each Lender), (iv) change the provisions of any Loan Document in a manner that by its terms materially and adversely affects the rights of Lenders holding Loans of one Class differently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2" w:name="page173"/>
    <w:bookmarkEnd w:id="172"/>
    <w:p>
      <w:pPr>
        <w:jc w:val="both"/>
        <w:spacing w:after="0" w:line="302" w:lineRule="auto"/>
        <w:rPr>
          <w:sz w:val="20"/>
          <w:szCs w:val="20"/>
          <w:color w:val="auto"/>
        </w:rPr>
      </w:pPr>
      <w:r>
        <w:rPr>
          <w:rFonts w:ascii="Arial" w:cs="Arial" w:eastAsia="Arial" w:hAnsi="Arial"/>
          <w:sz w:val="16"/>
          <w:szCs w:val="16"/>
          <w:color w:val="auto"/>
        </w:rPr>
        <w:t xml:space="preserve">from the rights of Lenders holding Loans of any other Class without the prior written consent of the Required Class Lenders with respect to each materially and adversely affected Class, (v) modify the protections afforded to an SPV pursuant to the provisions of </w:t>
      </w:r>
      <w:r>
        <w:rPr>
          <w:rFonts w:ascii="Arial" w:cs="Arial" w:eastAsia="Arial" w:hAnsi="Arial"/>
          <w:sz w:val="16"/>
          <w:szCs w:val="16"/>
          <w:u w:val="single" w:color="auto"/>
          <w:color w:val="auto"/>
        </w:rPr>
        <w:t>Section 10.04(i)</w:t>
      </w:r>
      <w:r>
        <w:rPr>
          <w:rFonts w:ascii="Arial" w:cs="Arial" w:eastAsia="Arial" w:hAnsi="Arial"/>
          <w:sz w:val="16"/>
          <w:szCs w:val="16"/>
          <w:color w:val="auto"/>
        </w:rPr>
        <w:t xml:space="preserve"> without the written consent of such SPV (vi) reduce the percentage contained in the definition of the term “Required Lenders” without the prior written consent of each Lender (it being understood that, with the consent of the Required Lenders (if such consent is otherwise required), additional extensions of credit pursuant to this Agreement may be included in the determination of the Required Lenders on substantially the same basis as the Term Loan Commitments on the Restatement Effective Date) or (vii) modify the definition of “Required Class Lenders” without the consent of the Required Class Lenders with respect to each Class of Loans or Commitments;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w:t>
      </w:r>
    </w:p>
    <w:p>
      <w:pPr>
        <w:spacing w:after="0" w:line="2" w:lineRule="exact"/>
        <w:rPr>
          <w:sz w:val="20"/>
          <w:szCs w:val="20"/>
          <w:color w:val="auto"/>
        </w:rPr>
      </w:pPr>
    </w:p>
    <w:p>
      <w:pPr>
        <w:jc w:val="both"/>
        <w:ind w:firstLine="8"/>
        <w:spacing w:after="0" w:line="268" w:lineRule="auto"/>
        <w:tabs>
          <w:tab w:leader="none" w:pos="34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no Lender consent is required to effect a Refinancing Amendment or an Extension (except as expressly provided in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as applicable) or to effect any amendment expressly contemplated by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(x) [reserved], (y) modifications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any other provision requiring pro rata payments or sharing of payments in connection with (I) any buy back of Term Loans by the Borrower pursuant to </w:t>
      </w:r>
      <w:r>
        <w:rPr>
          <w:rFonts w:ascii="Arial" w:cs="Arial" w:eastAsia="Arial" w:hAnsi="Arial"/>
          <w:sz w:val="18"/>
          <w:szCs w:val="18"/>
          <w:u w:val="single" w:color="auto"/>
          <w:color w:val="auto"/>
        </w:rPr>
        <w:t>Section 10.04(k)</w:t>
      </w:r>
      <w:r>
        <w:rPr>
          <w:rFonts w:ascii="Arial" w:cs="Arial" w:eastAsia="Arial" w:hAnsi="Arial"/>
          <w:sz w:val="18"/>
          <w:szCs w:val="18"/>
          <w:color w:val="auto"/>
        </w:rPr>
        <w:t xml:space="preserve"> or pursuant to any similar program that may in the future be permitted hereunder, (II) [reserved] or (III) any Extension, shall only require approval (to the extent any such approval is otherwise required) of the Lenders participating and (z) no Lender consent other than the consent of the Required Lenders is required to effect any amendment or supplement to the ABL Intercreditor Agreement or the Junior Lien Intercreditor Agreement (I) that the Administrative Agent is otherwise authorized to enter into with only the consent of the Required Lenders by </w:t>
      </w:r>
      <w:r>
        <w:rPr>
          <w:rFonts w:ascii="Arial" w:cs="Arial" w:eastAsia="Arial" w:hAnsi="Arial"/>
          <w:sz w:val="18"/>
          <w:szCs w:val="18"/>
          <w:u w:val="single" w:color="auto"/>
          <w:color w:val="auto"/>
        </w:rPr>
        <w:t>Section 10.23</w:t>
      </w:r>
      <w:r>
        <w:rPr>
          <w:rFonts w:ascii="Arial" w:cs="Arial" w:eastAsia="Arial" w:hAnsi="Arial"/>
          <w:sz w:val="18"/>
          <w:szCs w:val="18"/>
          <w:color w:val="auto"/>
        </w:rPr>
        <w:t xml:space="preserve">, (II) that is for the purpose of adding the holders of Permitted Junior Priority Additional Debt, (or a Junior Representative with respect thereto) as parties thereto, as expressly contemplated by the Junior Lien Intercreditor Agreement (it being understood that any such amendment or supplement may make such other changes to the applicable intercreditor agreement as, in the good faith determination of the Administrative Agent, are required to effectuate the foregoing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other changes are not adverse, in any material respect, to the interests of the Lenders) or (III) that is expressly contemplated by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or the second paragraph of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of the ABL Intercreditor Agreement (or the comparable provisions, if any, of the Junior Lien Intercreditor Agreement);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such agreement shall amend, modify or otherwise adversely affect the rights or duties of the Administrative Agent or the Collateral Agent hereunder or under any other Loan Document without the prior written consent of the Required Lenders, Administrative Agent or the Collateral Agent, as applicable.</w:t>
      </w:r>
    </w:p>
    <w:p>
      <w:pPr>
        <w:spacing w:after="0" w:line="174" w:lineRule="exact"/>
        <w:rPr>
          <w:sz w:val="20"/>
          <w:szCs w:val="20"/>
          <w:color w:val="auto"/>
        </w:rPr>
      </w:pPr>
    </w:p>
    <w:p>
      <w:pPr>
        <w:jc w:val="both"/>
        <w:ind w:firstLine="656"/>
        <w:spacing w:after="0" w:line="263" w:lineRule="auto"/>
        <w:rPr>
          <w:sz w:val="20"/>
          <w:szCs w:val="20"/>
          <w:color w:val="auto"/>
        </w:rPr>
      </w:pPr>
      <w:r>
        <w:rPr>
          <w:rFonts w:ascii="Arial" w:cs="Arial" w:eastAsia="Arial" w:hAnsi="Arial"/>
          <w:sz w:val="19"/>
          <w:szCs w:val="19"/>
          <w:color w:val="auto"/>
        </w:rPr>
        <w:t>Notwithstanding any other language to the contrary contained herein, with respect to any amendment, waiver or modification to which the Administrative Agent’s consent is not required, the parties agree to deliver to the Administrative Agent a copy of each such amendment, waiver or modification; provided that, (i) no party shall be liable for its failure to comply with this sentence and (ii) the Administrative Agent shall not be bound by any such amendment unless and until it has received a copy thereof.</w:t>
      </w:r>
    </w:p>
    <w:p>
      <w:pPr>
        <w:spacing w:after="0" w:line="176" w:lineRule="exact"/>
        <w:rPr>
          <w:sz w:val="20"/>
          <w:szCs w:val="20"/>
          <w:color w:val="auto"/>
        </w:rPr>
      </w:pPr>
    </w:p>
    <w:p>
      <w:pPr>
        <w:jc w:val="both"/>
        <w:ind w:firstLine="8"/>
        <w:spacing w:after="0" w:line="271" w:lineRule="auto"/>
        <w:tabs>
          <w:tab w:leader="none" w:pos="50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Notwithstanding the foregoing, this Agreement and any other Loan Document may be amended solely with the consent of the Administrative Agent, the Required Lenders and the Borrower without the need to obtain the consent of any other Lender if such amendment is delivered in order to if such amendment is delivered in order to correct or cure (x) ambiguities, errors, omissions, defects, (y) to effect administrative changes of a technical or immaterial nature or (z) incorrect cross references or similar inaccuracies in this Agreement or the applicable Loan Document. This Agreement, guarantees, collateral documents, security documents, intercreditor agreements, and related documents executed in connection with this Agreement may be in a form reasonably determined by the Administrative Agent or Collateral Agent, as applicable, and may be amended, modified, terminated or waived, and consent to any departure therefrom may be given, without the consent of any Lender if such amendment, modification, waiver or consent is given in order to (x) comply with local law or advice of counsel or (y) cause such guarantee, collateral document, security document or related document to be consistent with this Agreement and the other Loan Documents. The Borrower, the Required Lenders and the Administrative Agent may, without the consent of any other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3" w:name="page174"/>
    <w:bookmarkEnd w:id="173"/>
    <w:p>
      <w:pPr>
        <w:jc w:val="both"/>
        <w:ind w:firstLine="509"/>
        <w:spacing w:after="0" w:line="246" w:lineRule="auto"/>
        <w:rPr>
          <w:sz w:val="20"/>
          <w:szCs w:val="20"/>
          <w:color w:val="auto"/>
        </w:rPr>
      </w:pPr>
      <w:r>
        <w:rPr>
          <w:rFonts w:ascii="Arial" w:cs="Arial" w:eastAsia="Arial" w:hAnsi="Arial"/>
          <w:sz w:val="20"/>
          <w:szCs w:val="20"/>
          <w:color w:val="auto"/>
        </w:rPr>
        <w:t xml:space="preserve">Lender, effect amendments to this Agreement and the other Loan Documents as may be necessary in the reasonable opinion of the Borrower, the Required Lenders and the Administrative Agent to effect the provisions of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7,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2.19</w:t>
      </w:r>
      <w:r>
        <w:rPr>
          <w:rFonts w:ascii="Arial" w:cs="Arial" w:eastAsia="Arial" w:hAnsi="Arial"/>
          <w:sz w:val="20"/>
          <w:szCs w:val="20"/>
          <w:color w:val="auto"/>
        </w:rPr>
        <w:t>. Notwithstanding anything to the contrary contained herein, such amendment shall become effective without any further consent of any other party to such Loan Document.</w:t>
      </w:r>
    </w:p>
    <w:p>
      <w:pPr>
        <w:spacing w:after="0" w:line="191"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Interest Rate Limitation.</w:t>
      </w:r>
      <w:r>
        <w:rPr>
          <w:rFonts w:ascii="Arial" w:cs="Arial" w:eastAsia="Arial" w:hAnsi="Arial"/>
          <w:sz w:val="18"/>
          <w:szCs w:val="18"/>
          <w:color w:val="auto"/>
        </w:rPr>
        <w:t xml:space="preserve">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8"/>
          <w:szCs w:val="18"/>
          <w:b w:val="1"/>
          <w:bCs w:val="1"/>
          <w:color w:val="auto"/>
        </w:rPr>
        <w:t>Charges</w:t>
      </w:r>
      <w:r>
        <w:rPr>
          <w:rFonts w:ascii="Arial" w:cs="Arial" w:eastAsia="Arial" w:hAnsi="Arial"/>
          <w:sz w:val="18"/>
          <w:szCs w:val="18"/>
          <w:color w:val="auto"/>
        </w:rPr>
        <w:t xml:space="preserve">”), shall exceed the maximum lawful rate (the “ </w:t>
      </w:r>
      <w:r>
        <w:rPr>
          <w:rFonts w:ascii="Arial" w:cs="Arial" w:eastAsia="Arial" w:hAnsi="Arial"/>
          <w:sz w:val="18"/>
          <w:szCs w:val="18"/>
          <w:b w:val="1"/>
          <w:bCs w:val="1"/>
          <w:color w:val="auto"/>
        </w:rPr>
        <w:t>Maximum Rate</w:t>
      </w:r>
      <w:r>
        <w:rPr>
          <w:rFonts w:ascii="Arial" w:cs="Arial" w:eastAsia="Arial" w:hAnsi="Arial"/>
          <w:sz w:val="18"/>
          <w:szCs w:val="18"/>
          <w:color w:val="auto"/>
        </w:rPr>
        <w:t xml:space="preserve">”) which may be contracted for, charged, taken, received or reserved by the Lender holding such Loan or participation in accordance with applicable Law, the rate of interest payable in respect of such Loan or participation hereunder, together with all Charges payable in respect thereof, shall be limited to the Maximum Rate and, to the extent lawful, the interest and Charges that would have been payable in respect of such Loan or participation but were not payable as a result of the operation of this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shall be cumulated and the interest and Charges payable to such Lender in respect of other Loans or participations or periods shall be increased (but not above the Maximum Rate therefor) until such cumulated amount, together with interest thereon at the Federal Funds Effective Rate to the date of repayment, shall have been received by such Lender.</w:t>
      </w:r>
    </w:p>
    <w:p>
      <w:pPr>
        <w:spacing w:after="0" w:line="170"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 xml:space="preserve">Section 10.10. </w:t>
      </w:r>
      <w:r>
        <w:rPr>
          <w:rFonts w:ascii="Arial" w:cs="Arial" w:eastAsia="Arial" w:hAnsi="Arial"/>
          <w:sz w:val="20"/>
          <w:szCs w:val="20"/>
          <w:i w:val="1"/>
          <w:iCs w:val="1"/>
          <w:color w:val="auto"/>
        </w:rPr>
        <w:t>Entire Agreement.</w:t>
      </w:r>
      <w:r>
        <w:rPr>
          <w:rFonts w:ascii="Arial" w:cs="Arial" w:eastAsia="Arial" w:hAnsi="Arial"/>
          <w:sz w:val="20"/>
          <w:szCs w:val="20"/>
          <w:color w:val="auto"/>
        </w:rPr>
        <w:t xml:space="preserve"> This Agreement, the Fee Letter and the other Loan Documents constitute the entire contract between the parties relative to the subject matter hereof. Any other previous agreement among the parties with respect to the subject matter hereof is superseded by this Agreement and the other Loan Documents. Nothing in this Agreement or in the other Loan Documents, expressed or implied, is intended to confer upon any Person (other than the parties hereto and thereto, their respective successors and assigns permitted hereunder and, to the extent expressly contemplated hereby, the Related Parties of each of the Required Lenders, Administrative Agent, the Collateral Agent and the Lenders) any rights, remedies, obligations or liabilities under or by reason of this Agreement or the other Loan Documents.</w:t>
      </w:r>
    </w:p>
    <w:p>
      <w:pPr>
        <w:spacing w:after="0" w:line="193"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WAIVER OF JURY TRIAL.</w:t>
      </w:r>
      <w:r>
        <w:rPr>
          <w:rFonts w:ascii="Arial" w:cs="Arial" w:eastAsia="Arial" w:hAnsi="Arial"/>
          <w:sz w:val="18"/>
          <w:szCs w:val="18"/>
          <w:color w:val="auto"/>
        </w:rPr>
        <w:t xml:space="preserve"> EACH PARTY HERETO HEREBY WAIVES, TO THE FULLEST EXTENT PERMITTED BY APPLICABLE LAW, ANY RIGHT IT MAY HAVE TO A TRIAL BY JURY IN RESPECT OF ANY LITIGATION DIRECTLY OR INDIRECTLY ARISING OUT OF, UNDER OR IN CONNECTION WITH THIS AGREEMENT OR ANY OF THE OTHER LOAN DOCUMENTS.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w:t>
      </w:r>
      <w:r>
        <w:rPr>
          <w:rFonts w:ascii="Arial" w:cs="Arial" w:eastAsia="Arial" w:hAnsi="Arial"/>
          <w:sz w:val="18"/>
          <w:szCs w:val="18"/>
          <w:u w:val="single" w:color="auto"/>
          <w:color w:val="auto"/>
        </w:rPr>
        <w:t>SECTION 10.11</w:t>
      </w:r>
      <w:r>
        <w:rPr>
          <w:rFonts w:ascii="Arial" w:cs="Arial" w:eastAsia="Arial" w:hAnsi="Arial"/>
          <w:sz w:val="18"/>
          <w:szCs w:val="18"/>
          <w:color w:val="auto"/>
        </w:rPr>
        <w:t>.</w:t>
      </w:r>
    </w:p>
    <w:p>
      <w:pPr>
        <w:spacing w:after="0" w:line="168" w:lineRule="exact"/>
        <w:rPr>
          <w:sz w:val="20"/>
          <w:szCs w:val="20"/>
          <w:color w:val="auto"/>
        </w:rPr>
      </w:pPr>
    </w:p>
    <w:p>
      <w:pPr>
        <w:jc w:val="both"/>
        <w:ind w:firstLine="1497"/>
        <w:spacing w:after="0" w:line="259" w:lineRule="auto"/>
        <w:rPr>
          <w:sz w:val="20"/>
          <w:szCs w:val="20"/>
          <w:color w:val="auto"/>
        </w:rPr>
      </w:pPr>
      <w:r>
        <w:rPr>
          <w:rFonts w:ascii="Arial" w:cs="Arial" w:eastAsia="Arial" w:hAnsi="Arial"/>
          <w:sz w:val="19"/>
          <w:szCs w:val="19"/>
          <w:color w:val="auto"/>
        </w:rPr>
        <w:t xml:space="preserve">Section 10.12. </w:t>
      </w:r>
      <w:r>
        <w:rPr>
          <w:rFonts w:ascii="Arial" w:cs="Arial" w:eastAsia="Arial" w:hAnsi="Arial"/>
          <w:sz w:val="19"/>
          <w:szCs w:val="19"/>
          <w:i w:val="1"/>
          <w:iCs w:val="1"/>
          <w:color w:val="auto"/>
        </w:rPr>
        <w:t>Severability.</w:t>
      </w:r>
      <w:r>
        <w:rPr>
          <w:rFonts w:ascii="Arial" w:cs="Arial" w:eastAsia="Arial" w:hAnsi="Arial"/>
          <w:sz w:val="19"/>
          <w:szCs w:val="19"/>
          <w:color w:val="auto"/>
        </w:rPr>
        <w:t xml:space="preserve"> In the event any one or more of the provisions contained in this Agreement or in any other Loan Document should be held invalid, 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10.13. </w:t>
      </w:r>
      <w:r>
        <w:rPr>
          <w:rFonts w:ascii="Arial" w:cs="Arial" w:eastAsia="Arial" w:hAnsi="Arial"/>
          <w:sz w:val="20"/>
          <w:szCs w:val="20"/>
          <w:i w:val="1"/>
          <w:iCs w:val="1"/>
          <w:color w:val="auto"/>
        </w:rPr>
        <w:t>Counterparts.</w:t>
      </w:r>
      <w:r>
        <w:rPr>
          <w:rFonts w:ascii="Arial" w:cs="Arial" w:eastAsia="Arial" w:hAnsi="Arial"/>
          <w:sz w:val="20"/>
          <w:szCs w:val="20"/>
          <w:color w:val="auto"/>
        </w:rPr>
        <w:t xml:space="preserve"> This Agreement may be executed in counterparts (and by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4" w:name="page175"/>
    <w:bookmarkEnd w:id="174"/>
    <w:p>
      <w:pPr>
        <w:jc w:val="both"/>
        <w:spacing w:after="0" w:line="246" w:lineRule="auto"/>
        <w:rPr>
          <w:sz w:val="20"/>
          <w:szCs w:val="20"/>
          <w:color w:val="auto"/>
        </w:rPr>
      </w:pPr>
      <w:r>
        <w:rPr>
          <w:rFonts w:ascii="Arial" w:cs="Arial" w:eastAsia="Arial" w:hAnsi="Arial"/>
          <w:sz w:val="20"/>
          <w:szCs w:val="20"/>
          <w:color w:val="auto"/>
        </w:rPr>
        <w:t xml:space="preserve">different parties hereto on different counterparts), each of which shall constitute an original but all of which when taken together shall constitute a single contract, and shall become effective as provided in </w:t>
      </w:r>
      <w:r>
        <w:rPr>
          <w:rFonts w:ascii="Arial" w:cs="Arial" w:eastAsia="Arial" w:hAnsi="Arial"/>
          <w:sz w:val="20"/>
          <w:szCs w:val="20"/>
          <w:u w:val="single" w:color="auto"/>
          <w:color w:val="auto"/>
        </w:rPr>
        <w:t>Section 10.03</w:t>
      </w:r>
      <w:r>
        <w:rPr>
          <w:rFonts w:ascii="Arial" w:cs="Arial" w:eastAsia="Arial" w:hAnsi="Arial"/>
          <w:sz w:val="20"/>
          <w:szCs w:val="20"/>
          <w:color w:val="auto"/>
        </w:rPr>
        <w:t>. Delivery of an executed signature page to this Agreement by facsimile or other electronic imaging transmission shall be as effective as delivery of a manually signed counterpart of this Agreement.</w:t>
      </w:r>
    </w:p>
    <w:p>
      <w:pPr>
        <w:spacing w:after="0" w:line="191"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Section 10.14. </w:t>
      </w:r>
      <w:r>
        <w:rPr>
          <w:rFonts w:ascii="Arial" w:cs="Arial" w:eastAsia="Arial" w:hAnsi="Arial"/>
          <w:sz w:val="20"/>
          <w:szCs w:val="20"/>
          <w:i w:val="1"/>
          <w:iCs w:val="1"/>
          <w:color w:val="auto"/>
        </w:rPr>
        <w:t>Headings.</w:t>
      </w:r>
      <w:r>
        <w:rPr>
          <w:rFonts w:ascii="Arial" w:cs="Arial" w:eastAsia="Arial" w:hAnsi="Arial"/>
          <w:sz w:val="20"/>
          <w:szCs w:val="20"/>
          <w:color w:val="auto"/>
        </w:rPr>
        <w:t xml:space="preserve">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10.15. </w:t>
      </w:r>
      <w:r>
        <w:rPr>
          <w:rFonts w:ascii="Arial" w:cs="Arial" w:eastAsia="Arial" w:hAnsi="Arial"/>
          <w:sz w:val="20"/>
          <w:szCs w:val="20"/>
          <w:i w:val="1"/>
          <w:iCs w:val="1"/>
          <w:color w:val="auto"/>
        </w:rPr>
        <w:t>Jurisdiction; Consent to Service of Process</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57" w:lineRule="auto"/>
        <w:tabs>
          <w:tab w:leader="none" w:pos="509" w:val="left"/>
        </w:tabs>
        <w:numPr>
          <w:ilvl w:val="0"/>
          <w:numId w:val="198"/>
        </w:numPr>
        <w:rPr>
          <w:rFonts w:ascii="Arial" w:cs="Arial" w:eastAsia="Arial" w:hAnsi="Arial"/>
          <w:sz w:val="19"/>
          <w:szCs w:val="19"/>
          <w:color w:val="auto"/>
        </w:rPr>
      </w:pPr>
      <w:r>
        <w:rPr>
          <w:rFonts w:ascii="Arial" w:cs="Arial" w:eastAsia="Arial" w:hAnsi="Arial"/>
          <w:sz w:val="19"/>
          <w:szCs w:val="19"/>
          <w:color w:val="auto"/>
        </w:rPr>
        <w:t>Each of the parties hereto hereby irrevocably and unconditionally submits, for itself and its property, to the exclusive jurisdiction of any New York State court or Federal court of the United States of America sitting in the Borough of Manhattan, and any appellate court from any thereof, in any action or proceeding arising out of or relating to this Agreement or the other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w:t>
      </w:r>
    </w:p>
    <w:p>
      <w:pPr>
        <w:spacing w:after="0" w:line="184" w:lineRule="exact"/>
        <w:rPr>
          <w:rFonts w:ascii="Arial" w:cs="Arial" w:eastAsia="Arial" w:hAnsi="Arial"/>
          <w:sz w:val="19"/>
          <w:szCs w:val="19"/>
          <w:color w:val="auto"/>
        </w:rPr>
      </w:pPr>
    </w:p>
    <w:p>
      <w:pPr>
        <w:jc w:val="both"/>
        <w:ind w:firstLine="8"/>
        <w:spacing w:after="0" w:line="282" w:lineRule="auto"/>
        <w:tabs>
          <w:tab w:leader="none" w:pos="50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New York State or Federal court. Each of the parties hereto hereby irrevocably waives, to the fullest extent permitted by law, the defense of an inconvenient forum to the maintenance of such action or proceeding in any such court.</w:t>
      </w:r>
    </w:p>
    <w:p>
      <w:pPr>
        <w:spacing w:after="0" w:line="161" w:lineRule="exact"/>
        <w:rPr>
          <w:rFonts w:ascii="Arial" w:cs="Arial" w:eastAsia="Arial" w:hAnsi="Arial"/>
          <w:sz w:val="18"/>
          <w:szCs w:val="18"/>
          <w:color w:val="auto"/>
        </w:rPr>
      </w:pPr>
    </w:p>
    <w:p>
      <w:pPr>
        <w:ind w:firstLine="8"/>
        <w:spacing w:after="0" w:line="287" w:lineRule="auto"/>
        <w:tabs>
          <w:tab w:leader="none" w:pos="509"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Each party to this Agreement irrevocably consents to service of process in the manner provided for notices in </w:t>
      </w:r>
      <w:r>
        <w:rPr>
          <w:rFonts w:ascii="Arial" w:cs="Arial" w:eastAsia="Arial" w:hAnsi="Arial"/>
          <w:sz w:val="19"/>
          <w:szCs w:val="19"/>
          <w:u w:val="single" w:color="auto"/>
          <w:color w:val="auto"/>
        </w:rPr>
        <w:t>Section 10.01</w:t>
      </w:r>
      <w:r>
        <w:rPr>
          <w:rFonts w:ascii="Arial" w:cs="Arial" w:eastAsia="Arial" w:hAnsi="Arial"/>
          <w:sz w:val="19"/>
          <w:szCs w:val="19"/>
          <w:color w:val="auto"/>
        </w:rPr>
        <w:t>. Nothing in this Agreement will affect the right of any party to this Agreement to serve process in any other manner permitted by law.</w:t>
      </w:r>
    </w:p>
    <w:p>
      <w:pPr>
        <w:spacing w:after="0" w:line="152"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Confidentiality.</w:t>
      </w:r>
      <w:r>
        <w:rPr>
          <w:rFonts w:ascii="Arial" w:cs="Arial" w:eastAsia="Arial" w:hAnsi="Arial"/>
          <w:sz w:val="18"/>
          <w:szCs w:val="18"/>
          <w:color w:val="auto"/>
        </w:rPr>
        <w:t xml:space="preserve"> Each of the Administrative Agent, the Collateral Agent, the Lenders and after designation thereof in accordance with Section 6.18, the Board Observer agrees to maintain the confidentiality of the Information (as defined below), except that Information may be disclosed (a) to its and its Affiliates’ officers, directors, employees and agents, including accountants, financing sources, legal counsel and other advisors involved in the Transaction on a “need to know” basis (it being understood that the Persons to whom such disclosure is made will be informed of the confidential nature of such Information and instructed to keep such Information confidential), (b) to the extent requested by any regulatory authority or quasi-regulatory authority (such as the National Association of Insurance Commissioners), (c) to the extent required by applicable Laws or regulations or by any subpoena or similar legal process (and in such case, such Person shall promptly notify the Borrower of such disclosure), (d) in connection with the exercise of any remedies hereunder or under the other Loan Documents or any suit, action or proceeding relating to the enforcement of its rights hereunder or thereunder, (e) subject to an agreement containing provisions substantially the same as those of this </w:t>
      </w:r>
      <w:r>
        <w:rPr>
          <w:rFonts w:ascii="Arial" w:cs="Arial" w:eastAsia="Arial" w:hAnsi="Arial"/>
          <w:sz w:val="18"/>
          <w:szCs w:val="18"/>
          <w:u w:val="single" w:color="auto"/>
          <w:color w:val="auto"/>
        </w:rPr>
        <w:t>Section 10.16</w:t>
      </w:r>
      <w:r>
        <w:rPr>
          <w:rFonts w:ascii="Arial" w:cs="Arial" w:eastAsia="Arial" w:hAnsi="Arial"/>
          <w:sz w:val="18"/>
          <w:szCs w:val="18"/>
          <w:color w:val="auto"/>
        </w:rPr>
        <w:t>, to (i) any actual or prospective assignee of or participant in any of its rights or obligations under this Agreement and the other Loan Documents or (ii) any actual or prospective counterparty (or its advisors) to any swap or derivative transaction relating to the Borrower or any Subsidiary or any of their respective obligations, (f) with the prior written consent of the Borrower, (g) on a confidential basis to (x) any rating agency in connection with rating the Borrower or its Subsidiaries or the Facility or (y) the CUSIP Service Bureau or any similar agency in connection with the issuance and monitoring of CUSIP numbers with respect to the Facility, 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5" w:name="page176"/>
    <w:bookmarkEnd w:id="175"/>
    <w:p>
      <w:pPr>
        <w:jc w:val="both"/>
        <w:ind w:firstLine="8"/>
        <w:spacing w:after="0" w:line="270" w:lineRule="auto"/>
        <w:tabs>
          <w:tab w:leader="none" w:pos="28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to the extent such Information becomes publicly available other than as a result of a breach of this </w:t>
      </w:r>
      <w:r>
        <w:rPr>
          <w:rFonts w:ascii="Arial" w:cs="Arial" w:eastAsia="Arial" w:hAnsi="Arial"/>
          <w:sz w:val="18"/>
          <w:szCs w:val="18"/>
          <w:u w:val="single" w:color="auto"/>
          <w:color w:val="auto"/>
        </w:rPr>
        <w:t>Section 10.16</w:t>
      </w:r>
      <w:r>
        <w:rPr>
          <w:rFonts w:ascii="Arial" w:cs="Arial" w:eastAsia="Arial" w:hAnsi="Arial"/>
          <w:sz w:val="18"/>
          <w:szCs w:val="18"/>
          <w:color w:val="auto"/>
        </w:rPr>
        <w:t xml:space="preserve"> or other confidentiality obligation owed to the Borrower or any of its Subsidiaries. For the purposes of this Article, “</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shall mean all information received from the Borrower and related to the Borrower, its business, other than any such information that was available to the Administrative Agent, the Collateral Agent or any Lender on a nonconfidential basis prior to its disclosure by the Borrower not in violation of any confidentiality or obligation owed to the Borrower and the Subsidiaries. In addition, 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and management of this Agreement and the other Loan Documents. Any Person required to maintain the confidentiality of Information as provided in this </w:t>
      </w:r>
      <w:r>
        <w:rPr>
          <w:rFonts w:ascii="Arial" w:cs="Arial" w:eastAsia="Arial" w:hAnsi="Arial"/>
          <w:sz w:val="18"/>
          <w:szCs w:val="18"/>
          <w:u w:val="single" w:color="auto"/>
          <w:color w:val="auto"/>
        </w:rPr>
        <w:t>Section 10.16</w:t>
      </w:r>
      <w:r>
        <w:rPr>
          <w:rFonts w:ascii="Arial" w:cs="Arial" w:eastAsia="Arial" w:hAnsi="Arial"/>
          <w:sz w:val="18"/>
          <w:szCs w:val="18"/>
          <w:color w:val="auto"/>
        </w:rPr>
        <w:t xml:space="preserve"> shall be considered to have complied with its obligation to do so if such Person has exercised the same degree of care to maintain the confidentiality of such Information as such Person would accord its own confidential information. None of the Borrower and its Subsidiaries or their respective Affiliates or their and their Affiliates’ respective representatives shall make any public announcement or filing, whether or not relating to this Agreement, which names any Lender or the investment advisor or manager of any Lender without the prior written approval such Lender except solely to the extent including such name in such announcement or filing is required by applicable Law.</w:t>
      </w:r>
    </w:p>
    <w:p>
      <w:pPr>
        <w:spacing w:after="0" w:line="172"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0"/>
          <w:szCs w:val="20"/>
          <w:color w:val="auto"/>
        </w:rPr>
        <w:t xml:space="preserve">Section 10.17. </w:t>
      </w:r>
      <w:r>
        <w:rPr>
          <w:rFonts w:ascii="Arial" w:cs="Arial" w:eastAsia="Arial" w:hAnsi="Arial"/>
          <w:sz w:val="20"/>
          <w:szCs w:val="20"/>
          <w:i w:val="1"/>
          <w:iCs w:val="1"/>
          <w:color w:val="auto"/>
        </w:rPr>
        <w:t>Lender Action.</w:t>
      </w:r>
      <w:r>
        <w:rPr>
          <w:rFonts w:ascii="Arial" w:cs="Arial" w:eastAsia="Arial" w:hAnsi="Arial"/>
          <w:sz w:val="20"/>
          <w:szCs w:val="20"/>
          <w:color w:val="auto"/>
        </w:rPr>
        <w:t xml:space="preserve"> Each Lender agrees that it shall not take or institute any actions or proceedings, judicial or otherwise, for any right or remedy against any Loan Party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unless expressly provided for herein or in any other Loan Document, without the prior written consent of the Administrative Agent (which shall be given at the direction of the Required Lender).</w:t>
      </w:r>
    </w:p>
    <w:p>
      <w:pPr>
        <w:spacing w:after="0" w:line="196"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i w:val="1"/>
          <w:iCs w:val="1"/>
          <w:color w:val="auto"/>
        </w:rPr>
        <w:t>USA PATRIOT Act Notice.</w:t>
      </w:r>
      <w:r>
        <w:rPr>
          <w:rFonts w:ascii="Arial" w:cs="Arial" w:eastAsia="Arial" w:hAnsi="Arial"/>
          <w:sz w:val="18"/>
          <w:szCs w:val="18"/>
          <w:color w:val="auto"/>
        </w:rPr>
        <w:t xml:space="preserve"> Each Lender and the Administrative Agent (for itself and not on behalf of any Lender) hereby notifies the Borrower that pursuant to the requirements of the USA PATRIOT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USA PATRIOT Act.</w:t>
      </w:r>
    </w:p>
    <w:p>
      <w:pPr>
        <w:spacing w:after="0" w:line="16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10.19. </w:t>
      </w:r>
      <w:r>
        <w:rPr>
          <w:rFonts w:ascii="Arial" w:cs="Arial" w:eastAsia="Arial" w:hAnsi="Arial"/>
          <w:sz w:val="20"/>
          <w:szCs w:val="20"/>
          <w:i w:val="1"/>
          <w:iCs w:val="1"/>
          <w:color w:val="auto"/>
        </w:rPr>
        <w:t>Collateral And Guaranty Matters</w:t>
      </w:r>
      <w:r>
        <w:rPr>
          <w:rFonts w:ascii="Arial" w:cs="Arial" w:eastAsia="Arial" w:hAnsi="Arial"/>
          <w:sz w:val="20"/>
          <w:szCs w:val="20"/>
          <w:color w:val="auto"/>
        </w:rPr>
        <w:t>. The Lenders irrevocably agree:</w:t>
      </w:r>
    </w:p>
    <w:p>
      <w:pPr>
        <w:spacing w:after="0" w:line="216" w:lineRule="exact"/>
        <w:rPr>
          <w:sz w:val="20"/>
          <w:szCs w:val="20"/>
          <w:color w:val="auto"/>
        </w:rPr>
      </w:pPr>
    </w:p>
    <w:p>
      <w:pPr>
        <w:jc w:val="both"/>
        <w:ind w:firstLine="8"/>
        <w:spacing w:after="0" w:line="270" w:lineRule="auto"/>
        <w:tabs>
          <w:tab w:leader="none" w:pos="50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that any Lien on any property granted to or held by the Administrative Agent or the Collateral Agent under any Loan Document shall be automatically released (i) upon termination of all Commitments hereunder and payment in full of all Obligations (other than contingent obligations not yet accrued or payable), (ii) at the time the property subject to such Lien is disposed as part of or in connection with any disposition permitted hereunder or under any other Loan Document to any Person other than a Person required to grant a Lien to the Administrative Agent or the Collateral Agent under the Loan Documents (or, if such transferee is a Person required to grant a Lien to the Administrative Agent or the Collateral Agent on such asset, at the option of the applicable Loan Party, such Lien on such asset may still be released in connection with the transfer so long as (x) the transferee grants a new Lien to the Administrative Agent or Collateral Agent on such asset substantially concurrently with the transfer of such asset, (y) the transfer is between parties organized under the laws of different jurisdictions and at least one of such parties is a Foreign Subsidiary and (z) the priority of the new Lien is the same as that of the original Lien), (iii) subject to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if the release of such Lien is approved, authorized or ratified in writing by the Required Lenders, (iv) if the property subject to such Lien is owned by a Guarantor, upon release of such Guarantor from its obligations under its Guaranty pursuant to </w:t>
      </w:r>
      <w:r>
        <w:rPr>
          <w:rFonts w:ascii="Arial" w:cs="Arial" w:eastAsia="Arial" w:hAnsi="Arial"/>
          <w:sz w:val="18"/>
          <w:szCs w:val="18"/>
          <w:u w:val="single" w:color="auto"/>
          <w:color w:val="auto"/>
        </w:rPr>
        <w:t>Section 11.10,</w:t>
      </w:r>
      <w:r>
        <w:rPr>
          <w:rFonts w:ascii="Arial" w:cs="Arial" w:eastAsia="Arial" w:hAnsi="Arial"/>
          <w:sz w:val="18"/>
          <w:szCs w:val="18"/>
          <w:color w:val="auto"/>
        </w:rPr>
        <w:t xml:space="preserve"> (v) any such property constitutes Excluded Property or (vi) in accordance with any Intercreditor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6" w:name="page177"/>
    <w:bookmarkEnd w:id="176"/>
    <w:p>
      <w:pPr>
        <w:jc w:val="both"/>
        <w:ind w:firstLine="8"/>
        <w:spacing w:after="0" w:line="250" w:lineRule="auto"/>
        <w:tabs>
          <w:tab w:leader="none" w:pos="509" w:val="left"/>
        </w:tabs>
        <w:numPr>
          <w:ilvl w:val="0"/>
          <w:numId w:val="201"/>
        </w:numPr>
        <w:rPr>
          <w:rFonts w:ascii="Arial" w:cs="Arial" w:eastAsia="Arial" w:hAnsi="Arial"/>
          <w:sz w:val="20"/>
          <w:szCs w:val="20"/>
          <w:color w:val="auto"/>
        </w:rPr>
      </w:pPr>
      <w:r>
        <w:rPr>
          <w:rFonts w:ascii="Arial" w:cs="Arial" w:eastAsia="Arial" w:hAnsi="Arial"/>
          <w:sz w:val="20"/>
          <w:szCs w:val="20"/>
          <w:color w:val="auto"/>
        </w:rPr>
        <w:t xml:space="preserve">to release or subordinate any Lien on any property granted to or held by the Administrative Agent or the Collateral Agent under any Loan Document to the holder of any Lien on such property that is permitted by </w:t>
      </w:r>
      <w:r>
        <w:rPr>
          <w:rFonts w:ascii="Arial" w:cs="Arial" w:eastAsia="Arial" w:hAnsi="Arial"/>
          <w:sz w:val="20"/>
          <w:szCs w:val="20"/>
          <w:u w:val="single" w:color="auto"/>
          <w:color w:val="auto"/>
        </w:rPr>
        <w:t>Sections 7.01(b)</w:t>
      </w:r>
      <w:r>
        <w:rPr>
          <w:rFonts w:ascii="Arial" w:cs="Arial" w:eastAsia="Arial" w:hAnsi="Arial"/>
          <w:sz w:val="20"/>
          <w:szCs w:val="20"/>
          <w:color w:val="auto"/>
        </w:rPr>
        <w:t xml:space="preserve">, </w:t>
      </w:r>
      <w:r>
        <w:rPr>
          <w:rFonts w:ascii="Arial" w:cs="Arial" w:eastAsia="Arial" w:hAnsi="Arial"/>
          <w:sz w:val="20"/>
          <w:szCs w:val="20"/>
          <w:u w:val="single" w:color="auto"/>
          <w:color w:val="auto"/>
        </w:rPr>
        <w:t>7.01(g)</w:t>
      </w:r>
      <w:r>
        <w:rPr>
          <w:rFonts w:ascii="Arial" w:cs="Arial" w:eastAsia="Arial" w:hAnsi="Arial"/>
          <w:sz w:val="20"/>
          <w:szCs w:val="20"/>
          <w:color w:val="auto"/>
        </w:rPr>
        <w:t xml:space="preserve">, </w:t>
      </w:r>
      <w:r>
        <w:rPr>
          <w:rFonts w:ascii="Arial" w:cs="Arial" w:eastAsia="Arial" w:hAnsi="Arial"/>
          <w:sz w:val="20"/>
          <w:szCs w:val="20"/>
          <w:u w:val="single" w:color="auto"/>
          <w:color w:val="auto"/>
        </w:rPr>
        <w:t>7.01(q)</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7.01(s)</w:t>
      </w:r>
      <w:r>
        <w:rPr>
          <w:rFonts w:ascii="Arial" w:cs="Arial" w:eastAsia="Arial" w:hAnsi="Arial"/>
          <w:sz w:val="20"/>
          <w:szCs w:val="20"/>
          <w:color w:val="auto"/>
        </w:rPr>
        <w:t xml:space="preserve"> (in the case of </w:t>
      </w:r>
      <w:r>
        <w:rPr>
          <w:rFonts w:ascii="Arial" w:cs="Arial" w:eastAsia="Arial" w:hAnsi="Arial"/>
          <w:sz w:val="20"/>
          <w:szCs w:val="20"/>
          <w:u w:val="single" w:color="auto"/>
          <w:color w:val="auto"/>
        </w:rPr>
        <w:t>Section 7.01(s)</w:t>
      </w:r>
      <w:r>
        <w:rPr>
          <w:rFonts w:ascii="Arial" w:cs="Arial" w:eastAsia="Arial" w:hAnsi="Arial"/>
          <w:sz w:val="20"/>
          <w:szCs w:val="20"/>
          <w:color w:val="auto"/>
        </w:rPr>
        <w:t>, to the extent required by the terms of the obligations secured by such Liens); and</w:t>
      </w:r>
    </w:p>
    <w:p>
      <w:pPr>
        <w:spacing w:after="0" w:line="185" w:lineRule="exact"/>
        <w:rPr>
          <w:rFonts w:ascii="Arial" w:cs="Arial" w:eastAsia="Arial" w:hAnsi="Arial"/>
          <w:sz w:val="20"/>
          <w:szCs w:val="20"/>
          <w:color w:val="auto"/>
        </w:rPr>
      </w:pPr>
    </w:p>
    <w:p>
      <w:pPr>
        <w:ind w:left="520" w:hanging="512"/>
        <w:spacing w:after="0"/>
        <w:tabs>
          <w:tab w:leader="none" w:pos="52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 xml:space="preserve">that any Guarantor shall be automatically released from its obligations under the Guaranty as provided in </w:t>
      </w:r>
      <w:r>
        <w:rPr>
          <w:rFonts w:ascii="Arial" w:cs="Arial" w:eastAsia="Arial" w:hAnsi="Arial"/>
          <w:sz w:val="20"/>
          <w:szCs w:val="20"/>
          <w:u w:val="single" w:color="auto"/>
          <w:color w:val="auto"/>
        </w:rPr>
        <w:t>Section 11.10</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 xml:space="preserve">Upon request by the Administrative Agent or the Collateral Agent at any time, the Required Lenders will confirm in writing the Administrative Agent’s or the Collateral Agent’s authority to release or subordinate its interest in particular types or items of property, or to release any Guarantor from its obligations under the Guaranty pursuant to this </w:t>
      </w:r>
      <w:r>
        <w:rPr>
          <w:rFonts w:ascii="Arial" w:cs="Arial" w:eastAsia="Arial" w:hAnsi="Arial"/>
          <w:sz w:val="19"/>
          <w:szCs w:val="19"/>
          <w:u w:val="single" w:color="auto"/>
          <w:color w:val="auto"/>
        </w:rPr>
        <w:t>Section 10.19</w:t>
      </w:r>
      <w:r>
        <w:rPr>
          <w:rFonts w:ascii="Arial" w:cs="Arial" w:eastAsia="Arial" w:hAnsi="Arial"/>
          <w:sz w:val="19"/>
          <w:szCs w:val="19"/>
          <w:color w:val="auto"/>
        </w:rPr>
        <w:t xml:space="preserve">. In each case as specified in this </w:t>
      </w:r>
      <w:r>
        <w:rPr>
          <w:rFonts w:ascii="Arial" w:cs="Arial" w:eastAsia="Arial" w:hAnsi="Arial"/>
          <w:sz w:val="19"/>
          <w:szCs w:val="19"/>
          <w:u w:val="single" w:color="auto"/>
          <w:color w:val="auto"/>
        </w:rPr>
        <w:t>Section 10.19</w:t>
      </w:r>
      <w:r>
        <w:rPr>
          <w:rFonts w:ascii="Arial" w:cs="Arial" w:eastAsia="Arial" w:hAnsi="Arial"/>
          <w:sz w:val="19"/>
          <w:szCs w:val="19"/>
          <w:color w:val="auto"/>
        </w:rPr>
        <w:t xml:space="preserve">, the Administrative Agent or the Collateral Agent will (and each Lender irrevocably authorizes the Administrative Agent and the Collateral Agent to), at the Borrower’s expense, execute and deliver to the applicable Loan Party such documents as the Borrower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w:t>
      </w:r>
      <w:r>
        <w:rPr>
          <w:rFonts w:ascii="Arial" w:cs="Arial" w:eastAsia="Arial" w:hAnsi="Arial"/>
          <w:sz w:val="19"/>
          <w:szCs w:val="19"/>
          <w:u w:val="single" w:color="auto"/>
          <w:color w:val="auto"/>
        </w:rPr>
        <w:t>Section 10.19</w:t>
      </w:r>
      <w:r>
        <w:rPr>
          <w:rFonts w:ascii="Arial" w:cs="Arial" w:eastAsia="Arial" w:hAnsi="Arial"/>
          <w:sz w:val="19"/>
          <w:szCs w:val="19"/>
          <w:color w:val="auto"/>
        </w:rPr>
        <w:t>.</w:t>
      </w:r>
    </w:p>
    <w:p>
      <w:pPr>
        <w:spacing w:after="0" w:line="180" w:lineRule="exact"/>
        <w:rPr>
          <w:sz w:val="20"/>
          <w:szCs w:val="20"/>
          <w:color w:val="auto"/>
        </w:rPr>
      </w:pPr>
    </w:p>
    <w:p>
      <w:pPr>
        <w:jc w:val="both"/>
        <w:ind w:firstLine="1497"/>
        <w:spacing w:after="0" w:line="254" w:lineRule="auto"/>
        <w:rPr>
          <w:sz w:val="20"/>
          <w:szCs w:val="20"/>
          <w:color w:val="auto"/>
        </w:rPr>
      </w:pPr>
      <w:r>
        <w:rPr>
          <w:rFonts w:ascii="Arial" w:cs="Arial" w:eastAsia="Arial" w:hAnsi="Arial"/>
          <w:sz w:val="19"/>
          <w:szCs w:val="19"/>
          <w:color w:val="auto"/>
        </w:rPr>
        <w:t xml:space="preserve">Section 10.20. </w:t>
      </w:r>
      <w:r>
        <w:rPr>
          <w:rFonts w:ascii="Arial" w:cs="Arial" w:eastAsia="Arial" w:hAnsi="Arial"/>
          <w:sz w:val="19"/>
          <w:szCs w:val="19"/>
          <w:u w:val="single" w:color="auto"/>
          <w:color w:val="auto"/>
        </w:rPr>
        <w:t>Limitation on Liability</w:t>
      </w:r>
      <w:r>
        <w:rPr>
          <w:rFonts w:ascii="Arial" w:cs="Arial" w:eastAsia="Arial" w:hAnsi="Arial"/>
          <w:sz w:val="19"/>
          <w:szCs w:val="19"/>
          <w:color w:val="auto"/>
        </w:rPr>
        <w:t>. TO THE EXTENT PERMITTED BY APPLICABLE LAW, AND NOTWITHSTANDING ANY OTHER PROVISION OF THIS AGREEMENT OR THE OTHER LOAN DOCUMENTS: (A) NO INDEMNITEE SHALL BE LIABLE TO ANY PARTY FOR ANY INDIRECT, SPECIAL, PUNITIVE OR CONSEQUENTIAL DAMAGES IN CONNECTION WITH THEIR RESPECTIVE ACTIVITIES RELATED TO THIS AGREEMENT, THE OTHER LOAN DOCUMENTS, THE TRANSACTIONS CONTEMPLATED THEREBY, THE TERM LOANS, OR OTHERWISE IN CONNECTION WITH THE FOREGOING; (B) WITHOUT LIMITING THE FOREGOING, NO INDEMNITEE SHALL BE SUBJECT TO ANY EQUITABLE REMEDY OR RELIEF, INCLUDING SPECIFIC PERFORMANCE OR INJUNCTION ARISING OUT OF OR RELATING TO THIS AGREEMENT, THE OTHER LOAN DOCUMENTS, OR THE TRANSACTIONS CONTEMPLATED THEREBY; (C) NO INDEMNITEE SHALL HAVE ANY LIABILITY TO THE LOAN PARTIES, FOR DAMAGES OR OTHERWISE, ARISING OUT OF OR RELATING TO THIS AGREEMENT, THE OTHER LOAN DOCUMENTS, OR THE TRANSACTIONS CONTEMPLATED THEREBY UNTIL THE AMENDMENT NO. 1 EFFECTIVE DATE HAS OCCURRED; AND (D) IN NO EVENT SHALL ANY INDEMNITEE’S LIABILITY TO THE LOAN PARTIES ARISING OUT OF OR RELATING TO THIS AGREEMENT, THE OTHER LOAN DOCUMENTS, OR THE TRANSACTIONS CONTEMPLATED THEREBY EXCEED ACTUAL DIRECT DAMAGES INCURRED BY THE LOAN PARTIES OF UP TO $10,000,000 IN THE AGGREGATE; PROVIDED THAT THE FOREGOING SHALL IN NO EVENT LIMIT THE LENDERS’ INDEMNIFICATION OBLIGATIONS TO THE AGENT INDEMNITEES UNDER SECTION 10.05 OF THIS AGREEMENT; PROVIDED FURTHER THAT SUCH LIMITATION OF LIABILITY SHALL NOT APPLY TO LIABILITY RESULTING FROM FRAUD BY THE INDEMNITEES</w:t>
      </w:r>
    </w:p>
    <w:p>
      <w:pPr>
        <w:spacing w:after="0" w:line="187"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8"/>
          <w:szCs w:val="18"/>
          <w:color w:val="auto"/>
        </w:rPr>
        <w:t xml:space="preserve">Section 10.21. </w:t>
      </w:r>
      <w:r>
        <w:rPr>
          <w:rFonts w:ascii="Arial" w:cs="Arial" w:eastAsia="Arial" w:hAnsi="Arial"/>
          <w:sz w:val="18"/>
          <w:szCs w:val="18"/>
          <w:i w:val="1"/>
          <w:iCs w:val="1"/>
          <w:color w:val="auto"/>
        </w:rPr>
        <w:t>Payments Set Aside.</w:t>
      </w:r>
      <w:r>
        <w:rPr>
          <w:rFonts w:ascii="Arial" w:cs="Arial" w:eastAsia="Arial" w:hAnsi="Arial"/>
          <w:sz w:val="18"/>
          <w:szCs w:val="18"/>
          <w:color w:val="auto"/>
        </w:rPr>
        <w:t xml:space="preserve"> To the extent that any payment by or on behalf of the Borrower or any other Loan Party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to the fullest extent possible under provisions of applicable Law, be revived and continued in full force and effect as if such payment had not been made or such setoff had not occurred, and (b) each Lender severally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7" w:name="page178"/>
    <w:bookmarkEnd w:id="177"/>
    <w:p>
      <w:pPr>
        <w:jc w:val="both"/>
        <w:spacing w:after="0" w:line="250" w:lineRule="auto"/>
        <w:rPr>
          <w:sz w:val="20"/>
          <w:szCs w:val="20"/>
          <w:color w:val="auto"/>
        </w:rPr>
      </w:pPr>
      <w:r>
        <w:rPr>
          <w:rFonts w:ascii="Arial" w:cs="Arial" w:eastAsia="Arial" w:hAnsi="Arial"/>
          <w:sz w:val="20"/>
          <w:szCs w:val="20"/>
          <w:color w:val="auto"/>
        </w:rPr>
        <w:t>agrees to pay to the Administrative Agent upon demand its applicable share of any amount so recovered from or repaid by any Agent, plus interest thereon from the date of such demand to the date such payment is made at a rate per annum equal to the applicable Federal Funds Effective Rate from time to time in effect.</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10.22. </w:t>
      </w:r>
      <w:r>
        <w:rPr>
          <w:rFonts w:ascii="Arial" w:cs="Arial" w:eastAsia="Arial" w:hAnsi="Arial"/>
          <w:sz w:val="20"/>
          <w:szCs w:val="20"/>
          <w:i w:val="1"/>
          <w:iCs w:val="1"/>
          <w:color w:val="auto"/>
        </w:rPr>
        <w:t>No Advisory or Fiduciary Responsibility</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70" w:lineRule="auto"/>
        <w:tabs>
          <w:tab w:leader="none" w:pos="50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connection with all aspects of each transaction contemplated hereby, each Loan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Subsidiaries, on the one hand, and the Agents and the Lenders, on the other hand, and the Borrower and its Subsidiaries are capable of evaluating and understanding and understands and accepts the terms, risks and conditions of the transactions contemplated hereby and by the other Loan Documents (including any amendment, waiver or other modification hereof or thereof), (ii) the Agents, the Lenders and their respective Affiliates may be engaged in a broad range of transactions that involve interests that differ from, and may conflict with, those of the Borrower and its Affiliates, and none of the Agents or the Lenders has any obligation to disclose any of such interests by virtue of any advisory, agency or fiduciary relationship, and (iii) the Agents and the Lenders have not provided and will not provide any legal, accounting, regulatory or tax advice with respect to any of the transactions contemplated hereby (including any amendment, waiver or other modification hereof or of any other Loan Document) and the Loan Parties have consulted their own legal, accounting, regulatory and tax advisors to the extent they have deemed appropriate.</w:t>
      </w:r>
    </w:p>
    <w:p>
      <w:pPr>
        <w:spacing w:after="0" w:line="175" w:lineRule="exact"/>
        <w:rPr>
          <w:rFonts w:ascii="Arial" w:cs="Arial" w:eastAsia="Arial" w:hAnsi="Arial"/>
          <w:sz w:val="18"/>
          <w:szCs w:val="18"/>
          <w:color w:val="auto"/>
        </w:rPr>
      </w:pPr>
    </w:p>
    <w:p>
      <w:pPr>
        <w:jc w:val="both"/>
        <w:ind w:firstLine="8"/>
        <w:spacing w:after="0" w:line="243" w:lineRule="auto"/>
        <w:tabs>
          <w:tab w:leader="none" w:pos="509" w:val="left"/>
        </w:tabs>
        <w:numPr>
          <w:ilvl w:val="0"/>
          <w:numId w:val="202"/>
        </w:numPr>
        <w:rPr>
          <w:rFonts w:ascii="Arial" w:cs="Arial" w:eastAsia="Arial" w:hAnsi="Arial"/>
          <w:sz w:val="20"/>
          <w:szCs w:val="20"/>
          <w:color w:val="auto"/>
        </w:rPr>
      </w:pPr>
      <w:r>
        <w:rPr>
          <w:rFonts w:ascii="Arial" w:cs="Arial" w:eastAsia="Arial" w:hAnsi="Arial"/>
          <w:sz w:val="20"/>
          <w:szCs w:val="20"/>
          <w:color w:val="auto"/>
        </w:rPr>
        <w:t>Each Loan Party acknowledges and agrees that each Lender and any of its affiliates may lend money to, invest in, and generally engage in any kind of business with, the Borrower, any of its Affiliates or any other person or entity that may do business with or own securities of any of the foregoing, all as if such Lender or Affiliate thereof were not a Lender (or an agent or any other person with any similar role under the Facilities) and without any duty to account therefor to any other Lender, the Borrower or any Affiliate of the foregoing. Each Lender and any of its Affiliates may accept fees and other consideration from the Borrower or any of its Affiliates for services in connection with this Agreement, the Facilities, the commitment letter or otherwise without having to account for the same to any other Lender, the Borrower or any Affiliate of the foregoing.</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10.23. </w:t>
      </w:r>
      <w:r>
        <w:rPr>
          <w:rFonts w:ascii="Arial" w:cs="Arial" w:eastAsia="Arial" w:hAnsi="Arial"/>
          <w:sz w:val="20"/>
          <w:szCs w:val="20"/>
          <w:i w:val="1"/>
          <w:iCs w:val="1"/>
          <w:color w:val="auto"/>
        </w:rPr>
        <w:t>Intercreditor Agreements</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55" w:lineRule="auto"/>
        <w:tabs>
          <w:tab w:leader="none" w:pos="509"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The Administrative Agent is authorized to become a party to the ABL Intercreditor Agreement (and enter into the ABL Intercreditor Agreement in respect of any Permitted Refinancing of ABL Facility Indebtedness), and each of the parties hereto acknowledges that it has received a copy of the ABL Intercreditor Agreement and that the ABL Intercreditor Agreement is binding upon it. Each Lender (a) hereby consents to the subordination of the Liens on the ABL Priority Collateral securing the Obligations on the terms set forth in the ABL Intercreditor Agreement, (b) hereby agrees that it will be bound by and will take no actions contrary to the provisions of the ABL Intercreditor Agreement and (c) hereby authorizes and instructs the Administrative Agent to enter into the ABL Intercreditor Agreement and any amendments or supplements expressly contemplated thereby, and to subject the Liens on the ABL Priority Collateral securing the Obligations to the provisions of the ABL Intercreditor Agreement. The foregoing provisions are intended as an inducement to the ABL Secured Parties to extend credit to the borrowers under the ABL Credit Agreement and such ABL Secured Parties are intended third-party beneficiaries of such provisions and the provisions of the ABL Intercreditor Agreement.</w:t>
      </w:r>
    </w:p>
    <w:p>
      <w:pPr>
        <w:spacing w:after="0" w:line="189" w:lineRule="exact"/>
        <w:rPr>
          <w:rFonts w:ascii="Arial" w:cs="Arial" w:eastAsia="Arial" w:hAnsi="Arial"/>
          <w:sz w:val="19"/>
          <w:szCs w:val="19"/>
          <w:color w:val="auto"/>
        </w:rPr>
      </w:pPr>
    </w:p>
    <w:p>
      <w:pPr>
        <w:ind w:firstLine="8"/>
        <w:spacing w:after="0" w:line="260" w:lineRule="auto"/>
        <w:tabs>
          <w:tab w:leader="none" w:pos="509" w:val="left"/>
        </w:tabs>
        <w:numPr>
          <w:ilvl w:val="0"/>
          <w:numId w:val="203"/>
        </w:numPr>
        <w:rPr>
          <w:rFonts w:ascii="Arial" w:cs="Arial" w:eastAsia="Arial" w:hAnsi="Arial"/>
          <w:sz w:val="20"/>
          <w:szCs w:val="20"/>
          <w:color w:val="auto"/>
        </w:rPr>
      </w:pPr>
      <w:r>
        <w:rPr>
          <w:rFonts w:ascii="Arial" w:cs="Arial" w:eastAsia="Arial" w:hAnsi="Arial"/>
          <w:sz w:val="20"/>
          <w:szCs w:val="20"/>
          <w:color w:val="auto"/>
        </w:rPr>
        <w:t>The Administrative Agent is authorized to enter into the Junior Lien Intercreditor Agreement, and each of the parties hereto acknowledges that each such agreement shall be binding upon it. Each Lender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8" w:name="page179"/>
    <w:bookmarkEnd w:id="178"/>
    <w:p>
      <w:pPr>
        <w:jc w:val="both"/>
        <w:ind w:firstLine="517"/>
        <w:spacing w:after="0" w:line="257" w:lineRule="auto"/>
        <w:tabs>
          <w:tab w:leader="none" w:pos="795" w:val="left"/>
        </w:tabs>
        <w:numPr>
          <w:ilvl w:val="1"/>
          <w:numId w:val="204"/>
        </w:numPr>
        <w:rPr>
          <w:rFonts w:ascii="Arial" w:cs="Arial" w:eastAsia="Arial" w:hAnsi="Arial"/>
          <w:sz w:val="19"/>
          <w:szCs w:val="19"/>
          <w:color w:val="auto"/>
        </w:rPr>
      </w:pPr>
      <w:r>
        <w:rPr>
          <w:rFonts w:ascii="Arial" w:cs="Arial" w:eastAsia="Arial" w:hAnsi="Arial"/>
          <w:sz w:val="19"/>
          <w:szCs w:val="19"/>
          <w:color w:val="auto"/>
        </w:rPr>
        <w:t>hereby consents to the intercreditor agreements in respect of the Collateral securing the Obligations on the terms set forth in the Junior Lien Intercreditor Agreement, (b) hereby agrees that it will be bound by and will take no actions contrary to the provisions of the Junior Lien Intercreditor Agreement and (c) hereby authorizes and instructs the Administrative Agent to enter into the Junior Lien Intercreditor Agreement and, without the further consent, direction or other action of any Lender, to enter into any amendments or supplements thereto, in each case solely if the form of the agreement as so amended or supplemented would constitute the Junior Lien Intercreditor Agreement, as applicable, if being entered into as an original agreement. The foregoing provisions are intended as an inducement to the parties providing any Permitted Junior Priority Additional Debt to extend credit to the borrowers thereof and such parties are intended third-party beneficiaries of such provisions and the provisions of the Junior Lien Intercreditor Agreement.</w:t>
      </w:r>
    </w:p>
    <w:p>
      <w:pPr>
        <w:spacing w:after="0" w:line="180" w:lineRule="exact"/>
        <w:rPr>
          <w:rFonts w:ascii="Arial" w:cs="Arial" w:eastAsia="Arial" w:hAnsi="Arial"/>
          <w:sz w:val="19"/>
          <w:szCs w:val="19"/>
          <w:color w:val="auto"/>
        </w:rPr>
      </w:pPr>
    </w:p>
    <w:p>
      <w:pPr>
        <w:ind w:firstLine="8"/>
        <w:spacing w:after="0" w:line="260" w:lineRule="auto"/>
        <w:tabs>
          <w:tab w:leader="none" w:pos="509" w:val="left"/>
        </w:tabs>
        <w:numPr>
          <w:ilvl w:val="0"/>
          <w:numId w:val="205"/>
        </w:numPr>
        <w:rPr>
          <w:rFonts w:ascii="Arial" w:cs="Arial" w:eastAsia="Arial" w:hAnsi="Arial"/>
          <w:sz w:val="20"/>
          <w:szCs w:val="20"/>
          <w:color w:val="auto"/>
        </w:rPr>
      </w:pPr>
      <w:r>
        <w:rPr>
          <w:rFonts w:ascii="Arial" w:cs="Arial" w:eastAsia="Arial" w:hAnsi="Arial"/>
          <w:sz w:val="20"/>
          <w:szCs w:val="20"/>
          <w:color w:val="auto"/>
        </w:rPr>
        <w:t xml:space="preserve">The extent of any conflict between the Loan Documents, on the one hand, and the ABL Intercreditor Agreement or other intercreditor agreement contemplated by this </w:t>
      </w:r>
      <w:r>
        <w:rPr>
          <w:rFonts w:ascii="Arial" w:cs="Arial" w:eastAsia="Arial" w:hAnsi="Arial"/>
          <w:sz w:val="20"/>
          <w:szCs w:val="20"/>
          <w:u w:val="single" w:color="auto"/>
          <w:color w:val="auto"/>
        </w:rPr>
        <w:t>Section 10.23</w:t>
      </w:r>
      <w:r>
        <w:rPr>
          <w:rFonts w:ascii="Arial" w:cs="Arial" w:eastAsia="Arial" w:hAnsi="Arial"/>
          <w:sz w:val="20"/>
          <w:szCs w:val="20"/>
          <w:color w:val="auto"/>
        </w:rPr>
        <w:t>, on the other hand, such intercreditor agreement shall control.</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ARTICLE 11</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G</w:t>
      </w:r>
      <w:r>
        <w:rPr>
          <w:rFonts w:ascii="Arial" w:cs="Arial" w:eastAsia="Arial" w:hAnsi="Arial"/>
          <w:sz w:val="13"/>
          <w:szCs w:val="13"/>
          <w:color w:val="auto"/>
        </w:rPr>
        <w:t>uarantee</w:t>
      </w:r>
    </w:p>
    <w:p>
      <w:pPr>
        <w:spacing w:after="0" w:line="200"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The Guarantee.</w:t>
      </w:r>
      <w:r>
        <w:rPr>
          <w:rFonts w:ascii="Arial" w:cs="Arial" w:eastAsia="Arial" w:hAnsi="Arial"/>
          <w:sz w:val="18"/>
          <w:szCs w:val="18"/>
          <w:color w:val="auto"/>
        </w:rPr>
        <w:t xml:space="preserve"> Each Guarantor hereby jointly and severally with the other Guarantors guarantees, as a primary obligor and not as a surety to each Secured Party and their respective permitted successors and assigns, the prompt payment in full when due (whether at stated maturity, by required prepayment, declaration, demand, by acceleration or otherwise) of the principal of and interest (including any interest, fees, costs or charges that would accrue but for the provisions of (i) Title 11 of the United States Code after any bankruptcy or insolvency petition under Title 11 of the United States Code and (ii) any other Debtor Relief Laws, whether or not such items are allowed or allowable as a claim in any applicable proceeding) on the Loans made by the Lenders to, and the Term Notes (if any) issued hereunder and held by each Lender of, the Borrower, and all other Obligations from time to time owing to the Secured Parties by any other Loan Party under any Loan Document strictly in accordance with the terms thereof (such obligations being herein collectively called the “</w:t>
      </w:r>
      <w:r>
        <w:rPr>
          <w:rFonts w:ascii="Arial" w:cs="Arial" w:eastAsia="Arial" w:hAnsi="Arial"/>
          <w:sz w:val="18"/>
          <w:szCs w:val="18"/>
          <w:b w:val="1"/>
          <w:bCs w:val="1"/>
          <w:color w:val="auto"/>
        </w:rPr>
        <w:t>Guaranteed Obligations</w:t>
      </w:r>
      <w:r>
        <w:rPr>
          <w:rFonts w:ascii="Arial" w:cs="Arial" w:eastAsia="Arial" w:hAnsi="Arial"/>
          <w:sz w:val="18"/>
          <w:szCs w:val="18"/>
          <w:color w:val="auto"/>
        </w:rPr>
        <w:t>”). The Guarantors hereby jointly and severally agree that if the Borrower or other Guarantor(s)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72"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19"/>
          <w:szCs w:val="19"/>
          <w:color w:val="auto"/>
        </w:rPr>
        <w:t xml:space="preserve">Section 11.02. </w:t>
      </w:r>
      <w:r>
        <w:rPr>
          <w:rFonts w:ascii="Arial" w:cs="Arial" w:eastAsia="Arial" w:hAnsi="Arial"/>
          <w:sz w:val="19"/>
          <w:szCs w:val="19"/>
          <w:i w:val="1"/>
          <w:iCs w:val="1"/>
          <w:color w:val="auto"/>
        </w:rPr>
        <w:t>Obligations Unconditional.</w:t>
      </w:r>
      <w:r>
        <w:rPr>
          <w:rFonts w:ascii="Arial" w:cs="Arial" w:eastAsia="Arial" w:hAnsi="Arial"/>
          <w:sz w:val="19"/>
          <w:szCs w:val="19"/>
          <w:color w:val="auto"/>
        </w:rPr>
        <w:t xml:space="preserve"> The obligations of the Guarantors under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shall constitute a guaranty of payment and to the fullest extent permitted by applicable Law, are absolute, irrevocable and unconditional, joint and several, irrespective of the value, genuineness, validity, regularity or enforceability of the Guaranteed Obligations of the Borrower or any other Guarantor under this Agreement, any Term Notes issued under this Agreement,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Without limiting the generality of the foregoing, it is agreed that the occurrence of any one or more of the following shall not alter or impair the liability of the Guarantors hereunder which shall remain absolute, irrevocable and unconditional under any and all circumstances as described above:</w:t>
      </w:r>
    </w:p>
    <w:p>
      <w:pPr>
        <w:spacing w:after="0" w:line="184" w:lineRule="exact"/>
        <w:rPr>
          <w:sz w:val="20"/>
          <w:szCs w:val="20"/>
          <w:color w:val="auto"/>
        </w:rPr>
      </w:pPr>
    </w:p>
    <w:p>
      <w:pPr>
        <w:ind w:left="2720" w:firstLine="837"/>
        <w:spacing w:after="0" w:line="260" w:lineRule="auto"/>
        <w:tabs>
          <w:tab w:leader="none" w:pos="4083" w:val="left"/>
        </w:tabs>
        <w:numPr>
          <w:ilvl w:val="0"/>
          <w:numId w:val="206"/>
        </w:numPr>
        <w:rPr>
          <w:rFonts w:ascii="Arial" w:cs="Arial" w:eastAsia="Arial" w:hAnsi="Arial"/>
          <w:sz w:val="20"/>
          <w:szCs w:val="20"/>
          <w:color w:val="auto"/>
        </w:rPr>
      </w:pPr>
      <w:r>
        <w:rPr>
          <w:rFonts w:ascii="Arial" w:cs="Arial" w:eastAsia="Arial" w:hAnsi="Arial"/>
          <w:sz w:val="20"/>
          <w:szCs w:val="20"/>
          <w:color w:val="auto"/>
        </w:rPr>
        <w:t>at any time or from time to time, without notice to the Guarantors, to the extent permitted by Law, the time for any performance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9" w:name="page180"/>
    <w:bookmarkEnd w:id="179"/>
    <w:p>
      <w:pPr>
        <w:ind w:left="2720"/>
        <w:spacing w:after="0" w:line="260" w:lineRule="auto"/>
        <w:rPr>
          <w:sz w:val="20"/>
          <w:szCs w:val="20"/>
          <w:color w:val="auto"/>
        </w:rPr>
      </w:pPr>
      <w:r>
        <w:rPr>
          <w:rFonts w:ascii="Arial" w:cs="Arial" w:eastAsia="Arial" w:hAnsi="Arial"/>
          <w:sz w:val="20"/>
          <w:szCs w:val="20"/>
          <w:color w:val="auto"/>
        </w:rPr>
        <w:t>or compliance with any of the Guaranteed Obligations shall be extended, or such performance or compliance shall be waived;</w:t>
      </w:r>
    </w:p>
    <w:p>
      <w:pPr>
        <w:spacing w:after="0" w:line="177" w:lineRule="exact"/>
        <w:rPr>
          <w:sz w:val="20"/>
          <w:szCs w:val="20"/>
          <w:color w:val="auto"/>
        </w:rPr>
      </w:pPr>
    </w:p>
    <w:p>
      <w:pPr>
        <w:ind w:left="2720" w:firstLine="837"/>
        <w:spacing w:after="0" w:line="316" w:lineRule="auto"/>
        <w:tabs>
          <w:tab w:leader="none" w:pos="408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of the acts mentioned in any of the provisions of this Agreement or the Term Notes, if any, or any other agreement or instrument referred to herein or therein shall be done or omitted;</w:t>
      </w:r>
    </w:p>
    <w:p>
      <w:pPr>
        <w:spacing w:after="0" w:line="129" w:lineRule="exact"/>
        <w:rPr>
          <w:rFonts w:ascii="Arial" w:cs="Arial" w:eastAsia="Arial" w:hAnsi="Arial"/>
          <w:sz w:val="18"/>
          <w:szCs w:val="18"/>
          <w:color w:val="auto"/>
        </w:rPr>
      </w:pPr>
    </w:p>
    <w:p>
      <w:pPr>
        <w:jc w:val="both"/>
        <w:ind w:left="2720" w:firstLine="837"/>
        <w:spacing w:after="0" w:line="244" w:lineRule="auto"/>
        <w:tabs>
          <w:tab w:leader="none" w:pos="4083" w:val="left"/>
        </w:tabs>
        <w:numPr>
          <w:ilvl w:val="0"/>
          <w:numId w:val="207"/>
        </w:numPr>
        <w:rPr>
          <w:rFonts w:ascii="Arial" w:cs="Arial" w:eastAsia="Arial" w:hAnsi="Arial"/>
          <w:sz w:val="20"/>
          <w:szCs w:val="20"/>
          <w:color w:val="auto"/>
        </w:rPr>
      </w:pPr>
      <w:r>
        <w:rPr>
          <w:rFonts w:ascii="Arial" w:cs="Arial" w:eastAsia="Arial" w:hAnsi="Arial"/>
          <w:sz w:val="20"/>
          <w:szCs w:val="20"/>
          <w:color w:val="auto"/>
        </w:rPr>
        <w:t>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94" w:lineRule="exact"/>
        <w:rPr>
          <w:rFonts w:ascii="Arial" w:cs="Arial" w:eastAsia="Arial" w:hAnsi="Arial"/>
          <w:sz w:val="20"/>
          <w:szCs w:val="20"/>
          <w:color w:val="auto"/>
        </w:rPr>
      </w:pPr>
    </w:p>
    <w:p>
      <w:pPr>
        <w:ind w:left="2720" w:firstLine="837"/>
        <w:spacing w:after="0" w:line="260" w:lineRule="auto"/>
        <w:tabs>
          <w:tab w:leader="none" w:pos="4083"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any Lien or security interest granted to, or in favor of, any Secured Party or Agent as security for any of the Guaranteed Obligations shall fail to be perfected; or</w:t>
      </w:r>
    </w:p>
    <w:p>
      <w:pPr>
        <w:spacing w:after="0" w:line="176" w:lineRule="exact"/>
        <w:rPr>
          <w:rFonts w:ascii="Arial" w:cs="Arial" w:eastAsia="Arial" w:hAnsi="Arial"/>
          <w:sz w:val="20"/>
          <w:szCs w:val="20"/>
          <w:color w:val="auto"/>
        </w:rPr>
      </w:pPr>
    </w:p>
    <w:p>
      <w:pPr>
        <w:ind w:left="4080" w:hanging="523"/>
        <w:spacing w:after="0"/>
        <w:tabs>
          <w:tab w:leader="none" w:pos="408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 xml:space="preserve">the release of any other Guarantor pursuant to </w:t>
      </w:r>
      <w:r>
        <w:rPr>
          <w:rFonts w:ascii="Arial" w:cs="Arial" w:eastAsia="Arial" w:hAnsi="Arial"/>
          <w:sz w:val="20"/>
          <w:szCs w:val="20"/>
          <w:u w:val="single" w:color="auto"/>
          <w:color w:val="auto"/>
        </w:rPr>
        <w:t>Section 11.10</w:t>
      </w:r>
      <w:r>
        <w:rPr>
          <w:rFonts w:ascii="Arial" w:cs="Arial" w:eastAsia="Arial" w:hAnsi="Arial"/>
          <w:sz w:val="20"/>
          <w:szCs w:val="20"/>
          <w:color w:val="auto"/>
        </w:rPr>
        <w:t>.</w:t>
      </w:r>
    </w:p>
    <w:p>
      <w:pPr>
        <w:spacing w:after="0" w:line="216" w:lineRule="exact"/>
        <w:rPr>
          <w:sz w:val="20"/>
          <w:szCs w:val="20"/>
          <w:color w:val="auto"/>
        </w:rPr>
      </w:pPr>
    </w:p>
    <w:p>
      <w:pPr>
        <w:jc w:val="both"/>
        <w:ind w:firstLine="1497"/>
        <w:spacing w:after="0" w:line="303"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i w:val="1"/>
          <w:iCs w:val="1"/>
          <w:color w:val="auto"/>
        </w:rPr>
        <w:t>Certain Waivers. Etc.</w:t>
      </w:r>
      <w:r>
        <w:rPr>
          <w:rFonts w:ascii="Arial" w:cs="Arial" w:eastAsia="Arial" w:hAnsi="Arial"/>
          <w:sz w:val="16"/>
          <w:szCs w:val="16"/>
          <w:color w:val="auto"/>
        </w:rPr>
        <w:t xml:space="preserve"> The Guarantors hereby expressly waive (to the extent permitted by applicable Law) diligence, presentment, demand of payment, protest and, to the extent permitted by Law, all notices whatsoever, and any requirement that any Secured Party exhaust any right, power or remedy or proceed against the Borrower under this Agreement or the Term Notes issued hereunder, if any, or any other agreement or instrument referred to herein or therein, or against any other person under any other guarantee of, or security for, any of the Guaranteed Obligations. The Guarantors waive, to the extent permitted by Law, any and all notice of the creation, renewal, extension, waiver, termination or accrual of any of the Guaranteed Obligations and notice of or proof of reliance by any Secured Party upon this Guarantee or acceptance of this Guarantee, and the Guaranteed Obligations, and any of them, shall conclusively be deemed to have been created, contracted or incurred in reliance upon this Guarantee, and all dealings between the Borrower and the Secured Parties shall likewise be conclusively presumed to have been had or consummated in reliance upon this Guarantee. This Guarantee shall be construed as a continuing, absolute, irrevocable and unconditional guarantee of payment without regard to any right of offset with respect to the Guaranteed Obligations at any time or from time to time held by Secured Parties, and the obligations and liabilities of the Guarantors hereunder shall not be conditioned or contingent upon the pursuit by the Secured Parties or any other Person at any time of any right or remedy against the Borrower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Guarantors and the successors and permitted assigns thereof, and shall inure to the benefit of the Secured Parties, and their respective successors and permitted assigns, notwithstanding that from time to time during the term of this Agreement there may be no Guaranteed Obligations outstanding. Each Guarantor waives (to the extent permitted by Law) any rights and defenses that are or may become available to it by reason of §§ 2787 to 2855, inclusive, and §§ 2899 and 3433 of the California Civil Code. As provided in </w:t>
      </w:r>
      <w:r>
        <w:rPr>
          <w:rFonts w:ascii="Arial" w:cs="Arial" w:eastAsia="Arial" w:hAnsi="Arial"/>
          <w:sz w:val="16"/>
          <w:szCs w:val="16"/>
          <w:u w:val="single" w:color="auto"/>
          <w:color w:val="auto"/>
        </w:rPr>
        <w:t>Section 10.07</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shall be governed by, and construed in accordance with, the laws of the State of New York. The foregoing waivers and the provisions hereinafter set forth in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which pertain to California law are included solely out of an abundance of caution, and shall not be construed to mean that any of the above-referenced provisions of California law are in any way applicable to this </w:t>
      </w:r>
      <w:r>
        <w:rPr>
          <w:rFonts w:ascii="Arial" w:cs="Arial" w:eastAsia="Arial" w:hAnsi="Arial"/>
          <w:sz w:val="16"/>
          <w:szCs w:val="16"/>
          <w:u w:val="single" w:color="auto"/>
          <w:color w:val="auto"/>
        </w:rPr>
        <w:t>Article 11</w:t>
      </w:r>
      <w:r>
        <w:rPr>
          <w:rFonts w:ascii="Arial" w:cs="Arial" w:eastAsia="Arial" w:hAnsi="Arial"/>
          <w:sz w:val="16"/>
          <w:szCs w:val="16"/>
          <w:color w:val="auto"/>
        </w:rPr>
        <w:t>, to any other provision of this Agreement or to the Obligations.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0" w:name="page181"/>
    <w:bookmarkEnd w:id="180"/>
    <w:p>
      <w:pPr>
        <w:jc w:val="both"/>
        <w:ind w:firstLine="1497"/>
        <w:spacing w:after="0" w:line="246" w:lineRule="auto"/>
        <w:rPr>
          <w:sz w:val="20"/>
          <w:szCs w:val="20"/>
          <w:color w:val="auto"/>
        </w:rPr>
      </w:pPr>
      <w:r>
        <w:rPr>
          <w:rFonts w:ascii="Arial" w:cs="Arial" w:eastAsia="Arial" w:hAnsi="Arial"/>
          <w:sz w:val="20"/>
          <w:szCs w:val="20"/>
          <w:color w:val="auto"/>
        </w:rPr>
        <w:t xml:space="preserve">Section 11.04. </w:t>
      </w:r>
      <w:r>
        <w:rPr>
          <w:rFonts w:ascii="Arial" w:cs="Arial" w:eastAsia="Arial" w:hAnsi="Arial"/>
          <w:sz w:val="20"/>
          <w:szCs w:val="20"/>
          <w:i w:val="1"/>
          <w:iCs w:val="1"/>
          <w:color w:val="auto"/>
        </w:rPr>
        <w:t>Reinstatement.</w:t>
      </w:r>
      <w:r>
        <w:rPr>
          <w:rFonts w:ascii="Arial" w:cs="Arial" w:eastAsia="Arial" w:hAnsi="Arial"/>
          <w:sz w:val="20"/>
          <w:szCs w:val="20"/>
          <w:color w:val="auto"/>
        </w:rPr>
        <w:t xml:space="preserve"> The obligations of the Guarantors under this </w:t>
      </w:r>
      <w:r>
        <w:rPr>
          <w:rFonts w:ascii="Arial" w:cs="Arial" w:eastAsia="Arial" w:hAnsi="Arial"/>
          <w:sz w:val="20"/>
          <w:szCs w:val="20"/>
          <w:u w:val="single" w:color="auto"/>
          <w:color w:val="auto"/>
        </w:rPr>
        <w:t>Article 11</w:t>
      </w:r>
      <w:r>
        <w:rPr>
          <w:rFonts w:ascii="Arial" w:cs="Arial" w:eastAsia="Arial" w:hAnsi="Arial"/>
          <w:sz w:val="20"/>
          <w:szCs w:val="20"/>
          <w:color w:val="auto"/>
        </w:rPr>
        <w:t xml:space="preserve"> shall be automatically reinstated if and to the extent that for any reason any payment by or on behalf of the Borrower or other Loan Party in respect of the Guaranteed Obligations is rescinded or must be otherwise restored by any holder of any of the Guaranteed Obligations, whether as a result of any proceedings in bankruptcy or reorganization or otherwise.</w:t>
      </w:r>
    </w:p>
    <w:p>
      <w:pPr>
        <w:spacing w:after="0" w:line="191"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19"/>
          <w:szCs w:val="19"/>
          <w:color w:val="auto"/>
        </w:rPr>
        <w:t xml:space="preserve">Section 11.05. </w:t>
      </w:r>
      <w:r>
        <w:rPr>
          <w:rFonts w:ascii="Arial" w:cs="Arial" w:eastAsia="Arial" w:hAnsi="Arial"/>
          <w:sz w:val="19"/>
          <w:szCs w:val="19"/>
          <w:i w:val="1"/>
          <w:iCs w:val="1"/>
          <w:color w:val="auto"/>
        </w:rPr>
        <w:t>Subrogation; Subordination.</w:t>
      </w:r>
      <w:r>
        <w:rPr>
          <w:rFonts w:ascii="Arial" w:cs="Arial" w:eastAsia="Arial" w:hAnsi="Arial"/>
          <w:sz w:val="19"/>
          <w:szCs w:val="19"/>
          <w:color w:val="auto"/>
        </w:rPr>
        <w:t xml:space="preserve"> Each Guarantor hereby agrees that until the payment and satisfaction in full in cash of all Guaranteed Obligations (other than contingent obligations) and the expiration and termination of the Commitments of the Lenders under this Agreement it shall waive any claim and shall not exercise any right or remedy, direct or indirect, arising by reason of any performance by it of its guarantee in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whether by subrogation or otherwise, against the Borrower or any other Guarantor of any of the Guaranteed Obligations or any security for any of the Guaranteed Obligations. Any Indebtedness of any Loan Party to any Person that is not a Loan Party permitted pursuant to </w:t>
      </w:r>
      <w:r>
        <w:rPr>
          <w:rFonts w:ascii="Arial" w:cs="Arial" w:eastAsia="Arial" w:hAnsi="Arial"/>
          <w:sz w:val="19"/>
          <w:szCs w:val="19"/>
          <w:u w:val="single" w:color="auto"/>
          <w:color w:val="auto"/>
        </w:rPr>
        <w:t>Section 7.03(b)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7.03(d)</w:t>
      </w:r>
      <w:r>
        <w:rPr>
          <w:rFonts w:ascii="Arial" w:cs="Arial" w:eastAsia="Arial" w:hAnsi="Arial"/>
          <w:sz w:val="19"/>
          <w:szCs w:val="19"/>
          <w:color w:val="auto"/>
        </w:rPr>
        <w:t xml:space="preserve"> shall be subordinated to such Loan Party’s Obligations in an manner reasonably acceptable to the Required Lenders.</w:t>
      </w:r>
    </w:p>
    <w:p>
      <w:pPr>
        <w:spacing w:after="0" w:line="185"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Remedies.</w:t>
      </w:r>
      <w:r>
        <w:rPr>
          <w:rFonts w:ascii="Arial" w:cs="Arial" w:eastAsia="Arial" w:hAnsi="Arial"/>
          <w:sz w:val="18"/>
          <w:szCs w:val="18"/>
          <w:color w:val="auto"/>
        </w:rPr>
        <w:t xml:space="preserve"> The Guarantors jointly and severally agree that, as between the Guarantors and the Lenders, the obligations of the Borrower under this Agreement and the Term Notes issued hereunder, if any, may be declared to be forthwith due and payable as provided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shall be deemed to have become automatically due and payable in the circumstances provided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for purposes of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68"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 xml:space="preserve">Section 11.07. </w:t>
      </w:r>
      <w:r>
        <w:rPr>
          <w:rFonts w:ascii="Arial" w:cs="Arial" w:eastAsia="Arial" w:hAnsi="Arial"/>
          <w:sz w:val="20"/>
          <w:szCs w:val="20"/>
          <w:i w:val="1"/>
          <w:iCs w:val="1"/>
          <w:color w:val="auto"/>
        </w:rPr>
        <w:t>Instrument for the Payment of Money.</w:t>
      </w:r>
      <w:r>
        <w:rPr>
          <w:rFonts w:ascii="Arial" w:cs="Arial" w:eastAsia="Arial" w:hAnsi="Arial"/>
          <w:sz w:val="20"/>
          <w:szCs w:val="20"/>
          <w:color w:val="auto"/>
        </w:rPr>
        <w:t xml:space="preserve"> Each Guarantor hereby acknowledges that the guarantee in this </w:t>
      </w:r>
      <w:r>
        <w:rPr>
          <w:rFonts w:ascii="Arial" w:cs="Arial" w:eastAsia="Arial" w:hAnsi="Arial"/>
          <w:sz w:val="20"/>
          <w:szCs w:val="20"/>
          <w:u w:val="single" w:color="auto"/>
          <w:color w:val="auto"/>
        </w:rPr>
        <w:t>Article 11</w:t>
      </w:r>
      <w:r>
        <w:rPr>
          <w:rFonts w:ascii="Arial" w:cs="Arial" w:eastAsia="Arial" w:hAnsi="Arial"/>
          <w:sz w:val="20"/>
          <w:szCs w:val="20"/>
          <w:color w:val="auto"/>
        </w:rPr>
        <w:t xml:space="preserve"> constitutes an instrument for the payment of money, and consents and agrees that any Secured Party or Agent, at its sole option, in the event of a dispute by such Guarantor in the payment of any moneys due hereunder, shall have the right to bring a motion-action under New York CPLR Section 3213.</w:t>
      </w:r>
    </w:p>
    <w:p>
      <w:pPr>
        <w:spacing w:after="0" w:line="191"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 xml:space="preserve">Section 11.08. </w:t>
      </w:r>
      <w:r>
        <w:rPr>
          <w:rFonts w:ascii="Arial" w:cs="Arial" w:eastAsia="Arial" w:hAnsi="Arial"/>
          <w:sz w:val="20"/>
          <w:szCs w:val="20"/>
          <w:i w:val="1"/>
          <w:iCs w:val="1"/>
          <w:color w:val="auto"/>
        </w:rPr>
        <w:t>Continuing Guarantee.</w:t>
      </w:r>
      <w:r>
        <w:rPr>
          <w:rFonts w:ascii="Arial" w:cs="Arial" w:eastAsia="Arial" w:hAnsi="Arial"/>
          <w:sz w:val="20"/>
          <w:szCs w:val="20"/>
          <w:color w:val="auto"/>
        </w:rPr>
        <w:t xml:space="preserve"> The guarantee in this </w:t>
      </w:r>
      <w:r>
        <w:rPr>
          <w:rFonts w:ascii="Arial" w:cs="Arial" w:eastAsia="Arial" w:hAnsi="Arial"/>
          <w:sz w:val="20"/>
          <w:szCs w:val="20"/>
          <w:u w:val="single" w:color="auto"/>
          <w:color w:val="auto"/>
        </w:rPr>
        <w:t>Article 11</w:t>
      </w:r>
      <w:r>
        <w:rPr>
          <w:rFonts w:ascii="Arial" w:cs="Arial" w:eastAsia="Arial" w:hAnsi="Arial"/>
          <w:sz w:val="20"/>
          <w:szCs w:val="20"/>
          <w:color w:val="auto"/>
        </w:rPr>
        <w:t xml:space="preserve"> is a continuing guarantee of payment, and shall apply to all Guaranteed Obligations whenever arising.</w:t>
      </w:r>
    </w:p>
    <w:p>
      <w:pPr>
        <w:spacing w:after="0" w:line="177"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19"/>
          <w:szCs w:val="19"/>
          <w:color w:val="auto"/>
        </w:rPr>
        <w:t xml:space="preserve">Section 11.09. </w:t>
      </w:r>
      <w:r>
        <w:rPr>
          <w:rFonts w:ascii="Arial" w:cs="Arial" w:eastAsia="Arial" w:hAnsi="Arial"/>
          <w:sz w:val="19"/>
          <w:szCs w:val="19"/>
          <w:i w:val="1"/>
          <w:iCs w:val="1"/>
          <w:color w:val="auto"/>
        </w:rPr>
        <w:t>General Limitation on Guarantee Obligations.</w:t>
      </w:r>
      <w:r>
        <w:rPr>
          <w:rFonts w:ascii="Arial" w:cs="Arial" w:eastAsia="Arial" w:hAnsi="Arial"/>
          <w:sz w:val="19"/>
          <w:szCs w:val="19"/>
          <w:color w:val="auto"/>
        </w:rPr>
        <w:t xml:space="preserve"> In any action or proceeding involving any state corporate, limited partnership or limited liability company law, or any applicable state, federal or foreign bankruptcy, insolvency, reorganization or other Law affecting the rights of creditors generally, if the obligations of any Guarantor under Section 11.01 would otherwise be held or determined to be void, voidable, invalid or unenforceable, or subordinated to the claims of any other creditors, on account of the amount of its liability under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then, notwithstanding any other provision to the contrary, the amount of such liability shall, without any further action by such Guarantor, any Loan Party or any other Person, be automatically limited and reduced to the highest amount (after giving effect to the right of contribution established in </w:t>
      </w:r>
      <w:r>
        <w:rPr>
          <w:rFonts w:ascii="Arial" w:cs="Arial" w:eastAsia="Arial" w:hAnsi="Arial"/>
          <w:sz w:val="19"/>
          <w:szCs w:val="19"/>
          <w:u w:val="single" w:color="auto"/>
          <w:color w:val="auto"/>
        </w:rPr>
        <w:t>Section 11.11</w:t>
      </w:r>
      <w:r>
        <w:rPr>
          <w:rFonts w:ascii="Arial" w:cs="Arial" w:eastAsia="Arial" w:hAnsi="Arial"/>
          <w:sz w:val="19"/>
          <w:szCs w:val="19"/>
          <w:color w:val="auto"/>
        </w:rPr>
        <w:t>) that is valid and enforceable and not subordinated to the claims of other creditors as determined in such action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4812030</wp:posOffset>
            </wp:positionH>
            <wp:positionV relativeFrom="paragraph">
              <wp:posOffset>-765810</wp:posOffset>
            </wp:positionV>
            <wp:extent cx="7772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60" w:lineRule="exact"/>
        <w:rPr>
          <w:sz w:val="20"/>
          <w:szCs w:val="20"/>
          <w:color w:val="auto"/>
        </w:rPr>
      </w:pPr>
    </w:p>
    <w:p>
      <w:pPr>
        <w:jc w:val="both"/>
        <w:ind w:firstLine="1497"/>
        <w:spacing w:after="0" w:line="263" w:lineRule="auto"/>
        <w:rPr>
          <w:sz w:val="20"/>
          <w:szCs w:val="20"/>
          <w:color w:val="auto"/>
        </w:rPr>
      </w:pPr>
      <w:r>
        <w:rPr>
          <w:rFonts w:ascii="Arial" w:cs="Arial" w:eastAsia="Arial" w:hAnsi="Arial"/>
          <w:sz w:val="19"/>
          <w:szCs w:val="19"/>
          <w:color w:val="auto"/>
        </w:rPr>
        <w:t xml:space="preserve">Section 11.10. </w:t>
      </w:r>
      <w:r>
        <w:rPr>
          <w:rFonts w:ascii="Arial" w:cs="Arial" w:eastAsia="Arial" w:hAnsi="Arial"/>
          <w:sz w:val="19"/>
          <w:szCs w:val="19"/>
          <w:i w:val="1"/>
          <w:iCs w:val="1"/>
          <w:color w:val="auto"/>
        </w:rPr>
        <w:t>Release of Guarantors.</w:t>
      </w:r>
      <w:r>
        <w:rPr>
          <w:rFonts w:ascii="Arial" w:cs="Arial" w:eastAsia="Arial" w:hAnsi="Arial"/>
          <w:sz w:val="19"/>
          <w:szCs w:val="19"/>
          <w:color w:val="auto"/>
        </w:rPr>
        <w:t xml:space="preserve"> If, in compliance with the terms and provisions of the Loan Documents, (i) all or substantially all of the Equity Interests or property of any Guarantor are sold or otherwise transferred to a Person or Persons none of which is a Loan Party or (ii) any Guarantor becomes an Excluded Subsidiary (any such Guarantor, and any Guarantor referred to in clause (i), a “</w:t>
      </w:r>
      <w:r>
        <w:rPr>
          <w:rFonts w:ascii="Arial" w:cs="Arial" w:eastAsia="Arial" w:hAnsi="Arial"/>
          <w:sz w:val="19"/>
          <w:szCs w:val="19"/>
          <w:b w:val="1"/>
          <w:bCs w:val="1"/>
          <w:color w:val="auto"/>
        </w:rPr>
        <w:t>Transferred Guarantor</w:t>
      </w:r>
      <w:r>
        <w:rPr>
          <w:rFonts w:ascii="Arial" w:cs="Arial" w:eastAsia="Arial" w:hAnsi="Arial"/>
          <w:sz w:val="19"/>
          <w:szCs w:val="19"/>
          <w:color w:val="auto"/>
        </w:rPr>
        <w:t>”), such Transferred Guarantor shall, upon (x) the consummation of such sale 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1" w:name="page182"/>
    <w:bookmarkEnd w:id="181"/>
    <w:p>
      <w:pPr>
        <w:jc w:val="both"/>
        <w:spacing w:after="0" w:line="255" w:lineRule="auto"/>
        <w:rPr>
          <w:sz w:val="20"/>
          <w:szCs w:val="20"/>
          <w:color w:val="auto"/>
        </w:rPr>
      </w:pPr>
      <w:r>
        <w:rPr>
          <w:rFonts w:ascii="Arial" w:cs="Arial" w:eastAsia="Arial" w:hAnsi="Arial"/>
          <w:sz w:val="19"/>
          <w:szCs w:val="19"/>
          <w:color w:val="auto"/>
        </w:rPr>
        <w:t xml:space="preserve">transfer or other transaction or (y) becoming an Excluded Subsidiary pursuant to clause (e) of the definition thereof, be automatically released from its obligations under this Agreement (including under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hereof) and its obligations to pledge and grant any Collateral owned by it pursuant to any Collateral Document and, in the case of a sale of all or substantially all of the Equity Interests of the Transferred Guarantor, the pledge of such Equity Interests to the Collateral Agent pursuant to the Collateral Documents shall be automatically released, and, the Collateral Agent shall take such actions as are necessary to effect each release described in this </w:t>
      </w:r>
      <w:r>
        <w:rPr>
          <w:rFonts w:ascii="Arial" w:cs="Arial" w:eastAsia="Arial" w:hAnsi="Arial"/>
          <w:sz w:val="19"/>
          <w:szCs w:val="19"/>
          <w:u w:val="single" w:color="auto"/>
          <w:color w:val="auto"/>
        </w:rPr>
        <w:t>Section 11.10</w:t>
      </w:r>
      <w:r>
        <w:rPr>
          <w:rFonts w:ascii="Arial" w:cs="Arial" w:eastAsia="Arial" w:hAnsi="Arial"/>
          <w:sz w:val="19"/>
          <w:szCs w:val="19"/>
          <w:color w:val="auto"/>
        </w:rPr>
        <w:t xml:space="preserve"> in accordance with the relevant provisions of the Collateral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Guarantor shall be released as provided in this paragraph if such Guarantor continues to be a guarantor in respect of any Indebtedness incurred pursuant to </w:t>
      </w:r>
      <w:r>
        <w:rPr>
          <w:rFonts w:ascii="Arial" w:cs="Arial" w:eastAsia="Arial" w:hAnsi="Arial"/>
          <w:sz w:val="19"/>
          <w:szCs w:val="19"/>
          <w:u w:val="single" w:color="auto"/>
          <w:color w:val="auto"/>
        </w:rPr>
        <w:t>Section 7.03(o)</w:t>
      </w:r>
      <w:r>
        <w:rPr>
          <w:rFonts w:ascii="Arial" w:cs="Arial" w:eastAsia="Arial" w:hAnsi="Arial"/>
          <w:sz w:val="19"/>
          <w:szCs w:val="19"/>
          <w:color w:val="auto"/>
        </w:rPr>
        <w:t xml:space="preserve">, any Permitted Additional Debt, any Junior Financing, any UST Tranche A Facility Indebtedness, UST Tranche B Facility Indebtedness or any Permitted Refinancing of any of the foregoing. Notwithstanding anything herein to the contrary, if any Guarantor becomes an Excluded Subsidiary pursuant to clause (a) of the definition of Excluded Subsidiary, such Guarantor shall only be permitted to be released from its Guarantee so long as the fair market value of any and all Investments then held by the Loan Parties in such Person are permitted as an Investment under </w:t>
      </w:r>
      <w:r>
        <w:rPr>
          <w:rFonts w:ascii="Arial" w:cs="Arial" w:eastAsia="Arial" w:hAnsi="Arial"/>
          <w:sz w:val="19"/>
          <w:szCs w:val="19"/>
          <w:u w:val="single" w:color="auto"/>
          <w:color w:val="auto"/>
        </w:rPr>
        <w:t>Section 7.02(c)(iii)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7.02(p)</w:t>
      </w:r>
      <w:r>
        <w:rPr>
          <w:rFonts w:ascii="Arial" w:cs="Arial" w:eastAsia="Arial" w:hAnsi="Arial"/>
          <w:sz w:val="19"/>
          <w:szCs w:val="19"/>
          <w:color w:val="auto"/>
        </w:rPr>
        <w:t xml:space="preserve"> at the time such Person becomes an Excluded Subsidiary pursuant to clause (a) of the definition of “Excluded Subsidiary”.</w:t>
      </w:r>
    </w:p>
    <w:p>
      <w:pPr>
        <w:spacing w:after="0" w:line="18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When all Commitments hereunder have terminated, and all Loans or other Obligations hereunder which are accrued and payable have been paid or satisfied, this Agreement and the Guarantees made herein shall automatically terminate with respect to all Obligations, except with respect to Obligations that expressly survive such repayment pursuant to the terms of this Agreement.</w:t>
      </w:r>
    </w:p>
    <w:p>
      <w:pPr>
        <w:spacing w:after="0" w:line="170"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i w:val="1"/>
          <w:iCs w:val="1"/>
          <w:color w:val="auto"/>
        </w:rPr>
        <w:t>Right of Contribution.</w:t>
      </w:r>
      <w:r>
        <w:rPr>
          <w:rFonts w:ascii="Arial" w:cs="Arial" w:eastAsia="Arial" w:hAnsi="Arial"/>
          <w:sz w:val="18"/>
          <w:szCs w:val="18"/>
          <w:color w:val="auto"/>
        </w:rPr>
        <w:t xml:space="preserve">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 The provisions of this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shall in no respect limit the obligations and liabilities of any Guarantor to the Administrative Agent and the Secured Parties, and each Guarantor shall remain liable to the Administrative Agent and the Secured Parties for the full amount guaranteed by such Guarantor hereunder.</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11.12. </w:t>
      </w:r>
      <w:r>
        <w:rPr>
          <w:rFonts w:ascii="Arial" w:cs="Arial" w:eastAsia="Arial" w:hAnsi="Arial"/>
          <w:sz w:val="20"/>
          <w:szCs w:val="20"/>
          <w:i w:val="1"/>
          <w:iCs w:val="1"/>
          <w:color w:val="auto"/>
        </w:rPr>
        <w:t>Additional Guarantor Waivers and Agreements</w:t>
      </w:r>
      <w:r>
        <w:rPr>
          <w:rFonts w:ascii="Arial" w:cs="Arial" w:eastAsia="Arial" w:hAnsi="Arial"/>
          <w:sz w:val="20"/>
          <w:szCs w:val="20"/>
          <w:color w:val="auto"/>
        </w:rPr>
        <w:t>.</w:t>
      </w:r>
    </w:p>
    <w:p>
      <w:pPr>
        <w:spacing w:after="0" w:line="216" w:lineRule="exact"/>
        <w:rPr>
          <w:sz w:val="20"/>
          <w:szCs w:val="20"/>
          <w:color w:val="auto"/>
        </w:rPr>
      </w:pPr>
    </w:p>
    <w:p>
      <w:pPr>
        <w:jc w:val="both"/>
        <w:ind w:left="2720" w:firstLine="837"/>
        <w:spacing w:after="0" w:line="270" w:lineRule="auto"/>
        <w:tabs>
          <w:tab w:leader="none" w:pos="408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Each Guarantor understands and acknowledges that if the Collateral Agent or any other Secured Party forecloses judicially or nonjudicially against any real property security for the Obligations, that foreclosure could impair or destroy any ability that such Guarantor may have to seek reimbursement, contribution, or indemnification from the Borrower or others based on any right such Guarantor may have of subrogation, reimbursement, contribution, or indemnification for any amounts paid by such Guarantor under the Guaranty. Each Guarantor further understands and acknowledges that in the absence of this paragraph, such potential impairment or destruction of such Guarantor’s rights, if any, may entitle such Guarantor to assert a defense to this Guaranty based on Section 580d of the California Code of Civil Procedure as interpreted in </w:t>
      </w:r>
      <w:r>
        <w:rPr>
          <w:rFonts w:ascii="Arial" w:cs="Arial" w:eastAsia="Arial" w:hAnsi="Arial"/>
          <w:sz w:val="18"/>
          <w:szCs w:val="18"/>
          <w:u w:val="single" w:color="auto"/>
          <w:color w:val="auto"/>
        </w:rPr>
        <w:t>Union Bank v. Gradsky</w:t>
      </w:r>
      <w:r>
        <w:rPr>
          <w:rFonts w:ascii="Arial" w:cs="Arial" w:eastAsia="Arial" w:hAnsi="Arial"/>
          <w:sz w:val="18"/>
          <w:szCs w:val="18"/>
          <w:color w:val="auto"/>
        </w:rPr>
        <w:t>, 265 Cal. App. 2d 40 (1968). By executing this Guaranty, each Guarantor freely, irrevocably, and unconditionally: (i) waives (to the extent permitted by Law) and relinquishes that defense and agrees that such Guarantor will be fully liable under this Guaranty even though the Collateral Agent or any other Secured Party may foreclose, either by judicial foreclosure or by exercise of power of sale, any deed of trust securing the Obligations; (ii) agrees that such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2" w:name="page183"/>
    <w:bookmarkEnd w:id="182"/>
    <w:p>
      <w:pPr>
        <w:jc w:val="both"/>
        <w:ind w:left="2720"/>
        <w:spacing w:after="0" w:line="257" w:lineRule="auto"/>
        <w:rPr>
          <w:sz w:val="20"/>
          <w:szCs w:val="20"/>
          <w:color w:val="auto"/>
        </w:rPr>
      </w:pPr>
      <w:r>
        <w:rPr>
          <w:rFonts w:ascii="Arial" w:cs="Arial" w:eastAsia="Arial" w:hAnsi="Arial"/>
          <w:sz w:val="19"/>
          <w:szCs w:val="19"/>
          <w:color w:val="auto"/>
        </w:rPr>
        <w:t>Guarantor will not assert that defense in any action or proceeding which the Administrative Agent, the Collateral Agent or any other Secured Party may commence to enforce this Guaranty; (iii) acknowledges and agrees that the rights and defenses waived by such Guarantor in this Guaranty include any right or defense that such Guarantor may have or be entitled to assert based upon or arising out of any one or more of §§ 580a, 580b, 580d, or 726 of the California Code of Civil Procedure or § 2848 of the California Civil Code; and (iv) acknowledges and agrees that the Secured Parties are relying on this waiver in creating the Obligations, and that this waiver is a material part of the consideration which the Secured Parties are receiving for creating the Obligations.</w:t>
      </w:r>
    </w:p>
    <w:p>
      <w:pPr>
        <w:spacing w:after="0" w:line="180" w:lineRule="exact"/>
        <w:rPr>
          <w:sz w:val="20"/>
          <w:szCs w:val="20"/>
          <w:color w:val="auto"/>
        </w:rPr>
      </w:pPr>
    </w:p>
    <w:p>
      <w:pPr>
        <w:jc w:val="both"/>
        <w:ind w:left="2720" w:firstLine="837"/>
        <w:spacing w:after="0" w:line="270" w:lineRule="auto"/>
        <w:tabs>
          <w:tab w:leader="none" w:pos="408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Each Guarantor waives (to the extent permitted by Law) all rights and defenses that such Guarantor may have because any of the Obligations is secured by real property. This means, among other things: (i) the Administrative Agent, the Collateral Agent and the other Secured Parties may collect from such Guarantor without first foreclosing on any real or personal property Collateral pledged by the other Loan Parties; and (ii) if the Collateral Agent or any other Secured Party forecloses on any real property Collateral pledged by the other Loan Parties: (A) the amount of the Obligations may be reduced only by the price for which that Collateral is sold at the foreclosure sale, even if the collateral is worth more than the sale price, and (B) the Administrative Agent, the Collateral Agent and the other Secured Parties may collect from such Guarantor even if the Secured Parties, by foreclosing on the real property Collateral, have destroyed any right such Guarantor may have to collect from the Borrower. This is an unconditional and irrevocable waiver of any rights and defenses such Guarantor may have because any of the Obligations is secured by real property. These rights and defenses include, but are not limited to, any rights or defenses based upon § 580a, 580b, 580d, or 726 of the California Code of Civil Procedure.</w:t>
      </w:r>
    </w:p>
    <w:p>
      <w:pPr>
        <w:spacing w:after="0" w:line="172" w:lineRule="exact"/>
        <w:rPr>
          <w:rFonts w:ascii="Arial" w:cs="Arial" w:eastAsia="Arial" w:hAnsi="Arial"/>
          <w:sz w:val="18"/>
          <w:szCs w:val="18"/>
          <w:color w:val="auto"/>
        </w:rPr>
      </w:pPr>
    </w:p>
    <w:p>
      <w:pPr>
        <w:jc w:val="both"/>
        <w:ind w:left="2720" w:firstLine="837"/>
        <w:spacing w:after="0" w:line="250" w:lineRule="auto"/>
        <w:tabs>
          <w:tab w:leader="none" w:pos="4083" w:val="left"/>
        </w:tabs>
        <w:numPr>
          <w:ilvl w:val="0"/>
          <w:numId w:val="209"/>
        </w:numPr>
        <w:rPr>
          <w:rFonts w:ascii="Arial" w:cs="Arial" w:eastAsia="Arial" w:hAnsi="Arial"/>
          <w:sz w:val="20"/>
          <w:szCs w:val="20"/>
          <w:color w:val="auto"/>
        </w:rPr>
      </w:pPr>
      <w:r>
        <w:rPr>
          <w:rFonts w:ascii="Arial" w:cs="Arial" w:eastAsia="Arial" w:hAnsi="Arial"/>
          <w:sz w:val="20"/>
          <w:szCs w:val="20"/>
          <w:color w:val="auto"/>
        </w:rPr>
        <w:t>Each Guarantor waives (to the extent permitted by Law) any right or defense it may have at law or equity, including California Code of Civil Procedure § 580a, to a fair market value hearing or action to determine a deficiency judgment after a foreclosure.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ARTICLE 12</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cares act requirements</w:t>
      </w:r>
    </w:p>
    <w:p>
      <w:pPr>
        <w:spacing w:after="0" w:line="236"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CARES Act Compliance.</w:t>
      </w:r>
      <w:r>
        <w:rPr>
          <w:rFonts w:ascii="Arial" w:cs="Arial" w:eastAsia="Arial" w:hAnsi="Arial"/>
          <w:sz w:val="18"/>
          <w:szCs w:val="18"/>
          <w:color w:val="auto"/>
        </w:rPr>
        <w:t xml:space="preserve"> The Borrower and its controlled Affiliates are in material compliance, and will at all times comply in all material respects, with all applicable material requirements under Title IV of the CARES Act, including any applicable material requirements pertaining to the Borrower’s eligibility to receive the loans under the UST Tranche A Credit Agreement and the UST Tranche B Credit Agreement, respectively (such loans, for purposes of this Article 12, the “</w:t>
      </w:r>
      <w:r>
        <w:rPr>
          <w:rFonts w:ascii="Arial" w:cs="Arial" w:eastAsia="Arial" w:hAnsi="Arial"/>
          <w:sz w:val="18"/>
          <w:szCs w:val="18"/>
          <w:b w:val="1"/>
          <w:bCs w:val="1"/>
          <w:color w:val="auto"/>
        </w:rPr>
        <w:t>UST Loans</w:t>
      </w:r>
      <w:r>
        <w:rPr>
          <w:rFonts w:ascii="Arial" w:cs="Arial" w:eastAsia="Arial" w:hAnsi="Arial"/>
          <w:sz w:val="18"/>
          <w:szCs w:val="18"/>
          <w:color w:val="auto"/>
        </w:rPr>
        <w:t>”). The Borrower will provide any information requested by the Lenders to assess the compliance by the Borrower and its controlled Affiliates with the applicable material requirements under Title IV of the CARES Act or the Borrower’s eligibility to receive the Loan under the CARES Act.</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12.02. Dividends and Buybacks.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3" w:name="page184"/>
    <w:bookmarkEnd w:id="183"/>
    <w:p>
      <w:pPr>
        <w:jc w:val="both"/>
        <w:ind w:left="2720" w:firstLine="837"/>
        <w:spacing w:after="0" w:line="278" w:lineRule="auto"/>
        <w:tabs>
          <w:tab w:leader="none" w:pos="408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Until the date that is 12 months after the date on which the UST Loans are no longer outstanding, neither the Borrower nor any of its Affiliates (other than an Affiliate that is a natural person) shall, in any transaction, purchase an equity security of the Borrower or of any direct or indirect parent company of the Borrower, in either case, is listed on a national securities exchange, except to the extent required under a contractual obligation in effect as of the date of enactment of the CARES Act.</w:t>
      </w:r>
    </w:p>
    <w:p>
      <w:pPr>
        <w:spacing w:after="0" w:line="164" w:lineRule="exact"/>
        <w:rPr>
          <w:rFonts w:ascii="Arial" w:cs="Arial" w:eastAsia="Arial" w:hAnsi="Arial"/>
          <w:sz w:val="18"/>
          <w:szCs w:val="18"/>
          <w:color w:val="auto"/>
        </w:rPr>
      </w:pPr>
    </w:p>
    <w:p>
      <w:pPr>
        <w:jc w:val="both"/>
        <w:ind w:left="2720" w:firstLine="837"/>
        <w:spacing w:after="0" w:line="250" w:lineRule="auto"/>
        <w:tabs>
          <w:tab w:leader="none" w:pos="4083" w:val="left"/>
        </w:tabs>
        <w:numPr>
          <w:ilvl w:val="0"/>
          <w:numId w:val="210"/>
        </w:numPr>
        <w:rPr>
          <w:rFonts w:ascii="Arial" w:cs="Arial" w:eastAsia="Arial" w:hAnsi="Arial"/>
          <w:sz w:val="20"/>
          <w:szCs w:val="20"/>
          <w:color w:val="auto"/>
        </w:rPr>
      </w:pPr>
      <w:r>
        <w:rPr>
          <w:rFonts w:ascii="Arial" w:cs="Arial" w:eastAsia="Arial" w:hAnsi="Arial"/>
          <w:sz w:val="20"/>
          <w:szCs w:val="20"/>
          <w:color w:val="auto"/>
        </w:rPr>
        <w:t>Until the date that is 12 months after the date on which the UST Loans are no longer outstanding, the Borrower shall not pay dividends, or make any other capital distributions, with respect to the common stock of the Borrower.</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 xml:space="preserve">Section 12.03. </w:t>
      </w:r>
      <w:r>
        <w:rPr>
          <w:rFonts w:ascii="Arial" w:cs="Arial" w:eastAsia="Arial" w:hAnsi="Arial"/>
          <w:sz w:val="20"/>
          <w:szCs w:val="20"/>
          <w:i w:val="1"/>
          <w:iCs w:val="1"/>
          <w:color w:val="auto"/>
        </w:rPr>
        <w:t>Maintenance of Employment Levels.</w:t>
      </w:r>
      <w:r>
        <w:rPr>
          <w:rFonts w:ascii="Arial" w:cs="Arial" w:eastAsia="Arial" w:hAnsi="Arial"/>
          <w:sz w:val="20"/>
          <w:szCs w:val="20"/>
          <w:color w:val="auto"/>
        </w:rPr>
        <w:t xml:space="preserve"> Until September 30, 2020, the Borrower shall maintain its employment levels as of March 24, 2020, to the extent practicable, and in any case shall not reduce its employment levels by more than ten (10) percent from the levels on March 24, 2020.</w:t>
      </w:r>
    </w:p>
    <w:p>
      <w:pPr>
        <w:spacing w:after="0" w:line="186" w:lineRule="exact"/>
        <w:rPr>
          <w:sz w:val="20"/>
          <w:szCs w:val="20"/>
          <w:color w:val="auto"/>
        </w:rPr>
      </w:pPr>
    </w:p>
    <w:p>
      <w:pPr>
        <w:ind w:right="220" w:firstLine="749"/>
        <w:spacing w:after="0" w:line="260" w:lineRule="auto"/>
        <w:rPr>
          <w:sz w:val="20"/>
          <w:szCs w:val="20"/>
          <w:color w:val="auto"/>
        </w:rPr>
      </w:pPr>
      <w:r>
        <w:rPr>
          <w:rFonts w:ascii="Arial" w:cs="Arial" w:eastAsia="Arial" w:hAnsi="Arial"/>
          <w:sz w:val="20"/>
          <w:szCs w:val="20"/>
          <w:color w:val="auto"/>
        </w:rPr>
        <w:t>Section 12.04. United States Business</w:t>
      </w:r>
      <w:r>
        <w:rPr>
          <w:rFonts w:ascii="Arial" w:cs="Arial" w:eastAsia="Arial" w:hAnsi="Arial"/>
          <w:sz w:val="20"/>
          <w:szCs w:val="20"/>
          <w:i w:val="1"/>
          <w:iCs w:val="1"/>
          <w:color w:val="auto"/>
        </w:rPr>
        <w:t>.</w:t>
      </w:r>
      <w:r>
        <w:rPr>
          <w:rFonts w:ascii="Arial" w:cs="Arial" w:eastAsia="Arial" w:hAnsi="Arial"/>
          <w:sz w:val="20"/>
          <w:szCs w:val="20"/>
          <w:color w:val="auto"/>
        </w:rPr>
        <w:t xml:space="preserve"> The Borrower is created or organized in the United States or under the laws of the United States and has significant operations in and a majority of its employees based in the United States.</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 xml:space="preserve">Section 12.05. </w:t>
      </w:r>
      <w:r>
        <w:rPr>
          <w:rFonts w:ascii="Arial" w:cs="Arial" w:eastAsia="Arial" w:hAnsi="Arial"/>
          <w:sz w:val="20"/>
          <w:szCs w:val="20"/>
          <w:i w:val="1"/>
          <w:iCs w:val="1"/>
          <w:color w:val="auto"/>
        </w:rPr>
        <w:t>Limitations on Certain Compensation</w:t>
      </w:r>
      <w:r>
        <w:rPr>
          <w:rFonts w:ascii="Arial" w:cs="Arial" w:eastAsia="Arial" w:hAnsi="Arial"/>
          <w:sz w:val="20"/>
          <w:szCs w:val="20"/>
          <w:color w:val="auto"/>
        </w:rPr>
        <w:t>.</w:t>
      </w:r>
    </w:p>
    <w:p>
      <w:pPr>
        <w:spacing w:after="0" w:line="216" w:lineRule="exact"/>
        <w:rPr>
          <w:sz w:val="20"/>
          <w:szCs w:val="20"/>
          <w:color w:val="auto"/>
        </w:rPr>
      </w:pPr>
    </w:p>
    <w:p>
      <w:pPr>
        <w:jc w:val="both"/>
        <w:ind w:left="2720" w:firstLine="837"/>
        <w:spacing w:after="0" w:line="278" w:lineRule="auto"/>
        <w:tabs>
          <w:tab w:leader="none" w:pos="4083" w:val="left"/>
        </w:tabs>
        <w:numPr>
          <w:ilvl w:val="1"/>
          <w:numId w:val="211"/>
        </w:numPr>
        <w:rPr>
          <w:rFonts w:ascii="Arial" w:cs="Arial" w:eastAsia="Arial" w:hAnsi="Arial"/>
          <w:sz w:val="18"/>
          <w:szCs w:val="18"/>
          <w:color w:val="auto"/>
        </w:rPr>
      </w:pPr>
      <w:r>
        <w:rPr>
          <w:rFonts w:ascii="Arial" w:cs="Arial" w:eastAsia="Arial" w:hAnsi="Arial"/>
          <w:sz w:val="18"/>
          <w:szCs w:val="18"/>
          <w:color w:val="auto"/>
        </w:rPr>
        <w:t>Beginning on the Effective Date and ending on the date that is one year after the date on which the UST Loans are no longer outstanding, the Borrower shall not pay any of the Borrower’s Corporate Officers or Employees whose Total Compensation exceeded $425,000 in calendar year 2019 or the Subsequent Reference Period (other than an Employee whose compensation is determined through an existing collective bargaining agreement entered into before March 1, 2020):</w:t>
      </w:r>
    </w:p>
    <w:p>
      <w:pPr>
        <w:spacing w:after="0" w:line="178" w:lineRule="exact"/>
        <w:rPr>
          <w:rFonts w:ascii="Arial" w:cs="Arial" w:eastAsia="Arial" w:hAnsi="Arial"/>
          <w:sz w:val="18"/>
          <w:szCs w:val="18"/>
          <w:color w:val="auto"/>
        </w:rPr>
      </w:pPr>
    </w:p>
    <w:p>
      <w:pPr>
        <w:ind w:left="2260" w:right="280" w:hanging="6"/>
        <w:spacing w:after="0" w:line="238" w:lineRule="auto"/>
        <w:tabs>
          <w:tab w:leader="none" w:pos="2560" w:val="left"/>
        </w:tabs>
        <w:numPr>
          <w:ilvl w:val="0"/>
          <w:numId w:val="212"/>
        </w:numPr>
        <w:rPr>
          <w:rFonts w:ascii="Arial" w:cs="Arial" w:eastAsia="Arial" w:hAnsi="Arial"/>
          <w:sz w:val="22"/>
          <w:szCs w:val="22"/>
          <w:color w:val="auto"/>
        </w:rPr>
      </w:pPr>
      <w:r>
        <w:rPr>
          <w:rFonts w:ascii="Arial" w:cs="Arial" w:eastAsia="Arial" w:hAnsi="Arial"/>
          <w:sz w:val="20"/>
          <w:szCs w:val="20"/>
          <w:color w:val="auto"/>
        </w:rPr>
        <w:t>Total Compensation which exceeds, during any 12 consecutive months of the period beginning on the Effective Date, and ending on the date that is one year after the date on which the UST Loans are no longer outstanding, the Total Compensation the Corporate Officer or Employee received in calendar year 2019 or the Subsequent Reference Period; or</w:t>
      </w:r>
    </w:p>
    <w:p>
      <w:pPr>
        <w:spacing w:after="0" w:line="212" w:lineRule="exact"/>
        <w:rPr>
          <w:rFonts w:ascii="Arial" w:cs="Arial" w:eastAsia="Arial" w:hAnsi="Arial"/>
          <w:sz w:val="22"/>
          <w:szCs w:val="22"/>
          <w:color w:val="auto"/>
        </w:rPr>
      </w:pPr>
    </w:p>
    <w:p>
      <w:pPr>
        <w:ind w:left="2260" w:right="200" w:hanging="6"/>
        <w:spacing w:after="0" w:line="238" w:lineRule="auto"/>
        <w:tabs>
          <w:tab w:leader="none" w:pos="2560" w:val="left"/>
        </w:tabs>
        <w:numPr>
          <w:ilvl w:val="0"/>
          <w:numId w:val="212"/>
        </w:numPr>
        <w:rPr>
          <w:rFonts w:ascii="Arial" w:cs="Arial" w:eastAsia="Arial" w:hAnsi="Arial"/>
          <w:sz w:val="22"/>
          <w:szCs w:val="22"/>
          <w:color w:val="auto"/>
        </w:rPr>
      </w:pPr>
      <w:r>
        <w:rPr>
          <w:rFonts w:ascii="Arial" w:cs="Arial" w:eastAsia="Arial" w:hAnsi="Arial"/>
          <w:sz w:val="20"/>
          <w:szCs w:val="20"/>
          <w:color w:val="auto"/>
        </w:rPr>
        <w:t>Severance Pay or Other Benefits in connection with a termination of employment with the Borrower which exceed twice the maximum Total Compensation received by such Corporate Officer or Employee in calendar year 2019 or the Subsequent Reference Period.</w:t>
      </w:r>
    </w:p>
    <w:p>
      <w:pPr>
        <w:spacing w:after="0" w:line="197" w:lineRule="exact"/>
        <w:rPr>
          <w:rFonts w:ascii="Arial" w:cs="Arial" w:eastAsia="Arial" w:hAnsi="Arial"/>
          <w:sz w:val="22"/>
          <w:szCs w:val="22"/>
          <w:color w:val="auto"/>
        </w:rPr>
      </w:pPr>
    </w:p>
    <w:p>
      <w:pPr>
        <w:jc w:val="both"/>
        <w:ind w:left="2720" w:firstLine="837"/>
        <w:spacing w:after="0" w:line="282" w:lineRule="auto"/>
        <w:tabs>
          <w:tab w:leader="none" w:pos="4083" w:val="left"/>
        </w:tabs>
        <w:numPr>
          <w:ilvl w:val="1"/>
          <w:numId w:val="212"/>
        </w:numPr>
        <w:rPr>
          <w:rFonts w:ascii="Arial" w:cs="Arial" w:eastAsia="Arial" w:hAnsi="Arial"/>
          <w:sz w:val="18"/>
          <w:szCs w:val="18"/>
          <w:color w:val="auto"/>
        </w:rPr>
      </w:pPr>
      <w:r>
        <w:rPr>
          <w:rFonts w:ascii="Arial" w:cs="Arial" w:eastAsia="Arial" w:hAnsi="Arial"/>
          <w:sz w:val="18"/>
          <w:szCs w:val="18"/>
          <w:color w:val="auto"/>
        </w:rPr>
        <w:t>Beginning on the Effective Date, and ending on the date that is one year after the date on which the UST Loans are no longer outstanding, the Borrower shall not pay any of the Borrower’s Corporate Officers or Employees whose Total Compensation exceeded $3,000,000 in calendar year 2019 or the Subsequent Reference Period Total Compensation in excess of the sum of:</w:t>
      </w:r>
    </w:p>
    <w:p>
      <w:pPr>
        <w:spacing w:after="0" w:line="172" w:lineRule="exact"/>
        <w:rPr>
          <w:sz w:val="20"/>
          <w:szCs w:val="20"/>
          <w:color w:val="auto"/>
        </w:rPr>
      </w:pPr>
    </w:p>
    <w:p>
      <w:pPr>
        <w:ind w:left="2560" w:hanging="306"/>
        <w:spacing w:after="0"/>
        <w:tabs>
          <w:tab w:leader="none" w:pos="2560" w:val="left"/>
        </w:tabs>
        <w:numPr>
          <w:ilvl w:val="0"/>
          <w:numId w:val="213"/>
        </w:numPr>
        <w:rPr>
          <w:rFonts w:ascii="Arial" w:cs="Arial" w:eastAsia="Arial" w:hAnsi="Arial"/>
          <w:sz w:val="22"/>
          <w:szCs w:val="22"/>
          <w:color w:val="auto"/>
        </w:rPr>
      </w:pPr>
      <w:r>
        <w:rPr>
          <w:rFonts w:ascii="Arial" w:cs="Arial" w:eastAsia="Arial" w:hAnsi="Arial"/>
          <w:sz w:val="20"/>
          <w:szCs w:val="20"/>
          <w:color w:val="auto"/>
        </w:rPr>
        <w:t>$3,000,000; 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4" w:name="page185"/>
    <w:bookmarkEnd w:id="184"/>
    <w:p>
      <w:pPr>
        <w:ind w:left="2260" w:hanging="6"/>
        <w:spacing w:after="0" w:line="238" w:lineRule="auto"/>
        <w:tabs>
          <w:tab w:leader="none" w:pos="2560" w:val="left"/>
        </w:tabs>
        <w:numPr>
          <w:ilvl w:val="0"/>
          <w:numId w:val="214"/>
        </w:numPr>
        <w:rPr>
          <w:rFonts w:ascii="Arial" w:cs="Arial" w:eastAsia="Arial" w:hAnsi="Arial"/>
          <w:sz w:val="22"/>
          <w:szCs w:val="22"/>
          <w:color w:val="auto"/>
        </w:rPr>
      </w:pPr>
      <w:r>
        <w:rPr>
          <w:rFonts w:ascii="Arial" w:cs="Arial" w:eastAsia="Arial" w:hAnsi="Arial"/>
          <w:sz w:val="20"/>
          <w:szCs w:val="20"/>
          <w:color w:val="auto"/>
        </w:rPr>
        <w:t>50 percent of the excess over $3,000,000 of the Total Compensation received by such Corporate Officer or Employee in calendar year 2019 or the Subsequent Reference Period.</w:t>
      </w:r>
    </w:p>
    <w:p>
      <w:pPr>
        <w:spacing w:after="0" w:line="196" w:lineRule="exact"/>
        <w:rPr>
          <w:rFonts w:ascii="Arial" w:cs="Arial" w:eastAsia="Arial" w:hAnsi="Arial"/>
          <w:sz w:val="22"/>
          <w:szCs w:val="22"/>
          <w:color w:val="auto"/>
        </w:rPr>
      </w:pPr>
    </w:p>
    <w:p>
      <w:pPr>
        <w:jc w:val="both"/>
        <w:ind w:left="2720" w:firstLine="837"/>
        <w:spacing w:after="0" w:line="246" w:lineRule="auto"/>
        <w:tabs>
          <w:tab w:leader="none" w:pos="4083" w:val="left"/>
        </w:tabs>
        <w:numPr>
          <w:ilvl w:val="1"/>
          <w:numId w:val="214"/>
        </w:numPr>
        <w:rPr>
          <w:rFonts w:ascii="Arial" w:cs="Arial" w:eastAsia="Arial" w:hAnsi="Arial"/>
          <w:sz w:val="20"/>
          <w:szCs w:val="20"/>
          <w:color w:val="auto"/>
        </w:rPr>
      </w:pPr>
      <w:r>
        <w:rPr>
          <w:rFonts w:ascii="Arial" w:cs="Arial" w:eastAsia="Arial" w:hAnsi="Arial"/>
          <w:sz w:val="20"/>
          <w:szCs w:val="20"/>
          <w:color w:val="auto"/>
        </w:rPr>
        <w:t>For purposes of determining applicable amounts under this clause (5) with respect to any Corporate Officer or Employee who was employed by the Borrower for less than all of calendar year 2019, the amount of Total Compensation in calendar year 2019 shall mean such Corporate Officer’s or Employee’s Total Compensation on an annualized basis.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Section 12.06. </w:t>
      </w:r>
      <w:r>
        <w:rPr>
          <w:rFonts w:ascii="Arial" w:cs="Arial" w:eastAsia="Arial" w:hAnsi="Arial"/>
          <w:sz w:val="20"/>
          <w:szCs w:val="20"/>
          <w:i w:val="1"/>
          <w:iCs w:val="1"/>
          <w:color w:val="auto"/>
        </w:rPr>
        <w:t>Additional Defined Terms</w:t>
      </w:r>
      <w:r>
        <w:rPr>
          <w:rFonts w:ascii="Arial" w:cs="Arial" w:eastAsia="Arial" w:hAnsi="Arial"/>
          <w:sz w:val="20"/>
          <w:szCs w:val="20"/>
          <w:color w:val="auto"/>
        </w:rPr>
        <w:t>.  As used in this Article 12, the following terms have the meanings specified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19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Benefits</w:t>
      </w:r>
      <w:r>
        <w:rPr>
          <w:rFonts w:ascii="Arial" w:cs="Arial" w:eastAsia="Arial" w:hAnsi="Arial"/>
          <w:sz w:val="20"/>
          <w:szCs w:val="20"/>
          <w:color w:val="auto"/>
        </w:rPr>
        <w:t>” means, without duplication of any amounts counted as Salary or Wages, pension expenses (including company retirement or 401(k) plan contributions and direct annuity payments) in respect of Employees, all expenses for accident, sickness, hospital, and death benefits to Employees, and the cost of insurance (or self-insured costs) to provide such benefits; any Severance Pay or Other Benefits payable to Employees pursuant to a bona fide voluntary early retirement program or voluntary furlough; and any other similar expenses paid by the Borrower for the benefit of Employees, including other fringe benefit expenses (such as those relating to travel, meals, lodging, trade memberships, dues and registrations, tools or uniforms, moving and relocation costs, education, medical and recreational programs, and company contributions for group accident, health or life insurance) but excluding any Federal, state, or local payroll taxes paid by the Borrower.</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Cares Act</w:t>
      </w:r>
      <w:r>
        <w:rPr>
          <w:rFonts w:ascii="Arial" w:cs="Arial" w:eastAsia="Arial" w:hAnsi="Arial"/>
          <w:sz w:val="20"/>
          <w:szCs w:val="20"/>
          <w:color w:val="auto"/>
        </w:rPr>
        <w:t>” means the Coronavirus Aid, Relief, and Economic Security Act of 2020.</w:t>
      </w:r>
    </w:p>
    <w:p>
      <w:pPr>
        <w:spacing w:after="0" w:line="216"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Corporate Officer</w:t>
      </w:r>
      <w:r>
        <w:rPr>
          <w:rFonts w:ascii="Arial" w:cs="Arial" w:eastAsia="Arial" w:hAnsi="Arial"/>
          <w:sz w:val="19"/>
          <w:szCs w:val="19"/>
          <w:color w:val="auto"/>
        </w:rPr>
        <w:t>” means, with respect to the Borrower, its president; any vice president in charge of a principal business unit, division, or function (such as sales, administration or finance); any other officer who performs a policy-making function; or any other person who performs similar policy making functions for the Borrower. Executive officers of subsidiaries or parents of the Borrower may be deemed Corporate Officers of the Borrower if they perform such policy-making functions for the Borrower.</w:t>
      </w:r>
    </w:p>
    <w:p>
      <w:pPr>
        <w:spacing w:after="0" w:line="16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Employee</w:t>
      </w:r>
      <w:r>
        <w:rPr>
          <w:rFonts w:ascii="Arial" w:cs="Arial" w:eastAsia="Arial" w:hAnsi="Arial"/>
          <w:sz w:val="20"/>
          <w:szCs w:val="20"/>
          <w:color w:val="auto"/>
        </w:rPr>
        <w:t>” has the meaning given to the term in section 2 of the National Labor Relations Act (29 U.S.C. 152 and includes any individual employed by an employer subject to the Railway Labor Act (45 U.S.C. 151 et seq.) and for the avoidance of doubt includes all individuals who are employed by the Borrower who are not Corporate Officers.</w:t>
      </w:r>
    </w:p>
    <w:p>
      <w:pPr>
        <w:spacing w:after="0" w:line="17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Salary</w:t>
      </w:r>
      <w:r>
        <w:rPr>
          <w:rFonts w:ascii="Arial" w:cs="Arial" w:eastAsia="Arial" w:hAnsi="Arial"/>
          <w:sz w:val="20"/>
          <w:szCs w:val="20"/>
          <w:color w:val="auto"/>
        </w:rPr>
        <w:t>” means, without duplication of any amounts counted as Benefits, a predetermined regular payment, typically paid on a weekly or less frequent basis but which may be expressed as an hourly, weekly, annual or other rate, as well as cost-of-living differentials, vacation time, paid time off, sick leave, and overtime pay, paid by the Borrower to its Employees, but excluding any Federal, state, or local payroll taxes paid by the Borrower.</w:t>
      </w:r>
    </w:p>
    <w:p>
      <w:pPr>
        <w:spacing w:after="0" w:line="183"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Severance Pay or Other Benefits</w:t>
      </w:r>
      <w:r>
        <w:rPr>
          <w:rFonts w:ascii="Arial" w:cs="Arial" w:eastAsia="Arial" w:hAnsi="Arial"/>
          <w:sz w:val="20"/>
          <w:szCs w:val="20"/>
          <w:color w:val="auto"/>
        </w:rPr>
        <w:t>” means any severance payment or other similar benefits, including cash payments, health care benefits, perquisites, the enhancement or acceleration of the payment or vesting of any payment or benefit or any other in-kind benefit payable (whether in lump sum or over time, including after March 24, 2022) by the Borrower to a Corporate Officer or Employee in connection with any termination of such Corporate Officer’s or Employee’s employment (including, without limitation, resignation, severance, retirement, or constructive termination), which shall be determined and calculated in respect of any Employee or Corporate Officer of the Borrower in the manner prescribed in 17 CFR 229.402(j) (without regard to its limitation to the five most highly compensated executives and using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actual date of termination of employment rather than the last business day of the Borrower’s last completed fiscal year as the trigger event).</w:t>
      </w:r>
    </w:p>
    <w:p>
      <w:pPr>
        <w:spacing w:after="0" w:line="23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Subsequent Reference Period</w:t>
      </w:r>
      <w:r>
        <w:rPr>
          <w:rFonts w:ascii="Arial" w:cs="Arial" w:eastAsia="Arial" w:hAnsi="Arial"/>
          <w:sz w:val="20"/>
          <w:szCs w:val="20"/>
          <w:color w:val="auto"/>
        </w:rPr>
        <w:t>” means (i) for a Corporate Officer or Employee whose employment with the Borrower or an Affiliate started during 2019 or later, the 12-month period starting from the end of the month in which the officer or employee commenced employment, if such officer’s or employee’s total compensation exceeds $425,000 (or $3,000,000) during such period and (ii) for a Corporate Officer or Employee whose Total Compensation first exceeds $425,000 during a 12-month period ending after 2019, the 12-month period starting from the end of the month in which the Corporate Officer’s or Employee’s Total Compensation first exceeded $425,000 (or $3,000,000).</w:t>
      </w:r>
    </w:p>
    <w:p>
      <w:pPr>
        <w:spacing w:after="0" w:line="184"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Total Compensation</w:t>
      </w:r>
      <w:r>
        <w:rPr>
          <w:rFonts w:ascii="Arial" w:cs="Arial" w:eastAsia="Arial" w:hAnsi="Arial"/>
          <w:sz w:val="20"/>
          <w:szCs w:val="20"/>
          <w:color w:val="auto"/>
        </w:rPr>
        <w:t>” means Salary, bonuses, awards of stock and other financial benefits provided by the Borrower to a Corporate Officer or Employee of the Borrower.</w:t>
      </w:r>
    </w:p>
    <w:p>
      <w:pPr>
        <w:spacing w:after="0" w:line="16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Wage</w:t>
      </w:r>
      <w:r>
        <w:rPr>
          <w:rFonts w:ascii="Arial" w:cs="Arial" w:eastAsia="Arial" w:hAnsi="Arial"/>
          <w:sz w:val="20"/>
          <w:szCs w:val="20"/>
          <w:color w:val="auto"/>
        </w:rPr>
        <w:t>” means, without duplication of any amounts counted as Benefits, a payment, typically paid on an hourly, daily, or piecework basis, including cost-of-living differentials, vacation, paid time off, sick leave, and overtime pay, paid by the Borrower to its Employees, but excluding any Federal, state, or local payroll taxes paid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6" w:name="page187"/>
    <w:bookmarkEnd w:id="18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b w:val="1"/>
          <w:bCs w:val="1"/>
          <w:color w:val="auto"/>
        </w:rPr>
        <w:t>Exhibit 1.2</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Waiver Agreement Certification</w:t>
      </w:r>
    </w:p>
    <w:p>
      <w:pPr>
        <w:spacing w:after="0" w:line="253" w:lineRule="exact"/>
        <w:rPr>
          <w:sz w:val="20"/>
          <w:szCs w:val="20"/>
          <w:color w:val="auto"/>
        </w:rPr>
      </w:pPr>
    </w:p>
    <w:p>
      <w:pPr>
        <w:ind w:left="60" w:right="180"/>
        <w:spacing w:after="0" w:line="279" w:lineRule="auto"/>
        <w:rPr>
          <w:sz w:val="20"/>
          <w:szCs w:val="20"/>
          <w:color w:val="auto"/>
        </w:rPr>
      </w:pPr>
      <w:r>
        <w:rPr>
          <w:rFonts w:ascii="Arial" w:cs="Arial" w:eastAsia="Arial" w:hAnsi="Arial"/>
          <w:sz w:val="19"/>
          <w:szCs w:val="19"/>
          <w:color w:val="auto"/>
        </w:rPr>
        <w:t>This Waiver Agreement is entered into by the parties hereto in connection with the UST Tranche A Term Loan Credit Agreement dated as of July 7, 2020, and the UST Tranche B Term Loan Credit Agreement dated as of July 7, 2020, each entered into pursuant to Division A, Title IV, Subtitle A, section 4003 of the Coronavirus Aid, Relief, and Economic Security (CARES) Act (P. L. 116-136), as amended. The party named below, and its undersigned authorized representatives acknowledge that a materially false, fictitious, or fraudulent statement (or concealment or omission of a material fact) in connection with this Waiver Agreement may result in administrative remedies as well as civil and/or criminal penalties.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YELLOW CORPORATION</w:t>
      </w:r>
      <w:r>
        <w:rPr>
          <w:rFonts w:ascii="Arial" w:cs="Arial" w:eastAsia="Arial" w:hAnsi="Arial"/>
          <w:sz w:val="22"/>
          <w:szCs w:val="22"/>
          <w:color w:val="auto"/>
        </w:rPr>
        <w:t>,</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22"/>
          <w:szCs w:val="22"/>
          <w:color w:val="auto"/>
        </w:rPr>
        <w:t>as Borrower</w:t>
      </w: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Darren D. Hawkins</w:t>
      </w:r>
      <w:r>
        <w:rPr>
          <w:rFonts w:ascii="Arial" w:cs="Arial" w:eastAsia="Arial" w:hAnsi="Arial"/>
          <w:sz w:val="22"/>
          <w:szCs w:val="22"/>
          <w:color w:val="auto"/>
        </w:rPr>
        <w:t>_____</w:t>
      </w:r>
    </w:p>
    <w:p>
      <w:pPr>
        <w:ind w:left="60"/>
        <w:spacing w:after="0" w:line="238" w:lineRule="auto"/>
        <w:rPr>
          <w:sz w:val="20"/>
          <w:szCs w:val="20"/>
          <w:color w:val="auto"/>
        </w:rPr>
      </w:pPr>
      <w:r>
        <w:rPr>
          <w:rFonts w:ascii="Arial" w:cs="Arial" w:eastAsia="Arial" w:hAnsi="Arial"/>
          <w:sz w:val="22"/>
          <w:szCs w:val="22"/>
          <w:color w:val="auto"/>
        </w:rPr>
        <w:t>First Authorized Representative: Darren D. Hawkins</w:t>
      </w:r>
    </w:p>
    <w:p>
      <w:pPr>
        <w:ind w:left="6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Daniel L. Olivier</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22"/>
          <w:szCs w:val="22"/>
          <w:color w:val="auto"/>
        </w:rPr>
        <w:t>Second Authorized Representative: Daniel L. Olivier</w:t>
      </w:r>
    </w:p>
    <w:p>
      <w:pPr>
        <w:spacing w:after="0" w:line="8" w:lineRule="exact"/>
        <w:rPr>
          <w:sz w:val="20"/>
          <w:szCs w:val="20"/>
          <w:color w:val="auto"/>
        </w:rPr>
      </w:pPr>
    </w:p>
    <w:p>
      <w:pPr>
        <w:ind w:left="6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423" w:right="479" w:bottom="1440" w:gutter="0" w:footer="0" w:header="0"/>
        </w:sectPr>
      </w:pPr>
    </w:p>
    <w:bookmarkStart w:id="188" w:name="page189"/>
    <w:bookmarkEnd w:id="188"/>
    <w:p>
      <w:pPr>
        <w:jc w:val="center"/>
        <w:ind w:right="-119"/>
        <w:spacing w:after="0"/>
        <w:rPr>
          <w:sz w:val="20"/>
          <w:szCs w:val="20"/>
          <w:color w:val="auto"/>
        </w:rPr>
      </w:pPr>
      <w:r>
        <w:rPr>
          <w:rFonts w:ascii="Arial" w:cs="Arial" w:eastAsia="Arial" w:hAnsi="Arial"/>
          <w:sz w:val="22"/>
          <w:szCs w:val="22"/>
          <w:b w:val="1"/>
          <w:bCs w:val="1"/>
          <w:color w:val="auto"/>
        </w:rPr>
        <w:t>WAIVER AGREEMENT</w:t>
      </w:r>
    </w:p>
    <w:p>
      <w:pPr>
        <w:spacing w:after="0" w:line="247" w:lineRule="exact"/>
        <w:rPr>
          <w:sz w:val="20"/>
          <w:szCs w:val="20"/>
          <w:color w:val="auto"/>
        </w:rPr>
      </w:pPr>
    </w:p>
    <w:p>
      <w:pPr>
        <w:ind w:left="60" w:right="20"/>
        <w:spacing w:after="0" w:line="235" w:lineRule="auto"/>
        <w:rPr>
          <w:sz w:val="20"/>
          <w:szCs w:val="20"/>
          <w:color w:val="auto"/>
        </w:rPr>
      </w:pPr>
      <w:r>
        <w:rPr>
          <w:rFonts w:ascii="Arial" w:cs="Arial" w:eastAsia="Arial" w:hAnsi="Arial"/>
          <w:sz w:val="22"/>
          <w:szCs w:val="22"/>
          <w:color w:val="auto"/>
        </w:rPr>
        <w:t>This waiver agreement (this “</w:t>
      </w:r>
      <w:r>
        <w:rPr>
          <w:rFonts w:ascii="Arial" w:cs="Arial" w:eastAsia="Arial" w:hAnsi="Arial"/>
          <w:sz w:val="22"/>
          <w:szCs w:val="22"/>
          <w:b w:val="1"/>
          <w:bCs w:val="1"/>
          <w:color w:val="auto"/>
        </w:rPr>
        <w:t>Waiver Agreement</w:t>
      </w:r>
      <w:r>
        <w:rPr>
          <w:rFonts w:ascii="Arial" w:cs="Arial" w:eastAsia="Arial" w:hAnsi="Arial"/>
          <w:sz w:val="22"/>
          <w:szCs w:val="22"/>
          <w:color w:val="auto"/>
        </w:rPr>
        <w:t>”) is dated as of July 7, 2023. Reference is made to that certain UST Tranche A Term Loan Credit Agreement and that certain UST Tranche B Term Loan Credit Agreement, each dated as of July 7, 2020, among YELLOW CORPORATION (formerly known as YRC WORLDWIDE INC.), a corporation organized under the laws of Delaware (the “</w:t>
      </w:r>
      <w:r>
        <w:rPr>
          <w:rFonts w:ascii="Arial" w:cs="Arial" w:eastAsia="Arial" w:hAnsi="Arial"/>
          <w:sz w:val="22"/>
          <w:szCs w:val="22"/>
          <w:b w:val="1"/>
          <w:bCs w:val="1"/>
          <w:color w:val="auto"/>
        </w:rPr>
        <w:t>Borrower</w:t>
      </w:r>
      <w:r>
        <w:rPr>
          <w:rFonts w:ascii="Arial" w:cs="Arial" w:eastAsia="Arial" w:hAnsi="Arial"/>
          <w:sz w:val="22"/>
          <w:szCs w:val="22"/>
          <w:color w:val="auto"/>
        </w:rPr>
        <w:t>”), the Guarantors party thereto from time to time, the UNITED STATES DEPARTMENT OF THE TREASURY (“</w:t>
      </w:r>
      <w:r>
        <w:rPr>
          <w:rFonts w:ascii="Arial" w:cs="Arial" w:eastAsia="Arial" w:hAnsi="Arial"/>
          <w:sz w:val="22"/>
          <w:szCs w:val="22"/>
          <w:b w:val="1"/>
          <w:bCs w:val="1"/>
          <w:color w:val="auto"/>
        </w:rPr>
        <w:t>Treasury</w:t>
      </w:r>
      <w:r>
        <w:rPr>
          <w:rFonts w:ascii="Arial" w:cs="Arial" w:eastAsia="Arial" w:hAnsi="Arial"/>
          <w:sz w:val="22"/>
          <w:szCs w:val="22"/>
          <w:color w:val="auto"/>
        </w:rPr>
        <w:t>”), and THE BANK</w:t>
      </w:r>
    </w:p>
    <w:p>
      <w:pPr>
        <w:spacing w:after="0" w:line="1" w:lineRule="exact"/>
        <w:rPr>
          <w:sz w:val="20"/>
          <w:szCs w:val="20"/>
          <w:color w:val="auto"/>
        </w:rPr>
      </w:pPr>
    </w:p>
    <w:p>
      <w:pPr>
        <w:ind w:left="60" w:right="200"/>
        <w:spacing w:after="0" w:line="277" w:lineRule="auto"/>
        <w:rPr>
          <w:sz w:val="20"/>
          <w:szCs w:val="20"/>
          <w:color w:val="auto"/>
        </w:rPr>
      </w:pPr>
      <w:r>
        <w:rPr>
          <w:rFonts w:ascii="Arial" w:cs="Arial" w:eastAsia="Arial" w:hAnsi="Arial"/>
          <w:sz w:val="19"/>
          <w:szCs w:val="19"/>
          <w:color w:val="auto"/>
        </w:rPr>
        <w:t>OF NEW YORK MELLON, as administrative agent (in such capacity, including any permitted successor or assign thereto,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and as collateral agent (in such capacity, including any permitted successor or assign thereto, the “</w:t>
      </w:r>
      <w:r>
        <w:rPr>
          <w:rFonts w:ascii="Arial" w:cs="Arial" w:eastAsia="Arial" w:hAnsi="Arial"/>
          <w:sz w:val="19"/>
          <w:szCs w:val="19"/>
          <w:b w:val="1"/>
          <w:bCs w:val="1"/>
          <w:color w:val="auto"/>
        </w:rPr>
        <w:t>Collateral Agent</w:t>
      </w:r>
      <w:r>
        <w:rPr>
          <w:rFonts w:ascii="Arial" w:cs="Arial" w:eastAsia="Arial" w:hAnsi="Arial"/>
          <w:sz w:val="19"/>
          <w:szCs w:val="19"/>
          <w:color w:val="auto"/>
        </w:rPr>
        <w:t>”) for Treasury (each as amended, amended and restated, restated, supplemented, or otherwise modified from time to time, a “</w:t>
      </w:r>
      <w:r>
        <w:rPr>
          <w:rFonts w:ascii="Arial" w:cs="Arial" w:eastAsia="Arial" w:hAnsi="Arial"/>
          <w:sz w:val="19"/>
          <w:szCs w:val="19"/>
          <w:b w:val="1"/>
          <w:bCs w:val="1"/>
          <w:color w:val="auto"/>
        </w:rPr>
        <w:t>Credit Agreement</w:t>
      </w:r>
      <w:r>
        <w:rPr>
          <w:rFonts w:ascii="Arial" w:cs="Arial" w:eastAsia="Arial" w:hAnsi="Arial"/>
          <w:sz w:val="19"/>
          <w:szCs w:val="19"/>
          <w:color w:val="auto"/>
        </w:rPr>
        <w:t>,” and together, the “</w:t>
      </w:r>
      <w:r>
        <w:rPr>
          <w:rFonts w:ascii="Arial" w:cs="Arial" w:eastAsia="Arial" w:hAnsi="Arial"/>
          <w:sz w:val="19"/>
          <w:szCs w:val="19"/>
          <w:b w:val="1"/>
          <w:bCs w:val="1"/>
          <w:color w:val="auto"/>
        </w:rPr>
        <w:t>Credit Agreements</w:t>
      </w:r>
      <w:r>
        <w:rPr>
          <w:rFonts w:ascii="Arial" w:cs="Arial" w:eastAsia="Arial" w:hAnsi="Arial"/>
          <w:sz w:val="19"/>
          <w:szCs w:val="19"/>
          <w:color w:val="auto"/>
        </w:rPr>
        <w:t>”). Capitalized terms used herein but not otherwise defined herein shall have the respective meanings given to such terms in the relevant Credit Agreement.</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ind w:left="60" w:right="860" w:firstLine="749"/>
        <w:spacing w:after="0"/>
        <w:rPr>
          <w:sz w:val="20"/>
          <w:szCs w:val="20"/>
          <w:color w:val="auto"/>
        </w:rPr>
      </w:pPr>
      <w:r>
        <w:rPr>
          <w:rFonts w:ascii="Arial" w:cs="Arial" w:eastAsia="Arial" w:hAnsi="Arial"/>
          <w:sz w:val="22"/>
          <w:szCs w:val="22"/>
          <w:color w:val="auto"/>
        </w:rPr>
        <w:t>WHEREAS, pursuant to Section 7.10 of each Credit Agreement, the Borrower covenanted to not permit the Consolidated EBITDA for the Test Period ending June 30, 2023, and for each Test Period thereafter, to fall below $200,000,000 (the “</w:t>
      </w:r>
      <w:r>
        <w:rPr>
          <w:rFonts w:ascii="Arial" w:cs="Arial" w:eastAsia="Arial" w:hAnsi="Arial"/>
          <w:sz w:val="22"/>
          <w:szCs w:val="22"/>
          <w:b w:val="1"/>
          <w:bCs w:val="1"/>
          <w:color w:val="auto"/>
        </w:rPr>
        <w:t>Financial Covenant</w:t>
      </w:r>
      <w:r>
        <w:rPr>
          <w:rFonts w:ascii="Arial" w:cs="Arial" w:eastAsia="Arial" w:hAnsi="Arial"/>
          <w:sz w:val="22"/>
          <w:szCs w:val="22"/>
          <w:color w:val="auto"/>
        </w:rPr>
        <w:t>”);</w:t>
      </w:r>
    </w:p>
    <w:p>
      <w:pPr>
        <w:spacing w:after="0" w:line="213" w:lineRule="exact"/>
        <w:rPr>
          <w:sz w:val="20"/>
          <w:szCs w:val="20"/>
          <w:color w:val="auto"/>
        </w:rPr>
      </w:pPr>
    </w:p>
    <w:p>
      <w:pPr>
        <w:ind w:left="60" w:right="800" w:firstLine="749"/>
        <w:spacing w:after="0" w:line="250" w:lineRule="auto"/>
        <w:rPr>
          <w:sz w:val="20"/>
          <w:szCs w:val="20"/>
          <w:color w:val="auto"/>
        </w:rPr>
      </w:pPr>
      <w:r>
        <w:rPr>
          <w:rFonts w:ascii="Arial" w:cs="Arial" w:eastAsia="Arial" w:hAnsi="Arial"/>
          <w:sz w:val="22"/>
          <w:szCs w:val="22"/>
          <w:color w:val="auto"/>
        </w:rPr>
        <w:t>WHEREAS, the Borrower has requested that Treasury waive the Financial Covenant with respect to the Test Period ending June 30, 2023;</w:t>
      </w:r>
    </w:p>
    <w:p>
      <w:pPr>
        <w:spacing w:after="0" w:line="215" w:lineRule="exact"/>
        <w:rPr>
          <w:sz w:val="20"/>
          <w:szCs w:val="20"/>
          <w:color w:val="auto"/>
        </w:rPr>
      </w:pPr>
    </w:p>
    <w:p>
      <w:pPr>
        <w:ind w:left="60" w:right="640" w:firstLine="749"/>
        <w:spacing w:after="0"/>
        <w:rPr>
          <w:sz w:val="20"/>
          <w:szCs w:val="20"/>
          <w:color w:val="auto"/>
        </w:rPr>
      </w:pPr>
      <w:r>
        <w:rPr>
          <w:rFonts w:ascii="Arial" w:cs="Arial" w:eastAsia="Arial" w:hAnsi="Arial"/>
          <w:sz w:val="22"/>
          <w:szCs w:val="22"/>
          <w:color w:val="auto"/>
        </w:rPr>
        <w:t>WHEREAS, Treasury, constituting the Required Lenders (as defined in each Credit Agreement), has agreed to waive the Financial Covenant solely with respect to the Test Period ending June 30, 2023, pursuant to this Waiver Agreement on the terms and conditions set forth herein.</w:t>
      </w:r>
    </w:p>
    <w:p>
      <w:pPr>
        <w:spacing w:after="0" w:line="213" w:lineRule="exact"/>
        <w:rPr>
          <w:sz w:val="20"/>
          <w:szCs w:val="20"/>
          <w:color w:val="auto"/>
        </w:rPr>
      </w:pPr>
    </w:p>
    <w:p>
      <w:pPr>
        <w:ind w:left="60" w:firstLine="749"/>
        <w:spacing w:after="0" w:line="297" w:lineRule="auto"/>
        <w:rPr>
          <w:sz w:val="20"/>
          <w:szCs w:val="20"/>
          <w:color w:val="auto"/>
        </w:rPr>
      </w:pPr>
      <w:r>
        <w:rPr>
          <w:rFonts w:ascii="Arial" w:cs="Arial" w:eastAsia="Arial" w:hAnsi="Arial"/>
          <w:sz w:val="19"/>
          <w:szCs w:val="19"/>
          <w:color w:val="auto"/>
        </w:rPr>
        <w:t>NOW, THEREFORE, in consideration of the premises set forth above, the terms and conditions contained herein, and other good and valuable consideration, the receipt and sufficiency of which are hereby acknowledged, the Borrower, the Guarantors party hereto, and the Required Lenders party hereto have agreed to enter into this Waiver Agreement:</w:t>
      </w:r>
    </w:p>
    <w:p>
      <w:pPr>
        <w:spacing w:after="0" w:line="161" w:lineRule="exact"/>
        <w:rPr>
          <w:sz w:val="20"/>
          <w:szCs w:val="20"/>
          <w:color w:val="auto"/>
        </w:rPr>
      </w:pPr>
    </w:p>
    <w:p>
      <w:pPr>
        <w:ind w:left="420" w:right="140" w:hanging="372"/>
        <w:spacing w:after="0" w:line="238" w:lineRule="auto"/>
        <w:tabs>
          <w:tab w:leader="none" w:pos="420" w:val="left"/>
        </w:tabs>
        <w:numPr>
          <w:ilvl w:val="0"/>
          <w:numId w:val="215"/>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Subject to the satisfaction (or waiver by the Required Lenders) of the conditions precedent set forth in Section 2 below, effective as of June 30, 2023, the Financial Covenant is waived solely with respect to the Test Period ending June 30, 2023 (it being understood that the Financial Covenant shall next apply with respect to the Test Period ending September 30, 2023).</w:t>
      </w:r>
    </w:p>
    <w:p>
      <w:pPr>
        <w:spacing w:after="0" w:line="211" w:lineRule="exact"/>
        <w:rPr>
          <w:rFonts w:ascii="Arial" w:cs="Arial" w:eastAsia="Arial" w:hAnsi="Arial"/>
          <w:sz w:val="22"/>
          <w:szCs w:val="22"/>
          <w:color w:val="auto"/>
        </w:rPr>
      </w:pPr>
    </w:p>
    <w:p>
      <w:pPr>
        <w:ind w:left="400" w:right="1100" w:hanging="352"/>
        <w:spacing w:after="0" w:line="250" w:lineRule="auto"/>
        <w:tabs>
          <w:tab w:leader="none" w:pos="400" w:val="left"/>
        </w:tabs>
        <w:numPr>
          <w:ilvl w:val="0"/>
          <w:numId w:val="215"/>
        </w:numPr>
        <w:rPr>
          <w:rFonts w:ascii="Arial" w:cs="Arial" w:eastAsia="Arial" w:hAnsi="Arial"/>
          <w:sz w:val="22"/>
          <w:szCs w:val="22"/>
          <w:color w:val="auto"/>
        </w:rPr>
      </w:pPr>
      <w:r>
        <w:rPr>
          <w:rFonts w:ascii="Arial" w:cs="Arial" w:eastAsia="Arial" w:hAnsi="Arial"/>
          <w:sz w:val="22"/>
          <w:szCs w:val="22"/>
          <w:u w:val="single" w:color="auto"/>
          <w:color w:val="auto"/>
        </w:rPr>
        <w:t>Conditions Precedent</w:t>
      </w:r>
      <w:r>
        <w:rPr>
          <w:rFonts w:ascii="Arial" w:cs="Arial" w:eastAsia="Arial" w:hAnsi="Arial"/>
          <w:sz w:val="22"/>
          <w:szCs w:val="22"/>
          <w:color w:val="auto"/>
        </w:rPr>
        <w:t>. This Waiver Agreement shall become effective on the first date on which the following conditions precedent have been satisfied (or waived by the Required Lenders):</w:t>
      </w:r>
    </w:p>
    <w:p>
      <w:pPr>
        <w:spacing w:after="0" w:line="201" w:lineRule="exact"/>
        <w:rPr>
          <w:rFonts w:ascii="Arial" w:cs="Arial" w:eastAsia="Arial" w:hAnsi="Arial"/>
          <w:sz w:val="22"/>
          <w:szCs w:val="22"/>
          <w:color w:val="auto"/>
        </w:rPr>
      </w:pPr>
    </w:p>
    <w:p>
      <w:pPr>
        <w:ind w:left="420"/>
        <w:spacing w:after="0"/>
        <w:rPr>
          <w:rFonts w:ascii="Arial" w:cs="Arial" w:eastAsia="Arial" w:hAnsi="Arial"/>
          <w:sz w:val="22"/>
          <w:szCs w:val="22"/>
          <w:color w:val="auto"/>
        </w:rPr>
      </w:pPr>
      <w:r>
        <w:rPr>
          <w:rFonts w:ascii="Arial" w:cs="Arial" w:eastAsia="Arial" w:hAnsi="Arial"/>
          <w:sz w:val="22"/>
          <w:szCs w:val="22"/>
          <w:color w:val="auto"/>
        </w:rPr>
        <w:t>2.1. The Administrative Agent shall have received counterparts of this Waiver Agreement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423" w:right="519" w:bottom="1440" w:gutter="0" w:footer="0" w:header="0"/>
        </w:sectPr>
      </w:pPr>
    </w:p>
    <w:bookmarkStart w:id="189" w:name="page190"/>
    <w:bookmarkEnd w:id="189"/>
    <w:p>
      <w:pPr>
        <w:ind w:left="880" w:right="260"/>
        <w:spacing w:after="0" w:line="250" w:lineRule="auto"/>
        <w:rPr>
          <w:sz w:val="20"/>
          <w:szCs w:val="20"/>
          <w:color w:val="auto"/>
        </w:rPr>
      </w:pPr>
      <w:r>
        <w:rPr>
          <w:rFonts w:ascii="Arial" w:cs="Arial" w:eastAsia="Arial" w:hAnsi="Arial"/>
          <w:sz w:val="22"/>
          <w:szCs w:val="22"/>
          <w:color w:val="auto"/>
        </w:rPr>
        <w:t>duly executed by the Borrower, the Guarantors party hereto, and the Required Lenders and acknowledged by the Administrative Agent;</w:t>
      </w:r>
    </w:p>
    <w:p>
      <w:pPr>
        <w:spacing w:after="0" w:line="215" w:lineRule="exact"/>
        <w:rPr>
          <w:sz w:val="20"/>
          <w:szCs w:val="20"/>
          <w:color w:val="auto"/>
        </w:rPr>
      </w:pPr>
    </w:p>
    <w:p>
      <w:pPr>
        <w:ind w:left="860" w:hanging="437"/>
        <w:spacing w:after="0" w:line="235" w:lineRule="auto"/>
        <w:rPr>
          <w:sz w:val="20"/>
          <w:szCs w:val="20"/>
          <w:color w:val="auto"/>
        </w:rPr>
      </w:pPr>
      <w:r>
        <w:rPr>
          <w:rFonts w:ascii="Arial" w:cs="Arial" w:eastAsia="Arial" w:hAnsi="Arial"/>
          <w:sz w:val="22"/>
          <w:szCs w:val="22"/>
          <w:color w:val="auto"/>
        </w:rPr>
        <w:t>2.2. (i) The Administrative Agent and the Required Lenders shall have received copies of Amendment No. 3 and Limited Waiver, dated on or about July [ ], 2023, with an effective date of June 30, 2023, by and among the Borrower, the Guarantors party thereto, and Alter Domus Products Corp., as administrative and collateral agent (the “</w:t>
      </w:r>
      <w:r>
        <w:rPr>
          <w:rFonts w:ascii="Arial" w:cs="Arial" w:eastAsia="Arial" w:hAnsi="Arial"/>
          <w:sz w:val="22"/>
          <w:szCs w:val="22"/>
          <w:b w:val="1"/>
          <w:bCs w:val="1"/>
          <w:color w:val="auto"/>
        </w:rPr>
        <w:t>Tranche B-2 Term Loan Waiver</w:t>
      </w:r>
      <w:r>
        <w:rPr>
          <w:rFonts w:ascii="Arial" w:cs="Arial" w:eastAsia="Arial" w:hAnsi="Arial"/>
          <w:sz w:val="22"/>
          <w:szCs w:val="22"/>
          <w:color w:val="auto"/>
        </w:rPr>
        <w:t>”), duly executed by the parties thereto, in form and substance satisfactory to the Required Lenders in their sole discretion, and (ii) the conditions precedent set forth in the Tranche B-2 Term Loan Waiver shall have been satisfied; and</w:t>
      </w:r>
    </w:p>
    <w:p>
      <w:pPr>
        <w:spacing w:after="0" w:line="228" w:lineRule="exact"/>
        <w:rPr>
          <w:sz w:val="20"/>
          <w:szCs w:val="20"/>
          <w:color w:val="auto"/>
        </w:rPr>
      </w:pPr>
    </w:p>
    <w:p>
      <w:pPr>
        <w:ind w:left="860" w:right="500" w:hanging="436"/>
        <w:spacing w:after="0"/>
        <w:rPr>
          <w:sz w:val="20"/>
          <w:szCs w:val="20"/>
          <w:color w:val="auto"/>
        </w:rPr>
      </w:pPr>
      <w:r>
        <w:rPr>
          <w:rFonts w:ascii="Arial" w:cs="Arial" w:eastAsia="Arial" w:hAnsi="Arial"/>
          <w:sz w:val="22"/>
          <w:szCs w:val="22"/>
          <w:color w:val="auto"/>
        </w:rPr>
        <w:t>2.3. After giving effect to the waiver under Section 1 herein, no Default or Event of Default has occurred and is continuing, or would result from the execution of this Waiver Agreement or consummation of the transactions contemplated hereunder.</w:t>
      </w:r>
    </w:p>
    <w:p>
      <w:pPr>
        <w:spacing w:after="0" w:line="213" w:lineRule="exact"/>
        <w:rPr>
          <w:sz w:val="20"/>
          <w:szCs w:val="20"/>
          <w:color w:val="auto"/>
        </w:rPr>
      </w:pPr>
    </w:p>
    <w:p>
      <w:pPr>
        <w:ind w:left="400" w:hanging="352"/>
        <w:spacing w:after="0"/>
        <w:tabs>
          <w:tab w:leader="none" w:pos="400"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Affirmative Covenants</w:t>
      </w:r>
      <w:r>
        <w:rPr>
          <w:rFonts w:ascii="Arial" w:cs="Arial" w:eastAsia="Arial" w:hAnsi="Arial"/>
          <w:sz w:val="22"/>
          <w:szCs w:val="22"/>
          <w:color w:val="auto"/>
        </w:rPr>
        <w:t>. From and after the date of this Waiver Agreement, the Borrower shall:</w:t>
      </w:r>
    </w:p>
    <w:p>
      <w:pPr>
        <w:spacing w:after="0" w:line="233" w:lineRule="exact"/>
        <w:rPr>
          <w:rFonts w:ascii="Arial" w:cs="Arial" w:eastAsia="Arial" w:hAnsi="Arial"/>
          <w:sz w:val="22"/>
          <w:szCs w:val="22"/>
          <w:color w:val="auto"/>
        </w:rPr>
      </w:pPr>
    </w:p>
    <w:p>
      <w:pPr>
        <w:ind w:left="860" w:right="320" w:hanging="433"/>
        <w:spacing w:after="0" w:line="250" w:lineRule="auto"/>
        <w:rPr>
          <w:rFonts w:ascii="Arial" w:cs="Arial" w:eastAsia="Arial" w:hAnsi="Arial"/>
          <w:sz w:val="22"/>
          <w:szCs w:val="22"/>
          <w:color w:val="auto"/>
        </w:rPr>
      </w:pPr>
      <w:r>
        <w:rPr>
          <w:rFonts w:ascii="Arial" w:cs="Arial" w:eastAsia="Arial" w:hAnsi="Arial"/>
          <w:sz w:val="22"/>
          <w:szCs w:val="22"/>
          <w:color w:val="auto"/>
        </w:rPr>
        <w:t>3.1. Comply with the covenant contained in subsection 6.13(c)(i) of Exhibit A to the Tranche B-2 Term Loan Waiver regarding the appointment of an operational advisor; and</w:t>
      </w:r>
    </w:p>
    <w:p>
      <w:pPr>
        <w:spacing w:after="0" w:line="201" w:lineRule="exact"/>
        <w:rPr>
          <w:rFonts w:ascii="Arial" w:cs="Arial" w:eastAsia="Arial" w:hAnsi="Arial"/>
          <w:sz w:val="22"/>
          <w:szCs w:val="22"/>
          <w:color w:val="auto"/>
        </w:rPr>
      </w:pPr>
    </w:p>
    <w:p>
      <w:pPr>
        <w:ind w:left="860" w:right="20" w:hanging="445"/>
        <w:spacing w:after="0" w:line="252" w:lineRule="auto"/>
        <w:rPr>
          <w:rFonts w:ascii="Arial" w:cs="Arial" w:eastAsia="Arial" w:hAnsi="Arial"/>
          <w:sz w:val="22"/>
          <w:szCs w:val="22"/>
          <w:color w:val="auto"/>
        </w:rPr>
      </w:pPr>
      <w:r>
        <w:rPr>
          <w:rFonts w:ascii="Arial" w:cs="Arial" w:eastAsia="Arial" w:hAnsi="Arial"/>
          <w:sz w:val="21"/>
          <w:szCs w:val="21"/>
          <w:color w:val="auto"/>
        </w:rPr>
        <w:t>3.2. (i) Comply with the requirements pursuant to subsections 6.02(l), 6.02(m), 6.02(n) and 6.02(o) to Exhibit A to the Tranche B-2 Term Loan Waiver regarding delivery of certain documents and information, and (ii) deliver to the Administrative Agent, for distribution to each Lender, copies of each document or information so delivered no later than the date such document or information is required to be so delivered.</w:t>
      </w:r>
    </w:p>
    <w:p>
      <w:pPr>
        <w:spacing w:after="0" w:line="214" w:lineRule="exact"/>
        <w:rPr>
          <w:rFonts w:ascii="Arial" w:cs="Arial" w:eastAsia="Arial" w:hAnsi="Arial"/>
          <w:sz w:val="22"/>
          <w:szCs w:val="22"/>
          <w:color w:val="auto"/>
        </w:rPr>
      </w:pPr>
    </w:p>
    <w:p>
      <w:pPr>
        <w:ind w:left="400" w:right="1000" w:hanging="352"/>
        <w:spacing w:after="0" w:line="250" w:lineRule="auto"/>
        <w:tabs>
          <w:tab w:leader="none" w:pos="400"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Borrower and each of the Guarantors party hereto hereby represents and warrants as follows:</w:t>
      </w:r>
    </w:p>
    <w:p>
      <w:pPr>
        <w:spacing w:after="0" w:line="202" w:lineRule="exact"/>
        <w:rPr>
          <w:sz w:val="20"/>
          <w:szCs w:val="20"/>
          <w:color w:val="auto"/>
        </w:rPr>
      </w:pPr>
    </w:p>
    <w:p>
      <w:pPr>
        <w:ind w:left="860" w:right="180" w:hanging="437"/>
        <w:spacing w:after="0" w:line="235" w:lineRule="auto"/>
        <w:rPr>
          <w:sz w:val="20"/>
          <w:szCs w:val="20"/>
          <w:color w:val="auto"/>
        </w:rPr>
      </w:pPr>
      <w:r>
        <w:rPr>
          <w:rFonts w:ascii="Arial" w:cs="Arial" w:eastAsia="Arial" w:hAnsi="Arial"/>
          <w:sz w:val="22"/>
          <w:szCs w:val="22"/>
          <w:color w:val="auto"/>
        </w:rPr>
        <w:t>4.1. This Waiver Agreement has been duly authorized, executed, and delivered by the Borrower and each Guarantor, and this Waiver Agreement and the Credit Agreements constitute legal, valid, and binding obligations of the Borrower and the Guarantors and enforceable against the Borrower and the Guarantors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15" w:lineRule="exact"/>
        <w:rPr>
          <w:sz w:val="20"/>
          <w:szCs w:val="20"/>
          <w:color w:val="auto"/>
        </w:rPr>
      </w:pPr>
    </w:p>
    <w:p>
      <w:pPr>
        <w:ind w:left="860" w:right="60" w:hanging="438"/>
        <w:spacing w:after="0" w:line="248" w:lineRule="auto"/>
        <w:rPr>
          <w:sz w:val="20"/>
          <w:szCs w:val="20"/>
          <w:color w:val="auto"/>
        </w:rPr>
      </w:pPr>
      <w:r>
        <w:rPr>
          <w:rFonts w:ascii="Arial" w:cs="Arial" w:eastAsia="Arial" w:hAnsi="Arial"/>
          <w:sz w:val="21"/>
          <w:szCs w:val="21"/>
          <w:color w:val="auto"/>
        </w:rPr>
        <w:t xml:space="preserve">4.2. As of the date hereof, after giving effect to the waiver under Section 1 herein, the representations and warranties of the Borrower and the Guarantors set forth in Article 5 of each Credit Agreement are true and correct in all material respects on and as of the date hereof, except to the extent such representations and warranties expressly relate to an earlier date, in which case they shall be true and correct in all material respects as of such earlier date; </w:t>
      </w:r>
      <w:r>
        <w:rPr>
          <w:rFonts w:ascii="Arial" w:cs="Arial" w:eastAsia="Arial" w:hAnsi="Arial"/>
          <w:sz w:val="21"/>
          <w:szCs w:val="21"/>
          <w:i w:val="1"/>
          <w:iCs w:val="1"/>
          <w:color w:val="auto"/>
        </w:rPr>
        <w:t>provided</w:t>
      </w:r>
      <w:r>
        <w:rPr>
          <w:rFonts w:ascii="Arial" w:cs="Arial" w:eastAsia="Arial" w:hAnsi="Arial"/>
          <w:sz w:val="21"/>
          <w:szCs w:val="21"/>
          <w:color w:val="auto"/>
        </w:rPr>
        <w:t>, that any such representation and warranty that is qualified by “materiality,” “material adverse effect,” or similar language shall be true and correct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00" w:top="429" w:right="639" w:bottom="1440" w:gutter="0" w:footer="0" w:header="0"/>
        </w:sectPr>
      </w:pPr>
    </w:p>
    <w:bookmarkStart w:id="190" w:name="page191"/>
    <w:bookmarkEnd w:id="190"/>
    <w:p>
      <w:pPr>
        <w:ind w:left="860" w:right="160"/>
        <w:spacing w:after="0" w:line="236" w:lineRule="auto"/>
        <w:rPr>
          <w:sz w:val="20"/>
          <w:szCs w:val="20"/>
          <w:color w:val="auto"/>
        </w:rPr>
      </w:pPr>
      <w:r>
        <w:rPr>
          <w:rFonts w:ascii="Arial" w:cs="Arial" w:eastAsia="Arial" w:hAnsi="Arial"/>
          <w:sz w:val="22"/>
          <w:szCs w:val="22"/>
          <w:color w:val="auto"/>
        </w:rPr>
        <w:t xml:space="preserve">in all respects (after giving effect to such </w:t>
      </w:r>
      <w:r>
        <w:rPr>
          <w:rFonts w:ascii="Arial" w:cs="Arial" w:eastAsia="Arial" w:hAnsi="Arial"/>
          <w:sz w:val="19"/>
          <w:szCs w:val="19"/>
          <w:color w:val="auto"/>
        </w:rPr>
        <w:t>qualification therein) on and as of the date hereof with the same effect as though</w:t>
      </w:r>
      <w:r>
        <w:rPr>
          <w:rFonts w:ascii="Arial" w:cs="Arial" w:eastAsia="Arial" w:hAnsi="Arial"/>
          <w:sz w:val="22"/>
          <w:szCs w:val="22"/>
          <w:color w:val="auto"/>
        </w:rPr>
        <w:t xml:space="preserve"> </w:t>
      </w:r>
      <w:r>
        <w:rPr>
          <w:rFonts w:ascii="Arial" w:cs="Arial" w:eastAsia="Arial" w:hAnsi="Arial"/>
          <w:sz w:val="19"/>
          <w:szCs w:val="19"/>
          <w:color w:val="auto"/>
        </w:rPr>
        <w:t>made on and as of such date or such earlier date, as applicable.</w:t>
      </w:r>
    </w:p>
    <w:p>
      <w:pPr>
        <w:spacing w:after="0" w:line="232" w:lineRule="exact"/>
        <w:rPr>
          <w:sz w:val="20"/>
          <w:szCs w:val="20"/>
          <w:color w:val="auto"/>
        </w:rPr>
      </w:pPr>
    </w:p>
    <w:p>
      <w:pPr>
        <w:ind w:left="860" w:right="180" w:hanging="441"/>
        <w:spacing w:after="0"/>
        <w:rPr>
          <w:sz w:val="20"/>
          <w:szCs w:val="20"/>
          <w:color w:val="auto"/>
        </w:rPr>
      </w:pPr>
      <w:r>
        <w:rPr>
          <w:rFonts w:ascii="Arial" w:cs="Arial" w:eastAsia="Arial" w:hAnsi="Arial"/>
          <w:sz w:val="22"/>
          <w:szCs w:val="22"/>
          <w:color w:val="auto"/>
        </w:rPr>
        <w:t>4.3. After giving effect to the waiver in Section 1 herein, no Default or Event of Default has occurred and is continuing or would result from the execution of this Waiver Agreement or consummation of the transactions contemplated hereunder.</w:t>
      </w:r>
    </w:p>
    <w:p>
      <w:pPr>
        <w:spacing w:after="0" w:line="213" w:lineRule="exact"/>
        <w:rPr>
          <w:sz w:val="20"/>
          <w:szCs w:val="20"/>
          <w:color w:val="auto"/>
        </w:rPr>
      </w:pPr>
    </w:p>
    <w:p>
      <w:pPr>
        <w:ind w:left="420" w:hanging="372"/>
        <w:spacing w:after="0" w:line="246" w:lineRule="auto"/>
        <w:tabs>
          <w:tab w:leader="none" w:pos="420" w:val="left"/>
        </w:tabs>
        <w:numPr>
          <w:ilvl w:val="0"/>
          <w:numId w:val="217"/>
        </w:numPr>
        <w:rPr>
          <w:rFonts w:ascii="Arial" w:cs="Arial" w:eastAsia="Arial" w:hAnsi="Arial"/>
          <w:sz w:val="21"/>
          <w:szCs w:val="21"/>
          <w:color w:val="auto"/>
        </w:rPr>
      </w:pPr>
      <w:r>
        <w:rPr>
          <w:rFonts w:ascii="Arial" w:cs="Arial" w:eastAsia="Arial" w:hAnsi="Arial"/>
          <w:sz w:val="21"/>
          <w:szCs w:val="21"/>
          <w:u w:val="single" w:color="auto"/>
          <w:color w:val="auto"/>
        </w:rPr>
        <w:t>Limited Effect</w:t>
      </w:r>
      <w:r>
        <w:rPr>
          <w:rFonts w:ascii="Arial" w:cs="Arial" w:eastAsia="Arial" w:hAnsi="Arial"/>
          <w:sz w:val="21"/>
          <w:szCs w:val="21"/>
          <w:color w:val="auto"/>
        </w:rPr>
        <w:t>. This Waiver Agreement shall be limited as written and nothing herein shall be deemed to constitute an amendment or waiver of any other term, provision or condition of the Credit Agreements or any other Loan Documents in any other instance than as expressly set forth herein or prejudice any right or remedy that any Lender or the Administrative Agent or Collateral Agent may now have or may in the future have under any Loan Document. Nothing in this Waiver Agreement is intended to or shall be deemed or construed to establish a custom or course of dealing between the Loan Parties, on the one hand, and any Lender, on the other hand. Except as herein provided, the Credit Agreements and any other Loan Documents executed and delivered in connection therewith shall remain unchanged and in full force and effect and are hereby ratified and confirmed.</w:t>
      </w:r>
    </w:p>
    <w:p>
      <w:pPr>
        <w:spacing w:after="0" w:line="206" w:lineRule="exact"/>
        <w:rPr>
          <w:rFonts w:ascii="Arial" w:cs="Arial" w:eastAsia="Arial" w:hAnsi="Arial"/>
          <w:sz w:val="21"/>
          <w:szCs w:val="21"/>
          <w:color w:val="auto"/>
        </w:rPr>
      </w:pPr>
    </w:p>
    <w:p>
      <w:pPr>
        <w:ind w:left="380" w:right="1320" w:hanging="332"/>
        <w:spacing w:after="0" w:line="250" w:lineRule="auto"/>
        <w:tabs>
          <w:tab w:leader="none" w:pos="380"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No Novation</w:t>
      </w:r>
      <w:r>
        <w:rPr>
          <w:rFonts w:ascii="Arial" w:cs="Arial" w:eastAsia="Arial" w:hAnsi="Arial"/>
          <w:sz w:val="22"/>
          <w:szCs w:val="22"/>
          <w:color w:val="auto"/>
        </w:rPr>
        <w:t>. This Waiver Agreement shall not constitute a novation of the Credit Agreements or any other Loan Documents.</w:t>
      </w:r>
    </w:p>
    <w:p>
      <w:pPr>
        <w:spacing w:after="0" w:line="201" w:lineRule="exact"/>
        <w:rPr>
          <w:rFonts w:ascii="Arial" w:cs="Arial" w:eastAsia="Arial" w:hAnsi="Arial"/>
          <w:sz w:val="22"/>
          <w:szCs w:val="22"/>
          <w:color w:val="auto"/>
        </w:rPr>
      </w:pPr>
    </w:p>
    <w:p>
      <w:pPr>
        <w:ind w:left="400" w:hanging="352"/>
        <w:spacing w:after="0"/>
        <w:tabs>
          <w:tab w:leader="none" w:pos="400"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Loan Document</w:t>
      </w:r>
      <w:r>
        <w:rPr>
          <w:rFonts w:ascii="Arial" w:cs="Arial" w:eastAsia="Arial" w:hAnsi="Arial"/>
          <w:sz w:val="22"/>
          <w:szCs w:val="22"/>
          <w:color w:val="auto"/>
        </w:rPr>
        <w:t>. The parties hereto acknowledge that this Waiver Agreement is a Loan Document.</w:t>
      </w:r>
    </w:p>
    <w:p>
      <w:pPr>
        <w:spacing w:after="0" w:line="233" w:lineRule="exact"/>
        <w:rPr>
          <w:rFonts w:ascii="Arial" w:cs="Arial" w:eastAsia="Arial" w:hAnsi="Arial"/>
          <w:sz w:val="22"/>
          <w:szCs w:val="22"/>
          <w:color w:val="auto"/>
        </w:rPr>
      </w:pPr>
    </w:p>
    <w:p>
      <w:pPr>
        <w:ind w:left="400" w:right="280" w:hanging="352"/>
        <w:spacing w:after="0" w:line="274" w:lineRule="auto"/>
        <w:tabs>
          <w:tab w:leader="none" w:pos="400" w:val="left"/>
        </w:tabs>
        <w:numPr>
          <w:ilvl w:val="0"/>
          <w:numId w:val="217"/>
        </w:numPr>
        <w:rPr>
          <w:rFonts w:ascii="Arial" w:cs="Arial" w:eastAsia="Arial" w:hAnsi="Arial"/>
          <w:sz w:val="21"/>
          <w:szCs w:val="21"/>
          <w:color w:val="auto"/>
        </w:rPr>
      </w:pPr>
      <w:r>
        <w:rPr>
          <w:rFonts w:ascii="Arial" w:cs="Arial" w:eastAsia="Arial" w:hAnsi="Arial"/>
          <w:sz w:val="21"/>
          <w:szCs w:val="21"/>
          <w:u w:val="single" w:color="auto"/>
          <w:color w:val="auto"/>
        </w:rPr>
        <w:t>Amendment, Modification and Waiver</w:t>
      </w:r>
      <w:r>
        <w:rPr>
          <w:rFonts w:ascii="Arial" w:cs="Arial" w:eastAsia="Arial" w:hAnsi="Arial"/>
          <w:sz w:val="21"/>
          <w:szCs w:val="21"/>
          <w:color w:val="auto"/>
        </w:rPr>
        <w:t>. This Waiver Agreement may not be amended, modified or waived except by an instrument or instruments in writing signed and delivered on behalf of each of the parties hereto.</w:t>
      </w:r>
    </w:p>
    <w:p>
      <w:pPr>
        <w:spacing w:after="0" w:line="191" w:lineRule="exact"/>
        <w:rPr>
          <w:rFonts w:ascii="Arial" w:cs="Arial" w:eastAsia="Arial" w:hAnsi="Arial"/>
          <w:sz w:val="21"/>
          <w:szCs w:val="21"/>
          <w:color w:val="auto"/>
        </w:rPr>
      </w:pPr>
    </w:p>
    <w:p>
      <w:pPr>
        <w:ind w:left="420" w:hanging="372"/>
        <w:spacing w:after="0" w:line="275" w:lineRule="auto"/>
        <w:tabs>
          <w:tab w:leader="none" w:pos="420" w:val="left"/>
        </w:tabs>
        <w:numPr>
          <w:ilvl w:val="0"/>
          <w:numId w:val="217"/>
        </w:numPr>
        <w:rPr>
          <w:rFonts w:ascii="Arial" w:cs="Arial" w:eastAsia="Arial" w:hAnsi="Arial"/>
          <w:sz w:val="19"/>
          <w:szCs w:val="19"/>
          <w:color w:val="auto"/>
        </w:rPr>
      </w:pPr>
      <w:r>
        <w:rPr>
          <w:rFonts w:ascii="Arial" w:cs="Arial" w:eastAsia="Arial" w:hAnsi="Arial"/>
          <w:sz w:val="19"/>
          <w:szCs w:val="19"/>
          <w:u w:val="single" w:color="auto"/>
          <w:color w:val="auto"/>
        </w:rPr>
        <w:t>Counterparts and Electronic Execution and Delivery</w:t>
      </w:r>
      <w:r>
        <w:rPr>
          <w:rFonts w:ascii="Arial" w:cs="Arial" w:eastAsia="Arial" w:hAnsi="Arial"/>
          <w:sz w:val="19"/>
          <w:szCs w:val="19"/>
          <w:color w:val="auto"/>
        </w:rPr>
        <w:t>. This Waiver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Waiver Agreement by facsimile or in electronic (e.g., “pdf” or “tif”) format shall be effective as delivery of a manually executed counterpart of this Waiver Agreement. The words “executed,” “signature,” “delivery,” and words of like import shall be deemed to include electronic signatures, deliveries or the keeping of records in electronic form, as the case may be, each of which shall be of the same legal effect, validity or enforceability as a manually executed signature, physical delivery or the use of a paper-based recordkeeping system, as the case may be.</w:t>
      </w:r>
    </w:p>
    <w:p>
      <w:pPr>
        <w:spacing w:after="0" w:line="319" w:lineRule="exact"/>
        <w:rPr>
          <w:rFonts w:ascii="Arial" w:cs="Arial" w:eastAsia="Arial" w:hAnsi="Arial"/>
          <w:sz w:val="19"/>
          <w:szCs w:val="19"/>
          <w:color w:val="auto"/>
        </w:rPr>
      </w:pPr>
    </w:p>
    <w:p>
      <w:pPr>
        <w:ind w:left="420" w:right="520" w:hanging="372"/>
        <w:spacing w:after="0" w:line="250" w:lineRule="auto"/>
        <w:tabs>
          <w:tab w:leader="none" w:pos="420"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Direction to Administrative Agent</w:t>
      </w:r>
      <w:r>
        <w:rPr>
          <w:rFonts w:ascii="Arial" w:cs="Arial" w:eastAsia="Arial" w:hAnsi="Arial"/>
          <w:sz w:val="22"/>
          <w:szCs w:val="22"/>
          <w:color w:val="auto"/>
        </w:rPr>
        <w:t>. By its execution hereof, the Required Lenders direct the Administrative Agent to acknowledge this Waiver Agreement.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00" w:top="361" w:right="539" w:bottom="1440" w:gutter="0" w:footer="0" w:header="0"/>
        </w:sectPr>
      </w:pPr>
    </w:p>
    <w:bookmarkStart w:id="191" w:name="page192"/>
    <w:bookmarkEnd w:id="191"/>
    <w:p>
      <w:pPr>
        <w:ind w:left="400" w:hanging="352"/>
        <w:spacing w:after="0"/>
        <w:tabs>
          <w:tab w:leader="none" w:pos="400"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Governing Law; etc</w:t>
      </w:r>
      <w:r>
        <w:rPr>
          <w:rFonts w:ascii="Arial" w:cs="Arial" w:eastAsia="Arial" w:hAnsi="Arial"/>
          <w:sz w:val="22"/>
          <w:szCs w:val="22"/>
          <w:color w:val="auto"/>
        </w:rPr>
        <w:t>. Section 10.07 (</w:t>
      </w:r>
      <w:r>
        <w:rPr>
          <w:rFonts w:ascii="Arial" w:cs="Arial" w:eastAsia="Arial" w:hAnsi="Arial"/>
          <w:sz w:val="22"/>
          <w:szCs w:val="22"/>
          <w:i w:val="1"/>
          <w:iCs w:val="1"/>
          <w:color w:val="auto"/>
        </w:rPr>
        <w:t>Applicable Law</w:t>
      </w:r>
      <w:r>
        <w:rPr>
          <w:rFonts w:ascii="Arial" w:cs="Arial" w:eastAsia="Arial" w:hAnsi="Arial"/>
          <w:sz w:val="22"/>
          <w:szCs w:val="22"/>
          <w:color w:val="auto"/>
        </w:rPr>
        <w:t>), Section 10.11 (</w:t>
      </w:r>
      <w:r>
        <w:rPr>
          <w:rFonts w:ascii="Arial" w:cs="Arial" w:eastAsia="Arial" w:hAnsi="Arial"/>
          <w:sz w:val="22"/>
          <w:szCs w:val="22"/>
          <w:i w:val="1"/>
          <w:iCs w:val="1"/>
          <w:color w:val="auto"/>
        </w:rPr>
        <w:t>WAIVER OF JURY TRIAL</w:t>
      </w:r>
      <w:r>
        <w:rPr>
          <w:rFonts w:ascii="Arial" w:cs="Arial" w:eastAsia="Arial" w:hAnsi="Arial"/>
          <w:sz w:val="22"/>
          <w:szCs w:val="22"/>
          <w:color w:val="auto"/>
        </w:rPr>
        <w:t>), and Section 10.15 (</w:t>
      </w:r>
      <w:r>
        <w:rPr>
          <w:rFonts w:ascii="Arial" w:cs="Arial" w:eastAsia="Arial" w:hAnsi="Arial"/>
          <w:sz w:val="22"/>
          <w:szCs w:val="22"/>
          <w:i w:val="1"/>
          <w:iCs w:val="1"/>
          <w:color w:val="auto"/>
        </w:rPr>
        <w:t>Jurisdiction; Consent to Service of Process</w:t>
      </w:r>
      <w:r>
        <w:rPr>
          <w:rFonts w:ascii="Arial" w:cs="Arial" w:eastAsia="Arial" w:hAnsi="Arial"/>
          <w:sz w:val="22"/>
          <w:szCs w:val="22"/>
          <w:color w:val="auto"/>
        </w:rPr>
        <w:t xml:space="preserve">) of each Credit Agreement shall apply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to this Waiver Agreement as if set out herein.</w:t>
      </w:r>
    </w:p>
    <w:p>
      <w:pPr>
        <w:spacing w:after="0" w:line="22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to Follow</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00" w:top="429" w:right="1079" w:bottom="1440" w:gutter="0" w:footer="0" w:header="0"/>
        </w:sectPr>
      </w:pPr>
    </w:p>
    <w:bookmarkStart w:id="192" w:name="page193"/>
    <w:bookmarkEnd w:id="192"/>
    <w:p>
      <w:pPr>
        <w:ind w:left="60" w:right="59"/>
        <w:spacing w:after="0" w:line="274" w:lineRule="auto"/>
        <w:rPr>
          <w:sz w:val="20"/>
          <w:szCs w:val="20"/>
          <w:color w:val="auto"/>
        </w:rPr>
      </w:pPr>
      <w:r>
        <w:rPr>
          <w:rFonts w:ascii="Arial" w:cs="Arial" w:eastAsia="Arial" w:hAnsi="Arial"/>
          <w:sz w:val="21"/>
          <w:szCs w:val="21"/>
          <w:color w:val="auto"/>
        </w:rPr>
        <w:t>IN WITNESS WHEREOF, the Borrower and Treasury, constituting the Required Lenders, have caused this Waiver Agreement to be duly executed and delivered by their respective officers thereunto duly authorized.</w:t>
      </w:r>
    </w:p>
    <w:p>
      <w:pPr>
        <w:spacing w:after="0" w:line="200" w:lineRule="exact"/>
        <w:rPr>
          <w:sz w:val="20"/>
          <w:szCs w:val="20"/>
          <w:color w:val="auto"/>
        </w:rPr>
      </w:pPr>
    </w:p>
    <w:p>
      <w:pPr>
        <w:spacing w:after="0" w:line="228"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YELLOW CORPORATION</w:t>
      </w:r>
      <w:r>
        <w:rPr>
          <w:rFonts w:ascii="Arial" w:cs="Arial" w:eastAsia="Arial" w:hAnsi="Arial"/>
          <w:sz w:val="22"/>
          <w:szCs w:val="22"/>
          <w:color w:val="auto"/>
        </w:rPr>
        <w:t>,</w:t>
      </w:r>
    </w:p>
    <w:p>
      <w:pPr>
        <w:spacing w:after="0" w:line="14"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as Borrower</w:t>
      </w:r>
    </w:p>
    <w:p>
      <w:pPr>
        <w:spacing w:after="0" w:line="200" w:lineRule="exact"/>
        <w:rPr>
          <w:sz w:val="20"/>
          <w:szCs w:val="20"/>
          <w:color w:val="auto"/>
        </w:rPr>
      </w:pPr>
    </w:p>
    <w:p>
      <w:pPr>
        <w:spacing w:after="0" w:line="272"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By:__</w:t>
      </w:r>
      <w:r>
        <w:rPr>
          <w:rFonts w:ascii="Arial" w:cs="Arial" w:eastAsia="Arial" w:hAnsi="Arial"/>
          <w:sz w:val="22"/>
          <w:szCs w:val="22"/>
          <w:u w:val="single" w:color="auto"/>
          <w:color w:val="auto"/>
        </w:rPr>
        <w:t>/s/ Darren D. Hawkins</w:t>
      </w:r>
      <w:r>
        <w:rPr>
          <w:rFonts w:ascii="Arial" w:cs="Arial" w:eastAsia="Arial" w:hAnsi="Arial"/>
          <w:sz w:val="22"/>
          <w:szCs w:val="22"/>
          <w:color w:val="auto"/>
        </w:rPr>
        <w:t>_____</w:t>
      </w:r>
    </w:p>
    <w:p>
      <w:pPr>
        <w:ind w:left="5300"/>
        <w:spacing w:after="0" w:line="238" w:lineRule="auto"/>
        <w:rPr>
          <w:sz w:val="20"/>
          <w:szCs w:val="20"/>
          <w:color w:val="auto"/>
        </w:rPr>
      </w:pPr>
      <w:r>
        <w:rPr>
          <w:rFonts w:ascii="Arial" w:cs="Arial" w:eastAsia="Arial" w:hAnsi="Arial"/>
          <w:sz w:val="22"/>
          <w:szCs w:val="22"/>
          <w:color w:val="auto"/>
        </w:rPr>
        <w:t>Name: Darren D. Hawkins</w:t>
      </w:r>
    </w:p>
    <w:p>
      <w:pPr>
        <w:ind w:left="530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72"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Daniel L. Olivier</w:t>
      </w:r>
      <w:r>
        <w:rPr>
          <w:rFonts w:ascii="Arial" w:cs="Arial" w:eastAsia="Arial" w:hAnsi="Arial"/>
          <w:sz w:val="22"/>
          <w:szCs w:val="22"/>
          <w:color w:val="auto"/>
        </w:rPr>
        <w:t>________</w:t>
      </w:r>
    </w:p>
    <w:p>
      <w:pPr>
        <w:ind w:left="5300"/>
        <w:spacing w:after="0" w:line="238" w:lineRule="auto"/>
        <w:rPr>
          <w:sz w:val="20"/>
          <w:szCs w:val="20"/>
          <w:color w:val="auto"/>
        </w:rPr>
      </w:pPr>
      <w:r>
        <w:rPr>
          <w:rFonts w:ascii="Arial" w:cs="Arial" w:eastAsia="Arial" w:hAnsi="Arial"/>
          <w:sz w:val="22"/>
          <w:szCs w:val="22"/>
          <w:color w:val="auto"/>
        </w:rPr>
        <w:t>Name: Daniel L. Olivier</w:t>
      </w:r>
    </w:p>
    <w:p>
      <w:pPr>
        <w:ind w:left="53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429" w:right="1440" w:bottom="1440" w:gutter="0" w:footer="0" w:header="0"/>
        </w:sectPr>
      </w:pPr>
    </w:p>
    <w:bookmarkStart w:id="193" w:name="page194"/>
    <w:bookmarkEnd w:id="193"/>
    <w:p>
      <w:pPr>
        <w:ind w:left="4540"/>
        <w:spacing w:after="0"/>
        <w:rPr>
          <w:sz w:val="20"/>
          <w:szCs w:val="20"/>
          <w:color w:val="auto"/>
        </w:rPr>
      </w:pPr>
      <w:r>
        <w:rPr>
          <w:rFonts w:ascii="Arial" w:cs="Arial" w:eastAsia="Arial" w:hAnsi="Arial"/>
          <w:sz w:val="22"/>
          <w:szCs w:val="22"/>
          <w:b w:val="1"/>
          <w:bCs w:val="1"/>
          <w:color w:val="auto"/>
        </w:rPr>
        <w:t>1105481 ONTARIO INC. EXPRESS LANE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SERVICE, INC.</w:t>
      </w:r>
    </w:p>
    <w:p>
      <w:pPr>
        <w:ind w:left="4540"/>
        <w:spacing w:after="0" w:line="230" w:lineRule="auto"/>
        <w:rPr>
          <w:sz w:val="20"/>
          <w:szCs w:val="20"/>
          <w:color w:val="auto"/>
        </w:rPr>
      </w:pPr>
      <w:r>
        <w:rPr>
          <w:rFonts w:ascii="Arial" w:cs="Arial" w:eastAsia="Arial" w:hAnsi="Arial"/>
          <w:sz w:val="22"/>
          <w:szCs w:val="22"/>
          <w:b w:val="1"/>
          <w:bCs w:val="1"/>
          <w:color w:val="auto"/>
        </w:rPr>
        <w:t>NEW PENN MOTOR EXPRESS LLC ROADWAY EXPRESS</w:t>
      </w:r>
    </w:p>
    <w:p>
      <w:pPr>
        <w:ind w:left="4540"/>
        <w:spacing w:after="0" w:line="231" w:lineRule="auto"/>
        <w:rPr>
          <w:sz w:val="20"/>
          <w:szCs w:val="20"/>
          <w:color w:val="auto"/>
        </w:rPr>
      </w:pPr>
      <w:r>
        <w:rPr>
          <w:rFonts w:ascii="Arial" w:cs="Arial" w:eastAsia="Arial" w:hAnsi="Arial"/>
          <w:sz w:val="22"/>
          <w:szCs w:val="22"/>
          <w:b w:val="1"/>
          <w:bCs w:val="1"/>
          <w:color w:val="auto"/>
        </w:rPr>
        <w:t>INTERNATIONAL, INC.</w:t>
      </w:r>
    </w:p>
    <w:p>
      <w:pPr>
        <w:ind w:left="4540"/>
        <w:spacing w:after="0" w:line="230" w:lineRule="auto"/>
        <w:rPr>
          <w:sz w:val="20"/>
          <w:szCs w:val="20"/>
          <w:color w:val="auto"/>
        </w:rPr>
      </w:pPr>
      <w:r>
        <w:rPr>
          <w:rFonts w:ascii="Arial" w:cs="Arial" w:eastAsia="Arial" w:hAnsi="Arial"/>
          <w:sz w:val="22"/>
          <w:szCs w:val="22"/>
          <w:b w:val="1"/>
          <w:bCs w:val="1"/>
          <w:color w:val="auto"/>
        </w:rPr>
        <w:t>ROADWAY LLC</w:t>
      </w:r>
    </w:p>
    <w:p>
      <w:pPr>
        <w:spacing w:after="0" w:line="1" w:lineRule="exact"/>
        <w:rPr>
          <w:sz w:val="20"/>
          <w:szCs w:val="20"/>
          <w:color w:val="auto"/>
        </w:rPr>
      </w:pPr>
    </w:p>
    <w:p>
      <w:pPr>
        <w:ind w:left="4540" w:right="540"/>
        <w:spacing w:after="0" w:line="230" w:lineRule="auto"/>
        <w:rPr>
          <w:sz w:val="20"/>
          <w:szCs w:val="20"/>
          <w:color w:val="auto"/>
        </w:rPr>
      </w:pPr>
      <w:r>
        <w:rPr>
          <w:rFonts w:ascii="Arial" w:cs="Arial" w:eastAsia="Arial" w:hAnsi="Arial"/>
          <w:sz w:val="22"/>
          <w:szCs w:val="22"/>
          <w:b w:val="1"/>
          <w:bCs w:val="1"/>
          <w:color w:val="auto"/>
        </w:rPr>
        <w:t>ROADWAY NEXT DAY CORPORATION USF BESTWAY INC.</w:t>
      </w:r>
    </w:p>
    <w:p>
      <w:pPr>
        <w:ind w:left="4540"/>
        <w:spacing w:after="0" w:line="231" w:lineRule="auto"/>
        <w:rPr>
          <w:sz w:val="20"/>
          <w:szCs w:val="20"/>
          <w:color w:val="auto"/>
        </w:rPr>
      </w:pPr>
      <w:r>
        <w:rPr>
          <w:rFonts w:ascii="Arial" w:cs="Arial" w:eastAsia="Arial" w:hAnsi="Arial"/>
          <w:sz w:val="22"/>
          <w:szCs w:val="22"/>
          <w:b w:val="1"/>
          <w:bCs w:val="1"/>
          <w:color w:val="auto"/>
        </w:rPr>
        <w:t>USF DUGAN INC.</w:t>
      </w:r>
    </w:p>
    <w:p>
      <w:pPr>
        <w:spacing w:after="0" w:line="1" w:lineRule="exact"/>
        <w:rPr>
          <w:sz w:val="20"/>
          <w:szCs w:val="20"/>
          <w:color w:val="auto"/>
        </w:rPr>
      </w:pPr>
    </w:p>
    <w:p>
      <w:pPr>
        <w:ind w:left="4540" w:right="180"/>
        <w:spacing w:after="0" w:line="230" w:lineRule="auto"/>
        <w:rPr>
          <w:sz w:val="20"/>
          <w:szCs w:val="20"/>
          <w:color w:val="auto"/>
        </w:rPr>
      </w:pPr>
      <w:r>
        <w:rPr>
          <w:rFonts w:ascii="Arial" w:cs="Arial" w:eastAsia="Arial" w:hAnsi="Arial"/>
          <w:sz w:val="22"/>
          <w:szCs w:val="22"/>
          <w:b w:val="1"/>
          <w:bCs w:val="1"/>
          <w:color w:val="auto"/>
        </w:rPr>
        <w:t>USF HOLLAND INTERNATIONAL SALES CORPORATION USF HOLLAND LLC USF REDDAWAY INC. USF REDSTAR LLC</w:t>
      </w:r>
    </w:p>
    <w:p>
      <w:pPr>
        <w:spacing w:after="0" w:line="2" w:lineRule="exact"/>
        <w:rPr>
          <w:sz w:val="20"/>
          <w:szCs w:val="20"/>
          <w:color w:val="auto"/>
        </w:rPr>
      </w:pPr>
    </w:p>
    <w:p>
      <w:pPr>
        <w:ind w:left="4540"/>
        <w:spacing w:after="0" w:line="230" w:lineRule="auto"/>
        <w:rPr>
          <w:sz w:val="20"/>
          <w:szCs w:val="20"/>
          <w:color w:val="auto"/>
        </w:rPr>
      </w:pPr>
      <w:r>
        <w:rPr>
          <w:rFonts w:ascii="Arial" w:cs="Arial" w:eastAsia="Arial" w:hAnsi="Arial"/>
          <w:sz w:val="22"/>
          <w:szCs w:val="22"/>
          <w:b w:val="1"/>
          <w:bCs w:val="1"/>
          <w:color w:val="auto"/>
        </w:rPr>
        <w:t>YELLOW LOGISTICS, INC. (F/K/A HNRY LOGISTICS, INC.) YRC ASSOCIATION SOLUTIONS, INC. YRC ENTERPRISE SERVICES, INC. YRC FREIGHT CANADA COMPANY YRC INC.</w:t>
      </w:r>
    </w:p>
    <w:p>
      <w:pPr>
        <w:ind w:left="4540"/>
        <w:spacing w:after="0" w:line="232" w:lineRule="auto"/>
        <w:rPr>
          <w:sz w:val="20"/>
          <w:szCs w:val="20"/>
          <w:color w:val="auto"/>
        </w:rPr>
      </w:pPr>
      <w:r>
        <w:rPr>
          <w:rFonts w:ascii="Arial" w:cs="Arial" w:eastAsia="Arial" w:hAnsi="Arial"/>
          <w:sz w:val="22"/>
          <w:szCs w:val="22"/>
          <w:b w:val="1"/>
          <w:bCs w:val="1"/>
          <w:color w:val="auto"/>
        </w:rPr>
        <w:t>YRC INTERNATIONAL INVESTMENTS, INC.</w:t>
      </w:r>
    </w:p>
    <w:p>
      <w:pPr>
        <w:ind w:left="4540"/>
        <w:spacing w:after="0" w:line="231" w:lineRule="auto"/>
        <w:rPr>
          <w:sz w:val="20"/>
          <w:szCs w:val="20"/>
          <w:color w:val="auto"/>
        </w:rPr>
      </w:pPr>
      <w:r>
        <w:rPr>
          <w:rFonts w:ascii="Arial" w:cs="Arial" w:eastAsia="Arial" w:hAnsi="Arial"/>
          <w:sz w:val="22"/>
          <w:szCs w:val="22"/>
          <w:b w:val="1"/>
          <w:bCs w:val="1"/>
          <w:color w:val="auto"/>
        </w:rPr>
        <w:t>YRC LOGISTICS INC.</w:t>
      </w:r>
    </w:p>
    <w:p>
      <w:pPr>
        <w:ind w:left="4540"/>
        <w:spacing w:after="0" w:line="230" w:lineRule="auto"/>
        <w:rPr>
          <w:sz w:val="20"/>
          <w:szCs w:val="20"/>
          <w:color w:val="auto"/>
        </w:rPr>
      </w:pPr>
      <w:r>
        <w:rPr>
          <w:rFonts w:ascii="Arial" w:cs="Arial" w:eastAsia="Arial" w:hAnsi="Arial"/>
          <w:sz w:val="22"/>
          <w:szCs w:val="22"/>
          <w:b w:val="1"/>
          <w:bCs w:val="1"/>
          <w:color w:val="auto"/>
        </w:rPr>
        <w:t>YRC LOGISTICS SERVICES, INC. YRC</w:t>
      </w:r>
    </w:p>
    <w:p>
      <w:pPr>
        <w:ind w:left="4540"/>
        <w:spacing w:after="0" w:line="231" w:lineRule="auto"/>
        <w:rPr>
          <w:sz w:val="20"/>
          <w:szCs w:val="20"/>
          <w:color w:val="auto"/>
        </w:rPr>
      </w:pPr>
      <w:r>
        <w:rPr>
          <w:rFonts w:ascii="Arial" w:cs="Arial" w:eastAsia="Arial" w:hAnsi="Arial"/>
          <w:sz w:val="22"/>
          <w:szCs w:val="22"/>
          <w:b w:val="1"/>
          <w:bCs w:val="1"/>
          <w:color w:val="auto"/>
        </w:rPr>
        <w:t>MORTGAGES, LLC</w:t>
      </w:r>
    </w:p>
    <w:p>
      <w:pPr>
        <w:ind w:left="4540"/>
        <w:spacing w:after="0" w:line="230" w:lineRule="auto"/>
        <w:rPr>
          <w:sz w:val="20"/>
          <w:szCs w:val="20"/>
          <w:color w:val="auto"/>
        </w:rPr>
      </w:pPr>
      <w:r>
        <w:rPr>
          <w:rFonts w:ascii="Arial" w:cs="Arial" w:eastAsia="Arial" w:hAnsi="Arial"/>
          <w:sz w:val="22"/>
          <w:szCs w:val="22"/>
          <w:b w:val="1"/>
          <w:bCs w:val="1"/>
          <w:color w:val="auto"/>
        </w:rPr>
        <w:t>YRC REGIONAL TRANSPORTATION, INC.</w:t>
      </w:r>
      <w:r>
        <w:rPr>
          <w:rFonts w:ascii="Arial" w:cs="Arial" w:eastAsia="Arial" w:hAnsi="Arial"/>
          <w:sz w:val="22"/>
          <w:szCs w:val="22"/>
          <w:color w:val="auto"/>
        </w:rPr>
        <w:t>,</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each as a Guarantor</w:t>
      </w:r>
    </w:p>
    <w:p>
      <w:pPr>
        <w:spacing w:after="0" w:line="200" w:lineRule="exact"/>
        <w:rPr>
          <w:sz w:val="20"/>
          <w:szCs w:val="20"/>
          <w:color w:val="auto"/>
        </w:rPr>
      </w:pPr>
    </w:p>
    <w:p>
      <w:pPr>
        <w:spacing w:after="0" w:line="27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By:__</w:t>
      </w:r>
      <w:r>
        <w:rPr>
          <w:rFonts w:ascii="Arial" w:cs="Arial" w:eastAsia="Arial" w:hAnsi="Arial"/>
          <w:sz w:val="22"/>
          <w:szCs w:val="22"/>
          <w:u w:val="single" w:color="auto"/>
          <w:color w:val="auto"/>
        </w:rPr>
        <w:t>/s/ Darren D. Hawkins</w:t>
      </w:r>
      <w:r>
        <w:rPr>
          <w:rFonts w:ascii="Arial" w:cs="Arial" w:eastAsia="Arial" w:hAnsi="Arial"/>
          <w:sz w:val="22"/>
          <w:szCs w:val="22"/>
          <w:color w:val="auto"/>
        </w:rPr>
        <w:t>_____</w:t>
      </w:r>
    </w:p>
    <w:p>
      <w:pPr>
        <w:ind w:left="4520"/>
        <w:spacing w:after="0" w:line="238" w:lineRule="auto"/>
        <w:rPr>
          <w:sz w:val="20"/>
          <w:szCs w:val="20"/>
          <w:color w:val="auto"/>
        </w:rPr>
      </w:pPr>
      <w:r>
        <w:rPr>
          <w:rFonts w:ascii="Arial" w:cs="Arial" w:eastAsia="Arial" w:hAnsi="Arial"/>
          <w:sz w:val="22"/>
          <w:szCs w:val="22"/>
          <w:color w:val="auto"/>
        </w:rPr>
        <w:t>Name: Darren D. Hawkins</w:t>
      </w:r>
    </w:p>
    <w:p>
      <w:pPr>
        <w:ind w:left="452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400" w:top="963" w:right="939" w:bottom="1440" w:gutter="0" w:footer="0" w:header="0"/>
        </w:sectPr>
      </w:pPr>
    </w:p>
    <w:bookmarkStart w:id="194" w:name="page195"/>
    <w:bookmarkEnd w:id="194"/>
    <w:p>
      <w:pPr>
        <w:ind w:left="4540" w:right="119"/>
        <w:spacing w:after="0" w:line="256" w:lineRule="auto"/>
        <w:rPr>
          <w:sz w:val="20"/>
          <w:szCs w:val="20"/>
          <w:color w:val="auto"/>
        </w:rPr>
      </w:pPr>
      <w:r>
        <w:rPr>
          <w:rFonts w:ascii="Arial" w:cs="Arial" w:eastAsia="Arial" w:hAnsi="Arial"/>
          <w:sz w:val="22"/>
          <w:szCs w:val="22"/>
          <w:b w:val="1"/>
          <w:bCs w:val="1"/>
          <w:color w:val="auto"/>
        </w:rPr>
        <w:t>UNITED STATES DEPARTMENT OF THE TREASURY</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as Required Lenders</w:t>
      </w:r>
    </w:p>
    <w:p>
      <w:pPr>
        <w:spacing w:after="0" w:line="200" w:lineRule="exact"/>
        <w:rPr>
          <w:sz w:val="20"/>
          <w:szCs w:val="20"/>
          <w:color w:val="auto"/>
        </w:rPr>
      </w:pPr>
    </w:p>
    <w:p>
      <w:pPr>
        <w:spacing w:after="0" w:line="25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__</w:t>
      </w:r>
      <w:r>
        <w:rPr>
          <w:rFonts w:ascii="Arial" w:cs="Arial" w:eastAsia="Arial" w:hAnsi="Arial"/>
          <w:sz w:val="22"/>
          <w:szCs w:val="22"/>
          <w:u w:val="single" w:color="auto"/>
          <w:color w:val="auto"/>
        </w:rPr>
        <w:t>/s/ Jessica Milano</w:t>
      </w:r>
      <w:r>
        <w:rPr>
          <w:rFonts w:ascii="Arial" w:cs="Arial" w:eastAsia="Arial" w:hAnsi="Arial"/>
          <w:sz w:val="22"/>
          <w:szCs w:val="22"/>
          <w:color w:val="auto"/>
        </w:rPr>
        <w:t>_____________</w:t>
      </w:r>
    </w:p>
    <w:p>
      <w:pPr>
        <w:ind w:left="4540"/>
        <w:spacing w:after="0" w:line="238" w:lineRule="auto"/>
        <w:rPr>
          <w:sz w:val="20"/>
          <w:szCs w:val="20"/>
          <w:color w:val="auto"/>
        </w:rPr>
      </w:pPr>
      <w:r>
        <w:rPr>
          <w:rFonts w:ascii="Arial" w:cs="Arial" w:eastAsia="Arial" w:hAnsi="Arial"/>
          <w:sz w:val="22"/>
          <w:szCs w:val="22"/>
          <w:color w:val="auto"/>
        </w:rPr>
        <w:t>Name: Jessica Milano</w:t>
      </w:r>
    </w:p>
    <w:p>
      <w:pPr>
        <w:ind w:left="4540"/>
        <w:spacing w:after="0"/>
        <w:rPr>
          <w:sz w:val="20"/>
          <w:szCs w:val="20"/>
          <w:color w:val="auto"/>
        </w:rPr>
      </w:pPr>
      <w:r>
        <w:rPr>
          <w:rFonts w:ascii="Arial" w:cs="Arial" w:eastAsia="Arial" w:hAnsi="Arial"/>
          <w:sz w:val="22"/>
          <w:szCs w:val="22"/>
          <w:color w:val="auto"/>
        </w:rPr>
        <w:t>Title: Chief Program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679" w:right="1440" w:bottom="1440" w:gutter="0" w:footer="0" w:header="0"/>
        </w:sectPr>
      </w:pPr>
    </w:p>
    <w:bookmarkStart w:id="195" w:name="page196"/>
    <w:bookmarkEnd w:id="195"/>
    <w:p>
      <w:pPr>
        <w:ind w:left="60"/>
        <w:spacing w:after="0"/>
        <w:rPr>
          <w:sz w:val="20"/>
          <w:szCs w:val="20"/>
          <w:color w:val="auto"/>
        </w:rPr>
      </w:pPr>
      <w:r>
        <w:rPr>
          <w:rFonts w:ascii="Arial" w:cs="Arial" w:eastAsia="Arial" w:hAnsi="Arial"/>
          <w:sz w:val="22"/>
          <w:szCs w:val="22"/>
          <w:color w:val="auto"/>
        </w:rPr>
        <w:t>Acknowledged by: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540"/>
        <w:spacing w:after="0"/>
        <w:rPr>
          <w:sz w:val="20"/>
          <w:szCs w:val="20"/>
          <w:color w:val="auto"/>
        </w:rPr>
      </w:pPr>
      <w:r>
        <w:rPr>
          <w:rFonts w:ascii="Arial" w:cs="Arial" w:eastAsia="Arial" w:hAnsi="Arial"/>
          <w:sz w:val="21"/>
          <w:szCs w:val="21"/>
          <w:b w:val="1"/>
          <w:bCs w:val="1"/>
          <w:color w:val="auto"/>
        </w:rPr>
        <w:t>THE BANK OF NEW YORK MELLON</w:t>
      </w:r>
      <w:r>
        <w:rPr>
          <w:rFonts w:ascii="Arial" w:cs="Arial" w:eastAsia="Arial" w:hAnsi="Arial"/>
          <w:sz w:val="21"/>
          <w:szCs w:val="21"/>
          <w:color w:val="auto"/>
        </w:rPr>
        <w:t>,</w:t>
      </w:r>
    </w:p>
    <w:p>
      <w:pPr>
        <w:spacing w:after="0" w:line="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3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__</w:t>
      </w:r>
      <w:r>
        <w:rPr>
          <w:rFonts w:ascii="Arial" w:cs="Arial" w:eastAsia="Arial" w:hAnsi="Arial"/>
          <w:sz w:val="22"/>
          <w:szCs w:val="22"/>
          <w:u w:val="single" w:color="auto"/>
          <w:color w:val="auto"/>
        </w:rPr>
        <w:t>/s/ Louis Abitante</w:t>
      </w:r>
      <w:r>
        <w:rPr>
          <w:rFonts w:ascii="Arial" w:cs="Arial" w:eastAsia="Arial" w:hAnsi="Arial"/>
          <w:sz w:val="22"/>
          <w:szCs w:val="22"/>
          <w:color w:val="auto"/>
        </w:rPr>
        <w:t>____________</w:t>
      </w:r>
    </w:p>
    <w:p>
      <w:pPr>
        <w:ind w:left="4540"/>
        <w:spacing w:after="0" w:line="238" w:lineRule="auto"/>
        <w:rPr>
          <w:sz w:val="20"/>
          <w:szCs w:val="20"/>
          <w:color w:val="auto"/>
        </w:rPr>
      </w:pPr>
      <w:r>
        <w:rPr>
          <w:rFonts w:ascii="Arial" w:cs="Arial" w:eastAsia="Arial" w:hAnsi="Arial"/>
          <w:sz w:val="22"/>
          <w:szCs w:val="22"/>
          <w:color w:val="auto"/>
        </w:rPr>
        <w:t>Name: Louis Abitante</w:t>
      </w:r>
    </w:p>
    <w:p>
      <w:pPr>
        <w:ind w:left="4540"/>
        <w:spacing w:after="0"/>
        <w:rPr>
          <w:sz w:val="20"/>
          <w:szCs w:val="20"/>
          <w:color w:val="auto"/>
        </w:rPr>
      </w:pPr>
      <w:r>
        <w:rPr>
          <w:rFonts w:ascii="Arial" w:cs="Arial" w:eastAsia="Arial" w:hAnsi="Arial"/>
          <w:sz w:val="22"/>
          <w:szCs w:val="22"/>
          <w:color w:val="auto"/>
        </w:rPr>
        <w:t>Title: Vice President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62865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429" w:right="1440" w:bottom="1440" w:gutter="0" w:footer="0" w:header="0"/>
        </w:sectPr>
      </w:pPr>
    </w:p>
    <w:bookmarkStart w:id="196" w:name="page197"/>
    <w:bookmarkEnd w:id="1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7E1B4E"/>
    <w:multiLevelType w:val="hybridMultilevel"/>
    <w:lvl w:ilvl="0">
      <w:lvlJc w:val="left"/>
      <w:lvlText w:val="☐"/>
      <w:numFmt w:val="bullet"/>
      <w:start w:val="1"/>
    </w:lvl>
  </w:abstractNum>
  <w:abstractNum w:abstractNumId="1">
    <w:nsid w:val="51088277"/>
    <w:multiLevelType w:val="hybridMultilevel"/>
    <w:lvl w:ilvl="0">
      <w:lvlJc w:val="left"/>
      <w:lvlText w:val="(%1)"/>
      <w:numFmt w:val="lowerLetter"/>
      <w:start w:val="1"/>
    </w:lvl>
  </w:abstractNum>
  <w:abstractNum w:abstractNumId="2">
    <w:nsid w:val="1CA0C5FA"/>
    <w:multiLevelType w:val="hybridMultilevel"/>
    <w:lvl w:ilvl="0">
      <w:lvlJc w:val="left"/>
      <w:lvlText w:val="%1."/>
      <w:numFmt w:val="decimal"/>
      <w:start w:val="1"/>
    </w:lvl>
  </w:abstractNum>
  <w:abstractNum w:abstractNumId="3">
    <w:nsid w:val="53584BCB"/>
    <w:multiLevelType w:val="hybridMultilevel"/>
    <w:lvl w:ilvl="0">
      <w:lvlJc w:val="left"/>
      <w:lvlText w:val="(%1)"/>
      <w:numFmt w:val="lowerLetter"/>
      <w:start w:val="1"/>
    </w:lvl>
  </w:abstractNum>
  <w:abstractNum w:abstractNumId="4">
    <w:nsid w:val="415E286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
    </w:lvl>
    <w:lvl w:ilvl="3">
      <w:lvlJc w:val="left"/>
      <w:lvlText w:val="%4"/>
      <w:numFmt w:val="decimal"/>
      <w:start w:val="1"/>
    </w:lvl>
  </w:abstractNum>
  <w:abstractNum w:abstractNumId="5">
    <w:nsid w:val="7C58FD05"/>
    <w:multiLevelType w:val="hybridMultilevel"/>
    <w:lvl w:ilvl="0">
      <w:lvlJc w:val="left"/>
      <w:lvlText w:val="(%1)"/>
      <w:numFmt w:val="upperLetter"/>
      <w:start w:val="1"/>
    </w:lvl>
    <w:lvl w:ilvl="1">
      <w:lvlJc w:val="left"/>
      <w:lvlText w:val="(%2)"/>
      <w:numFmt w:val="lowerLetter"/>
    </w:lvl>
    <w:lvl w:ilvl="2">
      <w:lvlJc w:val="left"/>
      <w:lvlText w:val="%3"/>
      <w:numFmt w:val="lowerLetter"/>
      <w:start w:val="1"/>
    </w:lvl>
    <w:lvl w:ilvl="3">
      <w:lvlJc w:val="left"/>
      <w:lvlText w:val="%4."/>
      <w:numFmt w:val="decimal"/>
      <w:start w:val="2"/>
    </w:lvl>
  </w:abstractNum>
  <w:abstractNum w:abstractNumId="6">
    <w:nsid w:val="23D86AA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decimal"/>
      <w:start w:val="3"/>
    </w:lvl>
  </w:abstractNum>
  <w:abstractNum w:abstractNumId="7">
    <w:nsid w:val="45E6D486"/>
    <w:multiLevelType w:val="hybridMultilevel"/>
    <w:lvl w:ilvl="0">
      <w:lvlJc w:val="left"/>
      <w:lvlText w:val="(%1)"/>
      <w:numFmt w:val="lowerLetter"/>
      <w:start w:val="1"/>
    </w:lvl>
  </w:abstractNum>
  <w:abstractNum w:abstractNumId="8">
    <w:nsid w:val="5C10FE21"/>
    <w:multiLevelType w:val="hybridMultilevel"/>
    <w:lvl w:ilvl="0">
      <w:lvlJc w:val="left"/>
      <w:lvlText w:val="(%1)"/>
      <w:numFmt w:val="lowerLetter"/>
      <w:start w:val="3"/>
    </w:lvl>
    <w:lvl w:ilvl="1">
      <w:lvlJc w:val="left"/>
      <w:lvlText w:val="(%2)"/>
      <w:numFmt w:val="lowerLetter"/>
      <w:start w:val="4"/>
    </w:lvl>
  </w:abstractNum>
  <w:abstractNum w:abstractNumId="9">
    <w:nsid w:val="E7FFA2B"/>
    <w:multiLevelType w:val="hybridMultilevel"/>
    <w:lvl w:ilvl="0">
      <w:lvlJc w:val="left"/>
      <w:lvlText w:val="%1."/>
      <w:numFmt w:val="decimal"/>
      <w:start w:val="4"/>
    </w:lvl>
  </w:abstractNum>
  <w:abstractNum w:abstractNumId="10">
    <w:nsid w:val="3C5991AA"/>
    <w:multiLevelType w:val="hybridMultilevel"/>
    <w:lvl w:ilvl="0">
      <w:lvlJc w:val="left"/>
      <w:lvlText w:val="(%1)"/>
      <w:numFmt w:val="lowerLetter"/>
      <w:start w:val="1"/>
    </w:lvl>
  </w:abstractNum>
  <w:abstractNum w:abstractNumId="11">
    <w:nsid w:val="4BD8591A"/>
    <w:multiLevelType w:val="hybridMultilevel"/>
    <w:lvl w:ilvl="0">
      <w:lvlJc w:val="left"/>
      <w:lvlText w:val="(%1)"/>
      <w:numFmt w:val="lowerLetter"/>
      <w:start w:val="3"/>
    </w:lvl>
  </w:abstractNum>
  <w:abstractNum w:abstractNumId="12">
    <w:nsid w:val="78DF6A55"/>
    <w:multiLevelType w:val="hybridMultilevel"/>
    <w:lvl w:ilvl="0">
      <w:lvlJc w:val="left"/>
      <w:lvlText w:val="%1."/>
      <w:numFmt w:val="decimal"/>
      <w:start w:val="5"/>
    </w:lvl>
  </w:abstractNum>
  <w:abstractNum w:abstractNumId="13">
    <w:nsid w:val="39B7AAA2"/>
    <w:multiLevelType w:val="hybridMultilevel"/>
    <w:lvl w:ilvl="0">
      <w:lvlJc w:val="left"/>
      <w:lvlText w:val="(%1)"/>
      <w:numFmt w:val="lowerLetter"/>
      <w:start w:val="1"/>
    </w:lvl>
  </w:abstractNum>
  <w:abstractNum w:abstractNumId="14">
    <w:nsid w:val="2B0D8DBE"/>
    <w:multiLevelType w:val="hybridMultilevel"/>
    <w:lvl w:ilvl="0">
      <w:lvlJc w:val="left"/>
      <w:lvlText w:val="(%1)"/>
      <w:numFmt w:val="lowerLetter"/>
      <w:start w:val="3"/>
    </w:lvl>
  </w:abstractNum>
  <w:abstractNum w:abstractNumId="15">
    <w:nsid w:val="6C80EC70"/>
    <w:multiLevelType w:val="hybridMultilevel"/>
    <w:lvl w:ilvl="0">
      <w:lvlJc w:val="left"/>
      <w:lvlText w:val="%1."/>
      <w:numFmt w:val="decimal"/>
      <w:start w:val="6"/>
    </w:lvl>
  </w:abstractNum>
  <w:abstractNum w:abstractNumId="16">
    <w:nsid w:val="379E21B5"/>
    <w:multiLevelType w:val="hybridMultilevel"/>
    <w:lvl w:ilvl="0">
      <w:lvlJc w:val="left"/>
      <w:lvlText w:val="%1."/>
      <w:numFmt w:val="decimal"/>
      <w:start w:val="8"/>
    </w:lvl>
  </w:abstractNum>
  <w:abstractNum w:abstractNumId="17">
    <w:nsid w:val="69E373"/>
    <w:multiLevelType w:val="hybridMultilevel"/>
    <w:lvl w:ilvl="0">
      <w:lvlJc w:val="left"/>
      <w:lvlText w:val="(%1)"/>
      <w:numFmt w:val="lowerLetter"/>
      <w:start w:val="2"/>
    </w:lvl>
  </w:abstractNum>
  <w:abstractNum w:abstractNumId="18">
    <w:nsid w:val="2C27173B"/>
    <w:multiLevelType w:val="hybridMultilevel"/>
    <w:lvl w:ilvl="0">
      <w:lvlJc w:val="left"/>
      <w:lvlText w:val="(%1)"/>
      <w:numFmt w:val="lowerLetter"/>
      <w:start w:val="1"/>
    </w:lvl>
  </w:abstractNum>
  <w:abstractNum w:abstractNumId="19">
    <w:nsid w:val="4C9B0904"/>
    <w:multiLevelType w:val="hybridMultilevel"/>
    <w:lvl w:ilvl="0">
      <w:lvlJc w:val="left"/>
      <w:lvlText w:val="(%1)"/>
      <w:numFmt w:val="lowerLetter"/>
      <w:start w:val="1"/>
    </w:lvl>
  </w:abstractNum>
  <w:abstractNum w:abstractNumId="20">
    <w:nsid w:val="6AA7B75C"/>
    <w:multiLevelType w:val="hybridMultilevel"/>
    <w:lvl w:ilvl="0">
      <w:lvlJc w:val="left"/>
      <w:lvlText w:val="(%1)"/>
      <w:numFmt w:val="lowerLetter"/>
      <w:start w:val="1"/>
    </w:lvl>
  </w:abstractNum>
  <w:abstractNum w:abstractNumId="21">
    <w:nsid w:val="1DF029D3"/>
    <w:multiLevelType w:val="hybridMultilevel"/>
    <w:lvl w:ilvl="0">
      <w:lvlJc w:val="left"/>
      <w:lvlText w:val="(%1)"/>
      <w:numFmt w:val="lowerLetter"/>
      <w:start w:val="1"/>
    </w:lvl>
  </w:abstractNum>
  <w:abstractNum w:abstractNumId="22">
    <w:nsid w:val="5675FF36"/>
    <w:multiLevelType w:val="hybridMultilevel"/>
    <w:lvl w:ilvl="0">
      <w:lvlJc w:val="left"/>
      <w:lvlText w:val="(%1)"/>
      <w:numFmt w:val="lowerLetter"/>
      <w:start w:val="1"/>
    </w:lvl>
  </w:abstractNum>
  <w:abstractNum w:abstractNumId="23">
    <w:nsid w:val="3DD15094"/>
    <w:multiLevelType w:val="hybridMultilevel"/>
    <w:lvl w:ilvl="0">
      <w:lvlJc w:val="left"/>
      <w:lvlText w:val="(%1)"/>
      <w:numFmt w:val="lowerLetter"/>
      <w:start w:val="2"/>
    </w:lvl>
  </w:abstractNum>
  <w:abstractNum w:abstractNumId="24">
    <w:nsid w:val="3DB012B3"/>
    <w:multiLevelType w:val="hybridMultilevel"/>
    <w:lvl w:ilvl="0">
      <w:lvlJc w:val="left"/>
      <w:lvlText w:val="(%1)"/>
      <w:numFmt w:val="lowerLetter"/>
      <w:start w:val="3"/>
    </w:lvl>
  </w:abstractNum>
  <w:abstractNum w:abstractNumId="25">
    <w:nsid w:val="2708C9AF"/>
    <w:multiLevelType w:val="hybridMultilevel"/>
    <w:lvl w:ilvl="0">
      <w:lvlJc w:val="left"/>
      <w:lvlText w:val="(%1)"/>
      <w:numFmt w:val="lowerLetter"/>
      <w:start w:val="1"/>
    </w:lvl>
    <w:lvl w:ilvl="1">
      <w:lvlJc w:val="left"/>
      <w:lvlText w:val="(%2)"/>
      <w:numFmt w:val="lowerLetter"/>
      <w:start w:val="9"/>
    </w:lvl>
  </w:abstractNum>
  <w:abstractNum w:abstractNumId="26">
    <w:nsid w:val="5B25ACE2"/>
    <w:multiLevelType w:val="hybridMultilevel"/>
    <w:lvl w:ilvl="0">
      <w:lvlJc w:val="left"/>
      <w:lvlText w:val="%1"/>
      <w:numFmt w:val="lowerLetter"/>
      <w:start w:val="1"/>
    </w:lvl>
    <w:lvl w:ilvl="1">
      <w:lvlJc w:val="left"/>
      <w:lvlText w:val="(%2)"/>
      <w:numFmt w:val="lowerRoman"/>
      <w:start w:val="2"/>
    </w:lvl>
  </w:abstractNum>
  <w:abstractNum w:abstractNumId="27">
    <w:nsid w:val="175DFCF0"/>
    <w:multiLevelType w:val="hybridMultilevel"/>
    <w:lvl w:ilvl="0">
      <w:lvlJc w:val="left"/>
      <w:lvlText w:val="(%1)"/>
      <w:numFmt w:val="lowerLetter"/>
      <w:start w:val="3"/>
    </w:lvl>
    <w:lvl w:ilvl="1">
      <w:lvlJc w:val="left"/>
      <w:lvlText w:val="%2"/>
      <w:numFmt w:val="lowerRoman"/>
      <w:start w:val="1"/>
    </w:lvl>
  </w:abstractNum>
  <w:abstractNum w:abstractNumId="28">
    <w:nsid w:val="4F97E3E4"/>
    <w:multiLevelType w:val="hybridMultilevel"/>
    <w:lvl w:ilvl="0">
      <w:lvlJc w:val="left"/>
      <w:lvlText w:val="(%1)"/>
      <w:numFmt w:val="lowerRoman"/>
      <w:start w:val="1"/>
    </w:lvl>
    <w:lvl w:ilvl="1">
      <w:lvlJc w:val="left"/>
      <w:lvlText w:val="(%2)"/>
      <w:numFmt w:val="lowerRoman"/>
      <w:start w:val="4"/>
    </w:lvl>
  </w:abstractNum>
  <w:abstractNum w:abstractNumId="29">
    <w:nsid w:val="53B0A9E"/>
    <w:multiLevelType w:val="hybridMultilevel"/>
    <w:lvl w:ilvl="0">
      <w:lvlJc w:val="left"/>
      <w:lvlText w:val="%1"/>
      <w:numFmt w:val="lowerLetter"/>
      <w:start w:val="1"/>
    </w:lvl>
    <w:lvl w:ilvl="1">
      <w:lvlJc w:val="left"/>
      <w:lvlText w:val="(%2)"/>
      <w:numFmt w:val="lowerLetter"/>
      <w:start w:val="22"/>
    </w:lvl>
  </w:abstractNum>
  <w:abstractNum w:abstractNumId="30">
    <w:nsid w:val="34FD6B4F"/>
    <w:multiLevelType w:val="hybridMultilevel"/>
    <w:lvl w:ilvl="0">
      <w:lvlJc w:val="left"/>
      <w:lvlText w:val="(%1)"/>
      <w:numFmt w:val="lowerLetter"/>
      <w:start w:val="4"/>
    </w:lvl>
    <w:lvl w:ilvl="1">
      <w:lvlJc w:val="left"/>
      <w:lvlText w:val="%2"/>
      <w:numFmt w:val="lowerLetter"/>
      <w:start w:val="1"/>
    </w:lvl>
  </w:abstractNum>
  <w:abstractNum w:abstractNumId="31">
    <w:nsid w:val="5915FF32"/>
    <w:multiLevelType w:val="hybridMultilevel"/>
    <w:lvl w:ilvl="0">
      <w:lvlJc w:val="left"/>
      <w:lvlText w:val="(%1)"/>
      <w:numFmt w:val="upperLetter"/>
      <w:start w:val="1"/>
    </w:lvl>
  </w:abstractNum>
  <w:abstractNum w:abstractNumId="32">
    <w:nsid w:val="56438D15"/>
    <w:multiLevelType w:val="hybridMultilevel"/>
    <w:lvl w:ilvl="0">
      <w:lvlJc w:val="left"/>
      <w:lvlText w:val="(%1)"/>
      <w:numFmt w:val="lowerRoman"/>
      <w:start w:val="7"/>
    </w:lvl>
    <w:lvl w:ilvl="1">
      <w:lvlJc w:val="left"/>
      <w:lvlText w:val="(%2)"/>
      <w:numFmt w:val="upperLetter"/>
      <w:start w:val="2"/>
    </w:lvl>
  </w:abstractNum>
  <w:abstractNum w:abstractNumId="33">
    <w:nsid w:val="519E3149"/>
    <w:multiLevelType w:val="hybridMultilevel"/>
    <w:lvl w:ilvl="0">
      <w:lvlJc w:val="left"/>
      <w:lvlText w:val="(%1)"/>
      <w:numFmt w:val="upperLetter"/>
      <w:start w:val="3"/>
    </w:lvl>
  </w:abstractNum>
  <w:abstractNum w:abstractNumId="34">
    <w:nsid w:val="2C6E4AFD"/>
    <w:multiLevelType w:val="hybridMultilevel"/>
    <w:lvl w:ilvl="0">
      <w:lvlJc w:val="left"/>
      <w:lvlText w:val="(%1)"/>
      <w:numFmt w:val="lowerLetter"/>
      <w:start w:val="1"/>
    </w:lvl>
  </w:abstractNum>
  <w:abstractNum w:abstractNumId="35">
    <w:nsid w:val="17A1B582"/>
    <w:multiLevelType w:val="hybridMultilevel"/>
    <w:lvl w:ilvl="0">
      <w:lvlJc w:val="left"/>
      <w:lvlText w:val="(%1)"/>
      <w:numFmt w:val="lowerRoman"/>
      <w:start w:val="1"/>
    </w:lvl>
  </w:abstractNum>
  <w:abstractNum w:abstractNumId="36">
    <w:nsid w:val="4DF72E4E"/>
    <w:multiLevelType w:val="hybridMultilevel"/>
    <w:lvl w:ilvl="0">
      <w:lvlJc w:val="left"/>
      <w:lvlText w:val="(%1)"/>
      <w:numFmt w:val="lowerRoman"/>
      <w:start w:val="6"/>
    </w:lvl>
  </w:abstractNum>
  <w:abstractNum w:abstractNumId="37">
    <w:nsid w:val="5046B5A9"/>
    <w:multiLevelType w:val="hybridMultilevel"/>
    <w:lvl w:ilvl="0">
      <w:lvlJc w:val="left"/>
      <w:lvlText w:val="(%1)"/>
      <w:numFmt w:val="lowerRoman"/>
      <w:start w:val="11"/>
    </w:lvl>
  </w:abstractNum>
  <w:abstractNum w:abstractNumId="38">
    <w:nsid w:val="5D888A08"/>
    <w:multiLevelType w:val="hybridMultilevel"/>
    <w:lvl w:ilvl="0">
      <w:lvlJc w:val="left"/>
      <w:lvlText w:val="(%1)"/>
      <w:numFmt w:val="lowerLetter"/>
      <w:start w:val="1"/>
    </w:lvl>
  </w:abstractNum>
  <w:abstractNum w:abstractNumId="39">
    <w:nsid w:val="2A082C70"/>
    <w:multiLevelType w:val="hybridMultilevel"/>
    <w:lvl w:ilvl="0">
      <w:lvlJc w:val="left"/>
      <w:lvlText w:val="(%1)"/>
      <w:numFmt w:val="lowerLetter"/>
      <w:start w:val="3"/>
    </w:lvl>
  </w:abstractNum>
  <w:abstractNum w:abstractNumId="40">
    <w:nsid w:val="5EC6AFD4"/>
    <w:multiLevelType w:val="hybridMultilevel"/>
    <w:lvl w:ilvl="0">
      <w:lvlJc w:val="left"/>
      <w:lvlText w:val="(%1)"/>
      <w:numFmt w:val="lowerLetter"/>
      <w:start w:val="16"/>
    </w:lvl>
  </w:abstractNum>
  <w:abstractNum w:abstractNumId="41">
    <w:nsid w:val="19E21BB2"/>
    <w:multiLevelType w:val="hybridMultilevel"/>
    <w:lvl w:ilvl="0">
      <w:lvlJc w:val="left"/>
      <w:lvlText w:val="(%1)"/>
      <w:numFmt w:val="lowerRoman"/>
      <w:start w:val="1"/>
    </w:lvl>
  </w:abstractNum>
  <w:abstractNum w:abstractNumId="42">
    <w:nsid w:val="75E0858A"/>
    <w:multiLevelType w:val="hybridMultilevel"/>
    <w:lvl w:ilvl="0">
      <w:lvlJc w:val="left"/>
      <w:lvlText w:val="(%1)"/>
      <w:numFmt w:val="lowerRoman"/>
      <w:start w:val="3"/>
    </w:lvl>
  </w:abstractNum>
  <w:abstractNum w:abstractNumId="43">
    <w:nsid w:val="57A61A29"/>
    <w:multiLevelType w:val="hybridMultilevel"/>
    <w:lvl w:ilvl="0">
      <w:lvlJc w:val="left"/>
      <w:lvlText w:val="(%1)"/>
      <w:numFmt w:val="lowerRoman"/>
      <w:start w:val="1"/>
    </w:lvl>
  </w:abstractNum>
  <w:abstractNum w:abstractNumId="44">
    <w:nsid w:val="5399C654"/>
    <w:multiLevelType w:val="hybridMultilevel"/>
    <w:lvl w:ilvl="0">
      <w:lvlJc w:val="left"/>
      <w:lvlText w:val="(%1)"/>
      <w:numFmt w:val="lowerRoman"/>
      <w:start w:val="5"/>
    </w:lvl>
  </w:abstractNum>
  <w:abstractNum w:abstractNumId="45">
    <w:nsid w:val="20EE1348"/>
    <w:multiLevelType w:val="hybridMultilevel"/>
    <w:lvl w:ilvl="0">
      <w:lvlJc w:val="left"/>
      <w:lvlText w:val="(%1)"/>
      <w:numFmt w:val="decimal"/>
      <w:start w:val="60"/>
    </w:lvl>
  </w:abstractNum>
  <w:abstractNum w:abstractNumId="46">
    <w:nsid w:val="4427069A"/>
    <w:multiLevelType w:val="hybridMultilevel"/>
    <w:lvl w:ilvl="0">
      <w:lvlJc w:val="left"/>
      <w:lvlText w:val="(%1)"/>
      <w:numFmt w:val="lowerLetter"/>
      <w:start w:val="1"/>
    </w:lvl>
  </w:abstractNum>
  <w:abstractNum w:abstractNumId="47">
    <w:nsid w:val="B37E80A"/>
    <w:multiLevelType w:val="hybridMultilevel"/>
    <w:lvl w:ilvl="0">
      <w:lvlJc w:val="left"/>
      <w:lvlText w:val="(%1)"/>
      <w:numFmt w:val="lowerLetter"/>
      <w:start w:val="5"/>
    </w:lvl>
  </w:abstractNum>
  <w:abstractNum w:abstractNumId="48">
    <w:nsid w:val="2157F6BC"/>
    <w:multiLevelType w:val="hybridMultilevel"/>
    <w:lvl w:ilvl="0">
      <w:lvlJc w:val="left"/>
      <w:lvlText w:val="(%1)"/>
      <w:numFmt w:val="lowerLetter"/>
      <w:start w:val="1"/>
    </w:lvl>
  </w:abstractNum>
  <w:abstractNum w:abstractNumId="49">
    <w:nsid w:val="704E1DD5"/>
    <w:multiLevelType w:val="hybridMultilevel"/>
    <w:lvl w:ilvl="0">
      <w:lvlJc w:val="left"/>
      <w:lvlText w:val="(%1)"/>
      <w:numFmt w:val="lowerLetter"/>
      <w:start w:val="1"/>
    </w:lvl>
    <w:lvl w:ilvl="1">
      <w:lvlJc w:val="left"/>
      <w:lvlText w:val="(%2)"/>
      <w:numFmt w:val="lowerLetter"/>
      <w:start w:val="9"/>
    </w:lvl>
  </w:abstractNum>
  <w:abstractNum w:abstractNumId="50">
    <w:nsid w:val="57D2F10E"/>
    <w:multiLevelType w:val="hybridMultilevel"/>
    <w:lvl w:ilvl="0">
      <w:lvlJc w:val="left"/>
      <w:lvlText w:val="(%1)"/>
      <w:numFmt w:val="lowerRoman"/>
      <w:start w:val="2"/>
    </w:lvl>
  </w:abstractNum>
  <w:abstractNum w:abstractNumId="51">
    <w:nsid w:val="BFFAE18"/>
    <w:multiLevelType w:val="hybridMultilevel"/>
    <w:lvl w:ilvl="0">
      <w:lvlJc w:val="left"/>
      <w:lvlText w:val="(%1)"/>
      <w:numFmt w:val="lowerRoman"/>
      <w:start w:val="3"/>
    </w:lvl>
  </w:abstractNum>
  <w:abstractNum w:abstractNumId="52">
    <w:nsid w:val="E3E47A8"/>
    <w:multiLevelType w:val="hybridMultilevel"/>
    <w:lvl w:ilvl="0">
      <w:lvlJc w:val="left"/>
      <w:lvlText w:val="(%1)"/>
      <w:numFmt w:val="lowerRoman"/>
      <w:start w:val="5"/>
    </w:lvl>
  </w:abstractNum>
  <w:abstractNum w:abstractNumId="53">
    <w:nsid w:val="2E48F044"/>
    <w:multiLevelType w:val="hybridMultilevel"/>
    <w:lvl w:ilvl="0">
      <w:lvlJc w:val="left"/>
      <w:lvlText w:val="(%1)"/>
      <w:numFmt w:val="lowerRoman"/>
      <w:start w:val="7"/>
    </w:lvl>
  </w:abstractNum>
  <w:abstractNum w:abstractNumId="54">
    <w:nsid w:val="49D0FEAC"/>
    <w:multiLevelType w:val="hybridMultilevel"/>
    <w:lvl w:ilvl="0">
      <w:lvlJc w:val="left"/>
      <w:lvlText w:val="(%1)"/>
      <w:numFmt w:val="upperLetter"/>
      <w:start w:val="9"/>
    </w:lvl>
    <w:lvl w:ilvl="1">
      <w:lvlJc w:val="left"/>
      <w:lvlText w:val="(%2)"/>
      <w:numFmt w:val="lowerLetter"/>
      <w:start w:val="2"/>
    </w:lvl>
  </w:abstractNum>
  <w:abstractNum w:abstractNumId="55">
    <w:nsid w:val="4BEE5A5B"/>
    <w:multiLevelType w:val="hybridMultilevel"/>
    <w:lvl w:ilvl="0">
      <w:lvlJc w:val="left"/>
      <w:lvlText w:val="(%1)"/>
      <w:numFmt w:val="lowerLetter"/>
      <w:start w:val="1"/>
    </w:lvl>
  </w:abstractNum>
  <w:abstractNum w:abstractNumId="56">
    <w:nsid w:val="5551B9F3"/>
    <w:multiLevelType w:val="hybridMultilevel"/>
    <w:lvl w:ilvl="0">
      <w:lvlJc w:val="left"/>
      <w:lvlText w:val="(%1)"/>
      <w:numFmt w:val="lowerLetter"/>
      <w:start w:val="1"/>
    </w:lvl>
  </w:abstractNum>
  <w:abstractNum w:abstractNumId="57">
    <w:nsid w:val="24F6AB8E"/>
    <w:multiLevelType w:val="hybridMultilevel"/>
    <w:lvl w:ilvl="0">
      <w:lvlJc w:val="left"/>
      <w:lvlText w:val="(%1)"/>
      <w:numFmt w:val="lowerLetter"/>
      <w:start w:val="1"/>
    </w:lvl>
  </w:abstractNum>
  <w:abstractNum w:abstractNumId="58">
    <w:nsid w:val="634C574C"/>
    <w:multiLevelType w:val="hybridMultilevel"/>
    <w:lvl w:ilvl="0">
      <w:lvlJc w:val="left"/>
      <w:lvlText w:val="(%1)"/>
      <w:numFmt w:val="lowerLetter"/>
      <w:start w:val="2"/>
    </w:lvl>
  </w:abstractNum>
  <w:abstractNum w:abstractNumId="59">
    <w:nsid w:val="24E99DD7"/>
    <w:multiLevelType w:val="hybridMultilevel"/>
    <w:lvl w:ilvl="0">
      <w:lvlJc w:val="left"/>
      <w:lvlText w:val="(%1)"/>
      <w:numFmt w:val="lowerLetter"/>
      <w:start w:val="1"/>
    </w:lvl>
    <w:lvl w:ilvl="1">
      <w:lvlJc w:val="left"/>
      <w:lvlText w:val="(%2)"/>
      <w:numFmt w:val="lowerRoman"/>
      <w:start w:val="1"/>
    </w:lvl>
  </w:abstractNum>
  <w:abstractNum w:abstractNumId="60">
    <w:nsid w:val="2A31B62D"/>
    <w:multiLevelType w:val="hybridMultilevel"/>
    <w:lvl w:ilvl="0">
      <w:lvlJc w:val="left"/>
      <w:lvlText w:val="(%1)"/>
      <w:numFmt w:val="lowerLetter"/>
      <w:start w:val="7"/>
    </w:lvl>
    <w:lvl w:ilvl="1">
      <w:lvlJc w:val="left"/>
      <w:lvlText w:val="(%2)"/>
      <w:numFmt w:val="lowerLetter"/>
      <w:start w:val="9"/>
    </w:lvl>
  </w:abstractNum>
  <w:abstractNum w:abstractNumId="61">
    <w:nsid w:val="1849C29B"/>
    <w:multiLevelType w:val="hybridMultilevel"/>
    <w:lvl w:ilvl="0">
      <w:lvlJc w:val="left"/>
      <w:lvlText w:val="(%1)"/>
      <w:numFmt w:val="lowerLetter"/>
      <w:start w:val="10"/>
    </w:lvl>
  </w:abstractNum>
  <w:abstractNum w:abstractNumId="62">
    <w:nsid w:val="7DFF9D09"/>
    <w:multiLevelType w:val="hybridMultilevel"/>
    <w:lvl w:ilvl="0">
      <w:lvlJc w:val="left"/>
      <w:lvlText w:val="(%1)"/>
      <w:numFmt w:val="lowerLetter"/>
      <w:start w:val="1"/>
    </w:lvl>
  </w:abstractNum>
  <w:abstractNum w:abstractNumId="63">
    <w:nsid w:val="754342"/>
    <w:multiLevelType w:val="hybridMultilevel"/>
    <w:lvl w:ilvl="0">
      <w:lvlJc w:val="left"/>
      <w:lvlText w:val="(%1)"/>
      <w:numFmt w:val="lowerLetter"/>
      <w:start w:val="4"/>
    </w:lvl>
  </w:abstractNum>
  <w:abstractNum w:abstractNumId="64">
    <w:nsid w:val="69E7F3E5"/>
    <w:multiLevelType w:val="hybridMultilevel"/>
    <w:lvl w:ilvl="0">
      <w:lvlJc w:val="left"/>
      <w:lvlText w:val="(%1)"/>
      <w:numFmt w:val="lowerLetter"/>
      <w:start w:val="1"/>
    </w:lvl>
  </w:abstractNum>
  <w:abstractNum w:abstractNumId="65">
    <w:nsid w:val="2A6DE806"/>
    <w:multiLevelType w:val="hybridMultilevel"/>
    <w:lvl w:ilvl="0">
      <w:lvlJc w:val="left"/>
      <w:lvlText w:val="(%1)"/>
      <w:numFmt w:val="lowerLetter"/>
      <w:start w:val="1"/>
    </w:lvl>
  </w:abstractNum>
  <w:abstractNum w:abstractNumId="66">
    <w:nsid w:val="1816F8C4"/>
    <w:multiLevelType w:val="hybridMultilevel"/>
    <w:lvl w:ilvl="0">
      <w:lvlJc w:val="left"/>
      <w:lvlText w:val="(%1)"/>
      <w:numFmt w:val="lowerLetter"/>
      <w:start w:val="1"/>
    </w:lvl>
  </w:abstractNum>
  <w:abstractNum w:abstractNumId="67">
    <w:nsid w:val="37DF2233"/>
    <w:multiLevelType w:val="hybridMultilevel"/>
    <w:lvl w:ilvl="0">
      <w:lvlJc w:val="left"/>
      <w:lvlText w:val="(%1)"/>
      <w:numFmt w:val="lowerLetter"/>
      <w:start w:val="9"/>
    </w:lvl>
  </w:abstractNum>
  <w:abstractNum w:abstractNumId="68">
    <w:nsid w:val="7AB49DAF"/>
    <w:multiLevelType w:val="hybridMultilevel"/>
    <w:lvl w:ilvl="0">
      <w:lvlJc w:val="left"/>
      <w:lvlText w:val="(%1)"/>
      <w:numFmt w:val="lowerLetter"/>
      <w:start w:val="2"/>
    </w:lvl>
  </w:abstractNum>
  <w:abstractNum w:abstractNumId="69">
    <w:nsid w:val="759F82CD"/>
    <w:multiLevelType w:val="hybridMultilevel"/>
    <w:lvl w:ilvl="0">
      <w:lvlJc w:val="left"/>
      <w:lvlText w:val="(%1)"/>
      <w:numFmt w:val="lowerLetter"/>
      <w:start w:val="1"/>
    </w:lvl>
  </w:abstractNum>
  <w:abstractNum w:abstractNumId="70">
    <w:nsid w:val="61E74EA3"/>
    <w:multiLevelType w:val="hybridMultilevel"/>
    <w:lvl w:ilvl="0">
      <w:lvlJc w:val="left"/>
      <w:lvlText w:val="(%1)"/>
      <w:numFmt w:val="lowerLetter"/>
      <w:start w:val="1"/>
    </w:lvl>
  </w:abstractNum>
  <w:abstractNum w:abstractNumId="71">
    <w:nsid w:val="597B4D84"/>
    <w:multiLevelType w:val="hybridMultilevel"/>
    <w:lvl w:ilvl="0">
      <w:lvlJc w:val="left"/>
      <w:lvlText w:val="(%1)"/>
      <w:numFmt w:val="lowerLetter"/>
      <w:start w:val="1"/>
    </w:lvl>
  </w:abstractNum>
  <w:abstractNum w:abstractNumId="72">
    <w:nsid w:val="F819E7F"/>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35"/>
    </w:lvl>
  </w:abstractNum>
  <w:abstractNum w:abstractNumId="73">
    <w:nsid w:val="57C7D42D"/>
    <w:multiLevelType w:val="hybridMultilevel"/>
    <w:lvl w:ilvl="0">
      <w:lvlJc w:val="left"/>
      <w:lvlText w:val="(%1)"/>
      <w:numFmt w:val="lowerRoman"/>
      <w:start w:val="1"/>
    </w:lvl>
  </w:abstractNum>
  <w:abstractNum w:abstractNumId="74">
    <w:nsid w:val="312167AD"/>
    <w:multiLevelType w:val="hybridMultilevel"/>
    <w:lvl w:ilvl="0">
      <w:lvlJc w:val="left"/>
      <w:lvlText w:val="(%1)"/>
      <w:numFmt w:val="lowerLetter"/>
      <w:start w:val="2"/>
    </w:lvl>
  </w:abstractNum>
  <w:abstractNum w:abstractNumId="75">
    <w:nsid w:val="631B64D4"/>
    <w:multiLevelType w:val="hybridMultilevel"/>
    <w:lvl w:ilvl="0">
      <w:lvlJc w:val="left"/>
      <w:lvlText w:val="(%1)"/>
      <w:numFmt w:val="lowerLetter"/>
      <w:start w:val="4"/>
    </w:lvl>
  </w:abstractNum>
  <w:abstractNum w:abstractNumId="76">
    <w:nsid w:val="78B5E776"/>
    <w:multiLevelType w:val="hybridMultilevel"/>
    <w:lvl w:ilvl="0">
      <w:lvlJc w:val="left"/>
      <w:lvlText w:val="(%1)"/>
      <w:numFmt w:val="lowerLetter"/>
      <w:start w:val="1"/>
    </w:lvl>
  </w:abstractNum>
  <w:abstractNum w:abstractNumId="77">
    <w:nsid w:val="75486E47"/>
    <w:multiLevelType w:val="hybridMultilevel"/>
    <w:lvl w:ilvl="0">
      <w:lvlJc w:val="left"/>
      <w:lvlText w:val="(%1)"/>
      <w:numFmt w:val="lowerLetter"/>
      <w:start w:val="3"/>
    </w:lvl>
  </w:abstractNum>
  <w:abstractNum w:abstractNumId="78">
    <w:nsid w:val="6E534CD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9">
    <w:nsid w:val="1A0DDE3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80">
    <w:nsid w:val="65968C1C"/>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81">
    <w:nsid w:val="46263DEC"/>
    <w:multiLevelType w:val="hybridMultilevel"/>
    <w:lvl w:ilvl="0">
      <w:lvlJc w:val="left"/>
      <w:lvlText w:val="(%1)"/>
      <w:numFmt w:val="lowerLetter"/>
      <w:start w:val="1"/>
    </w:lvl>
  </w:abstractNum>
  <w:abstractNum w:abstractNumId="82">
    <w:nsid w:val="260D8C4A"/>
    <w:multiLevelType w:val="hybridMultilevel"/>
    <w:lvl w:ilvl="0">
      <w:lvlJc w:val="left"/>
      <w:lvlText w:val="(%1)"/>
      <w:numFmt w:val="lowerLetter"/>
      <w:start w:val="1"/>
    </w:lvl>
  </w:abstractNum>
  <w:abstractNum w:abstractNumId="83">
    <w:nsid w:val="73D4D3C4"/>
    <w:multiLevelType w:val="hybridMultilevel"/>
    <w:lvl w:ilvl="0">
      <w:lvlJc w:val="left"/>
      <w:lvlText w:val="(%1)"/>
      <w:numFmt w:val="lowerLetter"/>
      <w:start w:val="4"/>
    </w:lvl>
  </w:abstractNum>
  <w:abstractNum w:abstractNumId="84">
    <w:nsid w:val="746F2E30"/>
    <w:multiLevelType w:val="hybridMultilevel"/>
    <w:lvl w:ilvl="0">
      <w:lvlJc w:val="left"/>
      <w:lvlText w:val="(%1)"/>
      <w:numFmt w:val="lowerLetter"/>
      <w:start w:val="25"/>
    </w:lvl>
    <w:lvl w:ilvl="1">
      <w:lvlJc w:val="left"/>
      <w:lvlText w:val="(%2)"/>
      <w:numFmt w:val="lowerLetter"/>
      <w:start w:val="35"/>
    </w:lvl>
  </w:abstractNum>
  <w:abstractNum w:abstractNumId="85">
    <w:nsid w:val="6FDE8AF6"/>
    <w:multiLevelType w:val="hybridMultilevel"/>
    <w:lvl w:ilvl="0">
      <w:lvlJc w:val="left"/>
      <w:lvlText w:val="(%1)"/>
      <w:numFmt w:val="lowerLetter"/>
      <w:start w:val="24"/>
    </w:lvl>
    <w:lvl w:ilvl="1">
      <w:lvlJc w:val="left"/>
      <w:lvlText w:val="%2"/>
      <w:numFmt w:val="lowerLetter"/>
      <w:start w:val="1"/>
    </w:lvl>
  </w:abstractNum>
  <w:abstractNum w:abstractNumId="86">
    <w:nsid w:val="3FC32E20"/>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21"/>
    </w:lvl>
    <w:lvl w:ilvl="3">
      <w:lvlJc w:val="left"/>
      <w:lvlText w:val="(%4)"/>
      <w:numFmt w:val="lowerRoman"/>
      <w:start w:val="4"/>
    </w:lvl>
  </w:abstractNum>
  <w:abstractNum w:abstractNumId="87">
    <w:nsid w:val="49C0E823"/>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lvl w:ilvl="3">
      <w:lvlJc w:val="left"/>
      <w:lvlText w:val="%4"/>
      <w:numFmt w:val="lowerRoman"/>
      <w:start w:val="1"/>
    </w:lvl>
  </w:abstractNum>
  <w:abstractNum w:abstractNumId="88">
    <w:nsid w:val="14D53685"/>
    <w:multiLevelType w:val="hybridMultilevel"/>
    <w:lvl w:ilvl="0">
      <w:lvlJc w:val="left"/>
      <w:lvlText w:val="(%1)"/>
      <w:numFmt w:val="lowerLetter"/>
      <w:start w:val="5"/>
    </w:lvl>
  </w:abstractNum>
  <w:abstractNum w:abstractNumId="89">
    <w:nsid w:val="230F856C"/>
    <w:multiLevelType w:val="hybridMultilevel"/>
    <w:lvl w:ilvl="0">
      <w:lvlJc w:val="left"/>
      <w:lvlText w:val="(%1)"/>
      <w:numFmt w:val="lowerLetter"/>
      <w:start w:val="1"/>
    </w:lvl>
  </w:abstractNum>
  <w:abstractNum w:abstractNumId="90">
    <w:nsid w:val="6EAA85FB"/>
    <w:multiLevelType w:val="hybridMultilevel"/>
    <w:lvl w:ilvl="0">
      <w:lvlJc w:val="left"/>
      <w:lvlText w:val="(%1)"/>
      <w:numFmt w:val="lowerLetter"/>
      <w:start w:val="1"/>
    </w:lvl>
  </w:abstractNum>
  <w:abstractNum w:abstractNumId="91">
    <w:nsid w:val="3F06ECB2"/>
    <w:multiLevelType w:val="hybridMultilevel"/>
    <w:lvl w:ilvl="0">
      <w:lvlJc w:val="left"/>
      <w:lvlText w:val="(%1)"/>
      <w:numFmt w:val="lowerLetter"/>
      <w:start w:val="3"/>
    </w:lvl>
  </w:abstractNum>
  <w:abstractNum w:abstractNumId="92">
    <w:nsid w:val="3B594807"/>
    <w:multiLevelType w:val="hybridMultilevel"/>
    <w:lvl w:ilvl="0">
      <w:lvlJc w:val="left"/>
      <w:lvlText w:val="(%1)"/>
      <w:numFmt w:val="lowerLetter"/>
      <w:start w:val="1"/>
    </w:lvl>
  </w:abstractNum>
  <w:abstractNum w:abstractNumId="93">
    <w:nsid w:val="6CAA2304"/>
    <w:multiLevelType w:val="hybridMultilevel"/>
    <w:lvl w:ilvl="0">
      <w:lvlJc w:val="left"/>
      <w:lvlText w:val="(%1)"/>
      <w:numFmt w:val="lowerLetter"/>
      <w:start w:val="3"/>
    </w:lvl>
  </w:abstractNum>
  <w:abstractNum w:abstractNumId="94">
    <w:nsid w:val="3F7C2FF4"/>
    <w:multiLevelType w:val="hybridMultilevel"/>
    <w:lvl w:ilvl="0">
      <w:lvlJc w:val="left"/>
      <w:lvlText w:val="(%1)"/>
      <w:numFmt w:val="lowerLetter"/>
      <w:start w:val="1"/>
    </w:lvl>
  </w:abstractNum>
  <w:abstractNum w:abstractNumId="95">
    <w:nsid w:val="25413BEC"/>
    <w:multiLevelType w:val="hybridMultilevel"/>
    <w:lvl w:ilvl="0">
      <w:lvlJc w:val="left"/>
      <w:lvlText w:val="(%1)"/>
      <w:numFmt w:val="lowerLetter"/>
      <w:start w:val="2"/>
    </w:lvl>
  </w:abstractNum>
  <w:abstractNum w:abstractNumId="96">
    <w:nsid w:val="17180B0B"/>
    <w:multiLevelType w:val="hybridMultilevel"/>
    <w:lvl w:ilvl="0">
      <w:lvlJc w:val="left"/>
      <w:lvlText w:val="%1"/>
      <w:numFmt w:val="upperLetter"/>
      <w:start w:val="1"/>
    </w:lvl>
    <w:lvl w:ilvl="1">
      <w:lvlJc w:val="left"/>
      <w:lvlText w:val="(%2)"/>
      <w:numFmt w:val="lowerRoman"/>
      <w:start w:val="1"/>
    </w:lvl>
  </w:abstractNum>
  <w:abstractNum w:abstractNumId="97">
    <w:nsid w:val="579328B9"/>
    <w:multiLevelType w:val="hybridMultilevel"/>
    <w:lvl w:ilvl="0">
      <w:lvlJc w:val="left"/>
      <w:lvlText w:val="(%1)"/>
      <w:numFmt w:val="upperLetter"/>
      <w:start w:val="1"/>
    </w:lvl>
    <w:lvl w:ilvl="1">
      <w:lvlJc w:val="left"/>
      <w:lvlText w:val="%2"/>
      <w:numFmt w:val="lowerRoman"/>
      <w:start w:val="1"/>
    </w:lvl>
  </w:abstractNum>
  <w:abstractNum w:abstractNumId="98">
    <w:nsid w:val="5D205E20"/>
    <w:multiLevelType w:val="hybridMultilevel"/>
    <w:lvl w:ilvl="0">
      <w:lvlJc w:val="left"/>
      <w:lvlText w:val="(%1)"/>
      <w:numFmt w:val="lowerLetter"/>
      <w:start w:val="5"/>
    </w:lvl>
  </w:abstractNum>
  <w:abstractNum w:abstractNumId="99">
    <w:nsid w:val="11CCA8BA"/>
    <w:multiLevelType w:val="hybridMultilevel"/>
    <w:lvl w:ilvl="0">
      <w:lvlJc w:val="left"/>
      <w:lvlText w:val="(%1)"/>
      <w:numFmt w:val="lowerLetter"/>
      <w:start w:val="8"/>
    </w:lvl>
  </w:abstractNum>
  <w:abstractNum w:abstractNumId="100">
    <w:nsid w:val="4D32AB86"/>
    <w:multiLevelType w:val="hybridMultilevel"/>
    <w:lvl w:ilvl="0">
      <w:lvlJc w:val="left"/>
      <w:lvlText w:val="(%1)"/>
      <w:numFmt w:val="lowerLetter"/>
      <w:start w:val="1"/>
    </w:lvl>
  </w:abstractNum>
  <w:abstractNum w:abstractNumId="101">
    <w:nsid w:val="3F07ACC3"/>
    <w:multiLevelType w:val="hybridMultilevel"/>
    <w:lvl w:ilvl="0">
      <w:lvlJc w:val="left"/>
      <w:lvlText w:val="(%1)"/>
      <w:numFmt w:val="lowerLetter"/>
      <w:start w:val="2"/>
    </w:lvl>
  </w:abstractNum>
  <w:abstractNum w:abstractNumId="102">
    <w:nsid w:val="6B47F63E"/>
    <w:multiLevelType w:val="hybridMultilevel"/>
    <w:lvl w:ilvl="0">
      <w:lvlJc w:val="left"/>
      <w:lvlText w:val="(%1)"/>
      <w:numFmt w:val="lowerLetter"/>
      <w:start w:val="1"/>
    </w:lvl>
  </w:abstractNum>
  <w:abstractNum w:abstractNumId="103">
    <w:nsid w:val="5CB44A05"/>
    <w:multiLevelType w:val="hybridMultilevel"/>
    <w:lvl w:ilvl="0">
      <w:lvlJc w:val="left"/>
      <w:lvlText w:val="(%1)"/>
      <w:numFmt w:val="lowerLetter"/>
      <w:start w:val="2"/>
    </w:lvl>
    <w:lvl w:ilvl="1">
      <w:lvlJc w:val="left"/>
      <w:lvlText w:val="(%2)"/>
      <w:numFmt w:val="lowerRoman"/>
      <w:start w:val="1"/>
    </w:lvl>
  </w:abstractNum>
  <w:abstractNum w:abstractNumId="104">
    <w:nsid w:val="16CF80F1"/>
    <w:multiLevelType w:val="hybridMultilevel"/>
    <w:lvl w:ilvl="0">
      <w:lvlJc w:val="left"/>
      <w:lvlText w:val="(%1)"/>
      <w:numFmt w:val="lowerLetter"/>
      <w:start w:val="1"/>
    </w:lvl>
  </w:abstractNum>
  <w:abstractNum w:abstractNumId="105">
    <w:nsid w:val="1C695DEC"/>
    <w:multiLevelType w:val="hybridMultilevel"/>
    <w:lvl w:ilvl="0">
      <w:lvlJc w:val="left"/>
      <w:lvlText w:val="(%1)"/>
      <w:numFmt w:val="lowerLetter"/>
      <w:start w:val="2"/>
    </w:lvl>
  </w:abstractNum>
  <w:abstractNum w:abstractNumId="106">
    <w:nsid w:val="3FCFAED9"/>
    <w:multiLevelType w:val="hybridMultilevel"/>
    <w:lvl w:ilvl="0">
      <w:lvlJc w:val="left"/>
      <w:lvlText w:val="(%1)"/>
      <w:numFmt w:val="lowerLetter"/>
      <w:start w:val="4"/>
    </w:lvl>
  </w:abstractNum>
  <w:abstractNum w:abstractNumId="107">
    <w:nsid w:val="F856867"/>
    <w:multiLevelType w:val="hybridMultilevel"/>
    <w:lvl w:ilvl="0">
      <w:lvlJc w:val="left"/>
      <w:lvlText w:val="(%1)"/>
      <w:numFmt w:val="lowerLetter"/>
      <w:start w:val="1"/>
    </w:lvl>
  </w:abstractNum>
  <w:abstractNum w:abstractNumId="108">
    <w:nsid w:val="11B1CC33"/>
    <w:multiLevelType w:val="hybridMultilevel"/>
    <w:lvl w:ilvl="0">
      <w:lvlJc w:val="left"/>
      <w:lvlText w:val="(%1)"/>
      <w:numFmt w:val="lowerLetter"/>
      <w:start w:val="1"/>
    </w:lvl>
    <w:lvl w:ilvl="1">
      <w:lvlJc w:val="left"/>
      <w:lvlText w:val="(%2)"/>
      <w:numFmt w:val="lowerRoman"/>
      <w:start w:val="1"/>
    </w:lvl>
  </w:abstractNum>
  <w:abstractNum w:abstractNumId="109">
    <w:nsid w:val="2E22FBB7"/>
    <w:multiLevelType w:val="hybridMultilevel"/>
    <w:lvl w:ilvl="0">
      <w:lvlJc w:val="left"/>
      <w:lvlText w:val="(%1)"/>
      <w:numFmt w:val="lowerLetter"/>
      <w:start w:val="2"/>
    </w:lvl>
  </w:abstractNum>
  <w:abstractNum w:abstractNumId="110">
    <w:nsid w:val="29934699"/>
    <w:multiLevelType w:val="hybridMultilevel"/>
    <w:lvl w:ilvl="0">
      <w:lvlJc w:val="left"/>
      <w:lvlText w:val="(%1)"/>
      <w:numFmt w:val="lowerLetter"/>
      <w:start w:val="7"/>
    </w:lvl>
  </w:abstractNum>
  <w:abstractNum w:abstractNumId="111">
    <w:nsid w:val="77485850"/>
    <w:multiLevelType w:val="hybridMultilevel"/>
    <w:lvl w:ilvl="0">
      <w:lvlJc w:val="left"/>
      <w:lvlText w:val="(%1)"/>
      <w:numFmt w:val="lowerLetter"/>
      <w:start w:val="1"/>
    </w:lvl>
    <w:lvl w:ilvl="1">
      <w:lvlJc w:val="left"/>
      <w:lvlText w:val="(%2)"/>
      <w:numFmt w:val="lowerLetter"/>
      <w:start w:val="9"/>
    </w:lvl>
  </w:abstractNum>
  <w:abstractNum w:abstractNumId="112">
    <w:nsid w:val="744939A3"/>
    <w:multiLevelType w:val="hybridMultilevel"/>
    <w:lvl w:ilvl="0">
      <w:lvlJc w:val="left"/>
      <w:lvlText w:val="(%1)"/>
      <w:numFmt w:val="lowerLetter"/>
      <w:start w:val="1"/>
    </w:lvl>
  </w:abstractNum>
  <w:abstractNum w:abstractNumId="113">
    <w:nsid w:val="4FA0D2E3"/>
    <w:multiLevelType w:val="hybridMultilevel"/>
    <w:lvl w:ilvl="0">
      <w:lvlJc w:val="left"/>
      <w:lvlText w:val="(%1)"/>
      <w:numFmt w:val="lowerLetter"/>
      <w:start w:val="3"/>
    </w:lvl>
  </w:abstractNum>
  <w:abstractNum w:abstractNumId="114">
    <w:nsid w:val="6B1D2C14"/>
    <w:multiLevelType w:val="hybridMultilevel"/>
    <w:lvl w:ilvl="0">
      <w:lvlJc w:val="left"/>
      <w:lvlText w:val="(%1)"/>
      <w:numFmt w:val="lowerLetter"/>
      <w:start w:val="1"/>
    </w:lvl>
  </w:abstractNum>
  <w:abstractNum w:abstractNumId="115">
    <w:nsid w:val="68B867D3"/>
    <w:multiLevelType w:val="hybridMultilevel"/>
    <w:lvl w:ilvl="0">
      <w:lvlJc w:val="left"/>
      <w:lvlText w:val="(%1)"/>
      <w:numFmt w:val="lowerLetter"/>
      <w:start w:val="1"/>
    </w:lvl>
    <w:lvl w:ilvl="1">
      <w:lvlJc w:val="left"/>
      <w:lvlText w:val="(%2)"/>
      <w:numFmt w:val="lowerLetter"/>
      <w:start w:val="3"/>
    </w:lvl>
  </w:abstractNum>
  <w:abstractNum w:abstractNumId="116">
    <w:nsid w:val="3F7F5DD9"/>
    <w:multiLevelType w:val="hybridMultilevel"/>
    <w:lvl w:ilvl="0">
      <w:lvlJc w:val="left"/>
      <w:lvlText w:val="(%1)"/>
      <w:numFmt w:val="lowerLetter"/>
      <w:start w:val="1"/>
    </w:lvl>
  </w:abstractNum>
  <w:abstractNum w:abstractNumId="117">
    <w:nsid w:val="2AE05A34"/>
    <w:multiLevelType w:val="hybridMultilevel"/>
    <w:lvl w:ilvl="0">
      <w:lvlJc w:val="left"/>
      <w:lvlText w:val="(%1)"/>
      <w:numFmt w:val="lowerLetter"/>
      <w:start w:val="1"/>
    </w:lvl>
  </w:abstractNum>
  <w:abstractNum w:abstractNumId="118">
    <w:nsid w:val="32794FF7"/>
    <w:multiLevelType w:val="hybridMultilevel"/>
    <w:lvl w:ilvl="0">
      <w:lvlJc w:val="left"/>
      <w:lvlText w:val="(%1)"/>
      <w:numFmt w:val="lowerLetter"/>
      <w:start w:val="35"/>
    </w:lvl>
  </w:abstractNum>
  <w:abstractNum w:abstractNumId="119">
    <w:nsid w:val="5454945E"/>
    <w:multiLevelType w:val="hybridMultilevel"/>
    <w:lvl w:ilvl="0">
      <w:lvlJc w:val="left"/>
      <w:lvlText w:val="(%1)"/>
      <w:numFmt w:val="lowerLetter"/>
      <w:start w:val="2"/>
    </w:lvl>
  </w:abstractNum>
  <w:abstractNum w:abstractNumId="120">
    <w:nsid w:val="4DEFDFA0"/>
    <w:multiLevelType w:val="hybridMultilevel"/>
    <w:lvl w:ilvl="0">
      <w:lvlJc w:val="left"/>
      <w:lvlText w:val="(%1)"/>
      <w:numFmt w:val="lowerLetter"/>
      <w:start w:val="4"/>
    </w:lvl>
  </w:abstractNum>
  <w:abstractNum w:abstractNumId="121">
    <w:nsid w:val="2123D5F2"/>
    <w:multiLevelType w:val="hybridMultilevel"/>
    <w:lvl w:ilvl="0">
      <w:lvlJc w:val="left"/>
      <w:lvlText w:val="(%1)"/>
      <w:numFmt w:val="lowerLetter"/>
      <w:start w:val="1"/>
    </w:lvl>
  </w:abstractNum>
  <w:abstractNum w:abstractNumId="122">
    <w:nsid w:val="135B8110"/>
    <w:multiLevelType w:val="hybridMultilevel"/>
    <w:lvl w:ilvl="0">
      <w:lvlJc w:val="left"/>
      <w:lvlText w:val="(%1)"/>
      <w:numFmt w:val="lowerLetter"/>
      <w:start w:val="1"/>
    </w:lvl>
  </w:abstractNum>
  <w:abstractNum w:abstractNumId="123">
    <w:nsid w:val="94927A8"/>
    <w:multiLevelType w:val="hybridMultilevel"/>
    <w:lvl w:ilvl="0">
      <w:lvlJc w:val="left"/>
      <w:lvlText w:val="(%1)"/>
      <w:numFmt w:val="upperLetter"/>
      <w:start w:val="1"/>
    </w:lvl>
  </w:abstractNum>
  <w:abstractNum w:abstractNumId="124">
    <w:nsid w:val="DCDF8F6"/>
    <w:multiLevelType w:val="hybridMultilevel"/>
    <w:lvl w:ilvl="0">
      <w:lvlJc w:val="left"/>
      <w:lvlText w:val="(%1)"/>
      <w:numFmt w:val="lowerLetter"/>
      <w:start w:val="1"/>
    </w:lvl>
  </w:abstractNum>
  <w:abstractNum w:abstractNumId="125">
    <w:nsid w:val="52D7B105"/>
    <w:multiLevelType w:val="hybridMultilevel"/>
    <w:lvl w:ilvl="0">
      <w:lvlJc w:val="left"/>
      <w:lvlText w:val="(%1)"/>
      <w:numFmt w:val="lowerLetter"/>
      <w:start w:val="2"/>
    </w:lvl>
  </w:abstractNum>
  <w:abstractNum w:abstractNumId="126">
    <w:nsid w:val="2E8A6394"/>
    <w:multiLevelType w:val="hybridMultilevel"/>
    <w:lvl w:ilvl="0">
      <w:lvlJc w:val="left"/>
      <w:lvlText w:val="(%1)"/>
      <w:numFmt w:val="lowerLetter"/>
      <w:start w:val="8"/>
    </w:lvl>
  </w:abstractNum>
  <w:abstractNum w:abstractNumId="127">
    <w:nsid w:val="24E60401"/>
    <w:multiLevelType w:val="hybridMultilevel"/>
    <w:lvl w:ilvl="0">
      <w:lvlJc w:val="left"/>
      <w:lvlText w:val="(%1)"/>
      <w:numFmt w:val="lowerLetter"/>
      <w:start w:val="13"/>
    </w:lvl>
    <w:lvl w:ilvl="1">
      <w:lvlJc w:val="left"/>
      <w:lvlText w:val="(%2)"/>
      <w:numFmt w:val="lowerRoman"/>
      <w:start w:val="1"/>
    </w:lvl>
  </w:abstractNum>
  <w:abstractNum w:abstractNumId="128">
    <w:nsid w:val="2A6AD9BE"/>
    <w:multiLevelType w:val="hybridMultilevel"/>
    <w:lvl w:ilvl="0">
      <w:lvlJc w:val="left"/>
      <w:lvlText w:val="(%1)"/>
      <w:numFmt w:val="lowerLetter"/>
      <w:start w:val="22"/>
    </w:lvl>
    <w:lvl w:ilvl="1">
      <w:lvlJc w:val="left"/>
      <w:lvlText w:val="%2"/>
      <w:numFmt w:val="lowerRoman"/>
      <w:start w:val="1"/>
    </w:lvl>
  </w:abstractNum>
  <w:abstractNum w:abstractNumId="129">
    <w:nsid w:val="BAAC1B4"/>
    <w:multiLevelType w:val="hybridMultilevel"/>
    <w:lvl w:ilvl="0">
      <w:lvlJc w:val="left"/>
      <w:lvlText w:val="(%1)"/>
      <w:numFmt w:val="lowerLetter"/>
      <w:start w:val="1"/>
    </w:lvl>
  </w:abstractNum>
  <w:abstractNum w:abstractNumId="130">
    <w:nsid w:val="36B2ACBC"/>
    <w:multiLevelType w:val="hybridMultilevel"/>
    <w:lvl w:ilvl="0">
      <w:lvlJc w:val="left"/>
      <w:lvlText w:val="(%1)"/>
      <w:numFmt w:val="lowerLetter"/>
      <w:start w:val="4"/>
    </w:lvl>
  </w:abstractNum>
  <w:abstractNum w:abstractNumId="131">
    <w:nsid w:val="779D8544"/>
    <w:multiLevelType w:val="hybridMultilevel"/>
    <w:lvl w:ilvl="0">
      <w:lvlJc w:val="left"/>
      <w:lvlText w:val="(%1)"/>
      <w:numFmt w:val="lowerLetter"/>
      <w:start w:val="1"/>
    </w:lvl>
  </w:abstractNum>
  <w:abstractNum w:abstractNumId="132">
    <w:nsid w:val="4AB26E78"/>
    <w:multiLevelType w:val="hybridMultilevel"/>
    <w:lvl w:ilvl="0">
      <w:lvlJc w:val="left"/>
      <w:lvlText w:val="(%1)"/>
      <w:numFmt w:val="lowerLetter"/>
      <w:start w:val="1"/>
    </w:lvl>
    <w:lvl w:ilvl="1">
      <w:lvlJc w:val="left"/>
      <w:lvlText w:val="(%2)"/>
      <w:numFmt w:val="upperLetter"/>
    </w:lvl>
    <w:lvl w:ilvl="2">
      <w:lvlJc w:val="left"/>
      <w:lvlText w:val="(%3)"/>
      <w:numFmt w:val="lowerLetter"/>
      <w:start w:val="9"/>
    </w:lvl>
  </w:abstractNum>
  <w:abstractNum w:abstractNumId="133">
    <w:nsid w:val="21FAA2FA"/>
    <w:multiLevelType w:val="hybridMultilevel"/>
    <w:lvl w:ilvl="0">
      <w:lvlJc w:val="left"/>
      <w:lvlText w:val="(%1)"/>
      <w:numFmt w:val="upperLetter"/>
      <w:start w:val="2"/>
    </w:lvl>
    <w:lvl w:ilvl="1">
      <w:lvlJc w:val="left"/>
      <w:lvlText w:val="(%2)"/>
      <w:numFmt w:val="lowerRoman"/>
      <w:start w:val="2"/>
    </w:lvl>
  </w:abstractNum>
  <w:abstractNum w:abstractNumId="134">
    <w:nsid w:val="5451CF49"/>
    <w:multiLevelType w:val="hybridMultilevel"/>
    <w:lvl w:ilvl="0">
      <w:lvlJc w:val="left"/>
      <w:lvlText w:val="(%1)"/>
      <w:numFmt w:val="lowerLetter"/>
      <w:start w:val="2"/>
    </w:lvl>
  </w:abstractNum>
  <w:abstractNum w:abstractNumId="135">
    <w:nsid w:val="6181EF69"/>
    <w:multiLevelType w:val="hybridMultilevel"/>
    <w:lvl w:ilvl="0">
      <w:lvlJc w:val="left"/>
      <w:lvlText w:val="(%1)"/>
      <w:numFmt w:val="lowerLetter"/>
      <w:start w:val="1"/>
    </w:lvl>
    <w:lvl w:ilvl="1">
      <w:lvlJc w:val="left"/>
      <w:lvlText w:val="(%2)"/>
      <w:numFmt w:val="lowerLetter"/>
      <w:start w:val="9"/>
    </w:lvl>
  </w:abstractNum>
  <w:abstractNum w:abstractNumId="136">
    <w:nsid w:val="3E6400E6"/>
    <w:multiLevelType w:val="hybridMultilevel"/>
    <w:lvl w:ilvl="0">
      <w:lvlJc w:val="left"/>
      <w:lvlText w:val="(%1)"/>
      <w:numFmt w:val="lowerRoman"/>
      <w:start w:val="2"/>
    </w:lvl>
  </w:abstractNum>
  <w:abstractNum w:abstractNumId="137">
    <w:nsid w:val="14217E23"/>
    <w:multiLevelType w:val="hybridMultilevel"/>
    <w:lvl w:ilvl="0">
      <w:lvlJc w:val="left"/>
      <w:lvlText w:val="(%1)"/>
      <w:numFmt w:val="lowerRoman"/>
      <w:start w:val="2"/>
    </w:lvl>
  </w:abstractNum>
  <w:abstractNum w:abstractNumId="138">
    <w:nsid w:val="710757D0"/>
    <w:multiLevelType w:val="hybridMultilevel"/>
    <w:lvl w:ilvl="0">
      <w:lvlJc w:val="left"/>
      <w:lvlText w:val="(%1)"/>
      <w:numFmt w:val="lowerLetter"/>
      <w:start w:val="1"/>
    </w:lvl>
  </w:abstractNum>
  <w:abstractNum w:abstractNumId="139">
    <w:nsid w:val="5015CD1A"/>
    <w:multiLevelType w:val="hybridMultilevel"/>
    <w:lvl w:ilvl="0">
      <w:lvlJc w:val="left"/>
      <w:lvlText w:val="(%1)"/>
      <w:numFmt w:val="lowerLetter"/>
      <w:start w:val="35"/>
    </w:lvl>
  </w:abstractNum>
  <w:abstractNum w:abstractNumId="140">
    <w:nsid w:val="424479DA"/>
    <w:multiLevelType w:val="hybridMultilevel"/>
    <w:lvl w:ilvl="0">
      <w:lvlJc w:val="left"/>
      <w:lvlText w:val="(%1)"/>
      <w:numFmt w:val="lowerLetter"/>
      <w:start w:val="3"/>
    </w:lvl>
  </w:abstractNum>
  <w:abstractNum w:abstractNumId="141">
    <w:nsid w:val="1A9A9E69"/>
    <w:multiLevelType w:val="hybridMultilevel"/>
    <w:lvl w:ilvl="0">
      <w:lvlJc w:val="left"/>
      <w:lvlText w:val="(%1)"/>
      <w:numFmt w:val="lowerLetter"/>
      <w:start w:val="12"/>
    </w:lvl>
  </w:abstractNum>
  <w:abstractNum w:abstractNumId="142">
    <w:nsid w:val="475E256A"/>
    <w:multiLevelType w:val="hybridMultilevel"/>
    <w:lvl w:ilvl="0">
      <w:lvlJc w:val="left"/>
      <w:lvlText w:val="(%1)"/>
      <w:numFmt w:val="lowerLetter"/>
      <w:start w:val="35"/>
    </w:lvl>
  </w:abstractNum>
  <w:abstractNum w:abstractNumId="143">
    <w:nsid w:val="368DB37E"/>
    <w:multiLevelType w:val="hybridMultilevel"/>
    <w:lvl w:ilvl="0">
      <w:lvlJc w:val="left"/>
      <w:lvlText w:val="(%1)"/>
      <w:numFmt w:val="lowerLetter"/>
      <w:start w:val="13"/>
    </w:lvl>
  </w:abstractNum>
  <w:abstractNum w:abstractNumId="144">
    <w:nsid w:val="6A3B714C"/>
    <w:multiLevelType w:val="hybridMultilevel"/>
    <w:lvl w:ilvl="0">
      <w:lvlJc w:val="left"/>
      <w:lvlText w:val="(%1)"/>
      <w:numFmt w:val="lowerLetter"/>
      <w:start w:val="20"/>
    </w:lvl>
  </w:abstractNum>
  <w:abstractNum w:abstractNumId="145">
    <w:nsid w:val="327B517E"/>
    <w:multiLevelType w:val="hybridMultilevel"/>
    <w:lvl w:ilvl="0">
      <w:lvlJc w:val="left"/>
      <w:lvlText w:val="(%1)"/>
      <w:numFmt w:val="lowerLetter"/>
      <w:start w:val="27"/>
    </w:lvl>
  </w:abstractNum>
  <w:abstractNum w:abstractNumId="146">
    <w:nsid w:val="1F461B51"/>
    <w:multiLevelType w:val="hybridMultilevel"/>
    <w:lvl w:ilvl="0">
      <w:lvlJc w:val="left"/>
      <w:lvlText w:val="(%1)"/>
      <w:numFmt w:val="lowerLetter"/>
      <w:start w:val="31"/>
    </w:lvl>
  </w:abstractNum>
  <w:abstractNum w:abstractNumId="147">
    <w:nsid w:val="29BACF25"/>
    <w:multiLevelType w:val="hybridMultilevel"/>
    <w:lvl w:ilvl="0">
      <w:lvlJc w:val="left"/>
      <w:lvlText w:val="(%1)"/>
      <w:numFmt w:val="lowerLetter"/>
      <w:start w:val="1"/>
    </w:lvl>
  </w:abstractNum>
  <w:abstractNum w:abstractNumId="148">
    <w:nsid w:val="5D5BABB3"/>
    <w:multiLevelType w:val="hybridMultilevel"/>
    <w:lvl w:ilvl="0">
      <w:lvlJc w:val="left"/>
      <w:lvlText w:val="(%1)"/>
      <w:numFmt w:val="lowerLetter"/>
      <w:start w:val="9"/>
    </w:lvl>
  </w:abstractNum>
  <w:abstractNum w:abstractNumId="149">
    <w:nsid w:val="51BF6B48"/>
    <w:multiLevelType w:val="hybridMultilevel"/>
    <w:lvl w:ilvl="0">
      <w:lvlJc w:val="left"/>
      <w:lvlText w:val="(%1)"/>
      <w:numFmt w:val="lowerLetter"/>
      <w:start w:val="15"/>
    </w:lvl>
  </w:abstractNum>
  <w:abstractNum w:abstractNumId="150">
    <w:nsid w:val="7E0F6384"/>
    <w:multiLevelType w:val="hybridMultilevel"/>
    <w:lvl w:ilvl="0">
      <w:lvlJc w:val="left"/>
      <w:lvlText w:val="(%1)"/>
      <w:numFmt w:val="lowerLetter"/>
      <w:start w:val="1"/>
    </w:lvl>
  </w:abstractNum>
  <w:abstractNum w:abstractNumId="151">
    <w:nsid w:val="2B4B8B53"/>
    <w:multiLevelType w:val="hybridMultilevel"/>
    <w:lvl w:ilvl="0">
      <w:lvlJc w:val="left"/>
      <w:lvlText w:val="(%1)"/>
      <w:numFmt w:val="lowerLetter"/>
      <w:start w:val="9"/>
    </w:lvl>
  </w:abstractNum>
  <w:abstractNum w:abstractNumId="152">
    <w:nsid w:val="72E3413A"/>
    <w:multiLevelType w:val="hybridMultilevel"/>
    <w:lvl w:ilvl="0">
      <w:lvlJc w:val="left"/>
      <w:lvlText w:val="(%1)"/>
      <w:numFmt w:val="lowerLetter"/>
      <w:start w:val="20"/>
    </w:lvl>
  </w:abstractNum>
  <w:abstractNum w:abstractNumId="153">
    <w:nsid w:val="116AE494"/>
    <w:multiLevelType w:val="hybridMultilevel"/>
    <w:lvl w:ilvl="0">
      <w:lvlJc w:val="left"/>
      <w:lvlText w:val="(%1)"/>
      <w:numFmt w:val="lowerLetter"/>
      <w:start w:val="27"/>
    </w:lvl>
  </w:abstractNum>
  <w:abstractNum w:abstractNumId="154">
    <w:nsid w:val="3494B2FB"/>
    <w:multiLevelType w:val="hybridMultilevel"/>
    <w:lvl w:ilvl="0">
      <w:lvlJc w:val="left"/>
      <w:lvlText w:val="(%1)"/>
      <w:numFmt w:val="lowerLetter"/>
      <w:start w:val="1"/>
    </w:lvl>
  </w:abstractNum>
  <w:abstractNum w:abstractNumId="155">
    <w:nsid w:val="B13A31"/>
    <w:multiLevelType w:val="hybridMultilevel"/>
    <w:lvl w:ilvl="0">
      <w:lvlJc w:val="left"/>
      <w:lvlText w:val="(%1)"/>
      <w:numFmt w:val="lowerLetter"/>
      <w:start w:val="2"/>
    </w:lvl>
  </w:abstractNum>
  <w:abstractNum w:abstractNumId="156">
    <w:nsid w:val="64429599"/>
    <w:multiLevelType w:val="hybridMultilevel"/>
    <w:lvl w:ilvl="0">
      <w:lvlJc w:val="left"/>
      <w:lvlText w:val="(%1)"/>
      <w:numFmt w:val="lowerLetter"/>
      <w:start w:val="5"/>
    </w:lvl>
  </w:abstractNum>
  <w:abstractNum w:abstractNumId="157">
    <w:nsid w:val="631F1690"/>
    <w:multiLevelType w:val="hybridMultilevel"/>
    <w:lvl w:ilvl="0">
      <w:lvlJc w:val="left"/>
      <w:lvlText w:val="(%1)"/>
      <w:numFmt w:val="lowerLetter"/>
      <w:start w:val="1"/>
    </w:lvl>
  </w:abstractNum>
  <w:abstractNum w:abstractNumId="158">
    <w:nsid w:val="25973E32"/>
    <w:multiLevelType w:val="hybridMultilevel"/>
    <w:lvl w:ilvl="0">
      <w:lvlJc w:val="left"/>
      <w:lvlText w:val="(%1)"/>
      <w:numFmt w:val="lowerLetter"/>
      <w:start w:val="9"/>
    </w:lvl>
  </w:abstractNum>
  <w:abstractNum w:abstractNumId="159">
    <w:nsid w:val="EAD6F57"/>
    <w:multiLevelType w:val="hybridMultilevel"/>
    <w:lvl w:ilvl="0">
      <w:lvlJc w:val="left"/>
      <w:lvlText w:val="(%1)"/>
      <w:numFmt w:val="lowerLetter"/>
      <w:start w:val="4"/>
    </w:lvl>
  </w:abstractNum>
  <w:abstractNum w:abstractNumId="160">
    <w:nsid w:val="6EC9D844"/>
    <w:multiLevelType w:val="hybridMultilevel"/>
    <w:lvl w:ilvl="0">
      <w:lvlJc w:val="left"/>
      <w:lvlText w:val="(%1)"/>
      <w:numFmt w:val="lowerLetter"/>
      <w:start w:val="9"/>
    </w:lvl>
  </w:abstractNum>
  <w:abstractNum w:abstractNumId="161">
    <w:nsid w:val="5C49EAEE"/>
    <w:multiLevelType w:val="hybridMultilevel"/>
    <w:lvl w:ilvl="0">
      <w:lvlJc w:val="left"/>
      <w:lvlText w:val="(%1)"/>
      <w:numFmt w:val="lowerLetter"/>
      <w:start w:val="21"/>
    </w:lvl>
  </w:abstractNum>
  <w:abstractNum w:abstractNumId="162">
    <w:nsid w:val="64AF49B"/>
    <w:multiLevelType w:val="hybridMultilevel"/>
    <w:lvl w:ilvl="0">
      <w:lvlJc w:val="left"/>
      <w:lvlText w:val="(%1)"/>
      <w:numFmt w:val="lowerLetter"/>
      <w:start w:val="1"/>
    </w:lvl>
  </w:abstractNum>
  <w:abstractNum w:abstractNumId="163">
    <w:nsid w:val="397C46BC"/>
    <w:multiLevelType w:val="hybridMultilevel"/>
    <w:lvl w:ilvl="0">
      <w:lvlJc w:val="left"/>
      <w:lvlText w:val="(%1)"/>
      <w:numFmt w:val="lowerLetter"/>
      <w:start w:val="5"/>
    </w:lvl>
  </w:abstractNum>
  <w:abstractNum w:abstractNumId="164">
    <w:nsid w:val="7E448DE9"/>
    <w:multiLevelType w:val="hybridMultilevel"/>
    <w:lvl w:ilvl="0">
      <w:lvlJc w:val="left"/>
      <w:lvlText w:val="(%1)"/>
      <w:numFmt w:val="lowerLetter"/>
      <w:start w:val="1"/>
    </w:lvl>
  </w:abstractNum>
  <w:abstractNum w:abstractNumId="165">
    <w:nsid w:val="5A9CC3E5"/>
    <w:multiLevelType w:val="hybridMultilevel"/>
    <w:lvl w:ilvl="0">
      <w:lvlJc w:val="left"/>
      <w:lvlText w:val="(%1)"/>
      <w:numFmt w:val="lowerLetter"/>
      <w:start w:val="2"/>
    </w:lvl>
  </w:abstractNum>
  <w:abstractNum w:abstractNumId="166">
    <w:nsid w:val="1AFE362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67">
    <w:nsid w:val="3CA88ECF"/>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9"/>
    </w:lvl>
  </w:abstractNum>
  <w:abstractNum w:abstractNumId="168">
    <w:nsid w:val="6EBE4208"/>
    <w:multiLevelType w:val="hybridMultilevel"/>
    <w:lvl w:ilvl="0">
      <w:lvlJc w:val="left"/>
      <w:lvlText w:val="%1"/>
      <w:numFmt w:val="lowerLetter"/>
      <w:start w:val="1"/>
    </w:lvl>
    <w:lvl w:ilvl="1">
      <w:lvlJc w:val="left"/>
      <w:lvlText w:val="(%2)"/>
      <w:numFmt w:val="lowerLetter"/>
      <w:start w:val="35"/>
    </w:lvl>
  </w:abstractNum>
  <w:abstractNum w:abstractNumId="169">
    <w:nsid w:val="C058DF5"/>
    <w:multiLevelType w:val="hybridMultilevel"/>
    <w:lvl w:ilvl="0">
      <w:lvlJc w:val="left"/>
      <w:lvlText w:val="(%1)"/>
      <w:numFmt w:val="lowerLetter"/>
      <w:start w:val="25"/>
    </w:lvl>
    <w:lvl w:ilvl="1">
      <w:lvlJc w:val="left"/>
      <w:lvlText w:val="%2"/>
      <w:numFmt w:val="lowerLetter"/>
      <w:start w:val="1"/>
    </w:lvl>
  </w:abstractNum>
  <w:abstractNum w:abstractNumId="170">
    <w:nsid w:val="CBE5BE9"/>
    <w:multiLevelType w:val="hybridMultilevel"/>
    <w:lvl w:ilvl="0">
      <w:lvlJc w:val="left"/>
      <w:lvlText w:val="(%1)"/>
      <w:numFmt w:val="lowerLetter"/>
      <w:start w:val="1"/>
    </w:lvl>
  </w:abstractNum>
  <w:abstractNum w:abstractNumId="171">
    <w:nsid w:val="3102BBE2"/>
    <w:multiLevelType w:val="hybridMultilevel"/>
    <w:lvl w:ilvl="0">
      <w:lvlJc w:val="left"/>
      <w:lvlText w:val="(%1)"/>
      <w:numFmt w:val="upperLetter"/>
      <w:start w:val="35"/>
    </w:lvl>
  </w:abstractNum>
  <w:abstractNum w:abstractNumId="172">
    <w:nsid w:val="26A02C5E"/>
    <w:multiLevelType w:val="hybridMultilevel"/>
    <w:lvl w:ilvl="0">
      <w:lvlJc w:val="left"/>
      <w:lvlText w:val="(%1)"/>
      <w:numFmt w:val="lowerLetter"/>
      <w:start w:val="2"/>
    </w:lvl>
    <w:lvl w:ilvl="1">
      <w:lvlJc w:val="left"/>
      <w:lvlText w:val="(%2)"/>
      <w:numFmt w:val="lowerLetter"/>
      <w:start w:val="35"/>
    </w:lvl>
  </w:abstractNum>
  <w:abstractNum w:abstractNumId="173">
    <w:nsid w:val="541C8153"/>
    <w:multiLevelType w:val="hybridMultilevel"/>
    <w:lvl w:ilvl="0">
      <w:lvlJc w:val="left"/>
      <w:lvlText w:val="(%1)"/>
      <w:numFmt w:val="lowerLetter"/>
      <w:start w:val="1"/>
    </w:lvl>
    <w:lvl w:ilvl="1">
      <w:lvlJc w:val="left"/>
      <w:lvlText w:val="%2"/>
      <w:numFmt w:val="upperLetter"/>
      <w:start w:val="1"/>
    </w:lvl>
  </w:abstractNum>
  <w:abstractNum w:abstractNumId="174">
    <w:nsid w:val="67906F60"/>
    <w:multiLevelType w:val="hybridMultilevel"/>
    <w:lvl w:ilvl="0">
      <w:lvlJc w:val="left"/>
      <w:lvlText w:val="(%1)"/>
      <w:numFmt w:val="lowerLetter"/>
      <w:start w:val="2"/>
    </w:lvl>
    <w:lvl w:ilvl="1">
      <w:lvlJc w:val="left"/>
      <w:lvlText w:val="%2"/>
      <w:numFmt w:val="upperLetter"/>
      <w:start w:val="1"/>
    </w:lvl>
  </w:abstractNum>
  <w:abstractNum w:abstractNumId="175">
    <w:nsid w:val="10DB9DAA"/>
    <w:multiLevelType w:val="hybridMultilevel"/>
    <w:lvl w:ilvl="0">
      <w:lvlJc w:val="left"/>
      <w:lvlText w:val="(%1)"/>
      <w:numFmt w:val="lowerLetter"/>
      <w:start w:val="4"/>
    </w:lvl>
    <w:lvl w:ilvl="1">
      <w:lvlJc w:val="left"/>
      <w:lvlText w:val="(%2)"/>
      <w:numFmt w:val="upperLetter"/>
      <w:start w:val="1"/>
    </w:lvl>
  </w:abstractNum>
  <w:abstractNum w:abstractNumId="176">
    <w:nsid w:val="697D2D2"/>
    <w:multiLevelType w:val="hybridMultilevel"/>
    <w:lvl w:ilvl="0">
      <w:lvlJc w:val="left"/>
      <w:lvlText w:val="%1"/>
      <w:numFmt w:val="lowerLetter"/>
      <w:start w:val="1"/>
    </w:lvl>
    <w:lvl w:ilvl="1">
      <w:lvlJc w:val="left"/>
      <w:lvlText w:val="(%2)"/>
      <w:numFmt w:val="upperLetter"/>
      <w:start w:val="2"/>
    </w:lvl>
  </w:abstractNum>
  <w:abstractNum w:abstractNumId="177">
    <w:nsid w:val="6D68AB2"/>
    <w:multiLevelType w:val="hybridMultilevel"/>
    <w:lvl w:ilvl="0">
      <w:lvlJc w:val="left"/>
      <w:lvlText w:val="(%1)"/>
      <w:numFmt w:val="lowerLetter"/>
      <w:start w:val="6"/>
    </w:lvl>
    <w:lvl w:ilvl="1">
      <w:lvlJc w:val="left"/>
      <w:lvlText w:val="%2"/>
      <w:numFmt w:val="upperLetter"/>
      <w:start w:val="1"/>
    </w:lvl>
  </w:abstractNum>
  <w:abstractNum w:abstractNumId="178">
    <w:nsid w:val="3A966CD0"/>
    <w:multiLevelType w:val="hybridMultilevel"/>
    <w:lvl w:ilvl="0">
      <w:lvlJc w:val="left"/>
      <w:lvlText w:val="(%1)"/>
      <w:numFmt w:val="lowerLetter"/>
      <w:start w:val="10"/>
    </w:lvl>
  </w:abstractNum>
  <w:abstractNum w:abstractNumId="179">
    <w:nsid w:val="63F37E85"/>
    <w:multiLevelType w:val="hybridMultilevel"/>
    <w:lvl w:ilvl="0">
      <w:lvlJc w:val="left"/>
      <w:lvlText w:val="(%1)"/>
      <w:numFmt w:val="lowerLetter"/>
      <w:start w:val="14"/>
    </w:lvl>
  </w:abstractNum>
  <w:abstractNum w:abstractNumId="180">
    <w:nsid w:val="5895F5FA"/>
    <w:multiLevelType w:val="hybridMultilevel"/>
    <w:lvl w:ilvl="0">
      <w:lvlJc w:val="left"/>
      <w:lvlText w:val="(%1)"/>
      <w:numFmt w:val="lowerRoman"/>
      <w:start w:val="1"/>
    </w:lvl>
  </w:abstractNum>
  <w:abstractNum w:abstractNumId="181">
    <w:nsid w:val="38A5D054"/>
    <w:multiLevelType w:val="hybridMultilevel"/>
    <w:lvl w:ilvl="0">
      <w:lvlJc w:val="left"/>
      <w:lvlText w:val="(%1)"/>
      <w:numFmt w:val="lowerLetter"/>
      <w:start w:val="3"/>
    </w:lvl>
  </w:abstractNum>
  <w:abstractNum w:abstractNumId="182">
    <w:nsid w:val="F3F09D8"/>
    <w:multiLevelType w:val="hybridMultilevel"/>
    <w:lvl w:ilvl="0">
      <w:lvlJc w:val="left"/>
      <w:lvlText w:val="(%1)"/>
      <w:numFmt w:val="lowerLetter"/>
      <w:start w:val="6"/>
    </w:lvl>
  </w:abstractNum>
  <w:abstractNum w:abstractNumId="183">
    <w:nsid w:val="4B793735"/>
    <w:multiLevelType w:val="hybridMultilevel"/>
    <w:lvl w:ilvl="0">
      <w:lvlJc w:val="left"/>
      <w:lvlText w:val="(%1)"/>
      <w:numFmt w:val="lowerRoman"/>
      <w:start w:val="1"/>
    </w:lvl>
  </w:abstractNum>
  <w:abstractNum w:abstractNumId="184">
    <w:nsid w:val="4A10B4E8"/>
    <w:multiLevelType w:val="hybridMultilevel"/>
    <w:lvl w:ilvl="0">
      <w:lvlJc w:val="left"/>
      <w:lvlText w:val="(%1)"/>
      <w:numFmt w:val="lowerLetter"/>
      <w:start w:val="3"/>
    </w:lvl>
  </w:abstractNum>
  <w:abstractNum w:abstractNumId="185">
    <w:nsid w:val="43D3BCD4"/>
    <w:multiLevelType w:val="hybridMultilevel"/>
    <w:lvl w:ilvl="0">
      <w:lvlJc w:val="left"/>
      <w:lvlText w:val="(%1)"/>
      <w:numFmt w:val="lowerLetter"/>
      <w:start w:val="1"/>
    </w:lvl>
  </w:abstractNum>
  <w:abstractNum w:abstractNumId="186">
    <w:nsid w:val="4C2A7166"/>
    <w:multiLevelType w:val="hybridMultilevel"/>
    <w:lvl w:ilvl="0">
      <w:lvlJc w:val="left"/>
      <w:lvlText w:val="(%1)"/>
      <w:numFmt w:val="lowerLetter"/>
      <w:start w:val="4"/>
    </w:lvl>
  </w:abstractNum>
  <w:abstractNum w:abstractNumId="187">
    <w:nsid w:val="2E534A82"/>
    <w:multiLevelType w:val="hybridMultilevel"/>
    <w:lvl w:ilvl="0">
      <w:lvlJc w:val="left"/>
      <w:lvlText w:val="(%1)"/>
      <w:numFmt w:val="lowerLetter"/>
      <w:start w:val="7"/>
    </w:lvl>
  </w:abstractNum>
  <w:abstractNum w:abstractNumId="188">
    <w:nsid w:val="26F2D364"/>
    <w:multiLevelType w:val="hybridMultilevel"/>
    <w:lvl w:ilvl="0">
      <w:lvlJc w:val="left"/>
      <w:lvlText w:val="(%1)"/>
      <w:numFmt w:val="lowerLetter"/>
      <w:start w:val="8"/>
    </w:lvl>
    <w:lvl w:ilvl="1">
      <w:lvlJc w:val="left"/>
      <w:lvlText w:val="(%2)"/>
      <w:numFmt w:val="lowerLetter"/>
      <w:start w:val="9"/>
    </w:lvl>
  </w:abstractNum>
  <w:abstractNum w:abstractNumId="189">
    <w:nsid w:val="71C1AF98"/>
    <w:multiLevelType w:val="hybridMultilevel"/>
    <w:lvl w:ilvl="0">
      <w:lvlJc w:val="left"/>
      <w:lvlText w:val="(%1)"/>
      <w:numFmt w:val="lowerRoman"/>
      <w:start w:val="2"/>
    </w:lvl>
  </w:abstractNum>
  <w:abstractNum w:abstractNumId="190">
    <w:nsid w:val="3D00B9D9"/>
    <w:multiLevelType w:val="hybridMultilevel"/>
    <w:lvl w:ilvl="0">
      <w:lvlJc w:val="left"/>
      <w:lvlText w:val="(%1)"/>
      <w:numFmt w:val="lowerRoman"/>
      <w:start w:val="5"/>
    </w:lvl>
  </w:abstractNum>
  <w:abstractNum w:abstractNumId="191">
    <w:nsid w:val="15BCABA8"/>
    <w:multiLevelType w:val="hybridMultilevel"/>
    <w:lvl w:ilvl="0">
      <w:lvlJc w:val="left"/>
      <w:lvlText w:val="(%1)"/>
      <w:numFmt w:val="lowerLetter"/>
      <w:start w:val="1"/>
    </w:lvl>
  </w:abstractNum>
  <w:abstractNum w:abstractNumId="192">
    <w:nsid w:val="4E0B9A87"/>
    <w:multiLevelType w:val="hybridMultilevel"/>
    <w:lvl w:ilvl="0">
      <w:lvlJc w:val="left"/>
      <w:lvlText w:val="(%1)"/>
      <w:numFmt w:val="lowerLetter"/>
      <w:start w:val="2"/>
    </w:lvl>
  </w:abstractNum>
  <w:abstractNum w:abstractNumId="193">
    <w:nsid w:val="434BAE75"/>
    <w:multiLevelType w:val="hybridMultilevel"/>
    <w:lvl w:ilvl="0">
      <w:lvlJc w:val="left"/>
      <w:lvlText w:val="(%1)"/>
      <w:numFmt w:val="lowerLetter"/>
      <w:start w:val="3"/>
    </w:lvl>
  </w:abstractNum>
  <w:abstractNum w:abstractNumId="194">
    <w:nsid w:val="4F38F265"/>
    <w:multiLevelType w:val="hybridMultilevel"/>
    <w:lvl w:ilvl="0">
      <w:lvlJc w:val="left"/>
      <w:lvlText w:val="(%1)"/>
      <w:numFmt w:val="lowerLetter"/>
      <w:start w:val="1"/>
    </w:lvl>
    <w:lvl w:ilvl="1">
      <w:lvlJc w:val="left"/>
      <w:lvlText w:val="(%2)"/>
      <w:numFmt w:val="lowerLetter"/>
      <w:start w:val="2"/>
    </w:lvl>
  </w:abstractNum>
  <w:abstractNum w:abstractNumId="195">
    <w:nsid w:val="4C502870"/>
    <w:multiLevelType w:val="hybridMultilevel"/>
    <w:lvl w:ilvl="0">
      <w:lvlJc w:val="left"/>
      <w:lvlText w:val="(%1)"/>
      <w:numFmt w:val="lowerLetter"/>
      <w:start w:val="23"/>
    </w:lvl>
  </w:abstractNum>
  <w:abstractNum w:abstractNumId="196">
    <w:nsid w:val="1DE8725A"/>
    <w:multiLevelType w:val="hybridMultilevel"/>
    <w:lvl w:ilvl="0">
      <w:lvlJc w:val="left"/>
      <w:lvlText w:val="(%1)"/>
      <w:numFmt w:val="lowerLetter"/>
      <w:start w:val="3"/>
    </w:lvl>
  </w:abstractNum>
  <w:abstractNum w:abstractNumId="197">
    <w:nsid w:val="6A37288A"/>
    <w:multiLevelType w:val="hybridMultilevel"/>
    <w:lvl w:ilvl="0">
      <w:lvlJc w:val="left"/>
      <w:lvlText w:val="(%1)"/>
      <w:numFmt w:val="lowerLetter"/>
      <w:start w:val="1"/>
    </w:lvl>
  </w:abstractNum>
  <w:abstractNum w:abstractNumId="198">
    <w:nsid w:val="8F8B73F"/>
    <w:multiLevelType w:val="hybridMultilevel"/>
    <w:lvl w:ilvl="0">
      <w:lvlJc w:val="left"/>
      <w:lvlText w:val="(%1)"/>
      <w:numFmt w:val="lowerLetter"/>
      <w:start w:val="8"/>
    </w:lvl>
  </w:abstractNum>
  <w:abstractNum w:abstractNumId="199">
    <w:nsid w:val="CA6B462"/>
    <w:multiLevelType w:val="hybridMultilevel"/>
    <w:lvl w:ilvl="0">
      <w:lvlJc w:val="left"/>
      <w:lvlText w:val="(%1)"/>
      <w:numFmt w:val="lowerLetter"/>
      <w:start w:val="1"/>
    </w:lvl>
  </w:abstractNum>
  <w:abstractNum w:abstractNumId="200">
    <w:nsid w:val="763CB680"/>
    <w:multiLevelType w:val="hybridMultilevel"/>
    <w:lvl w:ilvl="0">
      <w:lvlJc w:val="left"/>
      <w:lvlText w:val="(%1)"/>
      <w:numFmt w:val="lowerLetter"/>
      <w:start w:val="2"/>
    </w:lvl>
  </w:abstractNum>
  <w:abstractNum w:abstractNumId="201">
    <w:nsid w:val="15B71329"/>
    <w:multiLevelType w:val="hybridMultilevel"/>
    <w:lvl w:ilvl="0">
      <w:lvlJc w:val="left"/>
      <w:lvlText w:val="(%1)"/>
      <w:numFmt w:val="lowerLetter"/>
      <w:start w:val="1"/>
    </w:lvl>
  </w:abstractNum>
  <w:abstractNum w:abstractNumId="202">
    <w:nsid w:val="3DA97044"/>
    <w:multiLevelType w:val="hybridMultilevel"/>
    <w:lvl w:ilvl="0">
      <w:lvlJc w:val="left"/>
      <w:lvlText w:val="(%1)"/>
      <w:numFmt w:val="lowerLetter"/>
      <w:start w:val="1"/>
    </w:lvl>
  </w:abstractNum>
  <w:abstractNum w:abstractNumId="203">
    <w:nsid w:val="1CDCE2DE"/>
    <w:multiLevelType w:val="hybridMultilevel"/>
    <w:lvl w:ilvl="0">
      <w:lvlJc w:val="left"/>
      <w:lvlText w:val="%1"/>
      <w:numFmt w:val="lowerLetter"/>
      <w:start w:val="1"/>
    </w:lvl>
    <w:lvl w:ilvl="1">
      <w:lvlJc w:val="left"/>
      <w:lvlText w:val="(%2)"/>
      <w:numFmt w:val="lowerLetter"/>
      <w:start w:val="1"/>
    </w:lvl>
  </w:abstractNum>
  <w:abstractNum w:abstractNumId="204">
    <w:nsid w:val="69D3947C"/>
    <w:multiLevelType w:val="hybridMultilevel"/>
    <w:lvl w:ilvl="0">
      <w:lvlJc w:val="left"/>
      <w:lvlText w:val="(%1)"/>
      <w:numFmt w:val="lowerLetter"/>
      <w:start w:val="3"/>
    </w:lvl>
    <w:lvl w:ilvl="1">
      <w:lvlJc w:val="left"/>
      <w:lvlText w:val="%2"/>
      <w:numFmt w:val="lowerLetter"/>
      <w:start w:val="1"/>
    </w:lvl>
  </w:abstractNum>
  <w:abstractNum w:abstractNumId="205">
    <w:nsid w:val="2539DFA5"/>
    <w:multiLevelType w:val="hybridMultilevel"/>
    <w:lvl w:ilvl="0">
      <w:lvlJc w:val="left"/>
      <w:lvlText w:val="(%1)"/>
      <w:numFmt w:val="lowerLetter"/>
      <w:start w:val="1"/>
    </w:lvl>
  </w:abstractNum>
  <w:abstractNum w:abstractNumId="206">
    <w:nsid w:val="2DB88089"/>
    <w:multiLevelType w:val="hybridMultilevel"/>
    <w:lvl w:ilvl="0">
      <w:lvlJc w:val="left"/>
      <w:lvlText w:val="(%1)"/>
      <w:numFmt w:val="lowerLetter"/>
      <w:start w:val="2"/>
    </w:lvl>
  </w:abstractNum>
  <w:abstractNum w:abstractNumId="207">
    <w:nsid w:val="706B674E"/>
    <w:multiLevelType w:val="hybridMultilevel"/>
    <w:lvl w:ilvl="0">
      <w:lvlJc w:val="left"/>
      <w:lvlText w:val="(%1)"/>
      <w:numFmt w:val="lowerLetter"/>
      <w:start w:val="1"/>
    </w:lvl>
  </w:abstractNum>
  <w:abstractNum w:abstractNumId="208">
    <w:nsid w:val="2C106A57"/>
    <w:multiLevelType w:val="hybridMultilevel"/>
    <w:lvl w:ilvl="0">
      <w:lvlJc w:val="left"/>
      <w:lvlText w:val="(%1)"/>
      <w:numFmt w:val="lowerLetter"/>
      <w:start w:val="2"/>
    </w:lvl>
  </w:abstractNum>
  <w:abstractNum w:abstractNumId="209">
    <w:nsid w:val="684EED59"/>
    <w:multiLevelType w:val="hybridMultilevel"/>
    <w:lvl w:ilvl="0">
      <w:lvlJc w:val="left"/>
      <w:lvlText w:val="(%1)"/>
      <w:numFmt w:val="lowerLetter"/>
      <w:start w:val="1"/>
    </w:lvl>
  </w:abstractNum>
  <w:abstractNum w:abstractNumId="210">
    <w:nsid w:val="545EE5D3"/>
    <w:multiLevelType w:val="hybridMultilevel"/>
    <w:lvl w:ilvl="0">
      <w:lvlJc w:val="left"/>
      <w:lvlText w:val="%1"/>
      <w:numFmt w:val="lowerRoman"/>
      <w:start w:val="1"/>
    </w:lvl>
    <w:lvl w:ilvl="1">
      <w:lvlJc w:val="left"/>
      <w:lvlText w:val="(%2)"/>
      <w:numFmt w:val="lowerLetter"/>
      <w:start w:val="1"/>
    </w:lvl>
  </w:abstractNum>
  <w:abstractNum w:abstractNumId="211">
    <w:nsid w:val="4A66051"/>
    <w:multiLevelType w:val="hybridMultilevel"/>
    <w:lvl w:ilvl="0">
      <w:lvlJc w:val="left"/>
      <w:lvlText w:val="(%1)"/>
      <w:numFmt w:val="lowerRoman"/>
      <w:start w:val="1"/>
    </w:lvl>
    <w:lvl w:ilvl="1">
      <w:lvlJc w:val="left"/>
      <w:lvlText w:val="(%2)"/>
      <w:numFmt w:val="lowerLetter"/>
      <w:start w:val="2"/>
    </w:lvl>
  </w:abstractNum>
  <w:abstractNum w:abstractNumId="212">
    <w:nsid w:val="20F4BDAD"/>
    <w:multiLevelType w:val="hybridMultilevel"/>
    <w:lvl w:ilvl="0">
      <w:lvlJc w:val="left"/>
      <w:lvlText w:val="(%1)"/>
      <w:numFmt w:val="lowerRoman"/>
      <w:start w:val="1"/>
    </w:lvl>
  </w:abstractNum>
  <w:abstractNum w:abstractNumId="213">
    <w:nsid w:val="639DEFAC"/>
    <w:multiLevelType w:val="hybridMultilevel"/>
    <w:lvl w:ilvl="0">
      <w:lvlJc w:val="left"/>
      <w:lvlText w:val="(%1)"/>
      <w:numFmt w:val="lowerLetter"/>
      <w:start w:val="35"/>
    </w:lvl>
    <w:lvl w:ilvl="1">
      <w:lvlJc w:val="left"/>
      <w:lvlText w:val="(%2)"/>
      <w:numFmt w:val="lowerLetter"/>
      <w:start w:val="3"/>
    </w:lvl>
  </w:abstractNum>
  <w:abstractNum w:abstractNumId="214">
    <w:nsid w:val="501F9786"/>
    <w:multiLevelType w:val="hybridMultilevel"/>
    <w:lvl w:ilvl="0">
      <w:lvlJc w:val="left"/>
      <w:lvlText w:val="%1."/>
      <w:numFmt w:val="decimal"/>
      <w:start w:val="1"/>
    </w:lvl>
  </w:abstractNum>
  <w:abstractNum w:abstractNumId="215">
    <w:nsid w:val="6B057295"/>
    <w:multiLevelType w:val="hybridMultilevel"/>
    <w:lvl w:ilvl="0">
      <w:lvlJc w:val="left"/>
      <w:lvlText w:val="%1."/>
      <w:numFmt w:val="decimal"/>
      <w:start w:val="3"/>
    </w:lvl>
  </w:abstractNum>
  <w:abstractNum w:abstractNumId="216">
    <w:nsid w:val="2771AC80"/>
    <w:multiLevelType w:val="hybridMultilevel"/>
    <w:lvl w:ilvl="0">
      <w:lvlJc w:val="left"/>
      <w:lvlText w:val="%1."/>
      <w:numFmt w:val="decimal"/>
      <w:start w:val="5"/>
    </w:lvl>
  </w:abstractNum>
  <w:abstractNum w:abstractNumId="217">
    <w:nsid w:val="1C4A08EC"/>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2023-07-10T07:42:12Z</dcterms:created>
  <dcterms:modified xsi:type="dcterms:W3CDTF">2023-07-10T07:42:12Z</dcterms:modified>
</cp:coreProperties>
</file>