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58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109855</wp:posOffset>
            </wp:positionV>
            <wp:extent cx="1758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380" w:right="540" w:hanging="345"/>
        <w:spacing w:after="0" w:line="256"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right="520" w:hanging="345"/>
        <w:spacing w:after="0" w:line="256" w:lineRule="auto"/>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0-12255</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-282575</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97790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6500" w:type="dxa"/>
            <w:vAlign w:val="bottom"/>
          </w:tcPr>
          <w:p>
            <w:pPr>
              <w:jc w:val="center"/>
              <w:ind w:right="3139"/>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48-0948788</w:t>
            </w:r>
          </w:p>
        </w:tc>
      </w:tr>
      <w:tr>
        <w:trPr>
          <w:trHeight w:val="218"/>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(I.R.S. Employer</w:t>
            </w:r>
          </w:p>
        </w:tc>
      </w:tr>
      <w:tr>
        <w:trPr>
          <w:trHeight w:val="270"/>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444"/>
        </w:trPr>
        <w:tc>
          <w:tcPr>
            <w:tcW w:w="6500" w:type="dxa"/>
            <w:vAlign w:val="bottom"/>
          </w:tcPr>
          <w:p>
            <w:pPr>
              <w:jc w:val="center"/>
              <w:ind w:right="3119"/>
              <w:spacing w:after="0"/>
              <w:rPr>
                <w:sz w:val="20"/>
                <w:szCs w:val="20"/>
                <w:color w:val="auto"/>
              </w:rPr>
            </w:pPr>
            <w:r>
              <w:rPr>
                <w:rFonts w:ascii="Arial" w:cs="Arial" w:eastAsia="Arial" w:hAnsi="Arial"/>
                <w:sz w:val="18"/>
                <w:szCs w:val="18"/>
                <w:b w:val="1"/>
                <w:bCs w:val="1"/>
                <w:color w:val="auto"/>
                <w:w w:val="90"/>
              </w:rPr>
              <w:t>10990 Roe Avenue, Overland Park, Kansas</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66211</w:t>
            </w:r>
          </w:p>
        </w:tc>
      </w:tr>
      <w:tr>
        <w:trPr>
          <w:trHeight w:val="218"/>
        </w:trPr>
        <w:tc>
          <w:tcPr>
            <w:tcW w:w="6500" w:type="dxa"/>
            <w:vAlign w:val="bottom"/>
          </w:tcPr>
          <w:p>
            <w:pPr>
              <w:jc w:val="center"/>
              <w:ind w:right="31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90"/>
              </w:rPr>
              <w:t>(913) 696-6100</w:t>
            </w:r>
          </w:p>
        </w:tc>
        <w:tc>
          <w:tcPr>
            <w:tcW w:w="1460" w:type="dxa"/>
            <w:vAlign w:val="bottom"/>
          </w:tcPr>
          <w:p>
            <w:pPr>
              <w:spacing w:after="0"/>
              <w:rPr>
                <w:sz w:val="23"/>
                <w:szCs w:val="23"/>
                <w:color w:val="auto"/>
              </w:rPr>
            </w:pPr>
          </w:p>
        </w:tc>
      </w:tr>
      <w:tr>
        <w:trPr>
          <w:trHeight w:val="186"/>
        </w:trPr>
        <w:tc>
          <w:tcPr>
            <w:tcW w:w="6500" w:type="dxa"/>
            <w:vAlign w:val="bottom"/>
          </w:tcPr>
          <w:p>
            <w:pPr>
              <w:jc w:val="center"/>
              <w:ind w:left="25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r>
        <w:trPr>
          <w:trHeight w:val="289"/>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88"/>
              </w:rPr>
              <w:t>None</w:t>
            </w:r>
          </w:p>
        </w:tc>
        <w:tc>
          <w:tcPr>
            <w:tcW w:w="146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304800</wp:posOffset>
            </wp:positionV>
            <wp:extent cx="1758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4" w:lineRule="exact"/>
        <w:rPr>
          <w:sz w:val="24"/>
          <w:szCs w:val="24"/>
          <w:color w:val="auto"/>
        </w:rPr>
      </w:pPr>
    </w:p>
    <w:p>
      <w:pPr>
        <w:ind w:left="40"/>
        <w:spacing w:after="0" w:line="207" w:lineRule="exact"/>
        <w:tabs>
          <w:tab w:leader="none" w:pos="3220" w:val="left"/>
          <w:tab w:leader="none" w:pos="7900" w:val="left"/>
          <w:tab w:leader="none" w:pos="110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7"/>
          <w:szCs w:val="17"/>
          <w:color w:val="auto"/>
        </w:rPr>
        <w:t>o</w:t>
      </w:r>
    </w:p>
    <w:p>
      <w:pPr>
        <w:spacing w:after="0" w:line="217" w:lineRule="exact"/>
        <w:rPr>
          <w:sz w:val="24"/>
          <w:szCs w:val="24"/>
          <w:color w:val="auto"/>
        </w:rPr>
      </w:pPr>
    </w:p>
    <w:p>
      <w:pPr>
        <w:ind w:left="40"/>
        <w:spacing w:after="0"/>
        <w:tabs>
          <w:tab w:leader="none" w:pos="3220" w:val="left"/>
          <w:tab w:leader="none" w:pos="7900" w:val="left"/>
          <w:tab w:leader="none" w:pos="1108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o (Do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Arial" w:cs="Arial" w:eastAsia="Arial" w:hAnsi="Arial"/>
          <w:sz w:val="17"/>
          <w:szCs w:val="17"/>
          <w:color w:val="auto"/>
        </w:rPr>
        <w:t>o</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4" w:lineRule="exact"/>
        <w:rPr>
          <w:sz w:val="24"/>
          <w:szCs w:val="24"/>
          <w:color w:val="auto"/>
        </w:rPr>
      </w:pPr>
    </w:p>
    <w:p>
      <w:pPr>
        <w:ind w:left="2640"/>
        <w:spacing w:after="0"/>
        <w:tabs>
          <w:tab w:leader="none" w:pos="7580" w:val="left"/>
        </w:tabs>
        <w:rPr>
          <w:sz w:val="20"/>
          <w:szCs w:val="20"/>
          <w:color w:val="auto"/>
        </w:rPr>
      </w:pPr>
      <w:r>
        <w:rPr>
          <w:rFonts w:ascii="Arial" w:cs="Arial" w:eastAsia="Arial" w:hAnsi="Arial"/>
          <w:sz w:val="14"/>
          <w:szCs w:val="14"/>
          <w:u w:val="single" w:color="auto"/>
          <w:color w:val="auto"/>
        </w:rPr>
        <w:t>Class</w:t>
      </w:r>
      <w:r>
        <w:rPr>
          <w:sz w:val="20"/>
          <w:szCs w:val="20"/>
          <w:color w:val="auto"/>
        </w:rPr>
        <w:tab/>
      </w:r>
      <w:r>
        <w:rPr>
          <w:rFonts w:ascii="Arial" w:cs="Arial" w:eastAsia="Arial" w:hAnsi="Arial"/>
          <w:sz w:val="14"/>
          <w:szCs w:val="14"/>
          <w:u w:val="single" w:color="auto"/>
          <w:color w:val="auto"/>
        </w:rPr>
        <w:t>Outstanding at October 23, 2015</w:t>
      </w:r>
    </w:p>
    <w:p>
      <w:pPr>
        <w:sectPr>
          <w:pgSz w:w="11900" w:h="16838" w:orient="portrait"/>
          <w:cols w:equalWidth="0" w:num="1">
            <w:col w:w="11420"/>
          </w:cols>
          <w:pgMar w:left="240" w:top="229" w:right="239" w:bottom="1440" w:gutter="0" w:footer="0" w:header="0"/>
        </w:sectPr>
      </w:pPr>
    </w:p>
    <w:p>
      <w:pPr>
        <w:spacing w:after="0" w:line="46" w:lineRule="exact"/>
        <w:rPr>
          <w:sz w:val="24"/>
          <w:szCs w:val="24"/>
          <w:color w:val="auto"/>
        </w:rPr>
      </w:pPr>
    </w:p>
    <w:p>
      <w:pPr>
        <w:ind w:left="1280"/>
        <w:spacing w:after="0"/>
        <w:tabs>
          <w:tab w:leader="none" w:pos="7880" w:val="left"/>
        </w:tabs>
        <w:rPr>
          <w:sz w:val="20"/>
          <w:szCs w:val="20"/>
          <w:color w:val="auto"/>
        </w:rPr>
      </w:pPr>
      <w:r>
        <w:rPr>
          <w:rFonts w:ascii="Arial" w:cs="Arial" w:eastAsia="Arial" w:hAnsi="Arial"/>
          <w:sz w:val="18"/>
          <w:szCs w:val="18"/>
          <w:color w:val="auto"/>
        </w:rPr>
        <w:t>Common Stock, $0.01 par value per share</w:t>
      </w:r>
      <w:r>
        <w:rPr>
          <w:sz w:val="20"/>
          <w:szCs w:val="20"/>
          <w:color w:val="auto"/>
        </w:rPr>
        <w:tab/>
      </w:r>
      <w:r>
        <w:rPr>
          <w:rFonts w:ascii="Arial" w:cs="Arial" w:eastAsia="Arial" w:hAnsi="Arial"/>
          <w:sz w:val="15"/>
          <w:szCs w:val="15"/>
          <w:color w:val="auto"/>
        </w:rPr>
        <w:t>32,615,981 shares</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60" w:type="dxa"/>
            <w:vAlign w:val="bottom"/>
          </w:tcPr>
          <w:p>
            <w:pPr>
              <w:spacing w:after="0"/>
              <w:rPr>
                <w:sz w:val="20"/>
                <w:szCs w:val="20"/>
                <w:color w:val="auto"/>
              </w:rPr>
            </w:pPr>
            <w:r>
              <w:rPr>
                <w:rFonts w:ascii="Arial" w:cs="Arial" w:eastAsia="Arial" w:hAnsi="Arial"/>
                <w:sz w:val="14"/>
                <w:szCs w:val="14"/>
                <w:color w:val="auto"/>
              </w:rPr>
              <w:t>Item</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Page</w:t>
            </w:r>
          </w:p>
        </w:tc>
      </w:tr>
      <w:tr>
        <w:trPr>
          <w:trHeight w:val="189"/>
        </w:trPr>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80" w:type="dxa"/>
            <w:vAlign w:val="bottom"/>
            <w:gridSpan w:val="10"/>
          </w:tcPr>
          <w:p>
            <w:pPr>
              <w:jc w:val="center"/>
              <w:ind w:right="3720"/>
              <w:spacing w:after="0" w:line="189"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5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2180" w:type="dxa"/>
            <w:vAlign w:val="bottom"/>
            <w:gridSpan w:val="3"/>
          </w:tcPr>
          <w:p>
            <w:pPr>
              <w:spacing w:after="0"/>
              <w:rPr>
                <w:sz w:val="22"/>
                <w:szCs w:val="22"/>
                <w:color w:val="auto"/>
              </w:rPr>
            </w:pPr>
          </w:p>
        </w:tc>
        <w:tc>
          <w:tcPr>
            <w:tcW w:w="2960" w:type="dxa"/>
            <w:vAlign w:val="bottom"/>
            <w:tcBorders>
              <w:top w:val="single" w:sz="8" w:color="0000FF"/>
            </w:tcBorders>
            <w:gridSpan w:val="6"/>
          </w:tcPr>
          <w:p>
            <w:pPr>
              <w:spacing w:after="0"/>
              <w:rPr>
                <w:sz w:val="22"/>
                <w:szCs w:val="22"/>
                <w:color w:val="auto"/>
              </w:rPr>
            </w:pPr>
          </w:p>
        </w:tc>
        <w:tc>
          <w:tcPr>
            <w:tcW w:w="3720" w:type="dxa"/>
            <w:vAlign w:val="bottom"/>
            <w:gridSpan w:val="4"/>
          </w:tcPr>
          <w:p>
            <w:pPr>
              <w:spacing w:after="0"/>
              <w:rPr>
                <w:sz w:val="22"/>
                <w:szCs w:val="22"/>
                <w:color w:val="auto"/>
              </w:rPr>
            </w:pPr>
          </w:p>
        </w:tc>
        <w:tc>
          <w:tcPr>
            <w:tcW w:w="4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2"/>
                <w:szCs w:val="22"/>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September 30, 2015 and December 31, 2014</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Statements of Consolidated Comprehensive Income (Loss) - Three and Nine Months Ended September 30, 2015 and 2014</w:t>
              </w:r>
            </w:hyperlink>
          </w:p>
        </w:tc>
        <w:tc>
          <w:tcPr>
            <w:tcW w:w="130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Statements of Consolidated Cash Flows - Nine Months Ended September 30, 2015 and 2014</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60" w:type="dxa"/>
            <w:vAlign w:val="bottom"/>
            <w:tcBorders>
              <w:top w:val="single" w:sz="8" w:color="0000EE"/>
            </w:tcBorders>
            <w:gridSpan w:val="16"/>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Statement of Consolidated Shareholders’ Deficit - Nine Months Ended September 30, 2015</w:t>
              </w:r>
            </w:hyperlink>
          </w:p>
        </w:tc>
        <w:tc>
          <w:tcPr>
            <w:tcW w:w="3460" w:type="dxa"/>
            <w:vAlign w:val="bottom"/>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580" w:type="dxa"/>
            <w:vAlign w:val="bottom"/>
            <w:tcBorders>
              <w:top w:val="single" w:sz="8" w:color="0000EE"/>
            </w:tcBorders>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3540" w:type="dxa"/>
            <w:vAlign w:val="bottom"/>
            <w:gridSpan w:val="3"/>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6460" w:type="dxa"/>
            <w:vAlign w:val="bottom"/>
            <w:gridSpan w:val="13"/>
          </w:tcPr>
          <w:p>
            <w:pPr>
              <w:spacing w:after="0"/>
              <w:rPr>
                <w:rFonts w:ascii="Arial" w:cs="Arial" w:eastAsia="Arial" w:hAnsi="Arial"/>
                <w:sz w:val="18"/>
                <w:szCs w:val="18"/>
                <w:color w:val="0000FF"/>
                <w:w w:val="90"/>
              </w:rPr>
            </w:pPr>
            <w:hyperlink w:anchor="page14">
              <w:r>
                <w:rPr>
                  <w:rFonts w:ascii="Arial" w:cs="Arial" w:eastAsia="Arial" w:hAnsi="Arial"/>
                  <w:sz w:val="18"/>
                  <w:szCs w:val="18"/>
                  <w:color w:val="0000FF"/>
                  <w:w w:val="90"/>
                </w:rPr>
                <w:t>Management’s Discussion and Analysis of Financial Condition and Results of Operations</w:t>
              </w:r>
            </w:hyperlink>
          </w:p>
        </w:tc>
        <w:tc>
          <w:tcPr>
            <w:tcW w:w="39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14">
              <w:r>
                <w:rPr>
                  <w:rFonts w:ascii="Arial" w:cs="Arial" w:eastAsia="Arial" w:hAnsi="Arial"/>
                  <w:sz w:val="18"/>
                  <w:szCs w:val="18"/>
                  <w:color w:val="0000FF"/>
                </w:rPr>
                <w:t>15</w:t>
              </w:r>
            </w:hyperlink>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4360" w:type="dxa"/>
            <w:vAlign w:val="bottom"/>
            <w:gridSpan w:val="11"/>
          </w:tcPr>
          <w:p>
            <w:pPr>
              <w:spacing w:after="0"/>
              <w:rPr>
                <w:rFonts w:ascii="Arial" w:cs="Arial" w:eastAsia="Arial" w:hAnsi="Arial"/>
                <w:sz w:val="18"/>
                <w:szCs w:val="18"/>
                <w:color w:val="0000FF"/>
                <w:w w:val="92"/>
              </w:rPr>
            </w:pPr>
            <w:hyperlink w:anchor="page28">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21"/>
                <w:szCs w:val="21"/>
                <w:color w:val="auto"/>
              </w:rPr>
            </w:pPr>
          </w:p>
        </w:tc>
        <w:tc>
          <w:tcPr>
            <w:tcW w:w="39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4360" w:type="dxa"/>
            <w:vAlign w:val="bottom"/>
            <w:gridSpan w:val="11"/>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Controls and Procedures</w:t>
              </w:r>
            </w:hyperlink>
          </w:p>
        </w:tc>
        <w:tc>
          <w:tcPr>
            <w:tcW w:w="6000" w:type="dxa"/>
            <w:vAlign w:val="bottom"/>
            <w:gridSpan w:val="8"/>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50"/>
        </w:trPr>
        <w:tc>
          <w:tcPr>
            <w:tcW w:w="46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80" w:type="dxa"/>
            <w:vAlign w:val="bottom"/>
            <w:tcBorders>
              <w:bottom w:val="single" w:sz="8" w:color="0000FF"/>
            </w:tcBorders>
            <w:gridSpan w:val="4"/>
          </w:tcPr>
          <w:p>
            <w:pPr>
              <w:jc w:val="center"/>
              <w:spacing w:after="0"/>
              <w:rPr>
                <w:rFonts w:ascii="Arial" w:cs="Arial" w:eastAsia="Arial" w:hAnsi="Arial"/>
                <w:sz w:val="18"/>
                <w:szCs w:val="18"/>
                <w:color w:val="0000FF"/>
                <w:w w:val="96"/>
              </w:rPr>
            </w:pPr>
            <w:hyperlink w:anchor="page29">
              <w:r>
                <w:rPr>
                  <w:rFonts w:ascii="Arial" w:cs="Arial" w:eastAsia="Arial" w:hAnsi="Arial"/>
                  <w:sz w:val="18"/>
                  <w:szCs w:val="18"/>
                  <w:color w:val="0000FF"/>
                  <w:w w:val="96"/>
                </w:rPr>
                <w:t>PART II – OTHER INFORMATION</w:t>
              </w:r>
            </w:hyperlink>
          </w:p>
        </w:tc>
        <w:tc>
          <w:tcPr>
            <w:tcW w:w="386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0360" w:type="dxa"/>
            <w:vAlign w:val="bottom"/>
            <w:gridSpan w:val="1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Legal Proceedings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4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1A</w:t>
            </w:r>
          </w:p>
        </w:tc>
        <w:tc>
          <w:tcPr>
            <w:tcW w:w="900" w:type="dxa"/>
            <w:vAlign w:val="bottom"/>
            <w:gridSpan w:val="4"/>
          </w:tcPr>
          <w:p>
            <w:pPr>
              <w:spacing w:after="0"/>
              <w:rPr>
                <w:rFonts w:ascii="Arial" w:cs="Arial" w:eastAsia="Arial" w:hAnsi="Arial"/>
                <w:sz w:val="18"/>
                <w:szCs w:val="18"/>
                <w:color w:val="0000FF"/>
                <w:w w:val="87"/>
              </w:rPr>
            </w:pPr>
            <w:hyperlink w:anchor="page30">
              <w:r>
                <w:rPr>
                  <w:rFonts w:ascii="Arial" w:cs="Arial" w:eastAsia="Arial" w:hAnsi="Arial"/>
                  <w:sz w:val="18"/>
                  <w:szCs w:val="18"/>
                  <w:color w:val="0000FF"/>
                  <w:w w:val="87"/>
                </w:rPr>
                <w:t>Risk Factors</w:t>
              </w:r>
            </w:hyperlink>
          </w:p>
        </w:tc>
        <w:tc>
          <w:tcPr>
            <w:tcW w:w="420" w:type="dxa"/>
            <w:vAlign w:val="bottom"/>
          </w:tcPr>
          <w:p>
            <w:pPr>
              <w:spacing w:after="0"/>
              <w:rPr>
                <w:sz w:val="21"/>
                <w:szCs w:val="21"/>
                <w:color w:val="auto"/>
              </w:rPr>
            </w:pPr>
          </w:p>
        </w:tc>
        <w:tc>
          <w:tcPr>
            <w:tcW w:w="904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6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600" w:type="dxa"/>
            <w:vAlign w:val="bottom"/>
            <w:gridSpan w:val="2"/>
          </w:tcPr>
          <w:p>
            <w:pPr>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Exhibits</w:t>
              </w:r>
            </w:hyperlink>
          </w:p>
        </w:tc>
        <w:tc>
          <w:tcPr>
            <w:tcW w:w="300" w:type="dxa"/>
            <w:vAlign w:val="bottom"/>
            <w:gridSpan w:val="2"/>
          </w:tcPr>
          <w:p>
            <w:pPr>
              <w:spacing w:after="0"/>
              <w:rPr>
                <w:sz w:val="21"/>
                <w:szCs w:val="21"/>
                <w:color w:val="auto"/>
              </w:rPr>
            </w:pPr>
          </w:p>
        </w:tc>
        <w:tc>
          <w:tcPr>
            <w:tcW w:w="946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FF"/>
                <w:w w:val="85"/>
              </w:rPr>
            </w:pPr>
            <w:hyperlink w:anchor="page30">
              <w:r>
                <w:rPr>
                  <w:rFonts w:ascii="Arial" w:cs="Arial" w:eastAsia="Arial" w:hAnsi="Arial"/>
                  <w:sz w:val="18"/>
                  <w:szCs w:val="18"/>
                  <w:color w:val="0000FF"/>
                  <w:w w:val="85"/>
                </w:rPr>
                <w:t>Signatures</w:t>
              </w:r>
            </w:hyperlink>
          </w:p>
        </w:tc>
        <w:tc>
          <w:tcPr>
            <w:tcW w:w="960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723"/>
        </w:trPr>
        <w:tc>
          <w:tcPr>
            <w:tcW w:w="4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920" w:type="dxa"/>
            <w:vAlign w:val="bottom"/>
            <w:gridSpan w:val="9"/>
          </w:tcPr>
          <w:p>
            <w:pPr>
              <w:jc w:val="right"/>
              <w:ind w:right="42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millions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September 30,</w:t>
            </w:r>
          </w:p>
        </w:tc>
        <w:tc>
          <w:tcPr>
            <w:tcW w:w="22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96"/>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amounts held in escrow</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2,819.6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 accumulated depreciation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property and equipment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Deficit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Wages, vacations and employee benefits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and accrued liabilities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1,078.8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Pension and postretirement</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Claims and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Deficit: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$1 par value per share</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$0.01 par value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surplus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2,310.8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2,290.9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(410 shares)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shareholders’ deficit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380"/>
              <w:spacing w:after="0"/>
              <w:rPr>
                <w:sz w:val="20"/>
                <w:szCs w:val="20"/>
                <w:color w:val="auto"/>
              </w:rPr>
            </w:pPr>
            <w:r>
              <w:rPr>
                <w:rFonts w:ascii="Arial" w:cs="Arial" w:eastAsia="Arial" w:hAnsi="Arial"/>
                <w:sz w:val="18"/>
                <w:szCs w:val="18"/>
                <w:color w:val="auto"/>
                <w:w w:val="94"/>
              </w:rPr>
              <w:t>The accompanying notes are an integral part of these statements.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right="480"/>
        <w:spacing w:after="0" w:line="397" w:lineRule="auto"/>
        <w:rPr>
          <w:sz w:val="20"/>
          <w:szCs w:val="20"/>
          <w:color w:val="auto"/>
        </w:rPr>
      </w:pPr>
      <w:r>
        <w:rPr>
          <w:rFonts w:ascii="Arial" w:cs="Arial" w:eastAsia="Arial" w:hAnsi="Arial"/>
          <w:sz w:val="15"/>
          <w:szCs w:val="15"/>
          <w:b w:val="1"/>
          <w:bCs w:val="1"/>
          <w:color w:val="auto"/>
        </w:rPr>
        <w:t>Operating Revenue Operating Expenses: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2840"/>
        <w:spacing w:after="0"/>
        <w:rPr>
          <w:sz w:val="20"/>
          <w:szCs w:val="20"/>
          <w:color w:val="auto"/>
        </w:rPr>
      </w:pPr>
      <w:r>
        <w:rPr>
          <w:rFonts w:ascii="Arial" w:cs="Arial" w:eastAsia="Arial" w:hAnsi="Arial"/>
          <w:sz w:val="17"/>
          <w:szCs w:val="17"/>
          <w:color w:val="auto"/>
        </w:rPr>
        <w:t>STATEMENTS OF CONSOLIDATED COMPREHENSIVE INCOME (LOSS)</w:t>
      </w:r>
    </w:p>
    <w:p>
      <w:pPr>
        <w:spacing w:after="0" w:line="35" w:lineRule="exact"/>
        <w:rPr>
          <w:sz w:val="20"/>
          <w:szCs w:val="20"/>
          <w:color w:val="auto"/>
        </w:rPr>
      </w:pPr>
    </w:p>
    <w:p>
      <w:pPr>
        <w:jc w:val="center"/>
        <w:ind w:right="2840"/>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2840"/>
        <w:spacing w:after="0"/>
        <w:rPr>
          <w:sz w:val="20"/>
          <w:szCs w:val="20"/>
          <w:color w:val="auto"/>
        </w:rPr>
      </w:pPr>
      <w:r>
        <w:rPr>
          <w:rFonts w:ascii="Arial" w:cs="Arial" w:eastAsia="Arial" w:hAnsi="Arial"/>
          <w:sz w:val="18"/>
          <w:szCs w:val="18"/>
          <w:color w:val="auto"/>
        </w:rPr>
        <w:t>For the Three and Nine Months Ended September 30</w:t>
      </w:r>
    </w:p>
    <w:p>
      <w:pPr>
        <w:spacing w:after="0" w:line="9" w:lineRule="exact"/>
        <w:rPr>
          <w:sz w:val="20"/>
          <w:szCs w:val="20"/>
          <w:color w:val="auto"/>
        </w:rPr>
      </w:pPr>
    </w:p>
    <w:p>
      <w:pPr>
        <w:jc w:val="center"/>
        <w:ind w:right="2840"/>
        <w:spacing w:after="0"/>
        <w:rPr>
          <w:sz w:val="20"/>
          <w:szCs w:val="20"/>
          <w:color w:val="auto"/>
        </w:rPr>
      </w:pPr>
      <w:r>
        <w:rPr>
          <w:rFonts w:ascii="Arial" w:cs="Arial" w:eastAsia="Arial" w:hAnsi="Arial"/>
          <w:sz w:val="18"/>
          <w:szCs w:val="18"/>
          <w:color w:val="auto"/>
        </w:rPr>
        <w:t>(Amounts in millions except per share data, shares in thousands)</w:t>
      </w:r>
    </w:p>
    <w:p>
      <w:pPr>
        <w:spacing w:after="0" w:line="9" w:lineRule="exact"/>
        <w:rPr>
          <w:sz w:val="20"/>
          <w:szCs w:val="20"/>
          <w:color w:val="auto"/>
        </w:rPr>
      </w:pPr>
    </w:p>
    <w:p>
      <w:pPr>
        <w:jc w:val="center"/>
        <w:ind w:right="28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2320" w:type="dxa"/>
        <w:tblCellMar>
          <w:top w:w="0" w:type="dxa"/>
          <w:left w:w="0" w:type="dxa"/>
          <w:bottom w:w="0" w:type="dxa"/>
          <w:right w:w="0" w:type="dxa"/>
        </w:tblCellMar>
      </w:tblPr>
      <w:tr>
        <w:trPr>
          <w:trHeight w:val="188"/>
        </w:trPr>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Three Months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Nine Months</w:t>
            </w:r>
          </w:p>
        </w:tc>
        <w:tc>
          <w:tcPr>
            <w:tcW w:w="1000" w:type="dxa"/>
            <w:vAlign w:val="bottom"/>
            <w:tcBorders>
              <w:bottom w:val="single" w:sz="8" w:color="auto"/>
            </w:tcBorders>
          </w:tcPr>
          <w:p>
            <w:pPr>
              <w:spacing w:after="0"/>
              <w:rPr>
                <w:sz w:val="16"/>
                <w:szCs w:val="16"/>
                <w:color w:val="auto"/>
              </w:rPr>
            </w:pPr>
          </w:p>
        </w:tc>
      </w:tr>
      <w:tr>
        <w:trPr>
          <w:trHeight w:val="264"/>
        </w:trPr>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2014</w:t>
            </w:r>
          </w:p>
        </w:tc>
      </w:tr>
      <w:tr>
        <w:trPr>
          <w:trHeight w:val="243"/>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2"/>
              <w:spacing w:after="0"/>
              <w:rPr>
                <w:sz w:val="20"/>
                <w:szCs w:val="20"/>
                <w:color w:val="auto"/>
              </w:rPr>
            </w:pPr>
            <w:r>
              <w:rPr>
                <w:rFonts w:ascii="Arial" w:cs="Arial" w:eastAsia="Arial" w:hAnsi="Arial"/>
                <w:sz w:val="18"/>
                <w:szCs w:val="18"/>
                <w:color w:val="auto"/>
              </w:rPr>
              <w:t>1,244.9</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1,322.6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2"/>
              <w:spacing w:after="0"/>
              <w:rPr>
                <w:sz w:val="20"/>
                <w:szCs w:val="20"/>
                <w:color w:val="auto"/>
              </w:rPr>
            </w:pPr>
            <w:r>
              <w:rPr>
                <w:rFonts w:ascii="Arial" w:cs="Arial" w:eastAsia="Arial" w:hAnsi="Arial"/>
                <w:sz w:val="18"/>
                <w:szCs w:val="18"/>
                <w:color w:val="auto"/>
              </w:rPr>
              <w:t>3,689.7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3,851.1</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-8255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2120" w:space="720"/>
            <w:col w:w="858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Salaries, wages and employee benefits</w:t>
            </w:r>
          </w:p>
        </w:tc>
        <w:tc>
          <w:tcPr>
            <w:tcW w:w="4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725.8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745.9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2,148.6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2,212.3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expenses and supplies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Purchased transportation</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1,197.2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1,295.9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3,581.4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3,836.8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Operating Income</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Nonoperating Expenses:</w:t>
            </w: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(Gain) loss on extinguishment of debt</w:t>
            </w:r>
          </w:p>
        </w:tc>
        <w:tc>
          <w:tcPr>
            <w:tcW w:w="4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Nonoperating expenses, net</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beneficial conversion feature on preferred stock</w:t>
            </w:r>
          </w:p>
        </w:tc>
        <w:tc>
          <w:tcPr>
            <w:tcW w:w="4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w w:val="97"/>
              </w:rPr>
              <w:t>Net Income (Loss) Attributable to Common Shareholders</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318"/>
        </w:trPr>
        <w:tc>
          <w:tcPr>
            <w:tcW w:w="51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b w:val="1"/>
                <w:bCs w:val="1"/>
                <w:color w:val="auto"/>
              </w:rPr>
              <w:t>Comprehensive Income (Loss) Attributable to YRC</w:t>
            </w: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Worldwide Inc.</w:t>
            </w: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Common Shares Outstanding – Basic</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Average Common Shares Outstanding – Diluted</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32,621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31,903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32,569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27,896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Earnings (loss) Per Share – Basic</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Share – Diluted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September 30</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items included in net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Paid-in-kind interest on Series A Notes and Series B Notes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deferred debt costs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premiums and discounts on debt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Noncash equity based compensation and employee benefits expense</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benefit</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extinguishment of debt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noncash items, net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operating assets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Restricted escrow receipts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escrow deposits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long-term debt</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of long-term debt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(888.7)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issuance costs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issuance proceeds</w:t>
            </w: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171.1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176.3</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210.7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refund (payment), net</w:t>
            </w: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r>
      <w:tr>
        <w:trPr>
          <w:trHeight w:val="27"/>
        </w:trPr>
        <w:tc>
          <w:tcPr>
            <w:tcW w:w="8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5"/>
              </w:rPr>
              <w:t>STATEMENT OF CONSOLIDATED SHAREHOLDERS’ DEFICIT</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410"/>
              <w:spacing w:after="0"/>
              <w:rPr>
                <w:sz w:val="20"/>
                <w:szCs w:val="20"/>
                <w:color w:val="auto"/>
              </w:rPr>
            </w:pPr>
            <w:r>
              <w:rPr>
                <w:rFonts w:ascii="Arial" w:cs="Arial" w:eastAsia="Arial" w:hAnsi="Arial"/>
                <w:sz w:val="18"/>
                <w:szCs w:val="18"/>
                <w:color w:val="auto"/>
                <w:w w:val="92"/>
              </w:rPr>
              <w:t>YRC Worldwide Inc. and Subsidiaries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0"/>
              </w:rPr>
              <w:t>For the Nine Months Ended September 30, 2015</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410"/>
              <w:spacing w:after="0"/>
              <w:rPr>
                <w:sz w:val="20"/>
                <w:szCs w:val="20"/>
                <w:color w:val="auto"/>
              </w:rPr>
            </w:pPr>
            <w:r>
              <w:rPr>
                <w:rFonts w:ascii="Arial" w:cs="Arial" w:eastAsia="Arial" w:hAnsi="Arial"/>
                <w:sz w:val="18"/>
                <w:szCs w:val="18"/>
                <w:color w:val="auto"/>
                <w:w w:val="95"/>
              </w:rPr>
              <w:t>(Amounts in millions)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1"/>
              </w:rPr>
              <w:t>(Unaudited)</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9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Preferred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Surplus: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2,290.9</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Issuance of equity upon conversion and exchange of Series B Notes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2,310.8</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Accumulated Deficit:</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(2,240.0)</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24.2</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(2,215.8)</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Reclassification of net pension actuarial losses to net income, net of tax</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(429.9)</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Deficit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these Notes to Consolidated Financial Statements contain forward-looking statements, as described in “Management’s Discussion and Analysis of Financial Condition and Results of Operations — Cautionary Note Regarding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Business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YRC Worldwide Inc. (also referred to as “YRC Worldwide,” the “Company,” “we,” “us” or “our”) is a holding company that, through wholly owned operating subsidiaries and its interest in a Chinese joint venture,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8"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our LTL subsidiary YRC Inc. (“YRC Freight”) and Reimer Express (“YRC Reimer”), a subsidiary located in Canada that specializes in shipments into, across and out of Canada. In addition to the United States and Canada, YRC Freight also serves parts of Mexico, Puerto Rico and Guam.</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Transportation is the reporting segment for our transportation service providers focused on business opportunities in the regional and next-day delivery markets. Regional Transportation is comprised of USF Holland Inc. (“Holland”), New Penn Motor Express, Inc. (“New Penn”) and USF Reddaway Inc. (“Reddaway”). These companies each provide regional, next-day ground services in their respective regions through a network of facilities located across the United States, Canada, Mexico and Puerto Rico.</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2015, approximately 78% of our labor force is subject to collective bargaining agreements, which predominantly expire in March 2019.</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Principles of Consolidation</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Our investment in our Chinese joint venture, a non-majority owned affiliate, is accounted for on the equity method.</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we have made all normal recurring adjustments necessary for a fair statement of the financial position, results of operations and cash flows for the interim periods included in these financial statements. Certain information and note disclosures normally included in financial statements prepared in accordance with generally accepted accounting principles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summarizes the fair value hierarchy of our financial assets and liabilities carried at fair value on a recurring basis as of September 30,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960"/>
              <w:spacing w:after="0"/>
              <w:rPr>
                <w:sz w:val="20"/>
                <w:szCs w:val="20"/>
                <w:color w:val="auto"/>
              </w:rPr>
            </w:pPr>
            <w:r>
              <w:rPr>
                <w:rFonts w:ascii="Arial" w:cs="Arial" w:eastAsia="Arial" w:hAnsi="Arial"/>
                <w:sz w:val="14"/>
                <w:szCs w:val="14"/>
                <w:b w:val="1"/>
                <w:bCs w:val="1"/>
                <w:color w:val="auto"/>
                <w:w w:val="95"/>
              </w:rPr>
              <w:t>Fair Value Measurement Hierarchy</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3"/>
                <w:szCs w:val="13"/>
                <w:color w:val="auto"/>
              </w:rPr>
            </w:pPr>
          </w:p>
        </w:tc>
        <w:tc>
          <w:tcPr>
            <w:tcW w:w="1180" w:type="dxa"/>
            <w:vAlign w:val="bottom"/>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amounts held in escrow-long term</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based on quoted market prices. The carrying value of cash and cash equivalents, accounts receivable and accounts payable approximate their fair value due to the short-term nature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23, 2015, the Company entered into an equity interest sale and purchase agreement to sell its fifty percent interest in its Chinese joint venture, JHJ International Transportation Co., Ltd. (“JHJ”), for a purchase price of $16.3 million, which we expect upon sale, will result in an inconsequential gain in the accompanying statement of consolidated comprehensive income (loss). The investment is recorded in other assets in the accompanying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Out of Accumulated Other Comprehensive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three and nine months ended September 30, 2015, we reclassified the amortization of our net pension loss totaling $4.0 million and $12.0 million, respectively, net of tax, from accumulated other comprehensive loss to net income. For three and nine months ended September 30, 2014, we reclassified the amortization of our net pension loss totaling $1.9 million and $5.8 million, respectively, net of tax, from accumulated other comprehensive loss to net loss. This reclassification is a component of net periodic pension cost and is discussed in the “Employee Benefits” footnote.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April 2015, the Financial Accounting Standards Board (“FASB”) issued new authoritative literature, </w:t>
      </w:r>
      <w:r>
        <w:rPr>
          <w:rFonts w:ascii="Arial" w:cs="Arial" w:eastAsia="Arial" w:hAnsi="Arial"/>
          <w:sz w:val="16"/>
          <w:szCs w:val="16"/>
          <w:i w:val="1"/>
          <w:iCs w:val="1"/>
          <w:color w:val="auto"/>
        </w:rPr>
        <w:t>Interest - Imputation of Interest</w:t>
      </w:r>
      <w:r>
        <w:rPr>
          <w:rFonts w:ascii="Arial" w:cs="Arial" w:eastAsia="Arial" w:hAnsi="Arial"/>
          <w:sz w:val="16"/>
          <w:szCs w:val="16"/>
          <w:color w:val="auto"/>
        </w:rPr>
        <w:t>, which requires that debt issuance costs related to a recognized debt liability be presented in the balance sheet as a direct deduction from the carrying amount of that debt liability, consistent with the accounting treatment for debt discounts. The recognition and measurement guidance of debt issuance costs are not affected by this update. The guidance, which requires retrospective application, is effective for the Company beginning January 1, 2016, but early adoption is allowed. The Company plans to adopt this guidance for the first quarter of 2016. As of September 30, 2015 and December 31, 2014, the Company had $21.7 million and $26.5 million, respectively, of debt issuance costs related to its Term Loan, Second A&amp;R CDA and ABL Facility (each as defined in the Debt and Financing footnote). In accordance with the guidance, the Company would reclassify these costs from other assets to long-term debt in the consolidated balance sheets.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May 2015, the FASB issued new authoritative literature, </w:t>
      </w:r>
      <w:r>
        <w:rPr>
          <w:rFonts w:ascii="Arial" w:cs="Arial" w:eastAsia="Arial" w:hAnsi="Arial"/>
          <w:sz w:val="17"/>
          <w:szCs w:val="17"/>
          <w:i w:val="1"/>
          <w:iCs w:val="1"/>
          <w:color w:val="auto"/>
        </w:rPr>
        <w:t>Revenue from Contracts with Customers, Deferral of the Effective Date</w:t>
      </w:r>
      <w:r>
        <w:rPr>
          <w:rFonts w:ascii="Arial" w:cs="Arial" w:eastAsia="Arial" w:hAnsi="Arial"/>
          <w:sz w:val="17"/>
          <w:szCs w:val="17"/>
          <w:color w:val="auto"/>
        </w:rPr>
        <w:t>, which defers the effective date of the new revenue standard by one year. The new standard is effective for the Company beginning January 1, 2018. Early adoption is permitted for annual periods beginning January 1, 2017. While we do not believe the guidance will have a significant impact on the Company’s consolidated financial statements, we are currently evaluating the guidance, including which transition approach will be applied.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Debt and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as of September 30, 2015 and December 31, 2014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September 30, 2015 (in millions)</w:t>
            </w:r>
          </w:p>
        </w:tc>
        <w:tc>
          <w:tcPr>
            <w:tcW w:w="240" w:type="dxa"/>
            <w:vAlign w:val="bottom"/>
          </w:tcPr>
          <w:p>
            <w:pPr>
              <w:spacing w:after="0"/>
              <w:rPr>
                <w:sz w:val="14"/>
                <w:szCs w:val="14"/>
                <w:color w:val="auto"/>
              </w:rPr>
            </w:pPr>
          </w:p>
        </w:tc>
        <w:tc>
          <w:tcPr>
            <w:tcW w:w="11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33"/>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540" w:type="dxa"/>
            <w:vAlign w:val="bottom"/>
            <w:gridSpan w:val="2"/>
          </w:tcPr>
          <w:p>
            <w:pPr>
              <w:ind w:left="520"/>
              <w:spacing w:after="0"/>
              <w:rPr>
                <w:sz w:val="20"/>
                <w:szCs w:val="20"/>
                <w:color w:val="auto"/>
              </w:rPr>
            </w:pPr>
            <w:r>
              <w:rPr>
                <w:rFonts w:ascii="Arial" w:cs="Arial" w:eastAsia="Arial" w:hAnsi="Arial"/>
                <w:sz w:val="14"/>
                <w:szCs w:val="14"/>
                <w:b w:val="1"/>
                <w:bCs w:val="1"/>
                <w:color w:val="auto"/>
              </w:rPr>
              <w:t>Stated</w:t>
            </w:r>
          </w:p>
        </w:tc>
        <w:tc>
          <w:tcPr>
            <w:tcW w:w="1440" w:type="dxa"/>
            <w:vAlign w:val="bottom"/>
          </w:tcPr>
          <w:p>
            <w:pPr>
              <w:jc w:val="right"/>
              <w:ind w:right="95"/>
              <w:spacing w:after="0"/>
              <w:rPr>
                <w:sz w:val="20"/>
                <w:szCs w:val="20"/>
                <w:color w:val="auto"/>
              </w:rPr>
            </w:pPr>
            <w:r>
              <w:rPr>
                <w:rFonts w:ascii="Arial" w:cs="Arial" w:eastAsia="Arial" w:hAnsi="Arial"/>
                <w:sz w:val="14"/>
                <w:szCs w:val="14"/>
                <w:b w:val="1"/>
                <w:bCs w:val="1"/>
                <w:color w:val="auto"/>
              </w:rPr>
              <w:t>Average Effective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683.1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4040" w:type="dxa"/>
            <w:vAlign w:val="bottom"/>
          </w:tcPr>
          <w:p>
            <w:pPr>
              <w:ind w:left="4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44.7</w:t>
            </w:r>
          </w:p>
        </w:tc>
        <w:tc>
          <w:tcPr>
            <w:tcW w:w="15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3.3-18.3%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73.2</w:t>
            </w:r>
          </w:p>
        </w:tc>
        <w:tc>
          <w:tcPr>
            <w:tcW w:w="1540" w:type="dxa"/>
            <w:vAlign w:val="bottom"/>
            <w:gridSpan w:val="2"/>
          </w:tcPr>
          <w:p>
            <w:pPr>
              <w:jc w:val="right"/>
              <w:ind w:right="102"/>
              <w:spacing w:after="0"/>
              <w:rPr>
                <w:sz w:val="20"/>
                <w:szCs w:val="20"/>
                <w:color w:val="auto"/>
              </w:rPr>
            </w:pPr>
            <w:r>
              <w:rPr>
                <w:rFonts w:ascii="Arial" w:cs="Arial" w:eastAsia="Arial" w:hAnsi="Arial"/>
                <w:sz w:val="18"/>
                <w:szCs w:val="18"/>
                <w:color w:val="auto"/>
              </w:rPr>
              <w:t>3.3-18.3%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279.8</w:t>
            </w:r>
          </w:p>
        </w:tc>
        <w:tc>
          <w:tcPr>
            <w:tcW w:w="15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10.0-18.2%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1,085.5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1,080.8</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Loan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1,065.3</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There were no amounts drawn on the ABL Facility at any time during the nine months ended September 30, 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2014 (in millions)</w:t>
            </w:r>
          </w:p>
        </w:tc>
        <w:tc>
          <w:tcPr>
            <w:tcW w:w="240" w:type="dxa"/>
            <w:vAlign w:val="bottom"/>
          </w:tcPr>
          <w:p>
            <w:pPr>
              <w:spacing w:after="0"/>
              <w:rPr>
                <w:sz w:val="14"/>
                <w:szCs w:val="14"/>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540" w:type="dxa"/>
            <w:vAlign w:val="bottom"/>
            <w:gridSpan w:val="2"/>
          </w:tcPr>
          <w:p>
            <w:pPr>
              <w:ind w:left="520"/>
              <w:spacing w:after="0"/>
              <w:rPr>
                <w:sz w:val="20"/>
                <w:szCs w:val="20"/>
                <w:color w:val="auto"/>
              </w:rPr>
            </w:pPr>
            <w:r>
              <w:rPr>
                <w:rFonts w:ascii="Arial" w:cs="Arial" w:eastAsia="Arial" w:hAnsi="Arial"/>
                <w:sz w:val="14"/>
                <w:szCs w:val="14"/>
                <w:b w:val="1"/>
                <w:bCs w:val="1"/>
                <w:color w:val="auto"/>
              </w:rPr>
              <w:t>Stated</w:t>
            </w:r>
          </w:p>
        </w:tc>
        <w:tc>
          <w:tcPr>
            <w:tcW w:w="1440" w:type="dxa"/>
            <w:vAlign w:val="bottom"/>
          </w:tcPr>
          <w:p>
            <w:pPr>
              <w:jc w:val="right"/>
              <w:ind w:right="94"/>
              <w:spacing w:after="0"/>
              <w:rPr>
                <w:sz w:val="20"/>
                <w:szCs w:val="20"/>
                <w:color w:val="auto"/>
              </w:rPr>
            </w:pPr>
            <w:r>
              <w:rPr>
                <w:rFonts w:ascii="Arial" w:cs="Arial" w:eastAsia="Arial" w:hAnsi="Arial"/>
                <w:sz w:val="14"/>
                <w:szCs w:val="14"/>
                <w:b w:val="1"/>
                <w:bCs w:val="1"/>
                <w:color w:val="auto"/>
              </w:rPr>
              <w:t>Average Effective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4040" w:type="dxa"/>
            <w:vAlign w:val="bottom"/>
          </w:tcPr>
          <w:p>
            <w:pPr>
              <w:ind w:left="4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Secured Second A&amp;R CDA</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1540" w:type="dxa"/>
            <w:vAlign w:val="bottom"/>
            <w:gridSpan w:val="2"/>
          </w:tcPr>
          <w:p>
            <w:pPr>
              <w:jc w:val="right"/>
              <w:ind w:right="102"/>
              <w:spacing w:after="0"/>
              <w:rPr>
                <w:sz w:val="20"/>
                <w:szCs w:val="20"/>
                <w:color w:val="auto"/>
              </w:rPr>
            </w:pPr>
            <w:r>
              <w:rPr>
                <w:rFonts w:ascii="Arial" w:cs="Arial" w:eastAsia="Arial" w:hAnsi="Arial"/>
                <w:sz w:val="18"/>
                <w:szCs w:val="18"/>
                <w:color w:val="auto"/>
              </w:rPr>
              <w:t>3.3-18.3%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Second 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w:t>
            </w:r>
          </w:p>
        </w:tc>
        <w:tc>
          <w:tcPr>
            <w:tcW w:w="15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3.3-18.3%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285.1</w:t>
            </w:r>
          </w:p>
        </w:tc>
        <w:tc>
          <w:tcPr>
            <w:tcW w:w="1540" w:type="dxa"/>
            <w:vAlign w:val="bottom"/>
            <w:gridSpan w:val="2"/>
          </w:tcPr>
          <w:p>
            <w:pPr>
              <w:jc w:val="right"/>
              <w:ind w:right="102"/>
              <w:spacing w:after="0"/>
              <w:rPr>
                <w:sz w:val="20"/>
                <w:szCs w:val="20"/>
                <w:color w:val="auto"/>
              </w:rPr>
            </w:pPr>
            <w:r>
              <w:rPr>
                <w:rFonts w:ascii="Arial" w:cs="Arial" w:eastAsia="Arial" w:hAnsi="Arial"/>
                <w:sz w:val="18"/>
                <w:szCs w:val="18"/>
                <w:color w:val="auto"/>
              </w:rPr>
              <w:t>10.0-18.2%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1,116.2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1,109.9</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Loan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Series B Notes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There were no amounts drawn on the ABL Facility at any time during the twelve months ended December 31, 2014.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 Availability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September 30, 2015, we had cash and cash equivalents of $210.7 million and the borrowing base and maximum availability on our asset based loan facility (the “ABL Facility”) were $445.1 million and $78.6 million, respectively. The maximum availability is calculated in accordance with the terms of the ABL Facility and is derived by reducing the borrowing base by our $366.5 million of outstanding letters of credit as of September 30, 2015. While our ABL Agreement permits us to access maximum availability outside of certain financial covenant restrictions (which restrictions did not limit our availability as of September 30, 2015), the maximum amount we expect to access on our ABL Facility at any time is maximum availability less the lower of 10% of the borrowing base ($44.5 million at September 30, 2015) or 10% of the collateral line cap ($45.0 million at September 30, 2015). Thus, of the $78.6 million in maximum availability, we expected to access no more than $34.1 million as of September 30, 2015 (“Managed Accessibility”). As a result, we had cash and cash equivalents and Managed Accessibility of $244.8 million as of September 30, 2015.</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2014, we had cash and cash equivalents of $171.1 million and the borrowing base and maximum availability on our ABL Facility were $445.5 million and $71.2 million, respectively. The maximum availability is calculated in accordance with the terms of the ABL Facility and is derived by reducing the borrowing base by our $374.3 million of outstanding letters of credit. As of December 31, 2014, amounts able to be drawn on our ABL Facility (which were limited by certain financial covenant restrictions) were $27.1 million, for a total of cash and cash equivalents and amounts able to be drawn on our ABL Facility of $198.2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agreement (the “Term Loan Agreement”) governing our term loan facility (the “Term Loan”) has certain financial covenants, as amended in September 2014, that, among other things, restricts certain capital expenditures and requires us to maintain a maximum total leverage ratio (defined as Consolidated Total Debt divided by Consolidated Adjusted EBITDA as defined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total maximum leverage ratio covenants are as follows:</w:t>
      </w:r>
    </w:p>
    <w:p>
      <w:pPr>
        <w:spacing w:after="0" w:line="15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160" w:type="dxa"/>
            <w:vAlign w:val="bottom"/>
          </w:tcPr>
          <w:p>
            <w:pPr>
              <w:spacing w:after="0"/>
              <w:rPr>
                <w:sz w:val="14"/>
                <w:szCs w:val="14"/>
                <w:color w:val="auto"/>
              </w:rPr>
            </w:pPr>
          </w:p>
        </w:tc>
        <w:tc>
          <w:tcPr>
            <w:tcW w:w="278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6"/>
              </w:rPr>
              <w:t>Four Consecutive Fiscal Quarters Ending</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c>
          <w:tcPr>
            <w:tcW w:w="16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4.25 to 1.00</w:t>
            </w:r>
          </w:p>
        </w:tc>
        <w:tc>
          <w:tcPr>
            <w:tcW w:w="160" w:type="dxa"/>
            <w:vAlign w:val="bottom"/>
          </w:tcPr>
          <w:p>
            <w:pPr>
              <w:spacing w:after="0"/>
              <w:rPr>
                <w:sz w:val="21"/>
                <w:szCs w:val="21"/>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March 31, 2017</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 to 1.00</w:t>
            </w:r>
          </w:p>
        </w:tc>
        <w:tc>
          <w:tcPr>
            <w:tcW w:w="16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June 30,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September 30, 2017</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December 31, 2017 and thereafter</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professional fees, nonrecurring consulting fees, expenses associated with certain lump sum payments to our International Brotherhood of Teamsters (“IBT”) employees and the results of permitted dispositions and discontinued operations. Consolidated Total Debt, as defined in our Term Loan Agreement, is the aggregate principal amount of indebtedness outstanding. Our total leverage ratio for the four consecutive fiscal quarters ending September 30, 2015 was 3.15 to 1.00. Additionally, our ABL Facility credit agreement, among other things, restricts certain capital expenditures.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In order for us to maintain compliance with the maximum total leverage ratio over the tenor of the Term Loan and satisfy our liquidity needs, we must achieve positive operating results which reflect continuing improvement over our recent results. Improvements to our profitability may include ongoing successful implementation and realization of pricing, productivity and efficiency initiatives, as well as increased volume, some of which are outside of our control.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Exchange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10% Series B Convertible Senior Secured Notes (the “Series B Notes”), which matured on March 31, 2015, were convertible into our Common Stock, at the conversion price per share of approximately $18.5334 and a conversion rate of 53.9567 common shares per $1,000 of the Series B Notes (such conversion price and conversion rate applying also to the Series B Notes make whole premium).</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25, 2015, we entered into an exchange agreement with certain holders of our Series B Notes to exchange their outstanding principal and accrued interest balances totaling $17.9 million at conversion price of $18.00 per share for an aggregate 994,689 shares of Common Stock. During the nine months ended September 30, 2015, we recorded $0.6 million of additional expense related to the fair value of the incremental shares provided to those holders who exchanged their outstanding balances. At maturity on March 31, 2015, we repaid the holders of the remaining outstanding Series B Notes approximately $0.3 million of cash.</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31, 2014, certain holders of our Series B Notes exchanged their outstanding notes as part of an exchange agreement. Outside of these exchange agreements, during the nine months ended September 30, 2014, $1.2 million of aggregate principal amount of Series B Notes were converted into 75,900 shares of our Common Stock, which includes the make whole premium. Upon conversion, during the nine months ended September 30, 2014, we recorded $0.4 million of additional interest expense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representing the $0.2 million make whole premium and $0.2 million of accelerated amortization of the discount on converted Series B Notes. There were no conversions during the three months ended September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amounts and estimated fair values of our long-term debt, including current maturities and other financial instruments, are summarized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2014</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color w:val="auto"/>
              </w:rPr>
              <w:t>Carrying amount</w:t>
            </w:r>
          </w:p>
        </w:tc>
        <w:tc>
          <w:tcPr>
            <w:tcW w:w="28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color w:val="auto"/>
              </w:rPr>
              <w:t>Fair value</w:t>
            </w: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color w:val="auto"/>
              </w:rPr>
              <w:t>Carrying amount</w:t>
            </w:r>
          </w:p>
        </w:tc>
        <w:tc>
          <w:tcPr>
            <w:tcW w:w="280" w:type="dxa"/>
            <w:vAlign w:val="bottom"/>
          </w:tcPr>
          <w:p>
            <w:pPr>
              <w:spacing w:after="0"/>
              <w:rPr>
                <w:sz w:val="22"/>
                <w:szCs w:val="22"/>
                <w:color w:val="auto"/>
              </w:rPr>
            </w:pPr>
          </w:p>
        </w:tc>
        <w:tc>
          <w:tcPr>
            <w:tcW w:w="1200" w:type="dxa"/>
            <w:vAlign w:val="bottom"/>
          </w:tcPr>
          <w:p>
            <w:pPr>
              <w:jc w:val="right"/>
              <w:ind w:right="353"/>
              <w:spacing w:after="0"/>
              <w:rPr>
                <w:sz w:val="20"/>
                <w:szCs w:val="20"/>
                <w:color w:val="auto"/>
              </w:rPr>
            </w:pPr>
            <w:r>
              <w:rPr>
                <w:rFonts w:ascii="Arial" w:cs="Arial" w:eastAsia="Arial" w:hAnsi="Arial"/>
                <w:sz w:val="14"/>
                <w:szCs w:val="14"/>
                <w:color w:val="auto"/>
              </w:rPr>
              <w:t>Fair value</w:t>
            </w:r>
          </w:p>
        </w:tc>
      </w:tr>
      <w:tr>
        <w:trPr>
          <w:trHeight w:val="250"/>
        </w:trPr>
        <w:tc>
          <w:tcPr>
            <w:tcW w:w="5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Series B Notes</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17.7</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119.1</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1,104.4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fair values of the Term Loan, Series B Notes and the Secured and Unsecured Second Amended and Restated Contribution Deferral Agreement (the “Second A&amp;R CDA”) (included in “Other” above) were estimated based on observable prices (level two inputs for fair value measurements). The fair value of the lease financing obligations is estimated using a publicly traded secured loan with similar characteristics (level three input for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September 30, 2015, our minimum rental expense under operating leases for the remainder of the year was $17.7 million. As of September 30, 2015, our operating lease payment obligations through 2025 totaled $232.1 million and is expected to increase as we lease additional revenue equipment.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capital expenditures for the nine months ended September 30, 2015 and 2014 were $71.8 million and $47.6 million, respectively. These amounts were principally used to fund the purchase of used tractors and trailers, to refurbish engines for our revenue fleet, and capitalized costs for technology infrastructure. Additionally, for the nine months ended September 30, 2015, we entered into new operating leases for revenue equipment totaling $102.0 million in future lease payments, payable over an average lease term of five years.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Employee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company-sponsored pension costs for the three and nine months ended September 30:</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660" w:type="dxa"/>
            <w:vAlign w:val="bottom"/>
          </w:tcPr>
          <w:p>
            <w:pPr>
              <w:spacing w:after="0"/>
              <w:rPr>
                <w:sz w:val="16"/>
                <w:szCs w:val="16"/>
                <w:color w:val="auto"/>
              </w:rPr>
            </w:pPr>
          </w:p>
        </w:tc>
      </w:tr>
      <w:tr>
        <w:trPr>
          <w:trHeight w:val="264"/>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45.6</w:t>
            </w: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Amortization of net pension loss</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9.6</w:t>
            </w:r>
          </w:p>
        </w:tc>
      </w:tr>
      <w:tr>
        <w:trPr>
          <w:trHeight w:val="27"/>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periodic pension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contribute $60.0 million to our company-sponsored pension plans in 2015 of which we have contributed $48.9 million through September 30, 2015.</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Income Taxes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for the three and nine months ended September 30, 2015 was 25.3% and 30.1%, compared to 137.5% and 18.2% for the three and nine months ended September 30, 2014. The significant items impacting the 2015 rate include a net state and foreign tax provision, certain permanent items, and a change in the valuation allowance established for the net deferred tax</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asset balance projected for December 31, 2015. The significant items impacting the 2014 rate include the settlement of several audits with the Internal Revenue Service, a net state and foreign tax provision, certain permanent items, an intraperiod tax allocation required by ASC 740, </w:t>
      </w:r>
      <w:r>
        <w:rPr>
          <w:rFonts w:ascii="Arial" w:cs="Arial" w:eastAsia="Arial" w:hAnsi="Arial"/>
          <w:sz w:val="17"/>
          <w:szCs w:val="17"/>
          <w:i w:val="1"/>
          <w:iCs w:val="1"/>
          <w:color w:val="auto"/>
        </w:rPr>
        <w:t>Income Taxes</w:t>
      </w:r>
      <w:r>
        <w:rPr>
          <w:rFonts w:ascii="Arial" w:cs="Arial" w:eastAsia="Arial" w:hAnsi="Arial"/>
          <w:sz w:val="17"/>
          <w:szCs w:val="17"/>
          <w:color w:val="auto"/>
        </w:rPr>
        <w:t>, and a change in the valuation allowance established for the net deferred tax asset balance projected for December 31, 2014.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September 30, 2015 and December 31, 2014, substantially all of our net deferred tax assets were subject to a valuation allowance.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 with the financing transactions of January 31, 2014, the Company experienced a change of ownership as described in Section 382 of the Internal Revenue Code. The impact of the 2014 ownership change on the Company’s ability to utilize its Net Operating Loss carryforwards and other tax attributes is not material as most of the carryforwards to which this ownership change applies already have been significantly limited by previous ownership changes occurring in 2011 and 2013.</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Shareholders’ Deficit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activity in the shares of our common stock for the nine months ended September 30, 2015:</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30,667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Issuance of equity awards</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464</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upon conversion or exchange of Series B Notes</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995</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32,126</w:t>
            </w:r>
          </w:p>
        </w:tc>
      </w:tr>
      <w:tr>
        <w:trPr>
          <w:trHeight w:val="27"/>
        </w:trPr>
        <w:tc>
          <w:tcPr>
            <w:tcW w:w="99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Stock Compensation Plans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9, 2015, the Company granted performance stock unit awards (“2015 Performance Awards”) to employees. The awards provide a target number of shares that vest equally over three years, with the first vesting occurring on February 23, 2016. In addition to meeting service conditions, the number of performance stock units to be received depends on the attainment of defined Company-wide performance goals for 2015 based on adjusted return on invested capital over a one year performance period. The number of performance stock units ultimately earned will range between zero to 200% of the target award.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summary of performance based unvested stock unit activity at target is as follows:</w:t>
      </w:r>
    </w:p>
    <w:p>
      <w:pPr>
        <w:spacing w:after="0" w:line="36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(stock units in thousands)</w:t>
            </w:r>
          </w:p>
        </w:tc>
        <w:tc>
          <w:tcPr>
            <w:tcW w:w="1320" w:type="dxa"/>
            <w:vAlign w:val="bottom"/>
          </w:tcPr>
          <w:p>
            <w:pPr>
              <w:jc w:val="right"/>
              <w:ind w:right="16"/>
              <w:spacing w:after="0"/>
              <w:rPr>
                <w:sz w:val="20"/>
                <w:szCs w:val="20"/>
                <w:color w:val="auto"/>
              </w:rPr>
            </w:pPr>
            <w:r>
              <w:rPr>
                <w:rFonts w:ascii="Arial" w:cs="Arial" w:eastAsia="Arial" w:hAnsi="Arial"/>
                <w:sz w:val="14"/>
                <w:szCs w:val="14"/>
                <w:b w:val="1"/>
                <w:bCs w:val="1"/>
                <w:color w:val="auto"/>
              </w:rPr>
              <w:t>Target Number of</w:t>
            </w:r>
          </w:p>
        </w:tc>
        <w:tc>
          <w:tcPr>
            <w:tcW w:w="136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9"/>
              </w:rPr>
              <w:t>Weighted Average</w:t>
            </w:r>
          </w:p>
        </w:tc>
        <w:tc>
          <w:tcPr>
            <w:tcW w:w="0" w:type="dxa"/>
            <w:vAlign w:val="bottom"/>
          </w:tcPr>
          <w:p>
            <w:pPr>
              <w:spacing w:after="0"/>
              <w:rPr>
                <w:sz w:val="1"/>
                <w:szCs w:val="1"/>
                <w:color w:val="auto"/>
              </w:rPr>
            </w:pPr>
          </w:p>
        </w:tc>
      </w:tr>
      <w:tr>
        <w:trPr>
          <w:trHeight w:val="192"/>
        </w:trPr>
        <w:tc>
          <w:tcPr>
            <w:tcW w:w="8520" w:type="dxa"/>
            <w:vAlign w:val="bottom"/>
            <w:tcBorders>
              <w:bottom w:val="single" w:sz="8" w:color="auto"/>
            </w:tcBorders>
            <w:gridSpan w:val="2"/>
            <w:vMerge w:val="continue"/>
          </w:tcPr>
          <w:p>
            <w:pPr>
              <w:spacing w:after="0"/>
              <w:rPr>
                <w:sz w:val="16"/>
                <w:szCs w:val="16"/>
                <w:color w:val="auto"/>
              </w:rPr>
            </w:pPr>
          </w:p>
        </w:tc>
        <w:tc>
          <w:tcPr>
            <w:tcW w:w="13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Units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Unvested performance stock unit awards, at December 31, 2014</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2015</w:t>
            </w: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Awards granted</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43"/>
        </w:trPr>
        <w:tc>
          <w:tcPr>
            <w:tcW w:w="420" w:type="dxa"/>
            <w:vAlign w:val="bottom"/>
          </w:tcPr>
          <w:p>
            <w:pPr>
              <w:ind w:left="20"/>
              <w:spacing w:after="0"/>
              <w:rPr>
                <w:sz w:val="20"/>
                <w:szCs w:val="20"/>
                <w:color w:val="auto"/>
              </w:rPr>
            </w:pPr>
            <w:r>
              <w:rPr>
                <w:rFonts w:ascii="Arial" w:cs="Arial" w:eastAsia="Arial" w:hAnsi="Arial"/>
                <w:sz w:val="18"/>
                <w:szCs w:val="18"/>
                <w:color w:val="auto"/>
                <w:w w:val="94"/>
              </w:rPr>
              <w:t>2015</w:t>
            </w:r>
          </w:p>
        </w:tc>
        <w:tc>
          <w:tcPr>
            <w:tcW w:w="8100" w:type="dxa"/>
            <w:vAlign w:val="bottom"/>
          </w:tcPr>
          <w:p>
            <w:pPr>
              <w:ind w:left="20"/>
              <w:spacing w:after="0"/>
              <w:rPr>
                <w:sz w:val="20"/>
                <w:szCs w:val="20"/>
                <w:color w:val="auto"/>
              </w:rPr>
            </w:pPr>
            <w:r>
              <w:rPr>
                <w:rFonts w:ascii="Arial" w:cs="Arial" w:eastAsia="Arial" w:hAnsi="Arial"/>
                <w:sz w:val="18"/>
                <w:szCs w:val="18"/>
                <w:color w:val="auto"/>
              </w:rPr>
              <w:t>Performance Awards 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Unvested performance stock unit awards, at September 30, 2015</w:t>
            </w:r>
            <w:r>
              <w:rPr>
                <w:rFonts w:ascii="Arial" w:cs="Arial" w:eastAsia="Arial" w:hAnsi="Arial"/>
                <w:sz w:val="25"/>
                <w:szCs w:val="25"/>
                <w:color w:val="auto"/>
                <w:vertAlign w:val="superscript"/>
              </w:rPr>
              <w:t>(a)</w:t>
            </w: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214</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For the 2015 Performance Awards, participants in the aggregate can earn up to a maximum of 428 thousand performance stock units.</w:t>
      </w: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expenses the grant date fair value of the awards which are probable of being earned in the performance period over the respective service period. Compensation cost on performance based awards was $1.7 million and $2.8 million for the three and nine months ended September 30, 2015. As of September 30, 2015, at target performance, $2.5 million of unrecognized compensation cost related to performance based awards is expected to be recognized over a weighted-average period of 1.6 years.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Earnings (Loss) Per Share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basic earnings (loss) per share by dividing our net earnings (loss) by our weighted-average shares outstanding at the end of the period. The calculation for diluted earnings per share adjusts the weighted average shares outstanding for our dilutive unvested shares and stock units using the treasury stock method and for our convertible notes using the if-converted method. Our calculations for basic and dilutive earnings (loss) per share for the three and nine months ended September 30, 2015 and 2014 are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6"/>
                <w:szCs w:val="16"/>
                <w:color w:val="auto"/>
              </w:rPr>
            </w:pPr>
          </w:p>
        </w:tc>
        <w:tc>
          <w:tcPr>
            <w:tcW w:w="166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Nine Months</w:t>
            </w:r>
          </w:p>
        </w:tc>
      </w:tr>
      <w:tr>
        <w:trPr>
          <w:trHeight w:val="264"/>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6"/>
              </w:rPr>
              <w:t>(dollars in millions, except per share data, shares and stock units in thousands)</w:t>
            </w: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(loss) available to common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7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Series B Notes</w:t>
            </w:r>
            <w:r>
              <w:rPr>
                <w:rFonts w:ascii="Arial" w:cs="Arial" w:eastAsia="Arial" w:hAnsi="Arial"/>
                <w:sz w:val="25"/>
                <w:szCs w:val="25"/>
                <w:color w:val="auto"/>
                <w:vertAlign w:val="superscript"/>
              </w:rPr>
              <w:t>(a)</w:t>
            </w:r>
          </w:p>
        </w:tc>
        <w:tc>
          <w:tcPr>
            <w:tcW w:w="2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w w:val="97"/>
              </w:rPr>
              <w:t>Dilutive net income (loss) available to common shareholders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324"/>
        </w:trPr>
        <w:tc>
          <w:tcPr>
            <w:tcW w:w="4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32,065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30,639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27,896</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60"/>
              <w:spacing w:after="0"/>
              <w:rPr>
                <w:sz w:val="20"/>
                <w:szCs w:val="20"/>
                <w:color w:val="auto"/>
              </w:rPr>
            </w:pPr>
            <w:r>
              <w:rPr>
                <w:rFonts w:ascii="Arial" w:cs="Arial" w:eastAsia="Arial" w:hAnsi="Arial"/>
                <w:sz w:val="18"/>
                <w:szCs w:val="18"/>
                <w:color w:val="auto"/>
              </w:rPr>
              <w:t>Unvested shares and stock units</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Series B Notes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Dilutive weighted average shares outstanding</w:t>
            </w: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31,903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27,896</w:t>
            </w:r>
          </w:p>
        </w:tc>
      </w:tr>
      <w:tr>
        <w:trPr>
          <w:trHeight w:val="67"/>
        </w:trPr>
        <w:tc>
          <w:tcPr>
            <w:tcW w:w="47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305"/>
        </w:trPr>
        <w:tc>
          <w:tcPr>
            <w:tcW w:w="4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83"/>
        </w:trPr>
        <w:tc>
          <w:tcPr>
            <w:tcW w:w="4740" w:type="dxa"/>
            <w:vAlign w:val="bottom"/>
          </w:tcPr>
          <w:p>
            <w:pPr>
              <w:ind w:left="20"/>
              <w:spacing w:after="0" w:line="283" w:lineRule="exact"/>
              <w:rPr>
                <w:sz w:val="20"/>
                <w:szCs w:val="20"/>
                <w:color w:val="auto"/>
              </w:rPr>
            </w:pPr>
            <w:r>
              <w:rPr>
                <w:rFonts w:ascii="Arial" w:cs="Arial" w:eastAsia="Arial" w:hAnsi="Arial"/>
                <w:sz w:val="18"/>
                <w:szCs w:val="18"/>
                <w:color w:val="auto"/>
              </w:rPr>
              <w:t>Basic earnings (loss) per share</w:t>
            </w:r>
            <w:r>
              <w:rPr>
                <w:rFonts w:ascii="Arial" w:cs="Arial" w:eastAsia="Arial" w:hAnsi="Arial"/>
                <w:sz w:val="25"/>
                <w:szCs w:val="25"/>
                <w:color w:val="auto"/>
                <w:vertAlign w:val="superscript"/>
              </w:rPr>
              <w:t>(b)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51"/>
        </w:trPr>
        <w:tc>
          <w:tcPr>
            <w:tcW w:w="4740" w:type="dxa"/>
            <w:vAlign w:val="bottom"/>
          </w:tcPr>
          <w:p>
            <w:pPr>
              <w:ind w:left="20"/>
              <w:spacing w:after="0" w:line="251" w:lineRule="exact"/>
              <w:rPr>
                <w:sz w:val="20"/>
                <w:szCs w:val="20"/>
                <w:color w:val="auto"/>
              </w:rPr>
            </w:pPr>
            <w:r>
              <w:rPr>
                <w:rFonts w:ascii="Arial" w:cs="Arial" w:eastAsia="Arial" w:hAnsi="Arial"/>
                <w:sz w:val="18"/>
                <w:szCs w:val="18"/>
                <w:color w:val="auto"/>
              </w:rPr>
              <w:t>Diluted earnings (loss) per share</w:t>
            </w:r>
            <w:r>
              <w:rPr>
                <w:rFonts w:ascii="Arial" w:cs="Arial" w:eastAsia="Arial" w:hAnsi="Arial"/>
                <w:sz w:val="25"/>
                <w:szCs w:val="25"/>
                <w:color w:val="auto"/>
                <w:vertAlign w:val="superscript"/>
              </w:rPr>
              <w:t>(b)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-166370</wp:posOffset>
            </wp:positionV>
            <wp:extent cx="541147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11470" cy="171450"/>
                    </a:xfrm>
                    <a:prstGeom prst="rect">
                      <a:avLst/>
                    </a:prstGeom>
                    <a:noFill/>
                  </pic:spPr>
                </pic:pic>
              </a:graphicData>
            </a:graphic>
          </wp:anchor>
        </w:drawing>
      </w:r>
    </w:p>
    <w:p>
      <w:pPr>
        <w:ind w:firstLine="8"/>
        <w:spacing w:after="0" w:line="241" w:lineRule="auto"/>
        <w:tabs>
          <w:tab w:leader="none" w:pos="139" w:val="left"/>
        </w:tabs>
        <w:numPr>
          <w:ilvl w:val="0"/>
          <w:numId w:val="7"/>
        </w:numPr>
        <w:rPr>
          <w:rFonts w:ascii="Arial" w:cs="Arial" w:eastAsia="Arial" w:hAnsi="Arial"/>
          <w:sz w:val="9"/>
          <w:szCs w:val="9"/>
          <w:color w:val="auto"/>
        </w:rPr>
      </w:pPr>
      <w:r>
        <w:rPr>
          <w:rFonts w:ascii="Arial" w:cs="Arial" w:eastAsia="Arial" w:hAnsi="Arial"/>
          <w:sz w:val="14"/>
          <w:szCs w:val="14"/>
          <w:color w:val="auto"/>
        </w:rPr>
        <w:t>The Series B Notes were recorded at a discount that accelerated upon conversion and contained a make-whole interest premium that would have required us to pay interest as if the security were held to maturity upon conversion and, as such, would have resulted in incremental expense under the if-converted method.</w:t>
      </w:r>
    </w:p>
    <w:p>
      <w:pPr>
        <w:ind w:left="140" w:hanging="132"/>
        <w:spacing w:after="0"/>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Earnings (loss) per share is based on unrounded figures and not the rounded figures presented.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Given our net loss position for the nine months ended September 30, 2014, there were no dilutive securities for this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anti-dilutive securities at September 30, 2015 and 2014 are as follows:</w:t>
      </w:r>
    </w:p>
    <w:p>
      <w:pPr>
        <w:spacing w:after="0" w:line="163"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(shares, options and stock units in thousands)</w:t>
            </w:r>
          </w:p>
        </w:tc>
        <w:tc>
          <w:tcPr>
            <w:tcW w:w="23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2014</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Anti-dilutive unvested shares, options, and stock units</w:t>
            </w:r>
          </w:p>
        </w:tc>
        <w:tc>
          <w:tcPr>
            <w:tcW w:w="2300" w:type="dxa"/>
            <w:vAlign w:val="bottom"/>
          </w:tcPr>
          <w:p>
            <w:pPr>
              <w:jc w:val="right"/>
              <w:ind w:right="136"/>
              <w:spacing w:after="0"/>
              <w:rPr>
                <w:sz w:val="20"/>
                <w:szCs w:val="20"/>
                <w:color w:val="auto"/>
              </w:rPr>
            </w:pPr>
            <w:r>
              <w:rPr>
                <w:rFonts w:ascii="Arial" w:cs="Arial" w:eastAsia="Arial" w:hAnsi="Arial"/>
                <w:sz w:val="18"/>
                <w:szCs w:val="18"/>
                <w:color w:val="auto"/>
              </w:rPr>
              <w:t>264</w:t>
            </w: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
        </w:trPr>
        <w:tc>
          <w:tcPr>
            <w:tcW w:w="53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Series B Notes</w:t>
            </w:r>
          </w:p>
        </w:tc>
        <w:tc>
          <w:tcPr>
            <w:tcW w:w="23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7"/>
        </w:trPr>
        <w:tc>
          <w:tcPr>
            <w:tcW w:w="53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Business Segments</w:t>
      </w:r>
    </w:p>
    <w:p>
      <w:pPr>
        <w:spacing w:after="0" w:line="2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and operating income (loss).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We have the following reporting segments, which are strategic business units that offer complementary transportation services to our customers:</w:t>
      </w:r>
    </w:p>
    <w:p>
      <w:pPr>
        <w:spacing w:after="0" w:line="233" w:lineRule="exact"/>
        <w:rPr>
          <w:sz w:val="20"/>
          <w:szCs w:val="20"/>
          <w:color w:val="auto"/>
        </w:rPr>
      </w:pPr>
    </w:p>
    <w:p>
      <w:pPr>
        <w:jc w:val="both"/>
        <w:ind w:left="660" w:hanging="328"/>
        <w:spacing w:after="0" w:line="28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YRC Freight </w:t>
      </w:r>
      <w:r>
        <w:rPr>
          <w:rFonts w:ascii="Arial" w:cs="Arial" w:eastAsia="Arial" w:hAnsi="Arial"/>
          <w:sz w:val="16"/>
          <w:szCs w:val="16"/>
          <w:color w:val="auto"/>
        </w:rPr>
        <w:t>is the reporting segment for our transportation service providers focused on business opportunities in national, regional and</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services. YRC Freight provides for the movement of industrial, commercial and retail goods, primarily through centralized management. This unit includes our LTL subsidiaries YRC Freight and YRC Reimer, a subsidiary located in Canada that specializes in shipments into, across and out of Canada. In addition to the United States and Canada, YRC Freight also serves parts of Mexico, Puerto Rico and Guam.</w:t>
      </w:r>
    </w:p>
    <w:p>
      <w:pPr>
        <w:spacing w:after="0" w:line="2"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The Regional Transportation companies each provide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regional, next-day ground services in their respective regions through a network of facilities located across the United States, Canada, Mexico and Puerto Rico.</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charge management fees and other corporate service fees to our reporting segments based on the benefits received or an overhead allocation basis. Corporate and other operating losses represent residual operating expenses of the holding company. Corporate identifiable assets primarily consist of cash, cash equivalents, an investment in an equity method affiliate and deferred debt issuance costs. Intersegment revenue primarily relates to transportation services between our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operations by business segment:</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YRC Freight</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Regional</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4"/>
                <w:szCs w:val="14"/>
                <w:color w:val="auto"/>
              </w:rPr>
            </w:pPr>
          </w:p>
        </w:tc>
        <w:tc>
          <w:tcPr>
            <w:tcW w:w="11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8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Transportation</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September 30, 2015</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748.6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1,964.8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2014</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2015</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789.2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1,244.9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Nine Months Ended September 30, 2015</w:t>
            </w: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External revenue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3,689.7</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2014</w:t>
            </w:r>
          </w:p>
        </w:tc>
        <w:tc>
          <w:tcPr>
            <w:tcW w:w="1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479.6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1,322.6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Nine Months Ended September 30, 2014</w:t>
            </w: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External revenue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3,851.1</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Commitments, Contingencies and Uncertainties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Bryant Holdings Securities Litigation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7, 2011, a putative class action was filed by Bryant Holdings LLC in the U.S. District Court for the District of Kansas on behalf of purchasers of our common stock between April 24, 2008 and November 2, 2009, inclusive (the “Class Period”), seeking damages under the federal securities laws for statements and/or omissions allegedly made by us and the individual defendants during the Class Period which plaintiffs claimed to be false and misleading.</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individual defendants are former officers of our Company. No current officers or directors are named in the lawsuit. The parties participated in voluntary mediation between March 11, 2013 and April 15, 2013. The mediation resulted in the execution of a mutually acceptable settlement agreement by the parties. Plaintiffs’ fourth motion to approve settlement was denied by the district court in October 2015, and the Company is considering all options going forward. Substantially all of the payments contemplated by the settlement would be covered by our liability insurance. The self-insured retention on this matter has been accrued. On March 4, 2015, the district court set the case for trial on the individual claims beginning June 6,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other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financial statements, we believe that our financial statements include adequate provisions for estimated costs and losses that may be incurred within the litigation and proceedings to which we are a party.</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Management’s Discussion and Analysis of Financial Condition and Results of Operations (“MD&amp;A”) should be read in conjunction with the Consolidated Financial Statements and the Notes to Consolidated Financial Statements included elsewhere in this report. MD&amp;A and certain Notes to the Consolidated Financial Statements include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16"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uncertainty in the overall economy, including (without limitation) customer demand in the retail and manufacturing sectors;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our management team in implementing its strategic plan and operational and productivity improvements, including (without limitation) our continued ability to meet quality delivery performance standards and our ability to increase volume and yield, and the impact of those improvements on our future liquidity and profitability;</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scheduled increases in financial performance-related debt covenants;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finance the maintenance, acquisition and replacement of revenue equipment and other necessary capital expenditures;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our information technology systems in our network operations and the production of accurate information, and the risk of system failure, inadequacy or security breach;</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equity and debt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factors such as severe weather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of fuel;</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sudden changes in the cost of fuel or the index upon which we base our fuel surcharge and the effectiveness of our fuel surcharge program in protecting us against fuel price volatility;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and competitive pressure on pricing;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expense volatility, including (without limitation) volatility due to changes in purchased transportation service or pricing for purchased transportation;</w:t>
      </w:r>
    </w:p>
    <w:p>
      <w:pPr>
        <w:spacing w:after="0" w:line="86" w:lineRule="exact"/>
        <w:rPr>
          <w:rFonts w:ascii="Arial" w:cs="Arial" w:eastAsia="Arial" w:hAnsi="Arial"/>
          <w:sz w:val="16"/>
          <w:szCs w:val="16"/>
          <w:color w:val="auto"/>
        </w:rPr>
      </w:pPr>
    </w:p>
    <w:p>
      <w:pPr>
        <w:ind w:left="660" w:right="20" w:hanging="328"/>
        <w:spacing w:after="0" w:line="29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federal, state, local and foreign laws and regulations, including (without limitation) laws and regulations for the protection of employee safety and health (including new hours-of-service regulations) and the environment;</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terrorist attack;</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relations, including (without limitation) our ability to attract and retain qualified drivers, the continued support of our union employees for our strategic plan, the impact of work rules, work stoppages, strikes or other disruptions, our obligations to multi-employer health, welfare and pension plans, wage requirements and employee satisfaction;</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claims and litigation to which we are or may become exposed; and</w:t>
      </w:r>
    </w:p>
    <w:p>
      <w:pPr>
        <w:spacing w:after="0" w:line="6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MD&amp;A includes the following sections: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 a brief description of our business and a discussion of how we assess our operating results.</w:t>
      </w:r>
    </w:p>
    <w:p>
      <w:pPr>
        <w:spacing w:after="0" w:line="185"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Consolidated Results of Operations </w:t>
      </w:r>
      <w:r>
        <w:rPr>
          <w:rFonts w:ascii="Arial" w:cs="Arial" w:eastAsia="Arial" w:hAnsi="Arial"/>
          <w:sz w:val="18"/>
          <w:szCs w:val="18"/>
          <w:color w:val="auto"/>
        </w:rPr>
        <w:t>— an analysis of our consolidated results of operations for the three and nine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2015 and 2014.</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Reporting Segment Results of Operations </w:t>
      </w:r>
      <w:r>
        <w:rPr>
          <w:rFonts w:ascii="Arial" w:cs="Arial" w:eastAsia="Arial" w:hAnsi="Arial"/>
          <w:sz w:val="18"/>
          <w:szCs w:val="18"/>
          <w:color w:val="auto"/>
        </w:rPr>
        <w:t>— an analysis of our results of operations for the three and nine months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2015 and 2014 for our YRC Freight and Regional Transportation reporting segments.</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 an analysis of selected non-GAAP financial measures for the three and nine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2015 and 2014.</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Financial Condition/Liquidity and Capital Resources </w:t>
      </w:r>
      <w:r>
        <w:rPr>
          <w:rFonts w:ascii="Arial" w:cs="Arial" w:eastAsia="Arial" w:hAnsi="Arial"/>
          <w:sz w:val="18"/>
          <w:szCs w:val="18"/>
          <w:color w:val="auto"/>
        </w:rPr>
        <w:t>— a discussion of our major sources and uses of cash and an analysis of our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flows and aggregate contractual obligations and commercial commitments.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“third quarter” and “first three quarters” of the years discussed below refer to the three and nine months ended September 30,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holding company that, through wholly owned operating subsidiaries and our interest in JHJ, offers our customers a wide range of transportation services. We have one of the largest, most comprehensive less-than-truckload (“LTL”) networks in North America with local, regional, national and international capabilities. Through our team of experienced service professionals, we offer industry-leading expertise in LTL shipments and flexible supply chain solutions, ensuring customers can ship industrial, commercial and retail goods with confidence.</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measure the performance of our business on both a consolidated basis and a reporting segment basis. We use several performance metrics, but rely primarily upon (without limitation) operating revenue, operating income (loss), and operating ratio. We also use certain non-GAAP financial measures as secondary measures to assess our operating performance.</w:t>
      </w:r>
    </w:p>
    <w:p>
      <w:pPr>
        <w:spacing w:after="0" w:line="137" w:lineRule="exact"/>
        <w:rPr>
          <w:sz w:val="20"/>
          <w:szCs w:val="20"/>
          <w:color w:val="auto"/>
        </w:rPr>
      </w:pPr>
    </w:p>
    <w:p>
      <w:pPr>
        <w:jc w:val="both"/>
        <w:ind w:left="660" w:hanging="328"/>
        <w:spacing w:after="0" w:line="289"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Operating Revenue: </w:t>
      </w:r>
      <w:r>
        <w:rPr>
          <w:rFonts w:ascii="Arial" w:cs="Arial" w:eastAsia="Arial" w:hAnsi="Arial"/>
          <w:sz w:val="16"/>
          <w:szCs w:val="16"/>
          <w:color w:val="auto"/>
        </w:rPr>
        <w:t>Our operating revenue has two primary components: volume (commonly evaluated using number of shipments and weight per</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 and yield or price (commonly evaluated on a dollar per hundred weight basis and a dollar per shipment basis). Yield includes fuel surcharge revenue, which is common in the trucking industry and represents an amount charged to customers that adjusts with changing fuel prices. We base our fuel surcharges on a published national index and adjust them weekly. Rapid material changes in the index or our cost of fuel can positively or negatively impact our revenue and operating income versus prior periods, as there is a lag in our adjustment of base rates in response to changes in fuel surcharge. We believe that fuel surcharge is an accepted and important component of the overall pricing of our services to our customers. Without an industry accepted fuel surcharge program, our base pricing for our transportation services would require numerous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w:t>
      </w:r>
    </w:p>
    <w:p>
      <w:pPr>
        <w:spacing w:after="0" w:line="161" w:lineRule="exact"/>
        <w:rPr>
          <w:rFonts w:ascii="Arial" w:cs="Arial" w:eastAsia="Arial" w:hAnsi="Arial"/>
          <w:sz w:val="16"/>
          <w:szCs w:val="16"/>
          <w:color w:val="auto"/>
        </w:rPr>
      </w:pPr>
    </w:p>
    <w:p>
      <w:pPr>
        <w:ind w:left="660" w:hanging="328"/>
        <w:spacing w:after="0" w:line="313"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income (loss) is our operating revenue less operating expenses. Our consolidated operating income (loss)</w:t>
      </w:r>
      <w:r>
        <w:rPr>
          <w:rFonts w:ascii="Arial" w:cs="Arial" w:eastAsia="Arial" w:hAnsi="Arial"/>
          <w:sz w:val="17"/>
          <w:szCs w:val="17"/>
          <w:b w:val="1"/>
          <w:bCs w:val="1"/>
          <w:color w:val="auto"/>
        </w:rPr>
        <w:t xml:space="preserve"> </w:t>
      </w:r>
      <w:r>
        <w:rPr>
          <w:rFonts w:ascii="Arial" w:cs="Arial" w:eastAsia="Arial" w:hAnsi="Arial"/>
          <w:sz w:val="17"/>
          <w:szCs w:val="17"/>
          <w:color w:val="auto"/>
        </w:rPr>
        <w:t>includes certain corporate charges that are not allocated to our YRC Freight and Regional Transportation reporting segments.</w:t>
      </w:r>
    </w:p>
    <w:p>
      <w:pPr>
        <w:spacing w:after="0" w:line="138"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metric used in the trucking industry. It is calculated as (i) 100 percent (ii)</w:t>
      </w:r>
      <w:r>
        <w:rPr>
          <w:rFonts w:ascii="Arial" w:cs="Arial" w:eastAsia="Arial" w:hAnsi="Arial"/>
          <w:sz w:val="18"/>
          <w:szCs w:val="18"/>
          <w:b w:val="1"/>
          <w:bCs w:val="1"/>
          <w:color w:val="auto"/>
        </w:rPr>
        <w:t xml:space="preserve"> </w:t>
      </w:r>
      <w:r>
        <w:rPr>
          <w:rFonts w:ascii="Arial" w:cs="Arial" w:eastAsia="Arial" w:hAnsi="Arial"/>
          <w:sz w:val="18"/>
          <w:szCs w:val="18"/>
          <w:color w:val="auto"/>
        </w:rPr>
        <w:t>minus the result of dividing operating income by operating revenue or (iii) plus the result of dividing operating loss by operating revenue, and expressed as a percentage.</w:t>
      </w:r>
    </w:p>
    <w:p>
      <w:pPr>
        <w:spacing w:after="0" w:line="17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18"/>
          <w:szCs w:val="18"/>
          <w:color w:val="auto"/>
        </w:rPr>
        <w:t>We use certain non-GAAP financial measures to assess our performance. These include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EBITDA and adjusted EBITDA:</w:t>
      </w:r>
    </w:p>
    <w:p>
      <w:pPr>
        <w:spacing w:after="0" w:line="16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a non-GAAP measure that reflects our earnings before interest, taxes, depreciation, and amortization expense. EBITDA is used</w:t>
      </w:r>
      <w:r>
        <w:rPr>
          <w:rFonts w:ascii="Arial" w:cs="Arial" w:eastAsia="Arial" w:hAnsi="Arial"/>
          <w:sz w:val="18"/>
          <w:szCs w:val="18"/>
          <w:i w:val="1"/>
          <w:iCs w:val="1"/>
          <w:color w:val="auto"/>
        </w:rPr>
        <w:t xml:space="preserve"> </w:t>
      </w:r>
      <w:r>
        <w:rPr>
          <w:rFonts w:ascii="Arial" w:cs="Arial" w:eastAsia="Arial" w:hAnsi="Arial"/>
          <w:sz w:val="18"/>
          <w:szCs w:val="18"/>
          <w:color w:val="auto"/>
        </w:rPr>
        <w:t>for internal management purposes as a financial measure that reflects our core operating performance.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1300" w:hanging="320"/>
        <w:spacing w:after="0" w:line="255" w:lineRule="auto"/>
        <w:tabs>
          <w:tab w:leader="none" w:pos="13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 non-GAAP measure that reflects our earnings before interest, taxes, depreciation, and amortization expense,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adjusts for letter of credit fees, equity-based compensation expense, net gains or losses on property disposals, restructuring professional fees, nonrecurring consulting fees, expenses associated with certain lump sum payments to our IBT employees and the results of permitted dispositions, discontinued operations, among other items, as defined in our credit facilities. Adjusted EBITDA is used for internal management purposes as a financial measure that reflects our core operating performance and to measure compliance with financial covenants in our credit facilities.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non-GAAP financial measures have the following limitations:</w:t>
      </w:r>
    </w:p>
    <w:p>
      <w:pPr>
        <w:spacing w:after="0" w:line="185" w:lineRule="exact"/>
        <w:rPr>
          <w:sz w:val="20"/>
          <w:szCs w:val="20"/>
          <w:color w:val="auto"/>
        </w:rPr>
      </w:pPr>
    </w:p>
    <w:p>
      <w:pPr>
        <w:ind w:left="1300" w:hanging="320"/>
        <w:spacing w:after="0" w:line="258"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the interest expense or the cash requirements necessary to service interest or fund principal payments on our outstanding debt;</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fund restructuring professional fees, nonrecurring consulting fees, letter of credit fees, service interest, principal payments on our outstanding debt or lump sum payments to our IBT employees required under the modified labor agreement;</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ind w:left="1300" w:hanging="320"/>
        <w:spacing w:after="0" w:line="265"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w:t>
      </w:r>
    </w:p>
    <w:p>
      <w:pPr>
        <w:ind w:left="1300" w:right="20" w:hanging="320"/>
        <w:spacing w:after="0" w:line="261"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differently than we do, potentially limiting its usefulness as comparative measures.</w:t>
      </w:r>
    </w:p>
    <w:p>
      <w:pPr>
        <w:spacing w:after="0" w:line="18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results include the consolidated results of our YRC Freight and Regional Transportation reporting segments as well as any unallocated corporate charges. A more detailed discussion of the operating results of our segments is presented in the “Reporting Segment Results of Operations” section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third quarter and first three quarters of 2015 and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Third Quarter</w:t>
            </w:r>
          </w:p>
        </w:tc>
        <w:tc>
          <w:tcPr>
            <w:tcW w:w="1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4"/>
                <w:szCs w:val="14"/>
                <w:b w:val="1"/>
                <w:bCs w:val="1"/>
                <w:color w:val="auto"/>
              </w:rPr>
              <w:t>First Three Quarters</w:t>
            </w:r>
          </w:p>
        </w:tc>
        <w:tc>
          <w:tcPr>
            <w:tcW w:w="1380" w:type="dxa"/>
            <w:vAlign w:val="bottom"/>
            <w:tcBorders>
              <w:bottom w:val="single" w:sz="8" w:color="auto"/>
            </w:tcBorders>
          </w:tcPr>
          <w:p>
            <w:pPr>
              <w:spacing w:after="0"/>
              <w:rPr>
                <w:sz w:val="16"/>
                <w:szCs w:val="16"/>
                <w:color w:val="auto"/>
              </w:rPr>
            </w:pPr>
          </w:p>
        </w:tc>
      </w:tr>
      <w:tr>
        <w:trPr>
          <w:trHeight w:val="264"/>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c>
          <w:tcPr>
            <w:tcW w:w="15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Percent Change</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2014</w:t>
            </w:r>
          </w:p>
        </w:tc>
        <w:tc>
          <w:tcPr>
            <w:tcW w:w="13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Percent Change</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1,244.9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1,322.6</w:t>
            </w:r>
          </w:p>
        </w:tc>
        <w:tc>
          <w:tcPr>
            <w:tcW w:w="150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3,689.7</w:t>
            </w:r>
          </w:p>
        </w:tc>
        <w:tc>
          <w:tcPr>
            <w:tcW w:w="4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4"/>
              <w:spacing w:after="0"/>
              <w:rPr>
                <w:sz w:val="20"/>
                <w:szCs w:val="20"/>
                <w:color w:val="auto"/>
              </w:rPr>
            </w:pPr>
            <w:r>
              <w:rPr>
                <w:rFonts w:ascii="Arial" w:cs="Arial" w:eastAsia="Arial" w:hAnsi="Arial"/>
                <w:sz w:val="18"/>
                <w:szCs w:val="18"/>
                <w:color w:val="auto"/>
              </w:rPr>
              <w:t>3,851.1</w:t>
            </w: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26.7</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78.7 %</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108.3</w:t>
            </w:r>
          </w:p>
        </w:tc>
        <w:tc>
          <w:tcPr>
            <w:tcW w:w="4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14.3</w:t>
            </w: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Nonoperating expenses,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21.2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29.9</w:t>
            </w:r>
          </w:p>
        </w:tc>
        <w:tc>
          <w:tcPr>
            <w:tcW w:w="1500" w:type="dxa"/>
            <w:vAlign w:val="bottom"/>
          </w:tcPr>
          <w:p>
            <w:pPr>
              <w:jc w:val="right"/>
              <w:spacing w:after="0"/>
              <w:rPr>
                <w:sz w:val="20"/>
                <w:szCs w:val="20"/>
                <w:color w:val="auto"/>
              </w:rPr>
            </w:pPr>
            <w:r>
              <w:rPr>
                <w:rFonts w:ascii="Arial" w:cs="Arial" w:eastAsia="Arial" w:hAnsi="Arial"/>
                <w:sz w:val="18"/>
                <w:szCs w:val="18"/>
                <w:color w:val="auto"/>
              </w:rPr>
              <w:t>(29.1)%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73.7</w:t>
            </w:r>
          </w:p>
        </w:tc>
        <w:tc>
          <w:tcPr>
            <w:tcW w:w="4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4"/>
              <w:spacing w:after="0"/>
              <w:rPr>
                <w:sz w:val="20"/>
                <w:szCs w:val="20"/>
                <w:color w:val="auto"/>
              </w:rPr>
            </w:pPr>
            <w:r>
              <w:rPr>
                <w:rFonts w:ascii="Arial" w:cs="Arial" w:eastAsia="Arial" w:hAnsi="Arial"/>
                <w:sz w:val="18"/>
                <w:szCs w:val="18"/>
                <w:color w:val="auto"/>
              </w:rPr>
              <w:t>104.6</w:t>
            </w:r>
          </w:p>
        </w:tc>
        <w:tc>
          <w:tcPr>
            <w:tcW w:w="13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1.2</w:t>
            </w:r>
          </w:p>
        </w:tc>
        <w:tc>
          <w:tcPr>
            <w:tcW w:w="150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NM*</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w:t>
            </w:r>
          </w:p>
        </w:tc>
        <w:tc>
          <w:tcPr>
            <w:tcW w:w="4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(73.9)</w:t>
            </w: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r>
      <w:tr>
        <w:trPr>
          <w:trHeight w:val="182"/>
        </w:trPr>
        <w:tc>
          <w:tcPr>
            <w:tcW w:w="2540" w:type="dxa"/>
            <w:vAlign w:val="bottom"/>
          </w:tcPr>
          <w:p>
            <w:pPr>
              <w:ind w:left="60"/>
              <w:spacing w:after="0"/>
              <w:rPr>
                <w:sz w:val="20"/>
                <w:szCs w:val="20"/>
                <w:color w:val="auto"/>
              </w:rPr>
            </w:pPr>
            <w:r>
              <w:rPr>
                <w:rFonts w:ascii="Arial" w:cs="Arial" w:eastAsia="Arial" w:hAnsi="Arial"/>
                <w:sz w:val="14"/>
                <w:szCs w:val="14"/>
                <w:color w:val="auto"/>
              </w:rPr>
              <w:t>(*) not meaningful</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2015 Compared to the Third Quarter of 2014</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consolidated operating revenue decreased $77.7 million, or 5.9%, during the third quarter of 2015 compared to the same period in 2014. The decrease in revenue is primarily attributed to a reduction in fuel surcharge revenue and declines in volumes, partially offset by yield improvements.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expenses for the third quarter of 2015 decreased $98.7 million, or 7.6%, compared to the same period in 2014. The decrease in operating expenses was driven by a $67.9 million, or 23.8%, decrease in operating expenses and supplies, a $20.1 million, or 2.7%, decrease in salaries, wages and employee benefits, a $7.8 million, or 5.0%, decrease in purchased transportation, and a $3.4 million, or 5.1%, decrease in other operating expenses.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6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$67.9 million, or 23.8%, decrease in operating expenses and supplies in the third quarter of 2015 was primarily the result of a $61.7 million decrease in fuel expense compared to the third quarter of 2014. This decrease was largely driven by lower fuel prices on a per gallon basis, as well as fewer miles driven.</w:t>
      </w:r>
    </w:p>
    <w:p>
      <w:pPr>
        <w:jc w:val="both"/>
        <w:ind w:left="660" w:right="20" w:hanging="328"/>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$20.1 million, or 2.7%, decrease in salaries, wages and employee benefits was primarily attributed to a $20.7 million decrease in wages and benefits due to lower total shipments in 2015 compared to 2014, which required fewer employee hours to process freight, in addition to a $4.5 million decrease in workers’ compensation expense primarily due to lower claim frequency in 2015, as compared to the third quarter of 2014.</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$7.8 million, or 5.0%, decrease in purchased transportation was primarily related to a decrease in total shipments and lower rail and road rates in the third quarter of 2015, as compared to the third quarter of 2014, which is primarily driven by lower fuel surcharges paid to our providers. Offsetting this decrease is additional purchased transportation expense resulting from higher usage of leased revenue equipment due to our strategy of using operating leases to acquire new revenue equipment.</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$3.4 million, or 5.1%, decrease in other operating expenses was primarily driven by a $3.9 million decrease in our cargo claims expense as a result of more favorable claims experience in the third quarter of 2015, as compared to the third quarter of 2014.</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Nonoperating expenses decreased $8.7 million in the third quarter of 2015 compared to the third quarter of 2014. The decrease in nonoperating expenses was primarily driven by a $6.9 million decrease in interest expense, primarily due to additional interest expense in the third quarter of 2014 due to the redemption of our Series A Convertible Senior Secured Notes, offset by a reduction in our outstanding debt.</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Our effective tax rate for the third quarter of 2015 and 2014 was 25.3% and 137.5%, respectively. Significant items impacting the third quarter of 2015 rate include a net state and foreign tax provision, certain permanent items, and a change in the valuation allowance established for the net deferred tax asset balance projected for December 31, 2015. The significant items impacting the 2014 rate include the settlement of several audits with the Internal Revenue Service, a net state and foreign tax provision, certain permanent items, an intraperiod tax allocation required by ASC 740, </w:t>
      </w:r>
      <w:r>
        <w:rPr>
          <w:rFonts w:ascii="Arial" w:cs="Arial" w:eastAsia="Arial" w:hAnsi="Arial"/>
          <w:sz w:val="17"/>
          <w:szCs w:val="17"/>
          <w:i w:val="1"/>
          <w:iCs w:val="1"/>
          <w:color w:val="auto"/>
        </w:rPr>
        <w:t>Income Taxes</w:t>
      </w:r>
      <w:r>
        <w:rPr>
          <w:rFonts w:ascii="Arial" w:cs="Arial" w:eastAsia="Arial" w:hAnsi="Arial"/>
          <w:sz w:val="17"/>
          <w:szCs w:val="17"/>
          <w:color w:val="auto"/>
        </w:rPr>
        <w:t>, and a change in the valuation allowance established for the net deferred tax asset balance projected for December 31, 2014.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September 30, 2015 and December 31, 2014, substantially all of our net deferred tax assets are subject to a valuation allowance.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Three Quarters of 2015 Compared to the First Three Quarters of 2014</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operating revenue decreased $161.4 million, or 4.2%, during the first three quarters of 2015 compared to the same period in 2014. The decrease in revenue for the first three quarters of 2015, as compared to the same period in 2014, is primarily attributed to a reduction in fuel surcharge revenue and declines in volumes. Partially offsetting this decrease was increased yield over the comparable prior year period as a result of our commitment to grow yield and improve profitability, which was initiated during second quarter 2014.</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for the first three quarters of 2015 decreased $255.4 million, or 6.7%, compared to the same period in 2014. The decrease in operating expenses was driven by a $182.6 million, or 21.2%, decrease in operating expenses and supplies, a $63.7 million, or 2.9%, decrease in salaries, wages and employee benefits, and an $18.1 million, or 4.0%, decrease in purchased transportation.</w:t>
      </w:r>
    </w:p>
    <w:p>
      <w:pPr>
        <w:spacing w:after="0" w:line="181" w:lineRule="exact"/>
        <w:rPr>
          <w:sz w:val="20"/>
          <w:szCs w:val="20"/>
          <w:color w:val="auto"/>
        </w:rPr>
      </w:pPr>
    </w:p>
    <w:p>
      <w:pPr>
        <w:jc w:val="both"/>
        <w:ind w:left="66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$182.6 million, or 21.2%, decrease in operating expenses and supplies in the first three quarters of 2015 was primarily the result of a $180.4 million decrease in fuel expense compared to the first three quarters of 2014. This decrease was largely driven by lower fuel prices on a per gallon basis, as well as fewer miles driven.</w:t>
      </w:r>
    </w:p>
    <w:p>
      <w:pPr>
        <w:jc w:val="both"/>
        <w:ind w:left="660" w:hanging="328"/>
        <w:spacing w:after="0" w:line="28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$63.7 million, or 2.9%, decrease in salaries, wages and employee benefits was primarily attributed to a $58.3 million decrease in wages and benefits due to lower total shipments in 2015 compared to 2014, which required fewer employee hours to process freight and a $12.3 million decrease in workers’ compensation expense resulting from lower claim frequency in 2015 as compared to the first three quarters of 2014.</w:t>
      </w:r>
    </w:p>
    <w:p>
      <w:pPr>
        <w:spacing w:after="0" w:line="2" w:lineRule="exact"/>
        <w:rPr>
          <w:rFonts w:ascii="Arial" w:cs="Arial" w:eastAsia="Arial" w:hAnsi="Arial"/>
          <w:sz w:val="16"/>
          <w:szCs w:val="16"/>
          <w:color w:val="auto"/>
        </w:rPr>
      </w:pPr>
    </w:p>
    <w:p>
      <w:pPr>
        <w:jc w:val="both"/>
        <w:ind w:left="660" w:hanging="328"/>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$18.1 million, or 4.0%, decrease in purchased transportation was primarily related to a decrease in total shipments and lower rail and road rates in the first three quarters of 2015, as compared to the first three quarters of 2014, which is primarily driven by lower fuel surcharges paid to our providers. Offsetting this decrease is additional purchased transportation expense resulting from higher usage of leased revenue equipment and an increase in purchased road miles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as the first three quarters of 2015 reflects higher utilization of our over-the-road purchased transportation option as permitted in our modified labor agreement that went into effect in February 2014.</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Nonoperating expenses decreased $30.9 million in the first three quarters of 2015 compared to the first three quarters of 2014 primarily driven by a $41.3 million decrease in interest expense. In the first three quarters of 2014, we incurred additional interest expense that was driven by the acceleration of the amortization of the deferred debt costs on our then-existing term loan facility and then-existing asset based loan facility when they were extinguished in the first quarter of 2014. The increase in interest expense was partially offset by the gain we recorded on the extinguishment of debt of $11.2 million in the first quarter of 2014, $16.3 million of which related to the acceleration of net premiums on our old debt, partially offset by $5.1 million of additional expense related to the fair value of the incremental shares provided to those Series B Note holders who exchanged their outstanding balances at a price of $15.00 per share. Additionally, the decrease in interest expense is driven by an overall reduction in outstanding debt.</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Our effective tax rate for the first three quarters of 2015 and 2014 was 30.1% and 18.2%, respectively. Significant items impacting the first three quarters of 2015 rate include a net state and foreign tax provision, certain permanent items, and a change in the valuation allowance established for the net deferred tax asset balance projected for December 31, 2015. The significant items impacting the 2014 rate include the settlement of certain tax years with the IRS, a net state and foreign tax provision, certain permanent items, an intraperiod tax allocation required by ASC 740, </w:t>
      </w:r>
      <w:r>
        <w:rPr>
          <w:rFonts w:ascii="Arial" w:cs="Arial" w:eastAsia="Arial" w:hAnsi="Arial"/>
          <w:sz w:val="17"/>
          <w:szCs w:val="17"/>
          <w:i w:val="1"/>
          <w:iCs w:val="1"/>
          <w:color w:val="auto"/>
        </w:rPr>
        <w:t>Income Taxes</w:t>
      </w:r>
      <w:r>
        <w:rPr>
          <w:rFonts w:ascii="Arial" w:cs="Arial" w:eastAsia="Arial" w:hAnsi="Arial"/>
          <w:sz w:val="17"/>
          <w:szCs w:val="17"/>
          <w:color w:val="auto"/>
        </w:rPr>
        <w:t>, and a change in the valuation allowance established for the net deferred tax asset balance projected for December 31, 2014.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September 30, 2015 and December 31, 2014, substantially all of our net deferred tax assets are subject to a valuation allowance.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Segment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operating performance using our YRC Freight and Regional Transportation reporting segments:</w:t>
      </w:r>
    </w:p>
    <w:p>
      <w:pPr>
        <w:spacing w:after="0" w:line="221" w:lineRule="exact"/>
        <w:rPr>
          <w:sz w:val="20"/>
          <w:szCs w:val="20"/>
          <w:color w:val="auto"/>
        </w:rPr>
      </w:pPr>
    </w:p>
    <w:p>
      <w:pPr>
        <w:jc w:val="both"/>
        <w:ind w:left="660" w:hanging="328"/>
        <w:spacing w:after="0" w:line="28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YRC Freight </w:t>
      </w:r>
      <w:r>
        <w:rPr>
          <w:rFonts w:ascii="Arial" w:cs="Arial" w:eastAsia="Arial" w:hAnsi="Arial"/>
          <w:sz w:val="16"/>
          <w:szCs w:val="16"/>
          <w:color w:val="auto"/>
        </w:rPr>
        <w:t>is the reporting segment for our transportation service providers focused on business opportunities in national, regional and</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services. YRC Freight provides for the movement of industrial, commercial and retail goods, primarily through centralized management. This unit includes our LTL subsidiaries YRC Freight and YRC Reimer, a subsidiary located in Canada that specializes in shipments into, across and out of Canada. In addition to the United States and Canada, YRC Freight also serves parts of Mexico, Puerto Rico and Guam.</w:t>
      </w:r>
    </w:p>
    <w:p>
      <w:pPr>
        <w:spacing w:after="0" w:line="2"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The Regional Transportation companies each provide regional, next-day ground services in their respective regions through a network of facilities located across the United States, Canada, Mexico and Puerto Rico.</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Freight represented 63% of consolidated operating revenue for the third quarter of 2015, as compared to 64% for the third quarter of 2014. YRC Freight represented 63% of consolidated operating revenue for both the first three quarters of 2015 and 2014. The table below provides summary financial information for YRC Freight for the third quarter and first three quarters of 2015 and 2014: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Third Quarter</w:t>
            </w:r>
          </w:p>
        </w:tc>
        <w:tc>
          <w:tcPr>
            <w:tcW w:w="1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rPr>
              <w:t>First Three Quarters</w:t>
            </w:r>
          </w:p>
        </w:tc>
        <w:tc>
          <w:tcPr>
            <w:tcW w:w="1340" w:type="dxa"/>
            <w:vAlign w:val="bottom"/>
            <w:tcBorders>
              <w:bottom w:val="single" w:sz="8" w:color="auto"/>
            </w:tcBorders>
          </w:tcPr>
          <w:p>
            <w:pPr>
              <w:spacing w:after="0"/>
              <w:rPr>
                <w:sz w:val="16"/>
                <w:szCs w:val="16"/>
                <w:color w:val="auto"/>
              </w:rPr>
            </w:pPr>
          </w:p>
        </w:tc>
      </w:tr>
      <w:tr>
        <w:trPr>
          <w:trHeight w:val="264"/>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2014</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Percent Change</w:t>
            </w: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2014</w:t>
            </w: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789.2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rPr>
              <w:t>843.0</w:t>
            </w:r>
          </w:p>
        </w:tc>
        <w:tc>
          <w:tcPr>
            <w:tcW w:w="1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(6.4)%</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2,322.0</w:t>
            </w:r>
          </w:p>
        </w:tc>
        <w:tc>
          <w:tcPr>
            <w:tcW w:w="3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2,441.9</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7"/>
              <w:spacing w:after="0"/>
              <w:rPr>
                <w:sz w:val="20"/>
                <w:szCs w:val="20"/>
                <w:color w:val="auto"/>
              </w:rPr>
            </w:pPr>
            <w:r>
              <w:rPr>
                <w:rFonts w:ascii="Arial" w:cs="Arial" w:eastAsia="Arial" w:hAnsi="Arial"/>
                <w:sz w:val="18"/>
                <w:szCs w:val="18"/>
                <w:color w:val="auto"/>
              </w:rPr>
              <w:t>8.8</w:t>
            </w:r>
          </w:p>
        </w:tc>
        <w:tc>
          <w:tcPr>
            <w:tcW w:w="1280" w:type="dxa"/>
            <w:vAlign w:val="bottom"/>
          </w:tcPr>
          <w:p>
            <w:pPr>
              <w:ind w:left="260"/>
              <w:spacing w:after="0"/>
              <w:rPr>
                <w:sz w:val="20"/>
                <w:szCs w:val="20"/>
                <w:color w:val="auto"/>
              </w:rPr>
            </w:pPr>
            <w:r>
              <w:rPr>
                <w:rFonts w:ascii="Arial" w:cs="Arial" w:eastAsia="Arial" w:hAnsi="Arial"/>
                <w:sz w:val="18"/>
                <w:szCs w:val="18"/>
                <w:color w:val="auto"/>
              </w:rPr>
              <w:t>89.8%</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39.4</w:t>
            </w:r>
          </w:p>
        </w:tc>
        <w:tc>
          <w:tcPr>
            <w:tcW w:w="36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4"/>
              <w:spacing w:after="0"/>
              <w:rPr>
                <w:sz w:val="20"/>
                <w:szCs w:val="20"/>
                <w:color w:val="auto"/>
              </w:rPr>
            </w:pPr>
            <w:r>
              <w:rPr>
                <w:rFonts w:ascii="Arial" w:cs="Arial" w:eastAsia="Arial" w:hAnsi="Arial"/>
                <w:sz w:val="18"/>
                <w:szCs w:val="18"/>
                <w:color w:val="auto"/>
              </w:rPr>
              <w:t>(24.0)</w:t>
            </w:r>
          </w:p>
        </w:tc>
        <w:tc>
          <w:tcPr>
            <w:tcW w:w="1340" w:type="dxa"/>
            <w:vAlign w:val="bottom"/>
          </w:tcPr>
          <w:p>
            <w:pPr>
              <w:ind w:left="720"/>
              <w:spacing w:after="0"/>
              <w:rPr>
                <w:sz w:val="20"/>
                <w:szCs w:val="20"/>
                <w:color w:val="auto"/>
              </w:rPr>
            </w:pPr>
            <w:r>
              <w:rPr>
                <w:rFonts w:ascii="Arial" w:cs="Arial" w:eastAsia="Arial" w:hAnsi="Arial"/>
                <w:sz w:val="18"/>
                <w:szCs w:val="18"/>
                <w:color w:val="auto"/>
              </w:rPr>
              <w:t>NM*</w:t>
            </w:r>
          </w:p>
        </w:tc>
      </w:tr>
      <w:tr>
        <w:trPr>
          <w:trHeight w:val="506"/>
        </w:trPr>
        <w:tc>
          <w:tcPr>
            <w:tcW w:w="2920" w:type="dxa"/>
            <w:vAlign w:val="bottom"/>
          </w:tcPr>
          <w:p>
            <w:pPr>
              <w:ind w:left="40"/>
              <w:spacing w:after="0"/>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30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97.9%</w:t>
            </w:r>
          </w:p>
        </w:tc>
        <w:tc>
          <w:tcPr>
            <w:tcW w:w="220" w:type="dxa"/>
            <w:vAlign w:val="bottom"/>
          </w:tcPr>
          <w:p>
            <w:pPr>
              <w:spacing w:after="0"/>
              <w:rPr>
                <w:sz w:val="24"/>
                <w:szCs w:val="24"/>
                <w:color w:val="auto"/>
              </w:rPr>
            </w:pPr>
          </w:p>
        </w:tc>
        <w:tc>
          <w:tcPr>
            <w:tcW w:w="1260" w:type="dxa"/>
            <w:vAlign w:val="bottom"/>
          </w:tcPr>
          <w:p>
            <w:pPr>
              <w:jc w:val="right"/>
              <w:ind w:right="77"/>
              <w:spacing w:after="0"/>
              <w:rPr>
                <w:sz w:val="20"/>
                <w:szCs w:val="20"/>
                <w:color w:val="auto"/>
              </w:rPr>
            </w:pPr>
            <w:r>
              <w:rPr>
                <w:rFonts w:ascii="Arial" w:cs="Arial" w:eastAsia="Arial" w:hAnsi="Arial"/>
                <w:sz w:val="18"/>
                <w:szCs w:val="18"/>
                <w:color w:val="auto"/>
              </w:rPr>
              <w:t>99.0%</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1.1 pp</w:t>
            </w:r>
          </w:p>
        </w:tc>
        <w:tc>
          <w:tcPr>
            <w:tcW w:w="440" w:type="dxa"/>
            <w:vAlign w:val="bottom"/>
          </w:tcPr>
          <w:p>
            <w:pPr>
              <w:spacing w:after="0"/>
              <w:rPr>
                <w:sz w:val="24"/>
                <w:szCs w:val="24"/>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98.3%</w:t>
            </w:r>
          </w:p>
        </w:tc>
        <w:tc>
          <w:tcPr>
            <w:tcW w:w="360" w:type="dxa"/>
            <w:vAlign w:val="bottom"/>
          </w:tcPr>
          <w:p>
            <w:pPr>
              <w:spacing w:after="0"/>
              <w:rPr>
                <w:sz w:val="24"/>
                <w:szCs w:val="24"/>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101.0%</w:t>
            </w:r>
          </w:p>
        </w:tc>
        <w:tc>
          <w:tcPr>
            <w:tcW w:w="1340" w:type="dxa"/>
            <w:vAlign w:val="bottom"/>
          </w:tcPr>
          <w:p>
            <w:pPr>
              <w:jc w:val="center"/>
              <w:ind w:left="734"/>
              <w:spacing w:after="0"/>
              <w:rPr>
                <w:sz w:val="20"/>
                <w:szCs w:val="20"/>
                <w:color w:val="auto"/>
              </w:rPr>
            </w:pPr>
            <w:r>
              <w:rPr>
                <w:rFonts w:ascii="Arial" w:cs="Arial" w:eastAsia="Arial" w:hAnsi="Arial"/>
                <w:sz w:val="18"/>
                <w:szCs w:val="18"/>
                <w:color w:val="auto"/>
                <w:w w:val="88"/>
              </w:rPr>
              <w:t>2.7pp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1" w:lineRule="exact"/>
        <w:rPr>
          <w:rFonts w:ascii="Arial" w:cs="Arial" w:eastAsia="Arial" w:hAnsi="Arial"/>
          <w:sz w:val="14"/>
          <w:szCs w:val="14"/>
          <w:color w:val="auto"/>
        </w:rPr>
      </w:pPr>
    </w:p>
    <w:p>
      <w:pPr>
        <w:ind w:left="260" w:hanging="198"/>
        <w:spacing w:after="0"/>
        <w:tabs>
          <w:tab w:leader="none" w:pos="260" w:val="left"/>
        </w:tabs>
        <w:numPr>
          <w:ilvl w:val="1"/>
          <w:numId w:val="16"/>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of 2015 Compared to the Third Quarter of 2014</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YRC Freight reported operating revenue of $789.2 million in the third quarter of 2015, a decrease of $53.8 million, or 6.4%, compared to the same period in 2014. The decrease in revenue is primarily attributed to a reduction in fuel surcharge revenue and declines in volume, partially offset by improved yield. The table below summarizes the key revenue metrics for the YRC Freight reporting segment for the third quarter of 2015 compared to the third quarter of 2014:</w:t>
      </w:r>
    </w:p>
    <w:p>
      <w:pPr>
        <w:spacing w:after="0" w:line="368"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4"/>
                <w:szCs w:val="14"/>
                <w:b w:val="1"/>
                <w:bCs w:val="1"/>
                <w:color w:val="auto"/>
              </w:rPr>
              <w:t>Third Quarter</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Percent Change</w:t>
            </w:r>
            <w:r>
              <w:rPr>
                <w:rFonts w:ascii="Arial" w:cs="Arial" w:eastAsia="Arial" w:hAnsi="Arial"/>
                <w:sz w:val="8"/>
                <w:szCs w:val="8"/>
                <w:b w:val="1"/>
                <w:bCs w:val="1"/>
                <w:color w:val="auto"/>
                <w:w w:val="95"/>
              </w:rPr>
              <w:t>(b)</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324"/>
        </w:trPr>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1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784.4</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840.1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1,641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1,750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day (in thousands)</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25.64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27.34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2,740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2,957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day (in thousands)</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42.82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46.20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580" w:type="dxa"/>
            <w:vAlign w:val="bottom"/>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23.90</w:t>
            </w:r>
          </w:p>
        </w:tc>
        <w:tc>
          <w:tcPr>
            <w:tcW w:w="120" w:type="dxa"/>
            <w:vAlign w:val="bottom"/>
          </w:tcPr>
          <w:p>
            <w:pPr>
              <w:spacing w:after="0"/>
              <w:rPr>
                <w:sz w:val="21"/>
                <w:szCs w:val="21"/>
                <w:color w:val="auto"/>
              </w:rPr>
            </w:pP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24.00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w:t>
            </w:r>
          </w:p>
        </w:tc>
        <w:tc>
          <w:tcPr>
            <w:tcW w:w="58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21.24</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20.08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5.8 %</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580" w:type="dxa"/>
            <w:vAlign w:val="bottom"/>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0.7 %</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Total picked up revenue per shipment (excluding fuel surcharge)</w:t>
            </w:r>
          </w:p>
        </w:tc>
        <w:tc>
          <w:tcPr>
            <w:tcW w:w="58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7.0 %</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1,198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1,184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1.2 %</w:t>
            </w:r>
          </w:p>
        </w:tc>
      </w:tr>
      <w:tr>
        <w:trPr>
          <w:trHeight w:val="642"/>
        </w:trPr>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Third Quarter</w:t>
            </w:r>
          </w:p>
        </w:tc>
        <w:tc>
          <w:tcPr>
            <w:tcW w:w="4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58"/>
        </w:trPr>
        <w:tc>
          <w:tcPr>
            <w:tcW w:w="5120" w:type="dxa"/>
            <w:vAlign w:val="bottom"/>
          </w:tcPr>
          <w:p>
            <w:pPr>
              <w:ind w:left="84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3"/>
          </w:tcPr>
          <w:p>
            <w:pPr>
              <w:jc w:val="right"/>
              <w:ind w:right="655"/>
              <w:spacing w:after="0"/>
              <w:rPr>
                <w:sz w:val="20"/>
                <w:szCs w:val="20"/>
                <w:color w:val="auto"/>
              </w:rPr>
            </w:pPr>
            <w:r>
              <w:rPr>
                <w:rFonts w:ascii="Arial" w:cs="Arial" w:eastAsia="Arial" w:hAnsi="Arial"/>
                <w:sz w:val="14"/>
                <w:szCs w:val="14"/>
                <w:b w:val="1"/>
                <w:bCs w:val="1"/>
                <w:color w:val="auto"/>
              </w:rPr>
              <w:t>2015</w:t>
            </w:r>
          </w:p>
        </w:tc>
        <w:tc>
          <w:tcPr>
            <w:tcW w:w="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4793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7" w:lineRule="exact"/>
        <w:rPr>
          <w:sz w:val="20"/>
          <w:szCs w:val="20"/>
          <w:color w:val="auto"/>
        </w:rPr>
      </w:pPr>
    </w:p>
    <w:p>
      <w:pPr>
        <w:ind w:left="2140" w:hanging="174"/>
        <w:spacing w:after="0"/>
        <w:tabs>
          <w:tab w:leader="none" w:pos="214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Reconciliation of operating revenue to total picked up revenue:</w:t>
      </w:r>
    </w:p>
    <w:p>
      <w:pPr>
        <w:spacing w:after="0" w:line="47" w:lineRule="exact"/>
        <w:rPr>
          <w:sz w:val="20"/>
          <w:szCs w:val="20"/>
          <w:color w:val="auto"/>
        </w:rPr>
      </w:pPr>
    </w:p>
    <w:tbl>
      <w:tblPr>
        <w:tblLayout w:type="fixed"/>
        <w:tblInd w:w="1940" w:type="dxa"/>
        <w:tblCellMar>
          <w:top w:w="0" w:type="dxa"/>
          <w:left w:w="0" w:type="dxa"/>
          <w:bottom w:w="0" w:type="dxa"/>
          <w:right w:w="0" w:type="dxa"/>
        </w:tblCellMar>
      </w:tblPr>
      <w:tr>
        <w:trPr>
          <w:trHeight w:val="250"/>
        </w:trPr>
        <w:tc>
          <w:tcPr>
            <w:tcW w:w="4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789.2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w:t>
            </w:r>
          </w:p>
        </w:tc>
      </w:tr>
      <w:tr>
        <w:trPr>
          <w:trHeight w:val="243"/>
        </w:trPr>
        <w:tc>
          <w:tcPr>
            <w:tcW w:w="488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8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784.4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840.1</w:t>
            </w:r>
          </w:p>
        </w:tc>
      </w:tr>
    </w:tbl>
    <w:p>
      <w:pPr>
        <w:spacing w:after="0" w:line="8" w:lineRule="exact"/>
        <w:rPr>
          <w:sz w:val="20"/>
          <w:szCs w:val="20"/>
          <w:color w:val="auto"/>
        </w:rPr>
      </w:pPr>
    </w:p>
    <w:p>
      <w:pPr>
        <w:ind w:left="1020" w:hanging="202"/>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20" w:hanging="202"/>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-208915</wp:posOffset>
            </wp:positionV>
            <wp:extent cx="1689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for YRC Freight was $16.7 million in the third quarter of 2015 compared to $8.8 million in the third quarter of 2014. Operating revenue in the third quarter of 2015 decreased by $53.8 million, or 6.4%, and total operating expenses decreased by $61.7 million, or 7.4%. The decrease in operating expense consisted primarily of a $31.0 million, or 17.9%, decrease in operating expenses and supplies, a $22.7 million, or 4.8%, decrease in salaries, wages and employee benefits, and a $6.9 million, or 5.5%, decrease in purchased transportation.</w:t>
      </w:r>
    </w:p>
    <w:p>
      <w:pPr>
        <w:spacing w:after="0" w:line="187" w:lineRule="exact"/>
        <w:rPr>
          <w:sz w:val="20"/>
          <w:szCs w:val="20"/>
          <w:color w:val="auto"/>
        </w:rPr>
      </w:pPr>
    </w:p>
    <w:p>
      <w:pPr>
        <w:jc w:val="both"/>
        <w:ind w:left="66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$31.0 million, or 17.9%, decrease in operating expenses and supplies in the third quarter of 2015 was primarily the result of a $33.4 million decrease in fuel expense compared to the third quarter of 2014. This decrease was largely driven by lower fuel prices on a per gallon basis and fewer miles driven.</w:t>
      </w: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$22.7 million, or 4.8%, decrease in salaries, wages and employee benefits was driven by an $18.4 million decrease in wages and benefits due to lower total shipments in 2015 compared to 2014, which required fewer employee hours to process freight and a $3.3 million decrease in workers’ compensation expense driven by lower claim frequency in 2015 as compared to 2014.</w:t>
      </w:r>
    </w:p>
    <w:p>
      <w:pPr>
        <w:spacing w:after="0" w:line="1"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$6.9 million, or 5.5%, decrease in purchased transportation was primarily related to a decrease in total shipments and lower rail and road rates in the third quarter of 2015, as compared to the third quarter of 2014, which is primarily driven by lower fuel surcharges paid to our providers. Partially offsetting this decrease is additional purchased transportation expense resulting from higher usage of leased revenue equipment.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Three Quarters of 2015 Compared to the First Three Quarters of 2014</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Freight reported operating revenue of $2,322.0 million in the first three quarters of 2015, a decrease of $119.9 million, or 4.9%, compared to the same period in 2014. The decrease in revenue is primarily attributed to a reduction in fuel surcharge revenue and declines in volume, offset by improved yield. The table below summarizes the key revenue metrics for the YRC Freight reporting segment for the first three quarters of 2015 compared to the first three quarters of 2014:</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w w:val="99"/>
              </w:rPr>
              <w:t>First Three Quarters</w:t>
            </w: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64"/>
        </w:trPr>
        <w:tc>
          <w:tcPr>
            <w:tcW w:w="5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Percent Change</w:t>
            </w:r>
            <w:r>
              <w:rPr>
                <w:rFonts w:ascii="Arial" w:cs="Arial" w:eastAsia="Arial" w:hAnsi="Arial"/>
                <w:sz w:val="8"/>
                <w:szCs w:val="8"/>
                <w:b w:val="1"/>
                <w:bCs w:val="1"/>
                <w:color w:val="auto"/>
                <w:w w:val="95"/>
              </w:rPr>
              <w:t>(b)</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324"/>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1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2,313.9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day (in thousands)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8,135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day (in thousands)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23.65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0.9 %</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6.8 %</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2.8 %</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Total picked up revenue per shipment (excluding fuel surcharge)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8.8 %</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1.9 %</w:t>
            </w:r>
          </w:p>
        </w:tc>
      </w:tr>
      <w:tr>
        <w:trPr>
          <w:trHeight w:val="642"/>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9"/>
              </w:rPr>
              <w:t>First Three Quarters</w:t>
            </w:r>
          </w:p>
        </w:tc>
        <w:tc>
          <w:tcPr>
            <w:tcW w:w="4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58"/>
        </w:trPr>
        <w:tc>
          <w:tcPr>
            <w:tcW w:w="5120" w:type="dxa"/>
            <w:vAlign w:val="bottom"/>
          </w:tcPr>
          <w:p>
            <w:pPr>
              <w:ind w:left="8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3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2015</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47936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7" w:lineRule="exact"/>
        <w:rPr>
          <w:sz w:val="20"/>
          <w:szCs w:val="20"/>
          <w:color w:val="auto"/>
        </w:rPr>
      </w:pPr>
    </w:p>
    <w:p>
      <w:pPr>
        <w:ind w:left="2140" w:hanging="174"/>
        <w:spacing w:after="0"/>
        <w:tabs>
          <w:tab w:leader="none" w:pos="214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Reconciliation of operating revenue to total picked up revenue:</w:t>
      </w:r>
    </w:p>
    <w:p>
      <w:pPr>
        <w:spacing w:after="0" w:line="47" w:lineRule="exact"/>
        <w:rPr>
          <w:sz w:val="20"/>
          <w:szCs w:val="20"/>
          <w:color w:val="auto"/>
        </w:rPr>
      </w:pPr>
    </w:p>
    <w:tbl>
      <w:tblPr>
        <w:tblLayout w:type="fixed"/>
        <w:tblInd w:w="1940" w:type="dxa"/>
        <w:tblCellMar>
          <w:top w:w="0" w:type="dxa"/>
          <w:left w:w="0" w:type="dxa"/>
          <w:bottom w:w="0" w:type="dxa"/>
          <w:right w:w="0" w:type="dxa"/>
        </w:tblCellMar>
      </w:tblPr>
      <w:tr>
        <w:trPr>
          <w:trHeight w:val="250"/>
        </w:trPr>
        <w:tc>
          <w:tcPr>
            <w:tcW w:w="4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2,322.0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2,441.9</w:t>
            </w:r>
          </w:p>
        </w:tc>
      </w:tr>
      <w:tr>
        <w:trPr>
          <w:trHeight w:val="243"/>
        </w:trPr>
        <w:tc>
          <w:tcPr>
            <w:tcW w:w="488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2,435.3</w:t>
            </w:r>
          </w:p>
        </w:tc>
      </w:tr>
    </w:tbl>
    <w:p>
      <w:pPr>
        <w:spacing w:after="0" w:line="8" w:lineRule="exact"/>
        <w:rPr>
          <w:sz w:val="20"/>
          <w:szCs w:val="20"/>
          <w:color w:val="auto"/>
        </w:rPr>
      </w:pPr>
    </w:p>
    <w:p>
      <w:pPr>
        <w:ind w:left="1020" w:hanging="202"/>
        <w:spacing w:after="0"/>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20" w:hanging="202"/>
        <w:spacing w:after="0"/>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-208915</wp:posOffset>
            </wp:positionV>
            <wp:extent cx="16979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income for YRC Freight was $39.4 million in the first three quarters of 2015 compared to an operating loss of $24.0 million in the same period in 2014. Operating revenue in the first three quarters of 2015 was lower by $119.9 million, or 4.9%, and total operating expenses decreased by $183.3 million, or 7.4%. The decrease in operating expense consisted primarily of a $101.0 million, or 19.0%, decrease in operating expenses and supplies, a $63.9 million, or 4.6%, decrease in salaries, wages and employee benefits and a $24.5 million, or 6.8%, decrease in purchased transportation.</w:t>
      </w:r>
    </w:p>
    <w:p>
      <w:pPr>
        <w:spacing w:after="0" w:line="171" w:lineRule="exact"/>
        <w:rPr>
          <w:sz w:val="20"/>
          <w:szCs w:val="20"/>
          <w:color w:val="auto"/>
        </w:rPr>
      </w:pPr>
    </w:p>
    <w:p>
      <w:pPr>
        <w:jc w:val="both"/>
        <w:ind w:left="660" w:hanging="328"/>
        <w:spacing w:after="0" w:line="25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$101.0 million, or 19.0%, decrease in operating expenses and supplies in the first three quarters of 2015 was primarily the result of a $103.9 million decrease in fuel expense compared to the first three quarters of 2014. This decrease was largely driven by lower fuel prices on a per gallon basis and fewer miles driven.</w:t>
      </w: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$63.9 million, or 4.6%, decrease in salaries, wages and employee benefits was driven by a $54.1 million decrease in wages and benefits due to lower total shipments in the first three quarters of 2015 compared to the first three quarters of 2014, which required fewer employee hours to process freight and an $11.6 million decrease in workers’ compensation expense primarily driven by favorable adjustments due to lower claim frequency in 2015, as compared to 2014.</w:t>
      </w:r>
    </w:p>
    <w:p>
      <w:pPr>
        <w:spacing w:after="0" w:line="1"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$24.5 million, or 6.8%, decrease in purchased transportation was primarily related to a decrease in total shipments and lower rail and road rates in the first three quarters of 2015, as compared to the first three quarters of 2014, which is primarily driven by lower fuel surcharges paid to our providers. Partially offsetting this decrease is additional purchased transportation expense resulting from higher usage of leased revenue equipment and an increase in purchased road miles as the first three quarters of 2015 reflects higher utilization of our over-the-road purchased transportation option as permitted in our modified labor agreement that went into effect in February 2014.</w:t>
      </w:r>
    </w:p>
    <w:p>
      <w:pPr>
        <w:spacing w:after="0" w:line="1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Finally, on a year-over-year basis, gains from excess property sales in the first three quarters of 2014 were $6.8 million compared to losses of $1.7 million in the first three quarters of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Regional Transportation represented 37% of consolidated revenue for the third quarter of 2015, as compared to 36% for the third quarter of 2014. Regional Transportation represented 37% of consolidated revenue for both the first three quarters of 2015 and 2014. The table below provides summary financial information for Regional Transportation for the third quarter and the first three quarters of 2015 and 2014: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Third Quarter</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First Three Quarters</w:t>
            </w:r>
          </w:p>
        </w:tc>
        <w:tc>
          <w:tcPr>
            <w:tcW w:w="1460" w:type="dxa"/>
            <w:vAlign w:val="bottom"/>
            <w:tcBorders>
              <w:bottom w:val="single" w:sz="8" w:color="auto"/>
            </w:tcBorders>
          </w:tcPr>
          <w:p>
            <w:pPr>
              <w:spacing w:after="0"/>
              <w:rPr>
                <w:sz w:val="16"/>
                <w:szCs w:val="16"/>
                <w:color w:val="auto"/>
              </w:rPr>
            </w:pPr>
          </w:p>
        </w:tc>
      </w:tr>
      <w:tr>
        <w:trPr>
          <w:trHeight w:val="264"/>
        </w:trPr>
        <w:tc>
          <w:tcPr>
            <w:tcW w:w="28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2"/>
                <w:szCs w:val="22"/>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Percent Change</w:t>
            </w:r>
          </w:p>
        </w:tc>
        <w:tc>
          <w:tcPr>
            <w:tcW w:w="300" w:type="dxa"/>
            <w:vAlign w:val="bottom"/>
          </w:tcPr>
          <w:p>
            <w:pPr>
              <w:spacing w:after="0"/>
              <w:rPr>
                <w:sz w:val="22"/>
                <w:szCs w:val="22"/>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460" w:type="dxa"/>
            <w:vAlign w:val="bottom"/>
          </w:tcPr>
          <w:p>
            <w:pPr>
              <w:ind w:left="240"/>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1,367.7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(2.9)%</w:t>
            </w: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7"/>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36.8%</w:t>
            </w:r>
          </w:p>
        </w:tc>
      </w:tr>
      <w:tr>
        <w:trPr>
          <w:trHeight w:val="290"/>
        </w:trPr>
        <w:tc>
          <w:tcPr>
            <w:tcW w:w="2840" w:type="dxa"/>
            <w:vAlign w:val="bottom"/>
          </w:tcPr>
          <w:p>
            <w:pPr>
              <w:ind w:left="40"/>
              <w:spacing w:after="0"/>
              <w:rPr>
                <w:sz w:val="20"/>
                <w:szCs w:val="20"/>
                <w:color w:val="auto"/>
              </w:rPr>
            </w:pPr>
            <w:r>
              <w:rPr>
                <w:rFonts w:ascii="Arial" w:cs="Arial" w:eastAsia="Arial" w:hAnsi="Arial"/>
                <w:sz w:val="18"/>
                <w:szCs w:val="18"/>
                <w:color w:val="auto"/>
              </w:rPr>
              <w:t xml:space="preserve">Operating ratio </w:t>
            </w:r>
            <w:r>
              <w:rPr>
                <w:rFonts w:ascii="Arial" w:cs="Arial" w:eastAsia="Arial" w:hAnsi="Arial"/>
                <w:sz w:val="25"/>
                <w:szCs w:val="25"/>
                <w:color w:val="auto"/>
                <w:vertAlign w:val="superscript"/>
              </w:rPr>
              <w:t>(a)</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4"/>
                <w:szCs w:val="24"/>
                <w:color w:val="auto"/>
              </w:rPr>
            </w:pPr>
          </w:p>
        </w:tc>
        <w:tc>
          <w:tcPr>
            <w:tcW w:w="1580" w:type="dxa"/>
            <w:vAlign w:val="bottom"/>
            <w:gridSpan w:val="2"/>
          </w:tcPr>
          <w:p>
            <w:pPr>
              <w:ind w:left="980"/>
              <w:spacing w:after="0"/>
              <w:rPr>
                <w:sz w:val="20"/>
                <w:szCs w:val="20"/>
                <w:color w:val="auto"/>
              </w:rPr>
            </w:pPr>
            <w:r>
              <w:rPr>
                <w:rFonts w:ascii="Arial" w:cs="Arial" w:eastAsia="Arial" w:hAnsi="Arial"/>
                <w:sz w:val="18"/>
                <w:szCs w:val="18"/>
                <w:color w:val="auto"/>
              </w:rPr>
              <w:t>2.3 pp</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4"/>
                <w:szCs w:val="24"/>
                <w:color w:val="auto"/>
              </w:rPr>
            </w:pPr>
          </w:p>
        </w:tc>
        <w:tc>
          <w:tcPr>
            <w:tcW w:w="1460" w:type="dxa"/>
            <w:vAlign w:val="bottom"/>
          </w:tcPr>
          <w:p>
            <w:pPr>
              <w:ind w:left="980"/>
              <w:spacing w:after="0"/>
              <w:rPr>
                <w:sz w:val="20"/>
                <w:szCs w:val="20"/>
                <w:color w:val="auto"/>
              </w:rPr>
            </w:pPr>
            <w:r>
              <w:rPr>
                <w:rFonts w:ascii="Arial" w:cs="Arial" w:eastAsia="Arial" w:hAnsi="Arial"/>
                <w:sz w:val="18"/>
                <w:szCs w:val="18"/>
                <w:color w:val="auto"/>
                <w:w w:val="91"/>
              </w:rPr>
              <w:t>1.6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of 2015 Compared to the Third Quarter of 2014</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Regional Transportation reported operating revenue of $455.7 million for the third quarter of 2015, a decrease of $23.9 million, or 5.0%, from the third quarter of 2014. The decrease in revenue is primarily attributed to a reduction in fuel surcharge revenue and declines in volume, partially offset by improved yield. The table below summarizes the key revenue metrics for the Regional Transportation reporting segment for the third quarter of 2015 compared to the third quarter of 2014:</w:t>
      </w:r>
    </w:p>
    <w:p>
      <w:pPr>
        <w:spacing w:after="0" w:line="200" w:lineRule="exact"/>
        <w:rPr>
          <w:sz w:val="20"/>
          <w:szCs w:val="20"/>
          <w:color w:val="auto"/>
        </w:rPr>
      </w:pP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rPr>
              <w:t>Third Quarter</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7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2"/>
                <w:shd w:val="clear" w:color="auto" w:fill="CCEEFF"/>
              </w:rPr>
              <w:t>Total picked up revenue (in millions)</w:t>
            </w: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(a)</w:t>
            </w:r>
          </w:p>
        </w:tc>
        <w:tc>
          <w:tcPr>
            <w:tcW w:w="700" w:type="dxa"/>
            <w:vAlign w:val="bottom"/>
            <w:vMerge w:val="restart"/>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455.9</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479.9</w:t>
            </w:r>
          </w:p>
        </w:tc>
        <w:tc>
          <w:tcPr>
            <w:tcW w:w="160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77"/>
        </w:trPr>
        <w:tc>
          <w:tcPr>
            <w:tcW w:w="2700" w:type="dxa"/>
            <w:vAlign w:val="bottom"/>
            <w:tcBorders>
              <w:bottom w:val="single" w:sz="8" w:color="CCEEFF"/>
            </w:tcBorders>
            <w:vMerge w:val="continue"/>
            <w:shd w:val="clear" w:color="auto" w:fill="CCEEFF"/>
          </w:tcPr>
          <w:p>
            <w:pPr>
              <w:spacing w:after="0"/>
              <w:rPr>
                <w:sz w:val="6"/>
                <w:szCs w:val="6"/>
                <w:color w:val="auto"/>
              </w:rPr>
            </w:pPr>
          </w:p>
        </w:tc>
        <w:tc>
          <w:tcPr>
            <w:tcW w:w="238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60" w:type="dxa"/>
            <w:vAlign w:val="bottom"/>
            <w:tcBorders>
              <w:bottom w:val="single" w:sz="8" w:color="CCEEFF"/>
            </w:tcBorders>
            <w:vMerge w:val="continue"/>
            <w:shd w:val="clear" w:color="auto" w:fill="CCEEFF"/>
          </w:tcPr>
          <w:p>
            <w:pPr>
              <w:spacing w:after="0"/>
              <w:rPr>
                <w:sz w:val="6"/>
                <w:szCs w:val="6"/>
                <w:color w:val="auto"/>
              </w:rPr>
            </w:pPr>
          </w:p>
        </w:tc>
        <w:tc>
          <w:tcPr>
            <w:tcW w:w="420" w:type="dxa"/>
            <w:vAlign w:val="bottom"/>
            <w:tcBorders>
              <w:bottom w:val="single" w:sz="8" w:color="CCEEFF"/>
            </w:tcBorders>
            <w:vMerge w:val="continue"/>
            <w:shd w:val="clear" w:color="auto" w:fill="CCEEFF"/>
          </w:tcPr>
          <w:p>
            <w:pPr>
              <w:spacing w:after="0"/>
              <w:rPr>
                <w:sz w:val="6"/>
                <w:szCs w:val="6"/>
                <w:color w:val="auto"/>
              </w:rPr>
            </w:pPr>
          </w:p>
        </w:tc>
        <w:tc>
          <w:tcPr>
            <w:tcW w:w="1600" w:type="dxa"/>
            <w:vAlign w:val="bottom"/>
            <w:tcBorders>
              <w:bottom w:val="single" w:sz="8" w:color="CCEEFF"/>
            </w:tcBorders>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tonnage (in thousands)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1,974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2,046</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per day (in thousands)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30.85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31.97</w:t>
            </w:r>
          </w:p>
        </w:tc>
        <w:tc>
          <w:tcPr>
            <w:tcW w:w="16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shipments (in thousands)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2,672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2,794</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per day (in thousands)</w:t>
            </w: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41.76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43.65</w:t>
            </w:r>
          </w:p>
        </w:tc>
        <w:tc>
          <w:tcPr>
            <w:tcW w:w="16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11.55</w:t>
            </w:r>
          </w:p>
        </w:tc>
        <w:tc>
          <w:tcPr>
            <w:tcW w:w="100" w:type="dxa"/>
            <w:vAlign w:val="bottom"/>
          </w:tcPr>
          <w:p>
            <w:pPr>
              <w:spacing w:after="0"/>
              <w:rPr>
                <w:sz w:val="21"/>
                <w:szCs w:val="21"/>
                <w:color w:val="auto"/>
              </w:rPr>
            </w:pP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11.73</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surcharge)</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10.32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shipment</w:t>
            </w: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172</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Total picked up revenue per shipment (excluding fuel surcharge)</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weight per shipment (in pounds)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1,478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1,465</w:t>
            </w:r>
          </w:p>
        </w:tc>
        <w:tc>
          <w:tcPr>
            <w:tcW w:w="1600" w:type="dxa"/>
            <w:vAlign w:val="bottom"/>
            <w:gridSpan w:val="4"/>
          </w:tcPr>
          <w:p>
            <w:pPr>
              <w:jc w:val="right"/>
              <w:ind w:right="200"/>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642"/>
        </w:trPr>
        <w:tc>
          <w:tcPr>
            <w:tcW w:w="2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Third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80" w:type="dxa"/>
            <w:vAlign w:val="bottom"/>
            <w:gridSpan w:val="2"/>
          </w:tcPr>
          <w:p>
            <w:pPr>
              <w:ind w:left="840"/>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3"/>
          </w:tcPr>
          <w:p>
            <w:pPr>
              <w:jc w:val="right"/>
              <w:ind w:right="555"/>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22"/>
                <w:szCs w:val="22"/>
                <w:color w:val="auto"/>
              </w:rPr>
            </w:pPr>
          </w:p>
        </w:tc>
        <w:tc>
          <w:tcPr>
            <w:tcW w:w="76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89"/>
              </w:rPr>
              <w:t>2014</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479361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93615" cy="180340"/>
                    </a:xfrm>
                    <a:prstGeom prst="rect">
                      <a:avLst/>
                    </a:prstGeom>
                    <a:noFill/>
                  </pic:spPr>
                </pic:pic>
              </a:graphicData>
            </a:graphic>
          </wp:anchor>
        </w:drawing>
      </w:r>
    </w:p>
    <w:p>
      <w:pPr>
        <w:spacing w:after="0" w:line="7" w:lineRule="exact"/>
        <w:rPr>
          <w:sz w:val="20"/>
          <w:szCs w:val="20"/>
          <w:color w:val="auto"/>
        </w:rPr>
      </w:pPr>
    </w:p>
    <w:p>
      <w:pPr>
        <w:ind w:left="2140" w:hanging="174"/>
        <w:spacing w:after="0"/>
        <w:tabs>
          <w:tab w:leader="none" w:pos="214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Reconciliation of operating revenue to total picked up revenue:</w:t>
      </w:r>
    </w:p>
    <w:p>
      <w:pPr>
        <w:spacing w:after="0" w:line="56" w:lineRule="exact"/>
        <w:rPr>
          <w:sz w:val="20"/>
          <w:szCs w:val="20"/>
          <w:color w:val="auto"/>
        </w:rPr>
      </w:pPr>
    </w:p>
    <w:tbl>
      <w:tblPr>
        <w:tblLayout w:type="fixed"/>
        <w:tblInd w:w="1940" w:type="dxa"/>
        <w:tblCellMar>
          <w:top w:w="0" w:type="dxa"/>
          <w:left w:w="0" w:type="dxa"/>
          <w:bottom w:w="0" w:type="dxa"/>
          <w:right w:w="0" w:type="dxa"/>
        </w:tblCellMar>
      </w:tblPr>
      <w:tr>
        <w:trPr>
          <w:trHeight w:val="236"/>
        </w:trPr>
        <w:tc>
          <w:tcPr>
            <w:tcW w:w="4960" w:type="dxa"/>
            <w:vAlign w:val="bottom"/>
          </w:tcPr>
          <w:p>
            <w:pPr>
              <w:ind w:left="260"/>
              <w:spacing w:after="0"/>
              <w:rPr>
                <w:sz w:val="20"/>
                <w:szCs w:val="20"/>
                <w:color w:val="auto"/>
              </w:rPr>
            </w:pPr>
            <w:r>
              <w:rPr>
                <w:rFonts w:ascii="Arial" w:cs="Arial" w:eastAsia="Arial" w:hAnsi="Arial"/>
                <w:sz w:val="18"/>
                <w:szCs w:val="18"/>
                <w:color w:val="auto"/>
              </w:rPr>
              <w:t>Operating revenue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479.6</w:t>
            </w:r>
          </w:p>
        </w:tc>
      </w:tr>
      <w:tr>
        <w:trPr>
          <w:trHeight w:val="276"/>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 in revenue deferral and other</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0"/>
        </w:trPr>
        <w:tc>
          <w:tcPr>
            <w:tcW w:w="4960" w:type="dxa"/>
            <w:vAlign w:val="bottom"/>
          </w:tcPr>
          <w:p>
            <w:pPr>
              <w:ind w:left="160"/>
              <w:spacing w:after="0"/>
              <w:rPr>
                <w:sz w:val="20"/>
                <w:szCs w:val="20"/>
                <w:color w:val="auto"/>
              </w:rPr>
            </w:pPr>
            <w:r>
              <w:rPr>
                <w:rFonts w:ascii="Arial" w:cs="Arial" w:eastAsia="Arial" w:hAnsi="Arial"/>
                <w:sz w:val="18"/>
                <w:szCs w:val="18"/>
                <w:color w:val="auto"/>
              </w:rPr>
              <w:t>Total picked up revenue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8890</wp:posOffset>
            </wp:positionV>
            <wp:extent cx="16465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5" w:lineRule="exact"/>
        <w:rPr>
          <w:sz w:val="20"/>
          <w:szCs w:val="20"/>
          <w:color w:val="auto"/>
        </w:rPr>
      </w:pPr>
    </w:p>
    <w:p>
      <w:pPr>
        <w:ind w:left="1020" w:hanging="202"/>
        <w:spacing w:after="0"/>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00" w:hanging="182"/>
        <w:spacing w:after="0"/>
        <w:tabs>
          <w:tab w:leader="none" w:pos="1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for Regional Transportation was $33.6 million for the third quarter of 2015, an increase of $9.2 million, or 37.7%, from the same period in 2014. Operating revenue in the third quarter of 2015 was lower by $23.9 million, or 5.0%, and total operating expenses decreased by $33.1 million, or 7.3%. The decrease in total operating expenses was primarily driven by a $28.9 million, or 25.6%, decrease in operating expenses and supplies in the third quarter of 2015 mostly due to a $28.3 million</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decrease in fuel expense compared to the third quarter of 2014. This decrease was largely driven by lower fuel prices on a per gallon basis and fewer miles driven.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Three Quarters of 2015 Compared to the First Three Quarters of 2014</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Regional Transportation reported operating revenue of $1,367.7 million for the first three quarters of 2015, a decrease of $41.5 million, or 2.9%, from the first three quarters of 2014. The decrease in revenue is primarily attributed to a reduction in fuel surcharge revenue and declines in volume, partially offset by improved yield. The table below summarizes the key revenue metrics for the Regional Transportation reporting segment for the first three quarters of 2015 compared to the first three quarters of 2014:</w:t>
      </w:r>
    </w:p>
    <w:p>
      <w:pPr>
        <w:spacing w:after="0" w:line="200" w:lineRule="exact"/>
        <w:rPr>
          <w:sz w:val="20"/>
          <w:szCs w:val="20"/>
          <w:color w:val="auto"/>
        </w:rPr>
      </w:pP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First Three Quarters</w:t>
            </w: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2"/>
              </w:rPr>
              <w:t>Percent Change</w:t>
            </w:r>
            <w:r>
              <w:rPr>
                <w:rFonts w:ascii="Arial" w:cs="Arial" w:eastAsia="Arial" w:hAnsi="Arial"/>
                <w:sz w:val="8"/>
                <w:szCs w:val="8"/>
                <w:b w:val="1"/>
                <w:bCs w:val="1"/>
                <w:color w:val="auto"/>
                <w:w w:val="92"/>
              </w:rPr>
              <w:t>(b)</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7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2"/>
                <w:shd w:val="clear" w:color="auto" w:fill="CCEEFF"/>
              </w:rPr>
              <w:t>Total picked up revenue (in millions)</w:t>
            </w:r>
          </w:p>
        </w:tc>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(a)</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1,368.4</w:t>
            </w:r>
          </w:p>
        </w:tc>
        <w:tc>
          <w:tcPr>
            <w:tcW w:w="36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77"/>
        </w:trPr>
        <w:tc>
          <w:tcPr>
            <w:tcW w:w="2700" w:type="dxa"/>
            <w:vAlign w:val="bottom"/>
            <w:tcBorders>
              <w:bottom w:val="single" w:sz="8" w:color="CCEEFF"/>
            </w:tcBorders>
            <w:vMerge w:val="continue"/>
            <w:shd w:val="clear" w:color="auto" w:fill="CCEEFF"/>
          </w:tcPr>
          <w:p>
            <w:pPr>
              <w:spacing w:after="0"/>
              <w:rPr>
                <w:sz w:val="6"/>
                <w:szCs w:val="6"/>
                <w:color w:val="auto"/>
              </w:rPr>
            </w:pPr>
          </w:p>
        </w:tc>
        <w:tc>
          <w:tcPr>
            <w:tcW w:w="238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vMerge w:val="continue"/>
            <w:shd w:val="clear" w:color="auto" w:fill="CCEEFF"/>
          </w:tcPr>
          <w:p>
            <w:pPr>
              <w:spacing w:after="0"/>
              <w:rPr>
                <w:sz w:val="6"/>
                <w:szCs w:val="6"/>
                <w:color w:val="auto"/>
              </w:rPr>
            </w:pPr>
          </w:p>
        </w:tc>
        <w:tc>
          <w:tcPr>
            <w:tcW w:w="980" w:type="dxa"/>
            <w:vAlign w:val="bottom"/>
            <w:tcBorders>
              <w:bottom w:val="single" w:sz="8" w:color="CCEEFF"/>
            </w:tcBorders>
            <w:gridSpan w:val="2"/>
            <w:vMerge w:val="continue"/>
            <w:shd w:val="clear" w:color="auto" w:fill="CCEEFF"/>
          </w:tcPr>
          <w:p>
            <w:pPr>
              <w:spacing w:after="0"/>
              <w:rPr>
                <w:sz w:val="6"/>
                <w:szCs w:val="6"/>
                <w:color w:val="auto"/>
              </w:rPr>
            </w:pPr>
          </w:p>
        </w:tc>
        <w:tc>
          <w:tcPr>
            <w:tcW w:w="360" w:type="dxa"/>
            <w:vAlign w:val="bottom"/>
            <w:tcBorders>
              <w:bottom w:val="single" w:sz="8" w:color="CCEEFF"/>
            </w:tcBorders>
            <w:vMerge w:val="continue"/>
            <w:shd w:val="clear" w:color="auto" w:fill="CCEEFF"/>
          </w:tcPr>
          <w:p>
            <w:pPr>
              <w:spacing w:after="0"/>
              <w:rPr>
                <w:sz w:val="6"/>
                <w:szCs w:val="6"/>
                <w:color w:val="auto"/>
              </w:rPr>
            </w:pPr>
          </w:p>
        </w:tc>
        <w:tc>
          <w:tcPr>
            <w:tcW w:w="9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1280" w:type="dxa"/>
            <w:vAlign w:val="bottom"/>
            <w:tcBorders>
              <w:bottom w:val="single" w:sz="8" w:color="CCEEFF"/>
            </w:tcBorders>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tonnage (in thousands)</w:t>
            </w:r>
          </w:p>
        </w:tc>
        <w:tc>
          <w:tcPr>
            <w:tcW w:w="30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5,948</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per day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shipments (in thousands)</w:t>
            </w:r>
          </w:p>
        </w:tc>
        <w:tc>
          <w:tcPr>
            <w:tcW w:w="30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7,987</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per day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41.71</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3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surcharge)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shipment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3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Total picked up revenue per shipment (excluding fuel surcharge)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Total weight per shipment (in pounds)</w:t>
            </w:r>
          </w:p>
        </w:tc>
        <w:tc>
          <w:tcPr>
            <w:tcW w:w="30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642"/>
        </w:trPr>
        <w:tc>
          <w:tcPr>
            <w:tcW w:w="2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First Three Quarters</w:t>
            </w:r>
          </w:p>
        </w:tc>
        <w:tc>
          <w:tcPr>
            <w:tcW w:w="44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80" w:type="dxa"/>
            <w:vAlign w:val="bottom"/>
            <w:gridSpan w:val="2"/>
          </w:tcPr>
          <w:p>
            <w:pPr>
              <w:ind w:left="8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2"/>
                <w:szCs w:val="22"/>
                <w:color w:val="auto"/>
              </w:rPr>
            </w:pPr>
          </w:p>
        </w:tc>
        <w:tc>
          <w:tcPr>
            <w:tcW w:w="1340" w:type="dxa"/>
            <w:vAlign w:val="bottom"/>
            <w:gridSpan w:val="3"/>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7620</wp:posOffset>
            </wp:positionV>
            <wp:extent cx="4793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7" w:lineRule="exact"/>
        <w:rPr>
          <w:sz w:val="20"/>
          <w:szCs w:val="20"/>
          <w:color w:val="auto"/>
        </w:rPr>
      </w:pPr>
    </w:p>
    <w:p>
      <w:pPr>
        <w:ind w:left="2140" w:hanging="174"/>
        <w:spacing w:after="0"/>
        <w:tabs>
          <w:tab w:leader="none" w:pos="2140"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Reconciliation of operating revenue to total picked up revenue:</w:t>
      </w:r>
    </w:p>
    <w:p>
      <w:pPr>
        <w:spacing w:after="0" w:line="47" w:lineRule="exact"/>
        <w:rPr>
          <w:sz w:val="20"/>
          <w:szCs w:val="20"/>
          <w:color w:val="auto"/>
        </w:rPr>
      </w:pPr>
    </w:p>
    <w:tbl>
      <w:tblPr>
        <w:tblLayout w:type="fixed"/>
        <w:tblInd w:w="1940" w:type="dxa"/>
        <w:tblCellMar>
          <w:top w:w="0" w:type="dxa"/>
          <w:left w:w="0" w:type="dxa"/>
          <w:bottom w:w="0" w:type="dxa"/>
          <w:right w:w="0" w:type="dxa"/>
        </w:tblCellMar>
      </w:tblPr>
      <w:tr>
        <w:trPr>
          <w:trHeight w:val="250"/>
        </w:trPr>
        <w:tc>
          <w:tcPr>
            <w:tcW w:w="4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1,409.2</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1,409.9</w:t>
            </w:r>
          </w:p>
        </w:tc>
      </w:tr>
    </w:tbl>
    <w:p>
      <w:pPr>
        <w:spacing w:after="0" w:line="8" w:lineRule="exact"/>
        <w:rPr>
          <w:sz w:val="20"/>
          <w:szCs w:val="20"/>
          <w:color w:val="auto"/>
        </w:rPr>
      </w:pPr>
    </w:p>
    <w:p>
      <w:pPr>
        <w:ind w:left="1020" w:hanging="202"/>
        <w:spacing w:after="0"/>
        <w:tabs>
          <w:tab w:leader="none" w:pos="10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00" w:hanging="182"/>
        <w:spacing w:after="0"/>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for Regional Transportation was $75.9 million for the first three quarters of 2015, an increase of $20.4 million, or 36.8%, from the same period in 2014. Operating revenue in the first three quarters of 2015 was lower by $41.5 million, or 2.9%, while total operating expenses decreased by $61.9 million, or 4.6%. The decrease in total operating expenses was primarily driven by a $71.7 million, or 20.8%, decrease in operating expenses and supplies, partially offset by a $6.3 million, or 7.3%, increase in purchased transportation expense.</w:t>
      </w:r>
    </w:p>
    <w:p>
      <w:pPr>
        <w:spacing w:after="0" w:line="187" w:lineRule="exact"/>
        <w:rPr>
          <w:sz w:val="20"/>
          <w:szCs w:val="20"/>
          <w:color w:val="auto"/>
        </w:rPr>
      </w:pPr>
    </w:p>
    <w:p>
      <w:pPr>
        <w:jc w:val="both"/>
        <w:ind w:left="66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$71.7 million, or 20.8%, decrease in operating expenses and supplies in the first three quarters of 2015 was primarily driven by a $76.5 million decrease in fuel expense compared to the first three quarters of 2014. This decrease was largely driven by lower fuel prices on a per gallon basis and fewer miles driven.</w:t>
      </w:r>
    </w:p>
    <w:p>
      <w:pPr>
        <w:jc w:val="both"/>
        <w:ind w:left="660" w:hanging="328"/>
        <w:spacing w:after="0" w:line="25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$6.3 million, or 7.3%, increase in purchased transportation in the first three quarters of 2015 was primarily driven by an $8.1 million increase in vehicle rent expense as our percentage of leased units has increased from prior year due to our strategy of using operating leases to acquire new revenue equipment. This is offset by $1.2 million in decreased purchased transportation costs due to lower usage of local terminal cartage in the first three quarters of 2015, as compared to the first three quarters of 2014.</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Non-GAAP Financial Measures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EBITDA and EBITDA to adjusted EBITDA as it is consistent with how we measure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net income (loss) to EBITDA and EBITDA to Adjusted EBITDA (defined in our Term Loan Agreement as “Consolidated EBITDA”)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and first three quarters of 2015 and 2014, and the trailing twelve months ended September 30, 2015,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Pr>
          <w:p>
            <w:pPr>
              <w:spacing w:after="0"/>
              <w:rPr>
                <w:sz w:val="14"/>
                <w:szCs w:val="14"/>
                <w:color w:val="auto"/>
              </w:rPr>
            </w:pPr>
          </w:p>
        </w:tc>
        <w:tc>
          <w:tcPr>
            <w:tcW w:w="180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First Three Quarters</w:t>
            </w:r>
          </w:p>
        </w:tc>
        <w:tc>
          <w:tcPr>
            <w:tcW w:w="140" w:type="dxa"/>
            <w:vAlign w:val="bottom"/>
          </w:tcPr>
          <w:p>
            <w:pPr>
              <w:spacing w:after="0"/>
              <w:rPr>
                <w:sz w:val="14"/>
                <w:szCs w:val="14"/>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Four Consecutive</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5"/>
              </w:rPr>
              <w:t>Quarters Ended</w:t>
            </w:r>
          </w:p>
        </w:tc>
        <w:tc>
          <w:tcPr>
            <w:tcW w:w="0" w:type="dxa"/>
            <w:vAlign w:val="bottom"/>
          </w:tcPr>
          <w:p>
            <w:pPr>
              <w:spacing w:after="0"/>
              <w:rPr>
                <w:sz w:val="1"/>
                <w:szCs w:val="1"/>
                <w:color w:val="auto"/>
              </w:rPr>
            </w:pPr>
          </w:p>
        </w:tc>
      </w:tr>
      <w:tr>
        <w:trPr>
          <w:trHeight w:val="26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1"/>
              </w:rPr>
              <w:t>September 30, 2015</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(loss) to adjusted EBITDA:</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for Term Loan Agreement: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24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Restructuring professional fees</w:t>
            </w:r>
          </w:p>
        </w:tc>
        <w:tc>
          <w:tcPr>
            <w:tcW w:w="24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Nonrecurring consulting fees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Permitted dispositions and other</w:t>
            </w:r>
          </w:p>
        </w:tc>
        <w:tc>
          <w:tcPr>
            <w:tcW w:w="2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Amortization of ratification bonus</w:t>
            </w:r>
          </w:p>
        </w:tc>
        <w:tc>
          <w:tcPr>
            <w:tcW w:w="24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582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380" w:firstLine="8"/>
        <w:spacing w:after="0" w:line="280" w:lineRule="auto"/>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As required under our Term Loan Agreement, other, net, shown above consists of the impact of certain items to be included in Adjusted EBITDA under our Term Loan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Adjusted EBITDA by segment for the third quarter and first three quarters of 2015 and 2014:</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Third Quarter</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First Three Quarters</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Adjusted EBITDA by segment: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YRC Freight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55.8</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Regional Transportation</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111.2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167.5</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reconciliation of operating income (loss), by segment, to EBITDA and EBITDA to Adjusted EBITDA for the third quarter and first three quarters of 2015 and 2014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Third Quarter</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First Three Quarters</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YRC Freight segment (in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income (loss) to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Nonrecurring consulting fees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ratification bonus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70"/>
        </w:trPr>
        <w:tc>
          <w:tcPr>
            <w:tcW w:w="652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r>
      <w:tr>
        <w:trPr>
          <w:trHeight w:val="20"/>
        </w:trPr>
        <w:tc>
          <w:tcPr>
            <w:tcW w:w="6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8890</wp:posOffset>
            </wp:positionV>
            <wp:extent cx="31127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200" w:hanging="151"/>
        <w:spacing w:after="0"/>
        <w:tabs>
          <w:tab w:leader="none" w:pos="20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As required under our Term Loan Agreement, other, net, shown above does not include the impact of non-cash foreign currency gains or losses.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Third Quarter</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First Three Quarters</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Regional Transportation segment (in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49.0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ratification bonus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111.2</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569"/>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Third Quarter</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First Three Quarters</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Corporate and other segment (in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loss to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Gains on property disposals, net</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Restructuring professional fees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Permitted dispositions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Equity based compensation expense</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31127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2770" cy="26035"/>
                    </a:xfrm>
                    <a:prstGeom prst="rect">
                      <a:avLst/>
                    </a:prstGeom>
                    <a:noFill/>
                  </pic:spPr>
                </pic:pic>
              </a:graphicData>
            </a:graphic>
          </wp:anchor>
        </w:drawing>
      </w:r>
    </w:p>
    <w:p>
      <w:pPr>
        <w:spacing w:after="0" w:line="38" w:lineRule="exact"/>
        <w:rPr>
          <w:sz w:val="20"/>
          <w:szCs w:val="20"/>
          <w:color w:val="auto"/>
        </w:rPr>
      </w:pPr>
    </w:p>
    <w:p>
      <w:pPr>
        <w:ind w:right="140" w:firstLine="8"/>
        <w:spacing w:after="0" w:line="280" w:lineRule="auto"/>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As required under our Term Loan Agreement, other, net, shown above does not include the impact of earnings of our equity method investment as well as non-cash foreign currency gains or losses.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Condition/Liquidity and Capital Resources</w:t>
      </w: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principal sources of liquidity are cash and cash equivalents, available borrowings under our ABL Facility and any prospective net operating cash flows from operations. As of September 30, 2015, we had cash and cash equivalents of $210.7 million and the borrowing base and maximum availability on our ABL Facility were $445.1 million and $78.6 million, respectively. The maximum availability is calculated in accordance with the terms of the ABL Facility and is derived by reducing the borrowing base by our $366.5 million of outstanding letters of credit. While our ABL Agreement permits us to access maximum availability outside of certain financial covenant restrictions (which restrictions did not limit our availability as of September 30, 2015), the maximum amount we expect to access on our ABL Facility at any time is maximum availability less the lower of 10% of the borrowing base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($44.5 million at September 30, 2015) or 10% of the collateral line cap ($45.0 million at September 30, 2015). Thus, of the $78.6 million in maximum availability, our Managed Accessibility was $34.1 million as of September 30, 2015. As a result, we had cash and cash equivalents and Managed Accessibility of $244.8 million as of September 30,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Outside of funding normal operations, our principal uses of cash include making contributions to our single-employer pension plans and various multi-employer pension funds, and meeting our other cash obligations including, but not limited to, paying principal and interest on our funded debt, payments on our equipment leases and funding capital expenditures.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 considerable amount of indebtedness. As of September 30, 2015, we had $1,085.5 million in aggregate par value of outstanding indebtedness, the majority of which matures in 2019. We also have considerable future funding obligations for our single-employer pension plans and various multi-employer pension funds. We expect our funding obligations for the remainder of 2015 for our single-employer pension plans and multi-employer pension funds will be $11.1 million and $22.8 million, respectively. In addition, we have, and will continue to have, substantial operating lease obligations. As of September 30, 2015, our minimum rental expense under operating leases for the remainder of the year is $17.7 million. As of September 30, 2015, our operating lease payment obligations through 2025 totaled $232.1 million and is expected to increase as we lease additional revenue equipment.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capital expenditures for the first three quarters of 2015 and 2014 were $71.8 million and $47.6 million, respectively. These amounts were principally used to fund the purchase of used tractors and trailers, to refurbish engines for our revenue fleet and capitalized costs for technology infrastructure. Additionally, for the first three quarters of 2015, we entered into new operating leases for revenue equipment totaling $102.0 million in future lease payments, payable over an average lease term of five years.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2015, our Standard &amp; Poor’s Corporate Family Rating was “B-” and Moody’s Investor Service Corporate Family Rating was “B3”.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Term Loan Agreement has certain financial covenants that, among other things, restricts certain capital expenditures and requires us to maintain a maximum total leverage ratio (defined as Consolidated Total Debt divided by Consolidated Adjusted EBITDA as defined below).</w:t>
      </w:r>
    </w:p>
    <w:p>
      <w:pPr>
        <w:spacing w:after="0" w:line="31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160" w:type="dxa"/>
            <w:vAlign w:val="bottom"/>
          </w:tcPr>
          <w:p>
            <w:pPr>
              <w:spacing w:after="0"/>
              <w:rPr>
                <w:sz w:val="14"/>
                <w:szCs w:val="14"/>
                <w:color w:val="auto"/>
              </w:rPr>
            </w:pPr>
          </w:p>
        </w:tc>
        <w:tc>
          <w:tcPr>
            <w:tcW w:w="278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6"/>
              </w:rPr>
              <w:t>Four Consecutive Fiscal Quarters Ending</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c>
          <w:tcPr>
            <w:tcW w:w="16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4.25 to 1.00</w:t>
            </w:r>
          </w:p>
        </w:tc>
        <w:tc>
          <w:tcPr>
            <w:tcW w:w="160" w:type="dxa"/>
            <w:vAlign w:val="bottom"/>
          </w:tcPr>
          <w:p>
            <w:pPr>
              <w:spacing w:after="0"/>
              <w:rPr>
                <w:sz w:val="21"/>
                <w:szCs w:val="21"/>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March 31, 2017</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 to 1.00</w:t>
            </w:r>
          </w:p>
        </w:tc>
        <w:tc>
          <w:tcPr>
            <w:tcW w:w="16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June 30,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September 30, 2017</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December 31, 2017 and thereafter</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6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Consolidated Adjusted EBITDA, defined in the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professional fees, nonrecurring consulting fees, expenses associated with certain lump sum payments to our IBT employees and the results of permitted dispositions and discontinued operations. Consolidated Total Debt, as defined in our Term Loan Agreement, is the aggregate principal amount of indebtedness outstanding. Our total leverage ratio for the four consecutive fiscal quarters ending September 30, 2015 was 3.15 to 1.00. Additionally, our ABL Facility credit agreement, among other things, restricts certain capital expenditures.</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In order for us to maintain compliance with the maximum total leverage ratio over the tenor of the Term Loan and satisfy our liquidity needs, we must achieve positive operating results which reflect continuing improvement over our recent results. Improvements to our profitability may include ongoing successful implementation and realization of pricing, productivity and efficiency initiatives, as well as increased volume, some of which are outside of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Net cash provided by operating activities was $91.5 million in the first three quarters of 2015 compared to net cash used in operating activities of $26.3 million in the first three quarters of 2014. The favorable cash flow impact is primarily attributable to net income of $24.2 million for the first three quarters of 2015 compared to a net loss of $73.9 million for the first three quarters of 2014, driven by profitability initiatives and decreased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Investing cash flows decreased by $62.0 million during the first three quarters of 2015 compared to the first three quarters of 2014, largely driven by a net receipt of $16.9 million in restricted escrow refunds in 2015 compared to a net receipt of $57.1 million in 2014. The 2014 restricted escrow deposits consist mostly of $38.6 million for the ABL Facility, offset by the reduction of the $90.0 million receipt for the prior asset based loan facility and the reduction of deposits required for the ABL Facility due to an increase in the borrowing base. In addition, there was a $24.2 million increase in the acquisition of property and equipment primarily due to increased purchases of used tractors and trailers and refurbished engines for our fleet and capitalized costs for technology infrastructure.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cash used in financing activities for the first three quarters of 2015 was $13.1 million compared to net cash provided by financing activities of $8.2 million in the first three quarters of 2014. The cash used in the first three quarters of 2015 consists solely of repayments of our long-term debt. The cash provided during the first three quarters of 2014 was driven by the issuance of $693.0 million in long-term debt for the Term Loan and $250.0 million equity issuance proceeds. These were offset by $888.7 million of repayments on our long-term debt. The repayments primarily consisted of $298.1 million for the prior term loan, $324.9 million for the prior ABL facility, $93.9 million for the redemption of Series A Notes and $69.4 million for the 6% Convertible Senior Notes. We also paid $29.0 million in debt issuance costs and $17.1 million in equity issuance costs related to our new debt and equity issued in 2014.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sections provide aggregated information regarding our contractual cash obligations and other commercial commitments as of September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cash outflows that we are contractually obligated to make as of September 30,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63"/>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Less than 1 year</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22"/>
                <w:szCs w:val="22"/>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After 5 years</w:t>
            </w:r>
          </w:p>
        </w:tc>
        <w:tc>
          <w:tcPr>
            <w:tcW w:w="320" w:type="dxa"/>
            <w:vAlign w:val="bottom"/>
          </w:tcPr>
          <w:p>
            <w:pPr>
              <w:spacing w:after="0"/>
              <w:rPr>
                <w:sz w:val="22"/>
                <w:szCs w:val="22"/>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22"/>
                <w:szCs w:val="22"/>
                <w:color w:val="auto"/>
              </w:rPr>
            </w:pPr>
          </w:p>
        </w:tc>
      </w:tr>
      <w:tr>
        <w:trPr>
          <w:trHeight w:val="270"/>
        </w:trPr>
        <w:tc>
          <w:tcPr>
            <w:tcW w:w="3660" w:type="dxa"/>
            <w:vAlign w:val="bottom"/>
          </w:tcPr>
          <w:p>
            <w:pPr>
              <w:ind w:left="40"/>
              <w:spacing w:after="0" w:line="270" w:lineRule="exact"/>
              <w:rPr>
                <w:sz w:val="20"/>
                <w:szCs w:val="20"/>
                <w:color w:val="auto"/>
              </w:rPr>
            </w:pPr>
            <w:r>
              <w:rPr>
                <w:rFonts w:ascii="Arial" w:cs="Arial" w:eastAsia="Arial" w:hAnsi="Arial"/>
                <w:sz w:val="18"/>
                <w:szCs w:val="18"/>
                <w:color w:val="auto"/>
              </w:rPr>
              <w:t>Balance sheet obligations:</w:t>
            </w:r>
            <w:r>
              <w:rPr>
                <w:rFonts w:ascii="Arial" w:cs="Arial" w:eastAsia="Arial" w:hAnsi="Arial"/>
                <w:sz w:val="25"/>
                <w:szCs w:val="25"/>
                <w:color w:val="auto"/>
                <w:vertAlign w:val="superscript"/>
              </w:rPr>
              <w:t>(a)</w:t>
            </w:r>
          </w:p>
        </w:tc>
        <w:tc>
          <w:tcPr>
            <w:tcW w:w="18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ABL borrowings, including interest and</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unused line fees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ind w:left="360"/>
              <w:spacing w:after="0"/>
              <w:rPr>
                <w:sz w:val="20"/>
                <w:szCs w:val="20"/>
                <w:color w:val="auto"/>
              </w:rPr>
            </w:pPr>
            <w:r>
              <w:rPr>
                <w:rFonts w:ascii="Arial" w:cs="Arial" w:eastAsia="Arial" w:hAnsi="Arial"/>
                <w:sz w:val="18"/>
                <w:szCs w:val="18"/>
                <w:color w:val="auto"/>
              </w:rPr>
              <w:t>Long-term debt, including interest</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702.1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873.9</w:t>
            </w:r>
          </w:p>
        </w:tc>
        <w:tc>
          <w:tcPr>
            <w:tcW w:w="3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financing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w:t>
            </w: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w w:val="93"/>
              </w:rPr>
              <w:t>Multi-employer pension deferral obligations,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including interest</w:t>
            </w:r>
          </w:p>
        </w:tc>
        <w:tc>
          <w:tcPr>
            <w:tcW w:w="18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154.4</w:t>
            </w:r>
          </w:p>
        </w:tc>
        <w:tc>
          <w:tcPr>
            <w:tcW w:w="3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Workers’ compensation and liability claims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(c)</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Off balance sheet obligations: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36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(e)</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380" w:type="dxa"/>
            <w:vAlign w:val="bottom"/>
            <w:shd w:val="clear" w:color="auto" w:fill="CCEEFF"/>
          </w:tcPr>
          <w:p>
            <w:pPr>
              <w:spacing w:after="0"/>
              <w:rPr>
                <w:sz w:val="23"/>
                <w:szCs w:val="23"/>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Letter of credit fees</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w:t>
            </w:r>
          </w:p>
        </w:tc>
        <w:tc>
          <w:tcPr>
            <w:tcW w:w="3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36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Future service obligations </w:t>
            </w:r>
            <w:r>
              <w:rPr>
                <w:rFonts w:ascii="Arial" w:cs="Arial" w:eastAsia="Arial" w:hAnsi="Arial"/>
                <w:sz w:val="25"/>
                <w:szCs w:val="25"/>
                <w:color w:val="auto"/>
                <w:vertAlign w:val="superscript"/>
              </w:rPr>
              <w:t>(d)</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80" w:type="dxa"/>
            <w:vAlign w:val="bottom"/>
            <w:shd w:val="clear" w:color="auto" w:fill="CCEEFF"/>
          </w:tcPr>
          <w:p>
            <w:pPr>
              <w:spacing w:after="0"/>
              <w:rPr>
                <w:sz w:val="23"/>
                <w:szCs w:val="23"/>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380" w:type="dxa"/>
            <w:vAlign w:val="bottom"/>
          </w:tcPr>
          <w:p>
            <w:pPr>
              <w:spacing w:after="0"/>
              <w:rPr>
                <w:sz w:val="21"/>
                <w:szCs w:val="2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1,835.7</w:t>
            </w:r>
          </w:p>
        </w:tc>
        <w:tc>
          <w:tcPr>
            <w:tcW w:w="380" w:type="dxa"/>
            <w:vAlign w:val="bottom"/>
            <w:tcBorders>
              <w:bottom w:val="single" w:sz="8" w:color="CCEEFF"/>
            </w:tcBorders>
            <w:shd w:val="clear" w:color="auto" w:fill="CCEEFF"/>
          </w:tcPr>
          <w:p>
            <w:pPr>
              <w:spacing w:after="0"/>
              <w:rPr>
                <w:sz w:val="22"/>
                <w:szCs w:val="22"/>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line="250"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Total liabilities for uncertain income tax positions as of September 30, 2015 were $7.8 million and are classified on our consolidated balance sheet within “Claims and Other Liabilities” and are excluded from the table above.</w:t>
      </w:r>
    </w:p>
    <w:p>
      <w:pPr>
        <w:ind w:left="34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$192.1 million of lease financing obligation payments represent interest payments of $132.4 million and principal payments of $59.7 million. The remaining principle obligation is offset by the estimated book value of leased property at the expiration date of each lease agreement.</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workers’ compensation and liability claims obligations represent our undiscounted estimate of future payments for these obligations, not all of which are contractually required.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Future service obligations consist primarily of hardware and software maintenance contracts.</w:t>
      </w:r>
    </w:p>
    <w:p>
      <w:pPr>
        <w:spacing w:after="0" w:line="1"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During the nine months ended September 30, 2015, we entered into new operating leases for revenue equipment totaling $102.0 million in future lease payments. The total capital value of revenue equipment leases, which consists of 600 tractors and 1,350 trailers, is $87.1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 such as a need to borrow short-term funds due to insufficient free cash flow.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right"/>
              <w:ind w:right="17"/>
              <w:spacing w:after="0"/>
              <w:rPr>
                <w:sz w:val="20"/>
                <w:szCs w:val="20"/>
                <w:color w:val="auto"/>
              </w:rPr>
            </w:pPr>
            <w:r>
              <w:rPr>
                <w:rFonts w:ascii="Arial" w:cs="Arial" w:eastAsia="Arial" w:hAnsi="Arial"/>
                <w:sz w:val="14"/>
                <w:szCs w:val="14"/>
                <w:b w:val="1"/>
                <w:bCs w:val="1"/>
                <w:color w:val="auto"/>
                <w:w w:val="96"/>
              </w:rPr>
              <w:t>Amount of Commitment Expiration Per Period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40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2"/>
                <w:szCs w:val="22"/>
                <w:color w:val="auto"/>
              </w:rPr>
            </w:pPr>
          </w:p>
        </w:tc>
        <w:tc>
          <w:tcPr>
            <w:tcW w:w="124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Less than 1 year</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22"/>
                <w:szCs w:val="22"/>
                <w:color w:val="auto"/>
              </w:rPr>
            </w:pP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3-5 years</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After 5 years</w:t>
            </w:r>
          </w:p>
        </w:tc>
        <w:tc>
          <w:tcPr>
            <w:tcW w:w="320" w:type="dxa"/>
            <w:vAlign w:val="bottom"/>
          </w:tcPr>
          <w:p>
            <w:pPr>
              <w:spacing w:after="0"/>
              <w:rPr>
                <w:sz w:val="22"/>
                <w:szCs w:val="22"/>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Unused line of credit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4080" w:type="dxa"/>
            <w:vAlign w:val="bottom"/>
          </w:tcPr>
          <w:p>
            <w:pPr>
              <w:ind w:left="36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78.6</w:t>
            </w:r>
          </w:p>
        </w:tc>
        <w:tc>
          <w:tcPr>
            <w:tcW w:w="340" w:type="dxa"/>
            <w:vAlign w:val="bottom"/>
          </w:tcPr>
          <w:p>
            <w:pPr>
              <w:jc w:val="right"/>
              <w:ind w:right="17"/>
              <w:spacing w:after="0"/>
              <w:rPr>
                <w:sz w:val="20"/>
                <w:szCs w:val="20"/>
                <w:color w:val="auto"/>
              </w:rPr>
            </w:pPr>
            <w:r>
              <w:rPr>
                <w:rFonts w:ascii="Arial" w:cs="Arial" w:eastAsia="Arial" w:hAnsi="Arial"/>
                <w:sz w:val="13"/>
                <w:szCs w:val="13"/>
                <w:color w:val="auto"/>
              </w:rPr>
              <w:t>(b)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78.6</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366.5</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366.5</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Surety bonds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118.5</w:t>
            </w: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commercial 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445.2</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563.6</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of September 30, 2015, we held $72.2 million in restricted escrow, which represents cash collateral on our ABL Facility.</w:t>
      </w:r>
    </w:p>
    <w:p>
      <w:pPr>
        <w:spacing w:after="0" w:line="13"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of September 30, 2015, Managed Accessibility was $34.1 million, which represents maximum availability of $78.6 million less the lower of 10% of the borrowing base or collateral line cap.</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primarily exposed to the market risk associated with unfavorable movements in interest rates, foreign currencies, and fuel price volatility. The risk inherent in our market risk sensitive instruments and positions is the potential loss or increased expense arising from adverse changes in those factors. There have been no material changes to our market risk policies or our market risk sensitive instruments and positions as described in our annual report on Form 10-K for the year ended December 31,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September 30, 2015 and have concluded that our disclosure controls and procedures were effective as of September 30, 2015.</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September 30, 2015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PART II—OTHER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note to our consolidated financial statements included with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material changes during the quarter to the Risk Factors disclosed in Part I, Item 1A - “Risk Factors” in our annual report on Form 10-K for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23, 2015, the Company entered into an equity interest sale and purchase agreement with Balance Global Limited (the “Buyer”) under which the Company will sell its fifty percent interest in its Chinese joint venture, JHJ, to the Buyer for a purchase price of $16.3 million and a guaranteed dividend payment from JHJ to the Company of $2.0 million, for total consideration of $18.3 million. As a condition to the closing of the contemplated sale, certain consents and approvals must be obtained from the Chinese government, which consents and approvals and the timing thereof are largely outside of the control of the Company or the Buyer.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387" w:lineRule="exact"/>
        <w:rPr>
          <w:sz w:val="20"/>
          <w:szCs w:val="20"/>
          <w:color w:val="auto"/>
        </w:rPr>
      </w:pPr>
    </w:p>
    <w:p>
      <w:pPr>
        <w:ind w:left="2220" w:right="360" w:hanging="1133"/>
        <w:spacing w:after="0" w:line="264" w:lineRule="auto"/>
        <w:tabs>
          <w:tab w:leader="none" w:pos="22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No. 2 to Credit Agreement, by and among the Company, the lenders party thereto and Credit Suisse AG, Cayman Islands Branch as administrative agent (incorporated by reference to Exhibit 10.1 to Current Report on Form 8-K, filed on September 25, 2015, File No. 000-12255).</w:t>
      </w:r>
    </w:p>
    <w:p>
      <w:pPr>
        <w:spacing w:after="0" w:line="235" w:lineRule="exact"/>
        <w:rPr>
          <w:sz w:val="20"/>
          <w:szCs w:val="20"/>
          <w:color w:val="auto"/>
        </w:rPr>
      </w:pPr>
    </w:p>
    <w:p>
      <w:pPr>
        <w:ind w:left="2220" w:right="200" w:hanging="1133"/>
        <w:spacing w:after="0" w:line="264" w:lineRule="auto"/>
        <w:tabs>
          <w:tab w:leader="none" w:pos="22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No. 1 to Loan and Security Agreement by and among the Company, certain of the Company’s subsidiaries party thereto, the lenders party thereto and RBS Citizens Business Capital as agent (incorporated by reference to Exhibit 10.2 to Current Report on Form 8-K, filed on September 25, 2015, File No. 000-12255).</w:t>
      </w:r>
    </w:p>
    <w:p>
      <w:pPr>
        <w:sectPr>
          <w:pgSz w:w="11900" w:h="16838" w:orient="portrait"/>
          <w:cols w:equalWidth="0" w:num="1">
            <w:col w:w="11420"/>
          </w:cols>
          <w:pgMar w:left="240" w:top="121" w:right="239" w:bottom="1440" w:gutter="0" w:footer="0" w:header="0"/>
        </w:sectPr>
      </w:pPr>
    </w:p>
    <w:p>
      <w:pPr>
        <w:spacing w:after="0" w:line="2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Certification of James L. Welch filed pursuant to Exchange Act Rules 13a-14 and 15d-14, as adopted pursuant to Section 302 of the Sarbanes-Oxley Act of 2002.</w:t>
      </w:r>
    </w:p>
    <w:p>
      <w:pPr>
        <w:spacing w:after="0" w:line="200" w:lineRule="exact"/>
        <w:rPr>
          <w:sz w:val="20"/>
          <w:szCs w:val="20"/>
          <w:color w:val="auto"/>
        </w:rPr>
      </w:pPr>
    </w:p>
    <w:p>
      <w:pPr>
        <w:sectPr>
          <w:pgSz w:w="11900" w:h="16838" w:orient="portrait"/>
          <w:cols w:equalWidth="0" w:num="2">
            <w:col w:w="1500" w:space="720"/>
            <w:col w:w="9200"/>
          </w:cols>
          <w:pgMar w:left="240" w:top="121" w:right="239" w:bottom="1440" w:gutter="0" w:footer="0" w:header="0"/>
          <w:type w:val="continuous"/>
        </w:sectPr>
      </w:pPr>
    </w:p>
    <w:p>
      <w:pPr>
        <w:spacing w:after="0" w:line="2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Certification of Jamie G. Pierson filed pursuant to Exchange Act Rules 13a-14 and 15d-14, as adopted pursuant to Section 302 of the Sarbanes-Oxley Act of 2002.</w:t>
      </w:r>
    </w:p>
    <w:p>
      <w:pPr>
        <w:spacing w:after="0" w:line="200" w:lineRule="exact"/>
        <w:rPr>
          <w:sz w:val="20"/>
          <w:szCs w:val="20"/>
          <w:color w:val="auto"/>
        </w:rPr>
      </w:pPr>
    </w:p>
    <w:p>
      <w:pPr>
        <w:sectPr>
          <w:pgSz w:w="11900" w:h="16838" w:orient="portrait"/>
          <w:cols w:equalWidth="0" w:num="2">
            <w:col w:w="1500" w:space="720"/>
            <w:col w:w="9200"/>
          </w:cols>
          <w:pgMar w:left="240" w:top="121" w:right="239" w:bottom="1440" w:gutter="0" w:footer="0" w:header="0"/>
          <w:type w:val="continuous"/>
        </w:sectPr>
      </w:pPr>
    </w:p>
    <w:p>
      <w:pPr>
        <w:spacing w:after="0" w:line="2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32.1*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Certification of James L. Welch furnished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1500" w:space="720"/>
            <w:col w:w="9200"/>
          </w:cols>
          <w:pgMar w:left="240" w:top="121" w:right="239" w:bottom="1440" w:gutter="0" w:footer="0" w:header="0"/>
          <w:type w:val="continuous"/>
        </w:sectPr>
      </w:pPr>
    </w:p>
    <w:p>
      <w:pPr>
        <w:spacing w:after="0" w:line="2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32.2*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Certification of Jamie G. Pierson furnished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1500" w:space="720"/>
            <w:col w:w="9200"/>
          </w:cols>
          <w:pgMar w:left="240" w:top="121" w:right="239" w:bottom="1440" w:gutter="0" w:footer="0" w:header="0"/>
          <w:type w:val="continuous"/>
        </w:sectPr>
      </w:pPr>
    </w:p>
    <w:p>
      <w:pPr>
        <w:spacing w:after="0" w:line="25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86" w:lineRule="exact"/>
        <w:rPr>
          <w:sz w:val="20"/>
          <w:szCs w:val="20"/>
          <w:color w:val="auto"/>
        </w:rPr>
      </w:pPr>
    </w:p>
    <w:p>
      <w:pPr>
        <w:sectPr>
          <w:pgSz w:w="11900" w:h="16838" w:orient="portrait"/>
          <w:cols w:equalWidth="0" w:num="2">
            <w:col w:w="1780" w:space="440"/>
            <w:col w:w="9200"/>
          </w:cols>
          <w:pgMar w:left="240" w:top="121" w:right="239" w:bottom="1440" w:gutter="0" w:footer="0" w:header="0"/>
          <w:type w:val="continuous"/>
        </w:sectPr>
      </w:pPr>
    </w:p>
    <w:p>
      <w:pPr>
        <w:ind w:left="108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w:t>
      </w:r>
    </w:p>
    <w:p>
      <w:pPr>
        <w:spacing w:after="0" w:line="86" w:lineRule="exact"/>
        <w:rPr>
          <w:sz w:val="20"/>
          <w:szCs w:val="20"/>
          <w:color w:val="auto"/>
        </w:rPr>
      </w:pPr>
    </w:p>
    <w:p>
      <w:pPr>
        <w:sectPr>
          <w:pgSz w:w="11900" w:h="16838" w:orient="portrait"/>
          <w:cols w:equalWidth="0" w:num="2">
            <w:col w:w="1840" w:space="380"/>
            <w:col w:w="9200"/>
          </w:cols>
          <w:pgMar w:left="240" w:top="121" w:right="23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w:t>
      </w:r>
    </w:p>
    <w:p>
      <w:pPr>
        <w:spacing w:after="0" w:line="85" w:lineRule="exact"/>
        <w:rPr>
          <w:sz w:val="20"/>
          <w:szCs w:val="20"/>
          <w:color w:val="auto"/>
        </w:rPr>
      </w:pPr>
    </w:p>
    <w:p>
      <w:pPr>
        <w:sectPr>
          <w:pgSz w:w="11900" w:h="16838" w:orient="portrait"/>
          <w:cols w:equalWidth="0" w:num="2">
            <w:col w:w="1860" w:space="360"/>
            <w:col w:w="9200"/>
          </w:cols>
          <w:pgMar w:left="240" w:top="121" w:right="239" w:bottom="1440" w:gutter="0" w:footer="0" w:header="0"/>
          <w:type w:val="continuous"/>
        </w:sectPr>
      </w:pPr>
    </w:p>
    <w:p>
      <w:pPr>
        <w:ind w:left="108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w:t>
      </w:r>
    </w:p>
    <w:p>
      <w:pPr>
        <w:spacing w:after="0" w:line="86" w:lineRule="exact"/>
        <w:rPr>
          <w:sz w:val="20"/>
          <w:szCs w:val="20"/>
          <w:color w:val="auto"/>
        </w:rPr>
      </w:pPr>
    </w:p>
    <w:p>
      <w:pPr>
        <w:sectPr>
          <w:pgSz w:w="11900" w:h="16838" w:orient="portrait"/>
          <w:cols w:equalWidth="0" w:num="2">
            <w:col w:w="1840" w:space="380"/>
            <w:col w:w="9200"/>
          </w:cols>
          <w:pgMar w:left="240" w:top="121" w:right="23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w:t>
      </w:r>
    </w:p>
    <w:p>
      <w:pPr>
        <w:spacing w:after="0" w:line="85" w:lineRule="exact"/>
        <w:rPr>
          <w:sz w:val="20"/>
          <w:szCs w:val="20"/>
          <w:color w:val="auto"/>
        </w:rPr>
      </w:pPr>
    </w:p>
    <w:p>
      <w:pPr>
        <w:sectPr>
          <w:pgSz w:w="11900" w:h="16838" w:orient="portrait"/>
          <w:cols w:equalWidth="0" w:num="2">
            <w:col w:w="1860" w:space="360"/>
            <w:col w:w="9200"/>
          </w:cols>
          <w:pgMar w:left="240" w:top="121" w:right="23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59" w:lineRule="exact"/>
        <w:rPr>
          <w:sz w:val="20"/>
          <w:szCs w:val="20"/>
          <w:color w:val="auto"/>
        </w:rPr>
      </w:pPr>
    </w:p>
    <w:p>
      <w:pPr>
        <w:sectPr>
          <w:pgSz w:w="11900" w:h="16838" w:orient="portrait"/>
          <w:cols w:equalWidth="0" w:num="2">
            <w:col w:w="1820" w:space="400"/>
            <w:col w:w="920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Indicates documents filed herewith.</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YRC WORLDWIDE INC.</w:t>
            </w:r>
          </w:p>
        </w:tc>
      </w:tr>
      <w:tr>
        <w:trPr>
          <w:trHeight w:val="918"/>
        </w:trPr>
        <w:tc>
          <w:tcPr>
            <w:tcW w:w="5580" w:type="dxa"/>
            <w:vAlign w:val="bottom"/>
          </w:tcPr>
          <w:p>
            <w:pPr>
              <w:spacing w:after="0"/>
              <w:rPr>
                <w:sz w:val="20"/>
                <w:szCs w:val="20"/>
                <w:color w:val="auto"/>
              </w:rPr>
            </w:pPr>
            <w:r>
              <w:rPr>
                <w:rFonts w:ascii="Arial" w:cs="Arial" w:eastAsia="Arial" w:hAnsi="Arial"/>
                <w:sz w:val="18"/>
                <w:szCs w:val="18"/>
                <w:color w:val="auto"/>
              </w:rPr>
              <w:t>Date: October 29, 2015</w:t>
            </w:r>
          </w:p>
        </w:tc>
        <w:tc>
          <w:tcPr>
            <w:tcW w:w="5800" w:type="dxa"/>
            <w:vAlign w:val="bottom"/>
          </w:tcPr>
          <w:p>
            <w:pPr>
              <w:ind w:left="120"/>
              <w:spacing w:after="0"/>
              <w:rPr>
                <w:sz w:val="20"/>
                <w:szCs w:val="20"/>
                <w:color w:val="auto"/>
              </w:rPr>
            </w:pPr>
            <w:r>
              <w:rPr>
                <w:rFonts w:ascii="Arial" w:cs="Arial" w:eastAsia="Arial" w:hAnsi="Arial"/>
                <w:sz w:val="18"/>
                <w:szCs w:val="18"/>
                <w:color w:val="auto"/>
              </w:rPr>
              <w:t>/s/ James L. Welch</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James L. Welch</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594"/>
        </w:trPr>
        <w:tc>
          <w:tcPr>
            <w:tcW w:w="5580" w:type="dxa"/>
            <w:vAlign w:val="bottom"/>
          </w:tcPr>
          <w:p>
            <w:pPr>
              <w:spacing w:after="0"/>
              <w:rPr>
                <w:sz w:val="20"/>
                <w:szCs w:val="20"/>
                <w:color w:val="auto"/>
              </w:rPr>
            </w:pPr>
            <w:r>
              <w:rPr>
                <w:rFonts w:ascii="Arial" w:cs="Arial" w:eastAsia="Arial" w:hAnsi="Arial"/>
                <w:sz w:val="18"/>
                <w:szCs w:val="18"/>
                <w:color w:val="auto"/>
              </w:rPr>
              <w:t>Date: October 29, 2015</w:t>
            </w:r>
          </w:p>
        </w:tc>
        <w:tc>
          <w:tcPr>
            <w:tcW w:w="5800" w:type="dxa"/>
            <w:vAlign w:val="bottom"/>
          </w:tcPr>
          <w:p>
            <w:pPr>
              <w:ind w:left="120"/>
              <w:spacing w:after="0"/>
              <w:rPr>
                <w:sz w:val="20"/>
                <w:szCs w:val="20"/>
                <w:color w:val="auto"/>
              </w:rPr>
            </w:pPr>
            <w:r>
              <w:rPr>
                <w:rFonts w:ascii="Arial" w:cs="Arial" w:eastAsia="Arial" w:hAnsi="Arial"/>
                <w:sz w:val="18"/>
                <w:szCs w:val="18"/>
                <w:color w:val="auto"/>
              </w:rPr>
              <w:t>/s/ Jamie G. Pierson</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Jamie G. Pierson</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486"/>
        </w:trPr>
        <w:tc>
          <w:tcPr>
            <w:tcW w:w="558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James L. Welch, certify that:</w:t>
      </w:r>
    </w:p>
    <w:p>
      <w:pPr>
        <w:spacing w:after="0" w:line="9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October 29, 2015</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Jamie G. Pierson, certify that:</w:t>
      </w:r>
    </w:p>
    <w:p>
      <w:pPr>
        <w:spacing w:after="0" w:line="9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October 29, 2015</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September 30, 2014,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October 29, 2015</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September 30, 2014, as filed with the Securities and Exchange Commission on the date hereof (the “Report”), I, Jamie G. Pierson, Chief Financial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October 29, 2015</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lvl w:ilvl="1">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lowerLetter"/>
      <w:start w:val="1"/>
    </w:lvl>
    <w:lvl w:ilvl="1">
      <w:lvlJc w:val="left"/>
      <w:lvlText w:val="(*)"/>
      <w:numFmt w:val="bullet"/>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2019-12-29T14:48:37Z</dcterms:created>
  <dcterms:modified xsi:type="dcterms:W3CDTF">2019-12-29T14:48:37Z</dcterms:modified>
</cp:coreProperties>
</file>